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958" w:rsidRPr="00705846" w:rsidRDefault="00705846">
      <w:pPr>
        <w:adjustRightInd w:val="0"/>
        <w:snapToGrid w:val="0"/>
        <w:spacing w:line="360" w:lineRule="auto"/>
        <w:rPr>
          <w:rFonts w:ascii="Book Antiqua" w:eastAsia="Times New Roman" w:hAnsi="Book Antiqua" w:cs="SimSun"/>
          <w:b/>
          <w:i/>
          <w:color w:val="000000"/>
          <w:sz w:val="24"/>
          <w:szCs w:val="24"/>
        </w:rPr>
      </w:pPr>
      <w:bookmarkStart w:id="0" w:name="OLE_LINK546"/>
      <w:bookmarkStart w:id="1" w:name="OLE_LINK592"/>
      <w:bookmarkStart w:id="2" w:name="OLE_LINK545"/>
      <w:r w:rsidRPr="00705846">
        <w:rPr>
          <w:rFonts w:ascii="Book Antiqua" w:eastAsia="Times New Roman" w:hAnsi="Book Antiqua" w:cs="SimSun"/>
          <w:b/>
          <w:color w:val="000000"/>
          <w:sz w:val="24"/>
          <w:szCs w:val="24"/>
        </w:rPr>
        <w:t xml:space="preserve">Name of journal: </w:t>
      </w:r>
      <w:bookmarkStart w:id="3" w:name="OLE_LINK718"/>
      <w:bookmarkStart w:id="4" w:name="OLE_LINK1068"/>
      <w:bookmarkStart w:id="5" w:name="OLE_LINK645"/>
      <w:bookmarkStart w:id="6" w:name="OLE_LINK661"/>
      <w:bookmarkStart w:id="7" w:name="OLE_LINK719"/>
      <w:r w:rsidRPr="00705846">
        <w:rPr>
          <w:rFonts w:ascii="Book Antiqua" w:eastAsia="Times New Roman" w:hAnsi="Book Antiqua" w:cs="SimSun"/>
          <w:b/>
          <w:i/>
          <w:color w:val="000000"/>
          <w:sz w:val="24"/>
          <w:szCs w:val="24"/>
        </w:rPr>
        <w:t xml:space="preserve">World Journal of </w:t>
      </w:r>
      <w:bookmarkStart w:id="8" w:name="OLE_LINK1223"/>
      <w:bookmarkStart w:id="9" w:name="OLE_LINK1222"/>
      <w:r w:rsidRPr="00705846">
        <w:rPr>
          <w:rFonts w:ascii="Book Antiqua" w:eastAsia="Times New Roman" w:hAnsi="Book Antiqua" w:cs="SimSun"/>
          <w:b/>
          <w:i/>
          <w:color w:val="000000"/>
          <w:sz w:val="24"/>
          <w:szCs w:val="24"/>
        </w:rPr>
        <w:t>Gastroenterology</w:t>
      </w:r>
      <w:bookmarkEnd w:id="3"/>
      <w:bookmarkEnd w:id="4"/>
      <w:bookmarkEnd w:id="5"/>
      <w:bookmarkEnd w:id="6"/>
      <w:bookmarkEnd w:id="7"/>
      <w:bookmarkEnd w:id="8"/>
      <w:bookmarkEnd w:id="9"/>
    </w:p>
    <w:p w:rsidR="00341958" w:rsidRPr="00705846" w:rsidRDefault="00705846">
      <w:pPr>
        <w:adjustRightInd w:val="0"/>
        <w:snapToGrid w:val="0"/>
        <w:spacing w:line="360" w:lineRule="auto"/>
        <w:rPr>
          <w:rFonts w:ascii="Book Antiqua" w:hAnsi="Book Antiqua" w:cs="Arial"/>
          <w:color w:val="000000"/>
          <w:sz w:val="24"/>
          <w:szCs w:val="24"/>
        </w:rPr>
      </w:pPr>
      <w:r w:rsidRPr="00705846">
        <w:rPr>
          <w:rFonts w:ascii="Book Antiqua" w:hAnsi="Book Antiqua" w:cs="Arial"/>
          <w:b/>
          <w:color w:val="000000"/>
          <w:sz w:val="24"/>
          <w:szCs w:val="24"/>
        </w:rPr>
        <w:t>ESPS Manuscript NO: 29708</w:t>
      </w:r>
    </w:p>
    <w:p w:rsidR="00341958" w:rsidRPr="00705846" w:rsidRDefault="00705846">
      <w:pPr>
        <w:spacing w:line="360" w:lineRule="auto"/>
        <w:rPr>
          <w:rFonts w:ascii="Book Antiqua" w:hAnsi="Book Antiqua"/>
          <w:b/>
          <w:sz w:val="24"/>
          <w:szCs w:val="24"/>
        </w:rPr>
      </w:pPr>
      <w:r w:rsidRPr="00705846">
        <w:rPr>
          <w:rFonts w:ascii="Book Antiqua" w:hAnsi="Book Antiqua"/>
          <w:b/>
          <w:sz w:val="24"/>
          <w:szCs w:val="24"/>
        </w:rPr>
        <w:t>Manuscript Type: ORIGINAL ARTICLE</w:t>
      </w:r>
    </w:p>
    <w:p w:rsidR="00705846" w:rsidRPr="00705846" w:rsidRDefault="00705846">
      <w:pPr>
        <w:spacing w:line="360" w:lineRule="auto"/>
        <w:rPr>
          <w:rFonts w:ascii="Book Antiqua" w:hAnsi="Book Antiqua"/>
          <w:b/>
          <w:sz w:val="24"/>
          <w:szCs w:val="24"/>
        </w:rPr>
      </w:pPr>
    </w:p>
    <w:bookmarkEnd w:id="0"/>
    <w:bookmarkEnd w:id="1"/>
    <w:bookmarkEnd w:id="2"/>
    <w:p w:rsidR="00341958" w:rsidRPr="00885A2D" w:rsidRDefault="00705846" w:rsidP="00705846">
      <w:pPr>
        <w:spacing w:line="360" w:lineRule="auto"/>
        <w:ind w:right="120"/>
        <w:jc w:val="left"/>
        <w:rPr>
          <w:rFonts w:ascii="Book Antiqua" w:hAnsi="Book Antiqua" w:cs="Times New Roman"/>
          <w:b/>
          <w:bCs/>
          <w:i/>
          <w:sz w:val="24"/>
          <w:szCs w:val="24"/>
        </w:rPr>
      </w:pPr>
      <w:r w:rsidRPr="00885A2D">
        <w:rPr>
          <w:rFonts w:ascii="Book Antiqua" w:hAnsi="Book Antiqua" w:cs="Times New Roman"/>
          <w:b/>
          <w:bCs/>
          <w:i/>
          <w:sz w:val="24"/>
          <w:szCs w:val="24"/>
        </w:rPr>
        <w:t>Basic study</w:t>
      </w: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b/>
          <w:bCs/>
          <w:sz w:val="24"/>
          <w:szCs w:val="24"/>
        </w:rPr>
        <w:t>M</w:t>
      </w:r>
      <w:hyperlink r:id="rId8" w:history="1">
        <w:r w:rsidRPr="00705846">
          <w:rPr>
            <w:rFonts w:ascii="Book Antiqua" w:hAnsi="Book Antiqua" w:cs="Times New Roman"/>
            <w:b/>
            <w:bCs/>
            <w:sz w:val="24"/>
            <w:szCs w:val="24"/>
          </w:rPr>
          <w:t>itochondrial</w:t>
        </w:r>
      </w:hyperlink>
      <w:r w:rsidRPr="00705846">
        <w:rPr>
          <w:rFonts w:ascii="Book Antiqua" w:hAnsi="Book Antiqua" w:cs="Times New Roman"/>
          <w:b/>
          <w:bCs/>
          <w:sz w:val="24"/>
          <w:szCs w:val="24"/>
        </w:rPr>
        <w:t xml:space="preserve"> carnitine palmitoyl transferase-II inactivity aggravates l</w:t>
      </w:r>
      <w:r w:rsidRPr="00705846">
        <w:rPr>
          <w:rFonts w:ascii="Book Antiqua" w:eastAsia="KaiTi_GB2312" w:hAnsi="Book Antiqua" w:cs="Times New Roman"/>
          <w:b/>
          <w:bCs/>
          <w:sz w:val="24"/>
          <w:szCs w:val="24"/>
        </w:rPr>
        <w:t>ipid accumulation</w:t>
      </w:r>
      <w:r w:rsidRPr="00705846">
        <w:rPr>
          <w:rFonts w:ascii="Book Antiqua" w:hAnsi="Book Antiqua" w:cs="Times New Roman"/>
          <w:b/>
          <w:bCs/>
          <w:sz w:val="24"/>
          <w:szCs w:val="24"/>
        </w:rPr>
        <w:t xml:space="preserve"> in rat hepatocarcinogenesis</w:t>
      </w:r>
    </w:p>
    <w:p w:rsidR="00341958" w:rsidRPr="00705846" w:rsidRDefault="00341958">
      <w:pPr>
        <w:spacing w:line="360" w:lineRule="auto"/>
        <w:rPr>
          <w:rFonts w:ascii="Book Antiqua" w:eastAsia="楷体" w:hAnsi="Book Antiqua" w:cs="Times New Roman"/>
          <w:color w:val="000000"/>
          <w:sz w:val="24"/>
          <w:szCs w:val="24"/>
        </w:rPr>
      </w:pPr>
    </w:p>
    <w:p w:rsidR="00341958" w:rsidRPr="00705846" w:rsidRDefault="00705846">
      <w:pPr>
        <w:spacing w:line="360" w:lineRule="auto"/>
        <w:rPr>
          <w:rFonts w:ascii="Book Antiqua" w:eastAsia="楷体" w:hAnsi="Book Antiqua" w:cs="Times New Roman"/>
          <w:bCs/>
          <w:color w:val="000000"/>
          <w:sz w:val="24"/>
          <w:szCs w:val="24"/>
          <w:lang w:val="nl-NL"/>
        </w:rPr>
      </w:pPr>
      <w:r w:rsidRPr="00705846">
        <w:rPr>
          <w:rFonts w:ascii="Book Antiqua" w:eastAsia="楷体" w:hAnsi="Book Antiqua" w:cs="Times New Roman"/>
          <w:bCs/>
          <w:color w:val="000000"/>
          <w:sz w:val="24"/>
          <w:szCs w:val="24"/>
          <w:lang w:val="nl-NL"/>
        </w:rPr>
        <w:t xml:space="preserve">Gu JJ </w:t>
      </w:r>
      <w:r w:rsidRPr="00705846">
        <w:rPr>
          <w:rFonts w:ascii="Book Antiqua" w:eastAsia="楷体" w:hAnsi="Book Antiqua" w:cs="Times New Roman"/>
          <w:bCs/>
          <w:i/>
          <w:color w:val="000000"/>
          <w:sz w:val="24"/>
          <w:szCs w:val="24"/>
          <w:lang w:val="nl-NL"/>
        </w:rPr>
        <w:t>et al</w:t>
      </w:r>
      <w:r w:rsidRPr="00705846">
        <w:rPr>
          <w:rFonts w:ascii="Book Antiqua" w:eastAsia="楷体" w:hAnsi="Book Antiqua" w:cs="Times New Roman"/>
          <w:bCs/>
          <w:color w:val="000000"/>
          <w:sz w:val="24"/>
          <w:szCs w:val="24"/>
          <w:lang w:val="nl-NL"/>
        </w:rPr>
        <w:t>. CPT-II in NAFLD</w:t>
      </w:r>
    </w:p>
    <w:p w:rsidR="00341958" w:rsidRPr="00705846" w:rsidRDefault="00341958">
      <w:pPr>
        <w:spacing w:line="360" w:lineRule="auto"/>
        <w:rPr>
          <w:rFonts w:ascii="Book Antiqua" w:eastAsia="楷体" w:hAnsi="Book Antiqua" w:cs="Times New Roman"/>
          <w:b/>
          <w:bCs/>
          <w:sz w:val="24"/>
          <w:szCs w:val="24"/>
          <w:lang w:val="nl-NL"/>
        </w:rPr>
      </w:pPr>
    </w:p>
    <w:p w:rsidR="00341958" w:rsidRPr="00705846" w:rsidRDefault="00705846">
      <w:pPr>
        <w:spacing w:line="360" w:lineRule="auto"/>
        <w:rPr>
          <w:rFonts w:ascii="Book Antiqua" w:eastAsia="KaiTi_GB2312" w:hAnsi="Book Antiqua" w:cs="Times New Roman"/>
          <w:bCs/>
          <w:sz w:val="24"/>
          <w:szCs w:val="24"/>
          <w:lang w:val="nl-NL"/>
        </w:rPr>
      </w:pPr>
      <w:r w:rsidRPr="00705846">
        <w:rPr>
          <w:rFonts w:ascii="Book Antiqua" w:eastAsia="楷体" w:hAnsi="Book Antiqua" w:cs="Times New Roman"/>
          <w:bCs/>
          <w:sz w:val="24"/>
          <w:szCs w:val="24"/>
          <w:lang w:val="nl-NL"/>
        </w:rPr>
        <w:t xml:space="preserve">Juan-Juan Gu, </w:t>
      </w:r>
      <w:r w:rsidRPr="00705846">
        <w:rPr>
          <w:rFonts w:ascii="Book Antiqua" w:eastAsia="KaiTi_GB2312" w:hAnsi="Book Antiqua" w:cs="Times New Roman"/>
          <w:bCs/>
          <w:sz w:val="24"/>
          <w:szCs w:val="24"/>
          <w:lang w:val="da-DK"/>
        </w:rPr>
        <w:t xml:space="preserve">Min Yao, </w:t>
      </w:r>
      <w:r w:rsidRPr="00705846">
        <w:rPr>
          <w:rFonts w:ascii="Book Antiqua" w:eastAsia="KaiTi_GB2312" w:hAnsi="Book Antiqua" w:cs="Times New Roman"/>
          <w:bCs/>
          <w:sz w:val="24"/>
          <w:szCs w:val="24"/>
        </w:rPr>
        <w:t xml:space="preserve">Jie Yang, </w:t>
      </w:r>
      <w:r w:rsidRPr="00705846">
        <w:rPr>
          <w:rFonts w:ascii="Book Antiqua" w:eastAsia="楷体" w:hAnsi="Book Antiqua" w:cs="Times New Roman"/>
          <w:bCs/>
          <w:sz w:val="24"/>
          <w:szCs w:val="24"/>
          <w:lang w:val="nl-NL"/>
        </w:rPr>
        <w:t>Yin Cai</w:t>
      </w:r>
      <w:r w:rsidRPr="00705846">
        <w:rPr>
          <w:rFonts w:ascii="Book Antiqua" w:eastAsia="KaiTi_GB2312" w:hAnsi="Book Antiqua" w:cs="Times New Roman"/>
          <w:bCs/>
          <w:sz w:val="24"/>
          <w:szCs w:val="24"/>
          <w:lang w:val="nl-NL"/>
        </w:rPr>
        <w:t xml:space="preserve">, </w:t>
      </w:r>
      <w:r w:rsidRPr="00705846">
        <w:rPr>
          <w:rFonts w:ascii="Book Antiqua" w:eastAsia="KaiTi_GB2312" w:hAnsi="Book Antiqua" w:cs="Times New Roman"/>
          <w:bCs/>
          <w:sz w:val="24"/>
          <w:szCs w:val="24"/>
        </w:rPr>
        <w:t xml:space="preserve">Wen-Ji Zheng, </w:t>
      </w:r>
      <w:r w:rsidRPr="00705846">
        <w:rPr>
          <w:rFonts w:ascii="Book Antiqua" w:eastAsia="KaiTi_GB2312" w:hAnsi="Book Antiqua" w:cs="Times New Roman"/>
          <w:bCs/>
          <w:sz w:val="24"/>
          <w:szCs w:val="24"/>
          <w:lang w:val="da-DK"/>
        </w:rPr>
        <w:t>Li Wang,</w:t>
      </w:r>
      <w:r w:rsidRPr="00705846">
        <w:rPr>
          <w:rFonts w:ascii="Book Antiqua" w:eastAsia="KaiTi_GB2312" w:hAnsi="Book Antiqua" w:cs="Times New Roman"/>
          <w:bCs/>
          <w:sz w:val="24"/>
          <w:szCs w:val="24"/>
          <w:lang w:val="nl-NL"/>
        </w:rPr>
        <w:t xml:space="preserve"> Deng-Bing Yao, Deng-Fu Yao</w:t>
      </w:r>
    </w:p>
    <w:p w:rsidR="00341958" w:rsidRPr="00705846" w:rsidRDefault="00341958">
      <w:pPr>
        <w:spacing w:line="360" w:lineRule="auto"/>
        <w:ind w:left="118" w:hangingChars="49" w:hanging="118"/>
        <w:rPr>
          <w:rFonts w:ascii="Book Antiqua" w:eastAsia="KaiTi_GB2312" w:hAnsi="Book Antiqua" w:cs="Times New Roman"/>
          <w:b/>
          <w:bCs/>
          <w:sz w:val="24"/>
          <w:szCs w:val="24"/>
          <w:vertAlign w:val="superscript"/>
          <w:lang w:val="nl-NL"/>
        </w:rPr>
      </w:pP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b/>
          <w:bCs/>
          <w:sz w:val="24"/>
          <w:szCs w:val="24"/>
        </w:rPr>
        <w:t>Juan-Juan Gu, Wen-Ji Zheng, Deng-Fu Yao</w:t>
      </w:r>
      <w:r w:rsidRPr="00705846">
        <w:rPr>
          <w:rFonts w:ascii="Book Antiqua" w:hAnsi="Book Antiqua" w:cs="Times New Roman"/>
          <w:sz w:val="24"/>
          <w:szCs w:val="24"/>
        </w:rPr>
        <w:t>, Research Center of Clinical Medicine, Affiliated Hospital of Nantong University, Nantong 226001, Jiangsu Province, China</w:t>
      </w:r>
    </w:p>
    <w:p w:rsidR="00705846" w:rsidRPr="00705846" w:rsidRDefault="00705846">
      <w:pPr>
        <w:spacing w:line="360" w:lineRule="auto"/>
        <w:rPr>
          <w:rFonts w:ascii="Book Antiqua" w:hAnsi="Book Antiqua" w:cs="Times New Roman"/>
          <w:sz w:val="24"/>
          <w:szCs w:val="24"/>
        </w:rPr>
      </w:pP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b/>
          <w:bCs/>
          <w:color w:val="000000"/>
          <w:sz w:val="24"/>
          <w:szCs w:val="24"/>
        </w:rPr>
        <w:t>Min Yao</w:t>
      </w:r>
      <w:r w:rsidRPr="00705846">
        <w:rPr>
          <w:rFonts w:ascii="Book Antiqua" w:hAnsi="Book Antiqua" w:cs="Times New Roman"/>
          <w:color w:val="000000"/>
          <w:kern w:val="0"/>
          <w:sz w:val="24"/>
          <w:szCs w:val="24"/>
        </w:rPr>
        <w:t xml:space="preserve">, Departments of Immunology, Medical College of Nantong University, </w:t>
      </w:r>
      <w:r w:rsidRPr="00705846">
        <w:rPr>
          <w:rFonts w:ascii="Book Antiqua" w:hAnsi="Book Antiqua" w:cs="Times New Roman"/>
          <w:sz w:val="24"/>
          <w:szCs w:val="24"/>
        </w:rPr>
        <w:t>Nantong 226001, Jiangsu Province, China</w:t>
      </w:r>
    </w:p>
    <w:p w:rsidR="00705846" w:rsidRPr="00705846" w:rsidRDefault="00705846">
      <w:pPr>
        <w:spacing w:line="360" w:lineRule="auto"/>
        <w:rPr>
          <w:rFonts w:ascii="Book Antiqua" w:hAnsi="Book Antiqua" w:cs="Times New Roman"/>
          <w:sz w:val="24"/>
          <w:szCs w:val="24"/>
        </w:rPr>
      </w:pP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b/>
          <w:bCs/>
          <w:sz w:val="24"/>
          <w:szCs w:val="24"/>
        </w:rPr>
        <w:t xml:space="preserve">Jie Yang, </w:t>
      </w:r>
      <w:r w:rsidRPr="00705846">
        <w:rPr>
          <w:rFonts w:ascii="Book Antiqua" w:hAnsi="Book Antiqua" w:cs="Times New Roman"/>
          <w:sz w:val="24"/>
          <w:szCs w:val="24"/>
        </w:rPr>
        <w:t>Pharmacy</w:t>
      </w:r>
      <w:r w:rsidRPr="00705846">
        <w:rPr>
          <w:rFonts w:ascii="Book Antiqua" w:hAnsi="Book Antiqua" w:cs="Times New Roman"/>
          <w:b/>
          <w:bCs/>
          <w:sz w:val="24"/>
          <w:szCs w:val="24"/>
        </w:rPr>
        <w:t xml:space="preserve"> </w:t>
      </w:r>
      <w:r w:rsidRPr="00705846">
        <w:rPr>
          <w:rFonts w:ascii="Book Antiqua" w:hAnsi="Book Antiqua" w:cs="Times New Roman"/>
          <w:color w:val="000000"/>
          <w:kern w:val="0"/>
          <w:sz w:val="24"/>
          <w:szCs w:val="24"/>
        </w:rPr>
        <w:t xml:space="preserve">College of Nantong University, </w:t>
      </w:r>
      <w:r w:rsidRPr="00705846">
        <w:rPr>
          <w:rFonts w:ascii="Book Antiqua" w:hAnsi="Book Antiqua" w:cs="Times New Roman"/>
          <w:sz w:val="24"/>
          <w:szCs w:val="24"/>
        </w:rPr>
        <w:t>Nantong 226001, Jiangsu Province, China</w:t>
      </w:r>
    </w:p>
    <w:p w:rsidR="00705846" w:rsidRPr="00705846" w:rsidRDefault="00705846">
      <w:pPr>
        <w:spacing w:line="360" w:lineRule="auto"/>
        <w:rPr>
          <w:rFonts w:ascii="Book Antiqua" w:hAnsi="Book Antiqua" w:cs="Times New Roman"/>
          <w:sz w:val="24"/>
          <w:szCs w:val="24"/>
        </w:rPr>
      </w:pP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b/>
          <w:bCs/>
          <w:color w:val="000000"/>
          <w:sz w:val="24"/>
          <w:szCs w:val="24"/>
        </w:rPr>
        <w:t>Li Wang,</w:t>
      </w:r>
      <w:r w:rsidRPr="00705846">
        <w:rPr>
          <w:rFonts w:ascii="Book Antiqua" w:hAnsi="Book Antiqua" w:cs="Times New Roman"/>
          <w:color w:val="000000"/>
          <w:kern w:val="0"/>
          <w:sz w:val="24"/>
          <w:szCs w:val="24"/>
        </w:rPr>
        <w:t xml:space="preserve"> Department of Medical Informatics, Medical College of Nantong University, </w:t>
      </w:r>
      <w:r w:rsidRPr="00705846">
        <w:rPr>
          <w:rFonts w:ascii="Book Antiqua" w:hAnsi="Book Antiqua" w:cs="Times New Roman"/>
          <w:sz w:val="24"/>
          <w:szCs w:val="24"/>
        </w:rPr>
        <w:t>Nantong 226001, Jiangsu Province, China</w:t>
      </w:r>
    </w:p>
    <w:p w:rsidR="00705846" w:rsidRPr="00705846" w:rsidRDefault="00705846">
      <w:pPr>
        <w:spacing w:line="360" w:lineRule="auto"/>
        <w:rPr>
          <w:rFonts w:ascii="Book Antiqua" w:hAnsi="Book Antiqua" w:cs="Times New Roman"/>
          <w:sz w:val="24"/>
          <w:szCs w:val="24"/>
        </w:rPr>
      </w:pP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b/>
          <w:bCs/>
          <w:color w:val="000000"/>
          <w:sz w:val="24"/>
          <w:szCs w:val="24"/>
        </w:rPr>
        <w:t xml:space="preserve">Deng-Bing Yao, </w:t>
      </w:r>
      <w:r w:rsidRPr="00705846">
        <w:rPr>
          <w:rFonts w:ascii="Book Antiqua" w:hAnsi="Book Antiqua" w:cs="Times New Roman"/>
          <w:color w:val="000000"/>
          <w:kern w:val="0"/>
          <w:sz w:val="24"/>
          <w:szCs w:val="24"/>
        </w:rPr>
        <w:t xml:space="preserve">Departments of Biochemistry, School of Life Science, Nantong University, </w:t>
      </w:r>
      <w:r w:rsidRPr="00705846">
        <w:rPr>
          <w:rFonts w:ascii="Book Antiqua" w:hAnsi="Book Antiqua" w:cs="Times New Roman"/>
          <w:sz w:val="24"/>
          <w:szCs w:val="24"/>
        </w:rPr>
        <w:t>Nantong 226001, Jiangsu Province, China</w:t>
      </w:r>
    </w:p>
    <w:p w:rsidR="00705846" w:rsidRPr="00705846" w:rsidRDefault="00705846">
      <w:pPr>
        <w:spacing w:line="360" w:lineRule="auto"/>
        <w:rPr>
          <w:rFonts w:ascii="Book Antiqua" w:hAnsi="Book Antiqua" w:cs="Times New Roman"/>
          <w:sz w:val="24"/>
          <w:szCs w:val="24"/>
        </w:rPr>
      </w:pP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b/>
          <w:bCs/>
          <w:color w:val="000000"/>
          <w:sz w:val="24"/>
          <w:szCs w:val="24"/>
        </w:rPr>
        <w:t>Yin Cai,</w:t>
      </w:r>
      <w:r w:rsidRPr="00705846">
        <w:rPr>
          <w:rFonts w:ascii="Book Antiqua" w:hAnsi="Book Antiqua" w:cs="Times New Roman"/>
          <w:color w:val="000000"/>
          <w:kern w:val="0"/>
          <w:sz w:val="24"/>
          <w:szCs w:val="24"/>
        </w:rPr>
        <w:t xml:space="preserve"> Department of Oncology, Affiliated Hospital of Nantong University, </w:t>
      </w:r>
      <w:r w:rsidRPr="00705846">
        <w:rPr>
          <w:rFonts w:ascii="Book Antiqua" w:hAnsi="Book Antiqua" w:cs="Times New Roman"/>
          <w:sz w:val="24"/>
          <w:szCs w:val="24"/>
        </w:rPr>
        <w:lastRenderedPageBreak/>
        <w:t>Nantong 226001, Jiangsu Province, China</w:t>
      </w:r>
    </w:p>
    <w:p w:rsidR="00341958" w:rsidRPr="00705846" w:rsidRDefault="00341958">
      <w:pPr>
        <w:spacing w:line="360" w:lineRule="auto"/>
        <w:rPr>
          <w:rFonts w:ascii="Book Antiqua" w:hAnsi="Book Antiqua" w:cs="Times New Roman"/>
          <w:sz w:val="24"/>
          <w:szCs w:val="24"/>
        </w:rPr>
      </w:pPr>
    </w:p>
    <w:p w:rsidR="00341958" w:rsidRPr="00705846" w:rsidRDefault="00705846">
      <w:pPr>
        <w:spacing w:line="360" w:lineRule="auto"/>
        <w:rPr>
          <w:rStyle w:val="A2"/>
          <w:rFonts w:ascii="Book Antiqua" w:hAnsi="Book Antiqua" w:cs="Times New Roman"/>
          <w:sz w:val="24"/>
          <w:szCs w:val="24"/>
        </w:rPr>
      </w:pPr>
      <w:r w:rsidRPr="00705846">
        <w:rPr>
          <w:rFonts w:ascii="Book Antiqua" w:hAnsi="Book Antiqua" w:cs="Times New Roman"/>
          <w:b/>
          <w:bCs/>
          <w:sz w:val="24"/>
          <w:szCs w:val="24"/>
        </w:rPr>
        <w:t xml:space="preserve">Author contributions: </w:t>
      </w:r>
      <w:r w:rsidRPr="00705846">
        <w:rPr>
          <w:rFonts w:ascii="Book Antiqua" w:hAnsi="Book Antiqua" w:cs="Times New Roman"/>
          <w:color w:val="000000"/>
          <w:kern w:val="0"/>
          <w:sz w:val="24"/>
          <w:szCs w:val="24"/>
        </w:rPr>
        <w:t xml:space="preserve">Gu </w:t>
      </w:r>
      <w:r w:rsidRPr="00705846">
        <w:rPr>
          <w:rStyle w:val="A2"/>
          <w:rFonts w:ascii="Book Antiqua" w:hAnsi="Book Antiqua" w:cs="Times New Roman"/>
          <w:sz w:val="24"/>
          <w:szCs w:val="24"/>
        </w:rPr>
        <w:t>JJ, Yao M, and Zheng WJ contributed equally to this work; Yao M, Gu JJ, and Wang L designed and performed the research; Cai Y, Yang J, and Yao DB contributed new reagents/analytic tools; Wang L, Zheng WJ, and Yao M analyzed the data; Gu JJ and Yao DF wrote the paper</w:t>
      </w:r>
      <w:r w:rsidRPr="00705846">
        <w:rPr>
          <w:rFonts w:ascii="Book Antiqua" w:hAnsi="Book Antiqua" w:cs="Times New Roman"/>
          <w:color w:val="000000"/>
          <w:kern w:val="0"/>
          <w:sz w:val="24"/>
          <w:szCs w:val="24"/>
        </w:rPr>
        <w:t xml:space="preserve">; </w:t>
      </w:r>
      <w:r w:rsidRPr="00705846">
        <w:rPr>
          <w:rStyle w:val="A2"/>
          <w:rFonts w:ascii="Book Antiqua" w:hAnsi="Book Antiqua" w:cs="Times New Roman"/>
          <w:sz w:val="24"/>
          <w:szCs w:val="24"/>
        </w:rPr>
        <w:t>Yao DF is the guarantor</w:t>
      </w:r>
      <w:r w:rsidR="00572FF7">
        <w:rPr>
          <w:rStyle w:val="A2"/>
          <w:rFonts w:ascii="Book Antiqua" w:hAnsi="Book Antiqua" w:cs="Times New Roman" w:hint="eastAsia"/>
          <w:sz w:val="24"/>
          <w:szCs w:val="24"/>
        </w:rPr>
        <w:t xml:space="preserve">; </w:t>
      </w:r>
      <w:r w:rsidR="00572FF7" w:rsidRPr="00705846">
        <w:rPr>
          <w:rStyle w:val="A2"/>
          <w:rFonts w:ascii="Book Antiqua" w:hAnsi="Book Antiqua" w:cs="Times New Roman"/>
          <w:sz w:val="24"/>
          <w:szCs w:val="24"/>
        </w:rPr>
        <w:t xml:space="preserve">all </w:t>
      </w:r>
      <w:r w:rsidRPr="00705846">
        <w:rPr>
          <w:rStyle w:val="A2"/>
          <w:rFonts w:ascii="Book Antiqua" w:hAnsi="Book Antiqua" w:cs="Times New Roman"/>
          <w:sz w:val="24"/>
          <w:szCs w:val="24"/>
        </w:rPr>
        <w:t>authors have read and approved the final version to be published.</w:t>
      </w:r>
    </w:p>
    <w:p w:rsidR="00341958" w:rsidRPr="00705846" w:rsidRDefault="00341958">
      <w:pPr>
        <w:spacing w:line="360" w:lineRule="auto"/>
        <w:rPr>
          <w:rFonts w:ascii="Book Antiqua" w:eastAsia="AdvTimes" w:hAnsi="Book Antiqua" w:cs="Times New Roman"/>
          <w:b/>
          <w:bCs/>
          <w:sz w:val="24"/>
          <w:szCs w:val="24"/>
        </w:rPr>
      </w:pPr>
    </w:p>
    <w:p w:rsidR="00341958" w:rsidRPr="00705846" w:rsidRDefault="00705846">
      <w:pPr>
        <w:spacing w:line="360" w:lineRule="auto"/>
        <w:rPr>
          <w:rFonts w:ascii="Book Antiqua" w:hAnsi="Book Antiqua" w:cs="Times New Roman"/>
          <w:kern w:val="0"/>
          <w:sz w:val="24"/>
          <w:szCs w:val="24"/>
        </w:rPr>
      </w:pPr>
      <w:bookmarkStart w:id="10" w:name="OLE_LINK330"/>
      <w:bookmarkStart w:id="11" w:name="OLE_LINK331"/>
      <w:r w:rsidRPr="00705846">
        <w:rPr>
          <w:rFonts w:ascii="Book Antiqua" w:hAnsi="Book Antiqua"/>
          <w:b/>
          <w:sz w:val="24"/>
          <w:szCs w:val="24"/>
        </w:rPr>
        <w:t>Supported by</w:t>
      </w:r>
      <w:bookmarkEnd w:id="10"/>
      <w:bookmarkEnd w:id="11"/>
      <w:r w:rsidRPr="00705846">
        <w:rPr>
          <w:rFonts w:ascii="Book Antiqua" w:hAnsi="Book Antiqua" w:cs="Times New Roman"/>
          <w:kern w:val="0"/>
          <w:sz w:val="24"/>
          <w:szCs w:val="24"/>
        </w:rPr>
        <w:t xml:space="preserve"> the </w:t>
      </w:r>
      <w:r w:rsidRPr="00705846">
        <w:rPr>
          <w:rFonts w:ascii="Book Antiqua" w:eastAsia="KaiTi_GB2312" w:hAnsi="Book Antiqua" w:cs="Times New Roman"/>
          <w:color w:val="000000"/>
          <w:sz w:val="24"/>
          <w:szCs w:val="24"/>
        </w:rPr>
        <w:t>National Natural Science Foundation</w:t>
      </w:r>
      <w:r w:rsidRPr="00705846">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No</w:t>
      </w:r>
      <w:r w:rsidRPr="00705846">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sz w:val="24"/>
          <w:szCs w:val="24"/>
        </w:rPr>
        <w:t xml:space="preserve">81673241, </w:t>
      </w:r>
      <w:r w:rsidRPr="00705846">
        <w:rPr>
          <w:rFonts w:ascii="Book Antiqua" w:eastAsia="KaiTi_GB2312" w:hAnsi="Book Antiqua" w:cs="Times New Roman"/>
          <w:color w:val="000000"/>
          <w:sz w:val="24"/>
          <w:szCs w:val="24"/>
        </w:rPr>
        <w:t>No</w:t>
      </w:r>
      <w:r w:rsidRPr="00705846">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81200634, No</w:t>
      </w:r>
      <w:r w:rsidRPr="00705846">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81370982; the program of Jiangsu Key Research Plan No</w:t>
      </w:r>
      <w:r w:rsidRPr="00705846">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kern w:val="0"/>
          <w:sz w:val="24"/>
          <w:szCs w:val="24"/>
        </w:rPr>
        <w:t>BE2016698</w:t>
      </w:r>
      <w:r w:rsidRPr="00705846">
        <w:rPr>
          <w:rFonts w:ascii="Book Antiqua" w:eastAsia="KaiTi_GB2312" w:hAnsi="Book Antiqua" w:cs="Times New Roman" w:hint="eastAsia"/>
          <w:color w:val="000000"/>
          <w:kern w:val="0"/>
          <w:sz w:val="24"/>
          <w:szCs w:val="24"/>
        </w:rPr>
        <w:t>;</w:t>
      </w:r>
      <w:r w:rsidRPr="00705846">
        <w:rPr>
          <w:rFonts w:ascii="Book Antiqua" w:eastAsia="KaiTi_GB2312" w:hAnsi="Book Antiqua" w:cs="Times New Roman"/>
          <w:color w:val="000000"/>
          <w:kern w:val="0"/>
          <w:sz w:val="24"/>
          <w:szCs w:val="24"/>
        </w:rPr>
        <w:t xml:space="preserve"> </w:t>
      </w:r>
      <w:r w:rsidRPr="00705846">
        <w:rPr>
          <w:rFonts w:ascii="Book Antiqua" w:hAnsi="Book Antiqua" w:cs="Times New Roman"/>
          <w:kern w:val="0"/>
          <w:sz w:val="24"/>
          <w:szCs w:val="24"/>
        </w:rPr>
        <w:t xml:space="preserve">and the </w:t>
      </w:r>
      <w:r w:rsidRPr="00705846">
        <w:rPr>
          <w:rFonts w:ascii="Book Antiqua" w:eastAsia="KaiTi_GB2312" w:hAnsi="Book Antiqua" w:cs="Times New Roman"/>
          <w:sz w:val="24"/>
          <w:szCs w:val="24"/>
        </w:rPr>
        <w:t>International Science</w:t>
      </w:r>
      <w:r w:rsidRPr="00705846">
        <w:rPr>
          <w:rFonts w:ascii="Book Antiqua" w:eastAsia="KaiTi_GB2312" w:hAnsi="Book Antiqua" w:cs="Times New Roman" w:hint="eastAsia"/>
          <w:sz w:val="24"/>
          <w:szCs w:val="24"/>
        </w:rPr>
        <w:t xml:space="preserve"> and </w:t>
      </w:r>
      <w:r w:rsidRPr="00705846">
        <w:rPr>
          <w:rFonts w:ascii="Book Antiqua" w:eastAsia="KaiTi_GB2312" w:hAnsi="Book Antiqua" w:cs="Times New Roman"/>
          <w:sz w:val="24"/>
          <w:szCs w:val="24"/>
        </w:rPr>
        <w:t xml:space="preserve">Technology Cooperation Program </w:t>
      </w:r>
      <w:r w:rsidRPr="00705846">
        <w:rPr>
          <w:rFonts w:ascii="Book Antiqua" w:eastAsia="KaiTi_GB2312" w:hAnsi="Book Antiqua" w:cs="Times New Roman"/>
          <w:color w:val="000000"/>
          <w:sz w:val="24"/>
          <w:szCs w:val="24"/>
        </w:rPr>
        <w:t>No</w:t>
      </w:r>
      <w:r w:rsidRPr="00705846">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sz w:val="24"/>
          <w:szCs w:val="24"/>
        </w:rPr>
        <w:t>2013DFA32150</w:t>
      </w:r>
      <w:r w:rsidRPr="00705846">
        <w:rPr>
          <w:rFonts w:ascii="Book Antiqua" w:hAnsi="Book Antiqua" w:cs="Times New Roman" w:hint="eastAsia"/>
          <w:kern w:val="0"/>
          <w:sz w:val="24"/>
          <w:szCs w:val="24"/>
        </w:rPr>
        <w:t xml:space="preserve"> </w:t>
      </w:r>
      <w:r w:rsidRPr="00705846">
        <w:rPr>
          <w:rFonts w:ascii="Book Antiqua" w:eastAsia="KaiTi_GB2312" w:hAnsi="Book Antiqua" w:cs="Times New Roman"/>
          <w:sz w:val="24"/>
          <w:szCs w:val="24"/>
        </w:rPr>
        <w:t xml:space="preserve">of </w:t>
      </w:r>
      <w:r w:rsidRPr="00705846">
        <w:rPr>
          <w:rFonts w:ascii="Book Antiqua" w:hAnsi="Book Antiqua" w:cs="Times New Roman"/>
          <w:kern w:val="0"/>
          <w:sz w:val="24"/>
          <w:szCs w:val="24"/>
        </w:rPr>
        <w:t>China</w:t>
      </w:r>
      <w:r w:rsidRPr="00705846">
        <w:rPr>
          <w:rFonts w:ascii="Book Antiqua" w:hAnsi="Book Antiqua" w:cs="Times New Roman" w:hint="eastAsia"/>
          <w:kern w:val="0"/>
          <w:sz w:val="24"/>
          <w:szCs w:val="24"/>
        </w:rPr>
        <w:t>.</w:t>
      </w:r>
    </w:p>
    <w:p w:rsidR="00341958" w:rsidRPr="00705846" w:rsidRDefault="00341958">
      <w:pPr>
        <w:spacing w:line="360" w:lineRule="auto"/>
        <w:rPr>
          <w:rFonts w:ascii="Book Antiqua" w:hAnsi="Book Antiqua" w:cs="Times New Roman"/>
          <w:kern w:val="0"/>
          <w:sz w:val="24"/>
          <w:szCs w:val="24"/>
        </w:rPr>
      </w:pPr>
    </w:p>
    <w:p w:rsidR="00341958" w:rsidRPr="00705846" w:rsidRDefault="00705846">
      <w:pPr>
        <w:spacing w:line="360" w:lineRule="auto"/>
        <w:rPr>
          <w:rFonts w:ascii="Book Antiqua" w:hAnsi="Book Antiqua" w:cs="Times New Roman"/>
          <w:color w:val="000000"/>
          <w:kern w:val="0"/>
          <w:sz w:val="24"/>
          <w:szCs w:val="24"/>
        </w:rPr>
      </w:pPr>
      <w:r w:rsidRPr="00705846">
        <w:rPr>
          <w:rFonts w:ascii="Book Antiqua" w:hAnsi="Book Antiqua" w:cs="Times New Roman"/>
          <w:b/>
          <w:bCs/>
          <w:color w:val="000000"/>
          <w:kern w:val="0"/>
          <w:sz w:val="24"/>
          <w:szCs w:val="24"/>
        </w:rPr>
        <w:t xml:space="preserve">Institutional review board statement: </w:t>
      </w:r>
      <w:r w:rsidRPr="00705846">
        <w:rPr>
          <w:rFonts w:ascii="Book Antiqua" w:hAnsi="Book Antiqua" w:cs="Times New Roman"/>
          <w:color w:val="000000"/>
          <w:kern w:val="0"/>
          <w:sz w:val="24"/>
          <w:szCs w:val="24"/>
        </w:rPr>
        <w:t>The study was reviewed and approved by the Affiliated Hospital of Nantong University, China.</w:t>
      </w:r>
    </w:p>
    <w:p w:rsidR="00341958" w:rsidRPr="00705846" w:rsidRDefault="00341958">
      <w:pPr>
        <w:spacing w:line="360" w:lineRule="auto"/>
        <w:rPr>
          <w:rFonts w:ascii="Book Antiqua" w:hAnsi="Book Antiqua" w:cs="Times New Roman"/>
          <w:b/>
          <w:bCs/>
          <w:color w:val="000000"/>
          <w:kern w:val="0"/>
          <w:sz w:val="24"/>
          <w:szCs w:val="24"/>
        </w:rPr>
      </w:pPr>
    </w:p>
    <w:p w:rsidR="00341958" w:rsidRPr="00705846" w:rsidRDefault="00705846">
      <w:pPr>
        <w:spacing w:line="360" w:lineRule="auto"/>
        <w:rPr>
          <w:rFonts w:ascii="Book Antiqua" w:hAnsi="Book Antiqua" w:cs="Times New Roman"/>
          <w:color w:val="000000"/>
          <w:kern w:val="0"/>
          <w:sz w:val="24"/>
          <w:szCs w:val="24"/>
        </w:rPr>
      </w:pPr>
      <w:r w:rsidRPr="00705846">
        <w:rPr>
          <w:rFonts w:ascii="Book Antiqua" w:hAnsi="Book Antiqua" w:cs="Times New Roman"/>
          <w:b/>
          <w:bCs/>
          <w:color w:val="000000"/>
          <w:kern w:val="0"/>
          <w:sz w:val="24"/>
          <w:szCs w:val="24"/>
        </w:rPr>
        <w:t xml:space="preserve">Institutional animal care and use committee statement: </w:t>
      </w:r>
      <w:r w:rsidRPr="00705846">
        <w:rPr>
          <w:rFonts w:ascii="Book Antiqua" w:hAnsi="Book Antiqua" w:cs="Times New Roman"/>
          <w:color w:val="000000"/>
          <w:kern w:val="0"/>
          <w:sz w:val="24"/>
          <w:szCs w:val="24"/>
        </w:rPr>
        <w:t>The study was reviewed and approved by Nantong University, China.</w:t>
      </w:r>
    </w:p>
    <w:p w:rsidR="00341958" w:rsidRPr="00705846" w:rsidRDefault="00341958">
      <w:pPr>
        <w:spacing w:line="360" w:lineRule="auto"/>
        <w:rPr>
          <w:rFonts w:ascii="Book Antiqua" w:hAnsi="Book Antiqua" w:cs="Times New Roman"/>
          <w:b/>
          <w:bCs/>
          <w:color w:val="000000"/>
          <w:kern w:val="0"/>
          <w:sz w:val="24"/>
          <w:szCs w:val="24"/>
        </w:rPr>
      </w:pPr>
    </w:p>
    <w:p w:rsidR="00341958" w:rsidRPr="00705846" w:rsidRDefault="00705846">
      <w:pPr>
        <w:spacing w:line="360" w:lineRule="auto"/>
        <w:rPr>
          <w:rFonts w:ascii="Book Antiqua" w:hAnsi="Book Antiqua" w:cs="Times New Roman"/>
          <w:color w:val="000000"/>
          <w:kern w:val="0"/>
          <w:sz w:val="24"/>
          <w:szCs w:val="24"/>
        </w:rPr>
      </w:pPr>
      <w:r w:rsidRPr="00705846">
        <w:rPr>
          <w:rFonts w:ascii="Book Antiqua" w:hAnsi="Book Antiqua" w:cs="Times New Roman"/>
          <w:b/>
          <w:bCs/>
          <w:color w:val="000000"/>
          <w:kern w:val="0"/>
          <w:sz w:val="24"/>
          <w:szCs w:val="24"/>
        </w:rPr>
        <w:t>Conflict-of-interest statement:</w:t>
      </w:r>
      <w:r w:rsidRPr="00705846">
        <w:rPr>
          <w:rFonts w:ascii="Book Antiqua" w:hAnsi="Book Antiqua" w:cs="Times New Roman"/>
          <w:color w:val="000000"/>
          <w:kern w:val="0"/>
          <w:sz w:val="24"/>
          <w:szCs w:val="24"/>
        </w:rPr>
        <w:t xml:space="preserve"> No </w:t>
      </w:r>
      <w:r w:rsidRPr="00705846">
        <w:rPr>
          <w:rFonts w:ascii="Book Antiqua" w:hAnsi="Book Antiqua" w:cs="Times New Roman"/>
          <w:color w:val="000000"/>
          <w:sz w:val="24"/>
          <w:szCs w:val="24"/>
        </w:rPr>
        <w:t xml:space="preserve">potential </w:t>
      </w:r>
      <w:r w:rsidRPr="00705846">
        <w:rPr>
          <w:rFonts w:ascii="Book Antiqua" w:hAnsi="Book Antiqua" w:cs="Times New Roman"/>
          <w:color w:val="000000"/>
          <w:kern w:val="0"/>
          <w:sz w:val="24"/>
          <w:szCs w:val="24"/>
        </w:rPr>
        <w:t>conflict of interest.</w:t>
      </w:r>
    </w:p>
    <w:p w:rsidR="00705846" w:rsidRPr="00705846" w:rsidRDefault="00705846">
      <w:pPr>
        <w:spacing w:line="360" w:lineRule="auto"/>
        <w:rPr>
          <w:rFonts w:ascii="Book Antiqua" w:hAnsi="Book Antiqua" w:cs="Times New Roman"/>
          <w:color w:val="000000"/>
          <w:kern w:val="0"/>
          <w:sz w:val="24"/>
          <w:szCs w:val="24"/>
        </w:rPr>
      </w:pPr>
    </w:p>
    <w:p w:rsidR="00341958" w:rsidRPr="00705846" w:rsidRDefault="00705846">
      <w:pPr>
        <w:spacing w:line="360" w:lineRule="auto"/>
        <w:rPr>
          <w:rFonts w:ascii="Book Antiqua" w:hAnsi="Book Antiqua" w:cs="Times New Roman"/>
          <w:color w:val="000000"/>
          <w:kern w:val="0"/>
          <w:sz w:val="24"/>
          <w:szCs w:val="24"/>
        </w:rPr>
      </w:pPr>
      <w:r w:rsidRPr="00705846">
        <w:rPr>
          <w:rFonts w:ascii="Book Antiqua" w:hAnsi="Book Antiqua" w:cs="Times New Roman"/>
          <w:b/>
          <w:bCs/>
          <w:color w:val="000000"/>
          <w:kern w:val="0"/>
          <w:sz w:val="24"/>
          <w:szCs w:val="24"/>
        </w:rPr>
        <w:t xml:space="preserve">Data sharing statement: </w:t>
      </w:r>
      <w:r w:rsidRPr="00705846">
        <w:rPr>
          <w:rFonts w:ascii="Book Antiqua" w:hAnsi="Book Antiqua" w:cs="Times New Roman"/>
          <w:color w:val="000000"/>
          <w:kern w:val="0"/>
          <w:sz w:val="24"/>
          <w:szCs w:val="24"/>
        </w:rPr>
        <w:t>No additional data are available.</w:t>
      </w:r>
    </w:p>
    <w:p w:rsidR="00341958" w:rsidRPr="00705846" w:rsidRDefault="00341958">
      <w:pPr>
        <w:spacing w:line="360" w:lineRule="auto"/>
        <w:rPr>
          <w:rFonts w:ascii="Book Antiqua" w:hAnsi="Book Antiqua" w:cs="Times New Roman"/>
          <w:color w:val="000000"/>
          <w:kern w:val="0"/>
          <w:sz w:val="24"/>
          <w:szCs w:val="24"/>
        </w:rPr>
      </w:pPr>
    </w:p>
    <w:p w:rsidR="00341958" w:rsidRPr="00705846" w:rsidRDefault="00705846">
      <w:pPr>
        <w:spacing w:line="360" w:lineRule="auto"/>
        <w:rPr>
          <w:rFonts w:ascii="Book Antiqua" w:hAnsi="Book Antiqua" w:cs="SimSun"/>
          <w:color w:val="000000"/>
          <w:kern w:val="0"/>
          <w:sz w:val="24"/>
          <w:szCs w:val="24"/>
        </w:rPr>
      </w:pPr>
      <w:r w:rsidRPr="00705846">
        <w:rPr>
          <w:rFonts w:ascii="Book Antiqua" w:hAnsi="Book Antiqua" w:cs="Times New Roman"/>
          <w:b/>
          <w:bCs/>
          <w:color w:val="000000"/>
          <w:kern w:val="0"/>
          <w:sz w:val="24"/>
          <w:szCs w:val="24"/>
        </w:rPr>
        <w:t>Open-Access:</w:t>
      </w:r>
      <w:r w:rsidRPr="00705846">
        <w:rPr>
          <w:rFonts w:ascii="Book Antiqua" w:hAnsi="Book Antiqua" w:cs="Times New Roman"/>
          <w:color w:val="000000"/>
          <w:kern w:val="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w:t>
      </w:r>
      <w:r w:rsidRPr="00705846">
        <w:rPr>
          <w:rFonts w:ascii="Book Antiqua" w:hAnsi="Book Antiqua" w:cs="Times New Roman"/>
          <w:color w:val="000000"/>
          <w:kern w:val="0"/>
          <w:sz w:val="24"/>
          <w:szCs w:val="24"/>
        </w:rPr>
        <w:lastRenderedPageBreak/>
        <w:t xml:space="preserve">non-commercial. See: </w:t>
      </w:r>
      <w:hyperlink r:id="rId9" w:history="1">
        <w:r w:rsidRPr="00705846">
          <w:rPr>
            <w:rStyle w:val="Hyperlink"/>
            <w:rFonts w:ascii="Book Antiqua" w:hAnsi="Book Antiqua" w:cs="Times New Roman"/>
            <w:color w:val="000000"/>
            <w:kern w:val="0"/>
            <w:sz w:val="24"/>
            <w:szCs w:val="24"/>
          </w:rPr>
          <w:t>http: //creative commons. org/licenses/by-nc/4.0/</w:t>
        </w:r>
      </w:hyperlink>
      <w:r w:rsidRPr="00705846">
        <w:rPr>
          <w:rFonts w:ascii="Book Antiqua" w:hAnsi="Book Antiqua" w:cs="SimSun"/>
          <w:color w:val="000000"/>
          <w:kern w:val="0"/>
          <w:sz w:val="24"/>
          <w:szCs w:val="24"/>
        </w:rPr>
        <w:t>）</w:t>
      </w:r>
    </w:p>
    <w:p w:rsidR="00341958" w:rsidRPr="00705846" w:rsidRDefault="00341958">
      <w:pPr>
        <w:spacing w:line="360" w:lineRule="auto"/>
        <w:rPr>
          <w:rFonts w:ascii="Book Antiqua" w:hAnsi="Book Antiqua" w:cs="Times New Roman"/>
          <w:color w:val="000000"/>
          <w:kern w:val="0"/>
          <w:sz w:val="24"/>
          <w:szCs w:val="24"/>
        </w:rPr>
      </w:pPr>
    </w:p>
    <w:p w:rsidR="00341958" w:rsidRPr="00705846" w:rsidRDefault="00705846">
      <w:pPr>
        <w:spacing w:line="360" w:lineRule="auto"/>
        <w:rPr>
          <w:rFonts w:ascii="Book Antiqua" w:hAnsi="Book Antiqua" w:cs="Arial Unicode MS"/>
          <w:color w:val="000000"/>
          <w:sz w:val="24"/>
          <w:szCs w:val="24"/>
        </w:rPr>
      </w:pPr>
      <w:r w:rsidRPr="00705846">
        <w:rPr>
          <w:rFonts w:ascii="Book Antiqua" w:hAnsi="Book Antiqua" w:cs="Arial Unicode MS"/>
          <w:b/>
          <w:color w:val="000000"/>
          <w:sz w:val="24"/>
          <w:szCs w:val="24"/>
        </w:rPr>
        <w:t xml:space="preserve">Manuscript source: </w:t>
      </w:r>
      <w:r w:rsidRPr="00705846">
        <w:rPr>
          <w:rFonts w:ascii="Book Antiqua" w:hAnsi="Book Antiqua" w:cs="Arial Unicode MS"/>
          <w:color w:val="000000"/>
          <w:sz w:val="24"/>
          <w:szCs w:val="24"/>
        </w:rPr>
        <w:t>Unsolicited manuscript</w:t>
      </w:r>
    </w:p>
    <w:p w:rsidR="00341958" w:rsidRPr="00705846" w:rsidRDefault="00341958">
      <w:pPr>
        <w:spacing w:line="360" w:lineRule="auto"/>
        <w:rPr>
          <w:rFonts w:ascii="Book Antiqua" w:hAnsi="Book Antiqua" w:cs="Times New Roman"/>
          <w:color w:val="000000"/>
          <w:kern w:val="0"/>
          <w:sz w:val="24"/>
          <w:szCs w:val="24"/>
        </w:rPr>
      </w:pPr>
    </w:p>
    <w:p w:rsidR="00341958" w:rsidRPr="00705846" w:rsidRDefault="00705846">
      <w:pPr>
        <w:spacing w:line="360" w:lineRule="auto"/>
        <w:rPr>
          <w:rStyle w:val="Hyperlink"/>
          <w:rFonts w:ascii="Book Antiqua" w:hAnsi="Book Antiqua" w:cs="Times New Roman"/>
          <w:color w:val="auto"/>
          <w:sz w:val="24"/>
          <w:szCs w:val="24"/>
        </w:rPr>
      </w:pPr>
      <w:r w:rsidRPr="00705846">
        <w:rPr>
          <w:rFonts w:ascii="Book Antiqua" w:eastAsia="Minion" w:hAnsi="Book Antiqua" w:cs="Times New Roman"/>
          <w:b/>
          <w:bCs/>
          <w:color w:val="000000"/>
          <w:kern w:val="0"/>
          <w:sz w:val="24"/>
          <w:szCs w:val="24"/>
        </w:rPr>
        <w:t xml:space="preserve">Correspondence to: </w:t>
      </w:r>
      <w:r w:rsidRPr="00705846">
        <w:rPr>
          <w:rFonts w:ascii="Book Antiqua" w:hAnsi="Book Antiqua" w:cs="Times New Roman"/>
          <w:b/>
          <w:bCs/>
          <w:sz w:val="24"/>
          <w:szCs w:val="24"/>
        </w:rPr>
        <w:t>Deng-Fu Yao</w:t>
      </w:r>
      <w:r w:rsidRPr="00705846">
        <w:rPr>
          <w:rFonts w:ascii="Book Antiqua" w:eastAsia="Minion" w:hAnsi="Book Antiqua" w:cs="Times New Roman"/>
          <w:b/>
          <w:bCs/>
          <w:color w:val="000000"/>
          <w:kern w:val="0"/>
          <w:sz w:val="24"/>
          <w:szCs w:val="24"/>
        </w:rPr>
        <w:t>, MD</w:t>
      </w:r>
      <w:r w:rsidRPr="00705846">
        <w:rPr>
          <w:rFonts w:ascii="Book Antiqua" w:eastAsia="Minion" w:hAnsi="Book Antiqua" w:cs="Times New Roman" w:hint="eastAsia"/>
          <w:b/>
          <w:bCs/>
          <w:color w:val="000000"/>
          <w:kern w:val="0"/>
          <w:sz w:val="24"/>
          <w:szCs w:val="24"/>
        </w:rPr>
        <w:t xml:space="preserve">, </w:t>
      </w:r>
      <w:r w:rsidRPr="00705846">
        <w:rPr>
          <w:rFonts w:ascii="Book Antiqua" w:eastAsia="Minion" w:hAnsi="Book Antiqua" w:cs="Times New Roman"/>
          <w:b/>
          <w:bCs/>
          <w:color w:val="000000"/>
          <w:kern w:val="0"/>
          <w:sz w:val="24"/>
          <w:szCs w:val="24"/>
        </w:rPr>
        <w:t>PhD,</w:t>
      </w:r>
      <w:r w:rsidRPr="00705846">
        <w:rPr>
          <w:rFonts w:ascii="Book Antiqua" w:hAnsi="Book Antiqua" w:cs="Times New Roman"/>
          <w:b/>
          <w:bCs/>
          <w:sz w:val="24"/>
          <w:szCs w:val="24"/>
        </w:rPr>
        <w:t xml:space="preserve"> Professor</w:t>
      </w:r>
      <w:r w:rsidRPr="00705846">
        <w:rPr>
          <w:rFonts w:ascii="Book Antiqua" w:hAnsi="Book Antiqua" w:cs="Times New Roman" w:hint="eastAsia"/>
          <w:b/>
          <w:bCs/>
          <w:sz w:val="24"/>
          <w:szCs w:val="24"/>
        </w:rPr>
        <w:t>,</w:t>
      </w:r>
      <w:r w:rsidRPr="00705846">
        <w:rPr>
          <w:rFonts w:ascii="Book Antiqua" w:eastAsia="Minion" w:hAnsi="Book Antiqua" w:cs="Times New Roman"/>
          <w:b/>
          <w:bCs/>
          <w:color w:val="000000"/>
          <w:kern w:val="0"/>
          <w:sz w:val="24"/>
          <w:szCs w:val="24"/>
        </w:rPr>
        <w:t xml:space="preserve"> </w:t>
      </w:r>
      <w:r w:rsidRPr="00705846">
        <w:rPr>
          <w:rFonts w:ascii="Book Antiqua" w:hAnsi="Book Antiqua" w:cs="Times New Roman"/>
          <w:sz w:val="24"/>
          <w:szCs w:val="24"/>
        </w:rPr>
        <w:t xml:space="preserve">Research Center of Clinical Medicine, Affiliated Hospital of Nantong University, </w:t>
      </w:r>
      <w:bookmarkStart w:id="12" w:name="OLE_LINK6"/>
      <w:r w:rsidRPr="00705846">
        <w:rPr>
          <w:rFonts w:ascii="Book Antiqua" w:hAnsi="Book Antiqua" w:cs="Times New Roman"/>
          <w:sz w:val="24"/>
          <w:szCs w:val="24"/>
        </w:rPr>
        <w:t>No. 20 West Temple Road, Nantong 226001, Jiangsu Province, China</w:t>
      </w:r>
      <w:bookmarkEnd w:id="12"/>
      <w:r w:rsidRPr="00705846">
        <w:rPr>
          <w:rFonts w:ascii="Book Antiqua" w:hAnsi="Book Antiqua" w:cs="Times New Roman"/>
          <w:sz w:val="24"/>
          <w:szCs w:val="24"/>
        </w:rPr>
        <w:t xml:space="preserve">. </w:t>
      </w:r>
      <w:hyperlink r:id="rId10" w:history="1">
        <w:r w:rsidRPr="00705846">
          <w:rPr>
            <w:rStyle w:val="Hyperlink"/>
            <w:rFonts w:ascii="Book Antiqua" w:hAnsi="Book Antiqua" w:cs="Times New Roman"/>
            <w:sz w:val="24"/>
            <w:szCs w:val="24"/>
          </w:rPr>
          <w:t>yaodf@ahnmc.com</w:t>
        </w:r>
      </w:hyperlink>
      <w:r w:rsidRPr="00705846">
        <w:rPr>
          <w:rStyle w:val="Hyperlink"/>
          <w:rFonts w:ascii="Book Antiqua" w:hAnsi="Book Antiqua" w:cs="Times New Roman"/>
          <w:sz w:val="24"/>
          <w:szCs w:val="24"/>
        </w:rPr>
        <w:t xml:space="preserve"> </w:t>
      </w:r>
    </w:p>
    <w:p w:rsidR="00341958" w:rsidRPr="0094585D" w:rsidRDefault="00705846">
      <w:pPr>
        <w:spacing w:line="360" w:lineRule="auto"/>
        <w:rPr>
          <w:rFonts w:ascii="Book Antiqua" w:hAnsi="Book Antiqua" w:cs="Times New Roman"/>
          <w:color w:val="000000"/>
          <w:sz w:val="24"/>
          <w:szCs w:val="24"/>
        </w:rPr>
      </w:pPr>
      <w:r w:rsidRPr="0094585D">
        <w:rPr>
          <w:rFonts w:ascii="Book Antiqua" w:hAnsi="Book Antiqua" w:cs="Times New Roman"/>
          <w:b/>
          <w:bCs/>
          <w:color w:val="000000"/>
          <w:sz w:val="24"/>
          <w:szCs w:val="24"/>
        </w:rPr>
        <w:t>Telephone</w:t>
      </w:r>
      <w:r w:rsidRPr="0094585D">
        <w:rPr>
          <w:rFonts w:ascii="Book Antiqua" w:hAnsi="Book Antiqua" w:cs="Times New Roman"/>
          <w:color w:val="000000"/>
          <w:sz w:val="24"/>
          <w:szCs w:val="24"/>
        </w:rPr>
        <w:t>: +86-51385052297</w:t>
      </w:r>
    </w:p>
    <w:p w:rsidR="00341958" w:rsidRPr="0094585D" w:rsidRDefault="00705846">
      <w:pPr>
        <w:spacing w:line="360" w:lineRule="auto"/>
        <w:rPr>
          <w:rFonts w:ascii="Book Antiqua" w:hAnsi="Book Antiqua" w:cs="Times New Roman"/>
          <w:color w:val="000000"/>
          <w:sz w:val="24"/>
          <w:szCs w:val="24"/>
        </w:rPr>
      </w:pPr>
      <w:r w:rsidRPr="0094585D">
        <w:rPr>
          <w:rFonts w:ascii="Book Antiqua" w:hAnsi="Book Antiqua" w:cs="Times New Roman"/>
          <w:b/>
          <w:bCs/>
          <w:color w:val="000000"/>
          <w:sz w:val="24"/>
          <w:szCs w:val="24"/>
        </w:rPr>
        <w:t>Fax</w:t>
      </w:r>
      <w:r w:rsidRPr="0094585D">
        <w:rPr>
          <w:rFonts w:ascii="Book Antiqua" w:hAnsi="Book Antiqua" w:cs="Times New Roman"/>
          <w:color w:val="000000"/>
          <w:sz w:val="24"/>
          <w:szCs w:val="24"/>
        </w:rPr>
        <w:t>: +86-51385052523</w:t>
      </w:r>
    </w:p>
    <w:p w:rsidR="00341958" w:rsidRPr="00705846" w:rsidRDefault="00341958">
      <w:pPr>
        <w:spacing w:line="360" w:lineRule="auto"/>
        <w:rPr>
          <w:rFonts w:ascii="Book Antiqua" w:hAnsi="Book Antiqua" w:cs="Times New Roman"/>
          <w:sz w:val="24"/>
          <w:szCs w:val="24"/>
        </w:rPr>
      </w:pPr>
    </w:p>
    <w:p w:rsidR="00341958" w:rsidRPr="00705846" w:rsidRDefault="00705846">
      <w:pPr>
        <w:spacing w:line="360" w:lineRule="auto"/>
        <w:rPr>
          <w:rFonts w:ascii="Book Antiqua" w:hAnsi="Book Antiqua"/>
          <w:sz w:val="24"/>
          <w:szCs w:val="24"/>
        </w:rPr>
      </w:pPr>
      <w:bookmarkStart w:id="13" w:name="OLE_LINK528"/>
      <w:bookmarkStart w:id="14" w:name="OLE_LINK477"/>
      <w:bookmarkStart w:id="15" w:name="OLE_LINK476"/>
      <w:bookmarkStart w:id="16" w:name="OLE_LINK117"/>
      <w:bookmarkStart w:id="17" w:name="OLE_LINK557"/>
      <w:r w:rsidRPr="00705846">
        <w:rPr>
          <w:rFonts w:ascii="Book Antiqua" w:hAnsi="Book Antiqua"/>
          <w:b/>
          <w:sz w:val="24"/>
          <w:szCs w:val="24"/>
        </w:rPr>
        <w:t>Received:</w:t>
      </w:r>
      <w:r w:rsidRPr="00705846">
        <w:rPr>
          <w:rFonts w:ascii="Book Antiqua" w:hAnsi="Book Antiqua" w:hint="eastAsia"/>
          <w:b/>
          <w:sz w:val="24"/>
          <w:szCs w:val="24"/>
        </w:rPr>
        <w:t xml:space="preserve"> </w:t>
      </w:r>
      <w:r w:rsidRPr="00705846">
        <w:rPr>
          <w:rFonts w:ascii="Book Antiqua" w:hAnsi="Book Antiqua" w:hint="eastAsia"/>
          <w:sz w:val="24"/>
          <w:szCs w:val="24"/>
        </w:rPr>
        <w:t>August 25, 2016</w:t>
      </w:r>
    </w:p>
    <w:p w:rsidR="00341958" w:rsidRPr="00705846" w:rsidRDefault="00705846">
      <w:pPr>
        <w:spacing w:line="360" w:lineRule="auto"/>
        <w:rPr>
          <w:rFonts w:ascii="Book Antiqua" w:hAnsi="Book Antiqua"/>
          <w:sz w:val="24"/>
          <w:szCs w:val="24"/>
        </w:rPr>
      </w:pPr>
      <w:r w:rsidRPr="00705846">
        <w:rPr>
          <w:rFonts w:ascii="Book Antiqua" w:hAnsi="Book Antiqua"/>
          <w:b/>
          <w:sz w:val="24"/>
          <w:szCs w:val="24"/>
        </w:rPr>
        <w:t>Peer-review started:</w:t>
      </w:r>
      <w:r w:rsidRPr="00705846">
        <w:rPr>
          <w:rFonts w:ascii="Book Antiqua" w:hAnsi="Book Antiqua" w:hint="eastAsia"/>
          <w:b/>
          <w:sz w:val="24"/>
          <w:szCs w:val="24"/>
        </w:rPr>
        <w:t xml:space="preserve"> </w:t>
      </w:r>
      <w:r w:rsidRPr="00705846">
        <w:rPr>
          <w:rFonts w:ascii="Book Antiqua" w:hAnsi="Book Antiqua" w:hint="eastAsia"/>
          <w:sz w:val="24"/>
          <w:szCs w:val="24"/>
        </w:rPr>
        <w:t>August 28, 2016</w:t>
      </w:r>
    </w:p>
    <w:p w:rsidR="00341958" w:rsidRPr="00705846" w:rsidRDefault="00705846">
      <w:pPr>
        <w:spacing w:line="360" w:lineRule="auto"/>
        <w:rPr>
          <w:rFonts w:ascii="Book Antiqua" w:hAnsi="Book Antiqua"/>
          <w:sz w:val="24"/>
          <w:szCs w:val="24"/>
        </w:rPr>
      </w:pPr>
      <w:r w:rsidRPr="00705846">
        <w:rPr>
          <w:rFonts w:ascii="Book Antiqua" w:hAnsi="Book Antiqua"/>
          <w:b/>
          <w:sz w:val="24"/>
          <w:szCs w:val="24"/>
        </w:rPr>
        <w:t>First decision:</w:t>
      </w:r>
      <w:r w:rsidRPr="00705846">
        <w:rPr>
          <w:rFonts w:ascii="Book Antiqua" w:hAnsi="Book Antiqua" w:hint="eastAsia"/>
          <w:b/>
          <w:sz w:val="24"/>
          <w:szCs w:val="24"/>
        </w:rPr>
        <w:t xml:space="preserve"> </w:t>
      </w:r>
      <w:r w:rsidRPr="00705846">
        <w:rPr>
          <w:rFonts w:ascii="Book Antiqua" w:hAnsi="Book Antiqua" w:hint="eastAsia"/>
          <w:sz w:val="24"/>
          <w:szCs w:val="24"/>
        </w:rPr>
        <w:t>September 21, 2016</w:t>
      </w:r>
    </w:p>
    <w:p w:rsidR="00341958" w:rsidRPr="00705846" w:rsidRDefault="00705846">
      <w:pPr>
        <w:spacing w:line="360" w:lineRule="auto"/>
        <w:rPr>
          <w:rFonts w:ascii="Book Antiqua" w:hAnsi="Book Antiqua"/>
          <w:sz w:val="24"/>
          <w:szCs w:val="24"/>
        </w:rPr>
      </w:pPr>
      <w:r w:rsidRPr="00705846">
        <w:rPr>
          <w:rFonts w:ascii="Book Antiqua" w:hAnsi="Book Antiqua"/>
          <w:b/>
          <w:sz w:val="24"/>
          <w:szCs w:val="24"/>
        </w:rPr>
        <w:t>Revised:</w:t>
      </w:r>
      <w:r w:rsidRPr="00705846">
        <w:rPr>
          <w:rFonts w:ascii="Book Antiqua" w:hAnsi="Book Antiqua" w:hint="eastAsia"/>
          <w:b/>
          <w:sz w:val="24"/>
          <w:szCs w:val="24"/>
        </w:rPr>
        <w:t xml:space="preserve"> </w:t>
      </w:r>
      <w:r w:rsidRPr="00705846">
        <w:rPr>
          <w:rFonts w:ascii="Book Antiqua" w:hAnsi="Book Antiqua" w:hint="eastAsia"/>
          <w:sz w:val="24"/>
          <w:szCs w:val="24"/>
        </w:rPr>
        <w:t>September 29, 2016</w:t>
      </w:r>
    </w:p>
    <w:p w:rsidR="00341958" w:rsidRPr="00A909A0" w:rsidRDefault="00705846">
      <w:pPr>
        <w:spacing w:line="360" w:lineRule="auto"/>
        <w:rPr>
          <w:rFonts w:ascii="Book Antiqua" w:hAnsi="Book Antiqua"/>
          <w:color w:val="000000"/>
          <w:sz w:val="24"/>
        </w:rPr>
      </w:pPr>
      <w:r w:rsidRPr="00705846">
        <w:rPr>
          <w:rFonts w:ascii="Book Antiqua" w:hAnsi="Book Antiqua"/>
          <w:b/>
          <w:sz w:val="24"/>
          <w:szCs w:val="24"/>
        </w:rPr>
        <w:t>Accepted:</w:t>
      </w:r>
      <w:r w:rsidR="00A909A0" w:rsidRPr="00A909A0">
        <w:rPr>
          <w:rFonts w:ascii="Book Antiqua" w:hAnsi="Book Antiqua"/>
          <w:color w:val="000000"/>
          <w:sz w:val="24"/>
        </w:rPr>
        <w:t xml:space="preserve"> </w:t>
      </w:r>
      <w:r w:rsidR="00A909A0">
        <w:rPr>
          <w:rFonts w:ascii="Book Antiqua" w:hAnsi="Book Antiqua"/>
          <w:color w:val="000000"/>
          <w:sz w:val="24"/>
        </w:rPr>
        <w:t>October 30, 2016</w:t>
      </w:r>
      <w:r w:rsidRPr="00705846">
        <w:rPr>
          <w:rFonts w:ascii="Book Antiqua" w:hAnsi="Book Antiqua"/>
          <w:b/>
          <w:sz w:val="24"/>
          <w:szCs w:val="24"/>
        </w:rPr>
        <w:t xml:space="preserve">  </w:t>
      </w:r>
    </w:p>
    <w:p w:rsidR="00341958" w:rsidRPr="00705846" w:rsidRDefault="00705846">
      <w:pPr>
        <w:spacing w:line="360" w:lineRule="auto"/>
        <w:rPr>
          <w:rFonts w:ascii="Book Antiqua" w:hAnsi="Book Antiqua"/>
          <w:b/>
          <w:sz w:val="24"/>
          <w:szCs w:val="24"/>
        </w:rPr>
      </w:pPr>
      <w:r w:rsidRPr="00705846">
        <w:rPr>
          <w:rFonts w:ascii="Book Antiqua" w:hAnsi="Book Antiqua"/>
          <w:b/>
          <w:sz w:val="24"/>
          <w:szCs w:val="24"/>
        </w:rPr>
        <w:t>Article in press:</w:t>
      </w:r>
    </w:p>
    <w:p w:rsidR="00341958" w:rsidRPr="00705846" w:rsidRDefault="00705846">
      <w:pPr>
        <w:spacing w:line="360" w:lineRule="auto"/>
        <w:rPr>
          <w:rFonts w:ascii="Book Antiqua" w:hAnsi="Book Antiqua"/>
          <w:b/>
          <w:sz w:val="24"/>
          <w:szCs w:val="24"/>
        </w:rPr>
      </w:pPr>
      <w:r w:rsidRPr="00705846">
        <w:rPr>
          <w:rFonts w:ascii="Book Antiqua" w:hAnsi="Book Antiqua"/>
          <w:b/>
          <w:sz w:val="24"/>
          <w:szCs w:val="24"/>
        </w:rPr>
        <w:t>Published online:</w:t>
      </w:r>
    </w:p>
    <w:bookmarkEnd w:id="13"/>
    <w:bookmarkEnd w:id="14"/>
    <w:bookmarkEnd w:id="15"/>
    <w:bookmarkEnd w:id="16"/>
    <w:bookmarkEnd w:id="17"/>
    <w:p w:rsidR="00341958" w:rsidRPr="00705846" w:rsidRDefault="00341958">
      <w:pPr>
        <w:spacing w:line="360" w:lineRule="auto"/>
        <w:rPr>
          <w:rFonts w:ascii="Book Antiqua" w:eastAsia="楷体" w:hAnsi="Book Antiqua" w:cs="Times New Roman"/>
          <w:b/>
          <w:bCs/>
          <w:sz w:val="24"/>
          <w:szCs w:val="24"/>
        </w:rPr>
      </w:pPr>
    </w:p>
    <w:p w:rsidR="00341958" w:rsidRPr="00705846" w:rsidRDefault="00341958">
      <w:pPr>
        <w:spacing w:line="360" w:lineRule="auto"/>
        <w:rPr>
          <w:rFonts w:ascii="Book Antiqua" w:eastAsia="楷体" w:hAnsi="Book Antiqua" w:cs="Times New Roman"/>
          <w:b/>
          <w:bCs/>
          <w:sz w:val="24"/>
          <w:szCs w:val="24"/>
        </w:rPr>
      </w:pPr>
    </w:p>
    <w:p w:rsidR="00341958" w:rsidRPr="00705846" w:rsidRDefault="00341958">
      <w:pPr>
        <w:spacing w:line="360" w:lineRule="auto"/>
        <w:rPr>
          <w:rFonts w:ascii="Book Antiqua" w:eastAsia="楷体" w:hAnsi="Book Antiqua" w:cs="Times New Roman"/>
          <w:b/>
          <w:bCs/>
          <w:sz w:val="24"/>
          <w:szCs w:val="24"/>
        </w:rPr>
      </w:pPr>
    </w:p>
    <w:p w:rsidR="00341958" w:rsidRPr="00705846" w:rsidRDefault="00341958">
      <w:pPr>
        <w:spacing w:line="360" w:lineRule="auto"/>
        <w:rPr>
          <w:rFonts w:ascii="Book Antiqua" w:eastAsia="楷体" w:hAnsi="Book Antiqua" w:cs="Times New Roman"/>
          <w:b/>
          <w:bCs/>
          <w:sz w:val="24"/>
          <w:szCs w:val="24"/>
        </w:rPr>
      </w:pPr>
    </w:p>
    <w:p w:rsidR="00341958" w:rsidRPr="00705846" w:rsidRDefault="00341958">
      <w:pPr>
        <w:spacing w:line="360" w:lineRule="auto"/>
        <w:rPr>
          <w:rFonts w:ascii="Book Antiqua" w:eastAsia="楷体" w:hAnsi="Book Antiqua" w:cs="Times New Roman"/>
          <w:b/>
          <w:bCs/>
          <w:sz w:val="24"/>
          <w:szCs w:val="24"/>
        </w:rPr>
      </w:pPr>
    </w:p>
    <w:p w:rsidR="00341958" w:rsidRPr="00705846" w:rsidRDefault="00341958">
      <w:pPr>
        <w:spacing w:line="360" w:lineRule="auto"/>
        <w:rPr>
          <w:rFonts w:ascii="Book Antiqua" w:eastAsia="楷体" w:hAnsi="Book Antiqua" w:cs="Times New Roman"/>
          <w:b/>
          <w:bCs/>
          <w:sz w:val="24"/>
          <w:szCs w:val="24"/>
        </w:rPr>
      </w:pPr>
    </w:p>
    <w:p w:rsidR="00341958" w:rsidRPr="00705846" w:rsidRDefault="00341958">
      <w:pPr>
        <w:spacing w:line="360" w:lineRule="auto"/>
        <w:rPr>
          <w:rFonts w:ascii="Book Antiqua" w:eastAsia="楷体" w:hAnsi="Book Antiqua" w:cs="Times New Roman"/>
          <w:b/>
          <w:bCs/>
          <w:sz w:val="24"/>
          <w:szCs w:val="24"/>
        </w:rPr>
      </w:pPr>
    </w:p>
    <w:p w:rsidR="00341958" w:rsidRPr="00705846" w:rsidRDefault="00341958">
      <w:pPr>
        <w:spacing w:line="360" w:lineRule="auto"/>
        <w:rPr>
          <w:rFonts w:ascii="Book Antiqua" w:eastAsia="楷体" w:hAnsi="Book Antiqua" w:cs="Times New Roman"/>
          <w:b/>
          <w:bCs/>
          <w:sz w:val="24"/>
          <w:szCs w:val="24"/>
        </w:rPr>
      </w:pPr>
    </w:p>
    <w:p w:rsidR="00341958" w:rsidRPr="00705846" w:rsidRDefault="00341958">
      <w:pPr>
        <w:spacing w:line="360" w:lineRule="auto"/>
        <w:rPr>
          <w:rFonts w:ascii="Book Antiqua" w:eastAsia="楷体" w:hAnsi="Book Antiqua" w:cs="Times New Roman"/>
          <w:b/>
          <w:bCs/>
          <w:sz w:val="24"/>
          <w:szCs w:val="24"/>
        </w:rPr>
      </w:pPr>
    </w:p>
    <w:p w:rsidR="00341958" w:rsidRPr="00705846" w:rsidRDefault="00341958">
      <w:pPr>
        <w:spacing w:line="360" w:lineRule="auto"/>
        <w:rPr>
          <w:rFonts w:ascii="Book Antiqua" w:eastAsia="楷体" w:hAnsi="Book Antiqua" w:cs="Times New Roman"/>
          <w:b/>
          <w:bCs/>
          <w:sz w:val="24"/>
          <w:szCs w:val="24"/>
        </w:rPr>
      </w:pPr>
    </w:p>
    <w:p w:rsidR="00341958" w:rsidRPr="00705846" w:rsidRDefault="00341958">
      <w:pPr>
        <w:spacing w:line="360" w:lineRule="auto"/>
        <w:rPr>
          <w:rFonts w:ascii="Book Antiqua" w:eastAsia="楷体" w:hAnsi="Book Antiqua" w:cs="Times New Roman"/>
          <w:b/>
          <w:bCs/>
          <w:sz w:val="24"/>
          <w:szCs w:val="24"/>
        </w:rPr>
      </w:pPr>
    </w:p>
    <w:p w:rsidR="00341958" w:rsidRPr="00705846" w:rsidRDefault="00341958">
      <w:pPr>
        <w:spacing w:line="360" w:lineRule="auto"/>
        <w:rPr>
          <w:rFonts w:ascii="Book Antiqua" w:eastAsia="楷体" w:hAnsi="Book Antiqua" w:cs="Times New Roman"/>
          <w:b/>
          <w:bCs/>
          <w:sz w:val="24"/>
          <w:szCs w:val="24"/>
        </w:rPr>
      </w:pPr>
    </w:p>
    <w:p w:rsidR="00A909A0" w:rsidRDefault="00A909A0">
      <w:pPr>
        <w:spacing w:line="360" w:lineRule="auto"/>
        <w:rPr>
          <w:rFonts w:ascii="Book Antiqua" w:eastAsia="楷体" w:hAnsi="Book Antiqua" w:cs="Times New Roman"/>
          <w:b/>
          <w:bCs/>
          <w:sz w:val="24"/>
          <w:szCs w:val="24"/>
        </w:rPr>
      </w:pPr>
    </w:p>
    <w:p w:rsidR="00341958" w:rsidRPr="00705846" w:rsidRDefault="00705846">
      <w:pPr>
        <w:spacing w:line="360" w:lineRule="auto"/>
        <w:rPr>
          <w:rFonts w:ascii="Book Antiqua" w:eastAsia="楷体" w:hAnsi="Book Antiqua" w:cs="Times New Roman"/>
          <w:b/>
          <w:bCs/>
          <w:sz w:val="24"/>
          <w:szCs w:val="24"/>
        </w:rPr>
      </w:pPr>
      <w:bookmarkStart w:id="18" w:name="_GoBack"/>
      <w:bookmarkEnd w:id="18"/>
      <w:r w:rsidRPr="00705846">
        <w:rPr>
          <w:rFonts w:ascii="Book Antiqua" w:eastAsia="楷体" w:hAnsi="Book Antiqua" w:cs="Times New Roman"/>
          <w:b/>
          <w:bCs/>
          <w:sz w:val="24"/>
          <w:szCs w:val="24"/>
        </w:rPr>
        <w:lastRenderedPageBreak/>
        <w:t xml:space="preserve">Abstract </w:t>
      </w:r>
    </w:p>
    <w:p w:rsidR="00705846" w:rsidRPr="00705846" w:rsidRDefault="00705846">
      <w:pPr>
        <w:spacing w:line="360" w:lineRule="auto"/>
        <w:rPr>
          <w:rFonts w:ascii="Book Antiqua" w:eastAsia="楷体" w:hAnsi="Book Antiqua" w:cs="Times New Roman"/>
          <w:b/>
          <w:bCs/>
          <w:i/>
          <w:sz w:val="24"/>
          <w:szCs w:val="24"/>
        </w:rPr>
      </w:pPr>
      <w:r w:rsidRPr="00705846">
        <w:rPr>
          <w:rFonts w:ascii="Book Antiqua" w:eastAsia="楷体" w:hAnsi="Book Antiqua" w:cs="Times New Roman"/>
          <w:b/>
          <w:bCs/>
          <w:i/>
          <w:sz w:val="24"/>
          <w:szCs w:val="24"/>
        </w:rPr>
        <w:t>AIM</w:t>
      </w:r>
    </w:p>
    <w:p w:rsidR="00341958" w:rsidRPr="0094585D" w:rsidRDefault="00705846">
      <w:pPr>
        <w:spacing w:line="360" w:lineRule="auto"/>
        <w:rPr>
          <w:rFonts w:ascii="Book Antiqua" w:hAnsi="Book Antiqua" w:cs="Times New Roman"/>
          <w:color w:val="000000"/>
          <w:sz w:val="24"/>
          <w:szCs w:val="24"/>
        </w:rPr>
      </w:pPr>
      <w:r w:rsidRPr="0094585D">
        <w:rPr>
          <w:rFonts w:ascii="Book Antiqua" w:hAnsi="Book Antiqua" w:cs="Times New Roman"/>
          <w:color w:val="000000"/>
          <w:sz w:val="24"/>
          <w:szCs w:val="24"/>
        </w:rPr>
        <w:t xml:space="preserve">To investigate the dynamic alteration of </w:t>
      </w:r>
      <w:hyperlink r:id="rId11" w:history="1">
        <w:r w:rsidRPr="0094585D">
          <w:rPr>
            <w:rFonts w:ascii="Book Antiqua" w:hAnsi="Book Antiqua" w:cs="Times New Roman"/>
            <w:color w:val="000000"/>
            <w:sz w:val="24"/>
            <w:szCs w:val="24"/>
          </w:rPr>
          <w:t>mitochondrial</w:t>
        </w:r>
      </w:hyperlink>
      <w:r w:rsidRPr="0094585D">
        <w:rPr>
          <w:rFonts w:ascii="Book Antiqua" w:hAnsi="Book Antiqua" w:cs="Times New Roman"/>
          <w:color w:val="000000"/>
          <w:sz w:val="24"/>
          <w:szCs w:val="24"/>
        </w:rPr>
        <w:t xml:space="preserve"> carnitine palmitoyl transferase II (CPT-II) expression during malignant transformation of rat hepatocytes.</w:t>
      </w:r>
    </w:p>
    <w:p w:rsidR="00705846" w:rsidRPr="0094585D" w:rsidRDefault="00705846">
      <w:pPr>
        <w:spacing w:line="360" w:lineRule="auto"/>
        <w:rPr>
          <w:rFonts w:ascii="Book Antiqua" w:eastAsia="楷体" w:hAnsi="Book Antiqua" w:cs="Times New Roman"/>
          <w:color w:val="000000"/>
          <w:sz w:val="24"/>
          <w:szCs w:val="24"/>
        </w:rPr>
      </w:pPr>
    </w:p>
    <w:p w:rsidR="00705846" w:rsidRPr="0094585D" w:rsidRDefault="00705846">
      <w:pPr>
        <w:spacing w:line="360" w:lineRule="auto"/>
        <w:rPr>
          <w:rFonts w:ascii="Book Antiqua" w:eastAsia="楷体" w:hAnsi="Book Antiqua" w:cs="Times New Roman"/>
          <w:b/>
          <w:bCs/>
          <w:i/>
          <w:color w:val="000000"/>
          <w:sz w:val="24"/>
          <w:szCs w:val="24"/>
        </w:rPr>
      </w:pPr>
      <w:bookmarkStart w:id="19" w:name="OLE_LINK4"/>
      <w:r w:rsidRPr="0094585D">
        <w:rPr>
          <w:rFonts w:ascii="Book Antiqua" w:eastAsia="楷体" w:hAnsi="Book Antiqua" w:cs="Times New Roman"/>
          <w:b/>
          <w:bCs/>
          <w:i/>
          <w:color w:val="000000"/>
          <w:sz w:val="24"/>
          <w:szCs w:val="24"/>
        </w:rPr>
        <w:t>METHODS</w:t>
      </w:r>
    </w:p>
    <w:p w:rsidR="00341958" w:rsidRPr="0094585D" w:rsidRDefault="00705846">
      <w:pPr>
        <w:spacing w:line="360" w:lineRule="auto"/>
        <w:rPr>
          <w:rFonts w:ascii="Book Antiqua" w:eastAsia="KaiTi_GB2312" w:hAnsi="Book Antiqua" w:cs="Times New Roman"/>
          <w:color w:val="000000"/>
          <w:sz w:val="24"/>
          <w:szCs w:val="24"/>
        </w:rPr>
      </w:pPr>
      <w:r w:rsidRPr="0094585D">
        <w:rPr>
          <w:rFonts w:ascii="Book Antiqua" w:eastAsia="KaiTi_GB2312" w:hAnsi="Book Antiqua" w:cs="Times New Roman"/>
          <w:color w:val="000000"/>
          <w:sz w:val="24"/>
          <w:szCs w:val="24"/>
        </w:rPr>
        <w:t>Sprague-Dawley</w:t>
      </w:r>
      <w:bookmarkEnd w:id="19"/>
      <w:r w:rsidRPr="0094585D">
        <w:rPr>
          <w:rFonts w:ascii="Book Antiqua" w:eastAsia="KaiTi_GB2312" w:hAnsi="Book Antiqua" w:cs="Times New Roman"/>
          <w:color w:val="000000"/>
          <w:sz w:val="24"/>
          <w:szCs w:val="24"/>
        </w:rPr>
        <w:t xml:space="preserve"> male rats were fed with normal, high fat (HF), and HF containing 2-fluorenylacetamide (2-FAA) diet, respectively. Rats according to the Hematoxylin and Eosin staining of livers were divided into control, fatty liver, degeneration, precancerous, and cancerous groups. Liver lipids were dyed with the Oil Red O, CPT-II alterations were analyzed by immunohistochemistry, and compared with CPT-II specific concentration (μg/mg protein). Levels of total cholesterol (Tch), triglyceride (TG), and amino-trans- ferase (</w:t>
      </w:r>
      <w:r w:rsidRPr="00705846">
        <w:rPr>
          <w:rFonts w:ascii="Book Antiqua" w:eastAsia="KaiTi_GB2312" w:hAnsi="Book Antiqua" w:cs="Times New Roman"/>
          <w:color w:val="000000"/>
          <w:sz w:val="24"/>
          <w:szCs w:val="24"/>
        </w:rPr>
        <w:t>ALT</w:t>
      </w:r>
      <w:r w:rsidRPr="0094585D">
        <w:rPr>
          <w:rFonts w:ascii="Book Antiqua" w:eastAsia="KaiTi_GB2312" w:hAnsi="Book Antiqua" w:cs="Times New Roman"/>
          <w:color w:val="000000"/>
          <w:sz w:val="24"/>
          <w:szCs w:val="24"/>
        </w:rPr>
        <w:t>, AST) were determined by the routine methods.</w:t>
      </w:r>
    </w:p>
    <w:p w:rsidR="00705846" w:rsidRPr="0094585D" w:rsidRDefault="00705846">
      <w:pPr>
        <w:spacing w:line="360" w:lineRule="auto"/>
        <w:rPr>
          <w:rFonts w:ascii="Book Antiqua" w:eastAsia="楷体" w:hAnsi="Book Antiqua" w:cs="Times New Roman"/>
          <w:color w:val="000000"/>
          <w:sz w:val="24"/>
          <w:szCs w:val="24"/>
        </w:rPr>
      </w:pPr>
    </w:p>
    <w:p w:rsidR="00705846" w:rsidRPr="0094585D" w:rsidRDefault="00705846">
      <w:pPr>
        <w:spacing w:line="360" w:lineRule="auto"/>
        <w:rPr>
          <w:rFonts w:ascii="Book Antiqua" w:eastAsia="楷体" w:hAnsi="Book Antiqua" w:cs="Times New Roman"/>
          <w:b/>
          <w:bCs/>
          <w:i/>
          <w:color w:val="000000"/>
          <w:sz w:val="24"/>
          <w:szCs w:val="24"/>
        </w:rPr>
      </w:pPr>
      <w:r w:rsidRPr="0094585D">
        <w:rPr>
          <w:rFonts w:ascii="Book Antiqua" w:eastAsia="楷体" w:hAnsi="Book Antiqua" w:cs="Times New Roman"/>
          <w:b/>
          <w:bCs/>
          <w:i/>
          <w:color w:val="000000"/>
          <w:sz w:val="24"/>
          <w:szCs w:val="24"/>
        </w:rPr>
        <w:t>RESULTS</w:t>
      </w:r>
    </w:p>
    <w:p w:rsidR="00341958" w:rsidRPr="0094585D" w:rsidRDefault="00705846">
      <w:pPr>
        <w:spacing w:line="360" w:lineRule="auto"/>
        <w:rPr>
          <w:rFonts w:ascii="Book Antiqua" w:eastAsia="KaiTi_GB2312" w:hAnsi="Book Antiqua" w:cs="Times New Roman"/>
          <w:color w:val="000000"/>
          <w:sz w:val="24"/>
          <w:szCs w:val="24"/>
        </w:rPr>
      </w:pPr>
      <w:r w:rsidRPr="0094585D">
        <w:rPr>
          <w:rFonts w:ascii="Book Antiqua" w:eastAsia="KaiTi_GB2312" w:hAnsi="Book Antiqua" w:cs="Times New Roman"/>
          <w:color w:val="000000"/>
          <w:sz w:val="24"/>
          <w:szCs w:val="24"/>
        </w:rPr>
        <w:t>After the rats intaked with HF and/or HF+2-FAA diets, the rat livers appeared mass lipid accumulation. The lipid levels in the control group was significantly lower than those in other groups. The changes of serum TG and Tch levels were abnormally increasing 2</w:t>
      </w:r>
      <w:r w:rsidRPr="0094585D">
        <w:rPr>
          <w:rFonts w:ascii="Book Antiqua" w:eastAsia="KaiTi_GB2312" w:hAnsi="Book Antiqua" w:cs="Times New Roman" w:hint="eastAsia"/>
          <w:color w:val="000000"/>
          <w:sz w:val="24"/>
          <w:szCs w:val="24"/>
        </w:rPr>
        <w:t xml:space="preserve"> - </w:t>
      </w:r>
      <w:r w:rsidRPr="0094585D">
        <w:rPr>
          <w:rFonts w:ascii="Book Antiqua" w:eastAsia="KaiTi_GB2312" w:hAnsi="Book Antiqua" w:cs="Times New Roman"/>
          <w:color w:val="000000"/>
          <w:sz w:val="24"/>
          <w:szCs w:val="24"/>
        </w:rPr>
        <w:t>3 times more than those in the controls (</w:t>
      </w:r>
      <w:r w:rsidRPr="0094585D">
        <w:rPr>
          <w:rFonts w:ascii="Book Antiqua" w:eastAsia="KaiTi_GB2312" w:hAnsi="Book Antiqua" w:cs="Times New Roman"/>
          <w:i/>
          <w:iCs/>
          <w:color w:val="000000"/>
          <w:sz w:val="24"/>
          <w:szCs w:val="24"/>
        </w:rPr>
        <w:t>P</w:t>
      </w:r>
      <w:r w:rsidRPr="0094585D">
        <w:rPr>
          <w:rFonts w:ascii="Book Antiqua" w:eastAsia="KaiTi_GB2312" w:hAnsi="Book Antiqua" w:cs="Times New Roman" w:hint="eastAsia"/>
          <w:i/>
          <w:iCs/>
          <w:color w:val="000000"/>
          <w:sz w:val="24"/>
          <w:szCs w:val="24"/>
        </w:rPr>
        <w:t xml:space="preserve"> </w:t>
      </w:r>
      <w:r w:rsidRPr="0094585D">
        <w:rPr>
          <w:rFonts w:ascii="Book Antiqua" w:eastAsia="KaiTi_GB2312" w:hAnsi="Book Antiqua" w:cs="Times New Roman"/>
          <w:color w:val="000000"/>
          <w:sz w:val="24"/>
          <w:szCs w:val="24"/>
        </w:rPr>
        <w:t>&lt;</w:t>
      </w:r>
      <w:r w:rsidRPr="0094585D">
        <w:rPr>
          <w:rFonts w:ascii="Book Antiqua" w:eastAsia="KaiTi_GB2312" w:hAnsi="Book Antiqua" w:cs="Times New Roman" w:hint="eastAsia"/>
          <w:color w:val="000000"/>
          <w:sz w:val="24"/>
          <w:szCs w:val="24"/>
        </w:rPr>
        <w:t xml:space="preserve"> </w:t>
      </w:r>
      <w:r w:rsidRPr="0094585D">
        <w:rPr>
          <w:rFonts w:ascii="Book Antiqua" w:eastAsia="KaiTi_GB2312" w:hAnsi="Book Antiqua" w:cs="Times New Roman"/>
          <w:color w:val="000000"/>
          <w:sz w:val="24"/>
          <w:szCs w:val="24"/>
        </w:rPr>
        <w:t>0.05). During the rat liver morphological changes from normal to cancer development process with hepatocyte injury, serum AST and ALT levels were significantly higher (4</w:t>
      </w:r>
      <w:r w:rsidRPr="0094585D">
        <w:rPr>
          <w:rFonts w:ascii="Book Antiqua" w:eastAsia="KaiTi_GB2312" w:hAnsi="Book Antiqua" w:cs="Times New Roman" w:hint="eastAsia"/>
          <w:color w:val="000000"/>
          <w:sz w:val="24"/>
          <w:szCs w:val="24"/>
        </w:rPr>
        <w:t xml:space="preserve"> - </w:t>
      </w:r>
      <w:r w:rsidRPr="0094585D">
        <w:rPr>
          <w:rFonts w:ascii="Book Antiqua" w:eastAsia="KaiTi_GB2312" w:hAnsi="Book Antiqua" w:cs="Times New Roman"/>
          <w:color w:val="000000"/>
          <w:sz w:val="24"/>
          <w:szCs w:val="24"/>
        </w:rPr>
        <w:t xml:space="preserve">8 times, </w:t>
      </w:r>
      <w:r w:rsidRPr="0094585D">
        <w:rPr>
          <w:rFonts w:ascii="Book Antiqua" w:eastAsia="KaiTi_GB2312" w:hAnsi="Book Antiqua" w:cs="Times New Roman"/>
          <w:i/>
          <w:iCs/>
          <w:color w:val="000000"/>
          <w:sz w:val="24"/>
          <w:szCs w:val="24"/>
        </w:rPr>
        <w:t>P</w:t>
      </w:r>
      <w:r w:rsidRPr="0094585D">
        <w:rPr>
          <w:rFonts w:ascii="Book Antiqua" w:eastAsia="KaiTi_GB2312" w:hAnsi="Book Antiqua" w:cs="Times New Roman" w:hint="eastAsia"/>
          <w:i/>
          <w:iCs/>
          <w:color w:val="000000"/>
          <w:sz w:val="24"/>
          <w:szCs w:val="24"/>
        </w:rPr>
        <w:t xml:space="preserve"> </w:t>
      </w:r>
      <w:r w:rsidRPr="0094585D">
        <w:rPr>
          <w:rFonts w:ascii="Book Antiqua" w:eastAsia="KaiTi_GB2312" w:hAnsi="Book Antiqua" w:cs="Times New Roman"/>
          <w:color w:val="000000"/>
          <w:sz w:val="24"/>
          <w:szCs w:val="24"/>
        </w:rPr>
        <w:t>&lt;</w:t>
      </w:r>
      <w:r w:rsidRPr="0094585D">
        <w:rPr>
          <w:rFonts w:ascii="Book Antiqua" w:eastAsia="KaiTi_GB2312" w:hAnsi="Book Antiqua" w:cs="Times New Roman" w:hint="eastAsia"/>
          <w:color w:val="000000"/>
          <w:sz w:val="24"/>
          <w:szCs w:val="24"/>
        </w:rPr>
        <w:t xml:space="preserve"> </w:t>
      </w:r>
      <w:r w:rsidRPr="0094585D">
        <w:rPr>
          <w:rFonts w:ascii="Book Antiqua" w:eastAsia="KaiTi_GB2312" w:hAnsi="Book Antiqua" w:cs="Times New Roman"/>
          <w:color w:val="000000"/>
          <w:sz w:val="24"/>
          <w:szCs w:val="24"/>
        </w:rPr>
        <w:t>0.05) than those in the control group. The specific concentration of CPT-II in liver tissues were progressively decreasing during hepatocyte malignant transformation, with the lowest CPT-</w:t>
      </w:r>
      <w:r w:rsidRPr="0094585D">
        <w:rPr>
          <w:rFonts w:ascii="SimSun" w:hAnsi="SimSun" w:cs="SimSun" w:hint="eastAsia"/>
          <w:color w:val="000000"/>
          <w:sz w:val="24"/>
          <w:szCs w:val="24"/>
        </w:rPr>
        <w:t>Ⅱ</w:t>
      </w:r>
      <w:r w:rsidRPr="0094585D">
        <w:rPr>
          <w:rFonts w:ascii="Book Antiqua" w:eastAsia="KaiTi_GB2312" w:hAnsi="Book Antiqua" w:cs="Times New Roman"/>
          <w:color w:val="000000"/>
          <w:sz w:val="24"/>
          <w:szCs w:val="24"/>
        </w:rPr>
        <w:t>levels in the cancer group than in any of other groups(</w:t>
      </w:r>
      <w:r w:rsidRPr="0094585D">
        <w:rPr>
          <w:rFonts w:ascii="Book Antiqua" w:eastAsia="KaiTi_GB2312" w:hAnsi="Book Antiqua" w:cs="Times New Roman"/>
          <w:i/>
          <w:iCs/>
          <w:color w:val="000000"/>
          <w:sz w:val="24"/>
          <w:szCs w:val="24"/>
        </w:rPr>
        <w:t>P</w:t>
      </w:r>
      <w:r w:rsidRPr="0094585D">
        <w:rPr>
          <w:rFonts w:ascii="Book Antiqua" w:eastAsia="KaiTi_GB2312" w:hAnsi="Book Antiqua" w:cs="Times New Roman" w:hint="eastAsia"/>
          <w:i/>
          <w:iCs/>
          <w:color w:val="000000"/>
          <w:sz w:val="24"/>
          <w:szCs w:val="24"/>
        </w:rPr>
        <w:t xml:space="preserve"> </w:t>
      </w:r>
      <w:r w:rsidRPr="0094585D">
        <w:rPr>
          <w:rFonts w:ascii="Book Antiqua" w:eastAsia="KaiTi_GB2312" w:hAnsi="Book Antiqua" w:cs="Times New Roman"/>
          <w:color w:val="000000"/>
          <w:sz w:val="24"/>
          <w:szCs w:val="24"/>
        </w:rPr>
        <w:t>&lt;</w:t>
      </w:r>
      <w:r w:rsidRPr="0094585D">
        <w:rPr>
          <w:rFonts w:ascii="Book Antiqua" w:eastAsia="KaiTi_GB2312" w:hAnsi="Book Antiqua" w:cs="Times New Roman" w:hint="eastAsia"/>
          <w:color w:val="000000"/>
          <w:sz w:val="24"/>
          <w:szCs w:val="24"/>
        </w:rPr>
        <w:t xml:space="preserve"> </w:t>
      </w:r>
      <w:r w:rsidRPr="0094585D">
        <w:rPr>
          <w:rFonts w:ascii="Book Antiqua" w:eastAsia="KaiTi_GB2312" w:hAnsi="Book Antiqua" w:cs="Times New Roman"/>
          <w:color w:val="000000"/>
          <w:sz w:val="24"/>
          <w:szCs w:val="24"/>
        </w:rPr>
        <w:t>0.05).</w:t>
      </w:r>
    </w:p>
    <w:p w:rsidR="00705846" w:rsidRPr="0094585D" w:rsidRDefault="00705846">
      <w:pPr>
        <w:spacing w:line="360" w:lineRule="auto"/>
        <w:rPr>
          <w:rFonts w:ascii="Book Antiqua" w:eastAsia="楷体" w:hAnsi="Book Antiqua" w:cs="Times New Roman"/>
          <w:color w:val="000000"/>
          <w:sz w:val="24"/>
          <w:szCs w:val="24"/>
        </w:rPr>
      </w:pPr>
    </w:p>
    <w:p w:rsidR="00705846" w:rsidRPr="00705846" w:rsidRDefault="00705846">
      <w:pPr>
        <w:spacing w:line="360" w:lineRule="auto"/>
        <w:rPr>
          <w:rFonts w:ascii="Book Antiqua" w:eastAsia="楷体" w:hAnsi="Book Antiqua" w:cs="Times New Roman"/>
          <w:b/>
          <w:bCs/>
          <w:i/>
          <w:color w:val="000000"/>
          <w:sz w:val="24"/>
          <w:szCs w:val="24"/>
        </w:rPr>
      </w:pPr>
      <w:r>
        <w:rPr>
          <w:rFonts w:ascii="Book Antiqua" w:eastAsia="楷体" w:hAnsi="Book Antiqua" w:cs="Times New Roman"/>
          <w:b/>
          <w:bCs/>
          <w:i/>
          <w:color w:val="000000"/>
          <w:sz w:val="24"/>
          <w:szCs w:val="24"/>
        </w:rPr>
        <w:t>CONCLUSION</w:t>
      </w:r>
    </w:p>
    <w:p w:rsidR="00341958" w:rsidRDefault="00705846">
      <w:pPr>
        <w:spacing w:line="360" w:lineRule="auto"/>
        <w:rPr>
          <w:rFonts w:ascii="Book Antiqua" w:eastAsia="KaiTi_GB2312" w:hAnsi="Book Antiqua" w:cs="Times New Roman"/>
          <w:sz w:val="24"/>
          <w:szCs w:val="24"/>
        </w:rPr>
      </w:pPr>
      <w:r w:rsidRPr="00705846">
        <w:rPr>
          <w:rFonts w:ascii="Book Antiqua" w:eastAsia="KaiTi_GB2312" w:hAnsi="Book Antiqua" w:cs="Times New Roman"/>
          <w:sz w:val="24"/>
          <w:szCs w:val="24"/>
        </w:rPr>
        <w:t xml:space="preserve">The low CPT-II expression might lead to abnormal hepatic lipid accumulation, </w:t>
      </w:r>
      <w:r w:rsidRPr="00705846">
        <w:rPr>
          <w:rFonts w:ascii="Book Antiqua" w:eastAsia="KaiTi_GB2312" w:hAnsi="Book Antiqua" w:cs="Times New Roman"/>
          <w:sz w:val="24"/>
          <w:szCs w:val="24"/>
        </w:rPr>
        <w:lastRenderedPageBreak/>
        <w:t>which should promote the malignant transformation of hepatocytes.</w:t>
      </w:r>
    </w:p>
    <w:p w:rsidR="00705846" w:rsidRPr="00705846" w:rsidRDefault="00705846">
      <w:pPr>
        <w:spacing w:line="360" w:lineRule="auto"/>
        <w:rPr>
          <w:rFonts w:ascii="Book Antiqua" w:eastAsia="楷体" w:hAnsi="Book Antiqua" w:cs="Times New Roman"/>
          <w:sz w:val="24"/>
          <w:szCs w:val="24"/>
        </w:rPr>
      </w:pPr>
    </w:p>
    <w:p w:rsidR="00341958" w:rsidRPr="00705846" w:rsidRDefault="00705846">
      <w:pPr>
        <w:spacing w:line="360" w:lineRule="auto"/>
        <w:rPr>
          <w:rFonts w:ascii="Book Antiqua" w:eastAsia="KaiTi_GB2312" w:hAnsi="Book Antiqua" w:cs="Times New Roman"/>
          <w:color w:val="000000"/>
          <w:sz w:val="24"/>
          <w:szCs w:val="24"/>
        </w:rPr>
      </w:pPr>
      <w:r w:rsidRPr="00705846">
        <w:rPr>
          <w:rFonts w:ascii="Book Antiqua" w:eastAsia="楷体" w:hAnsi="Book Antiqua" w:cs="Times New Roman"/>
          <w:b/>
          <w:bCs/>
          <w:sz w:val="24"/>
          <w:szCs w:val="24"/>
        </w:rPr>
        <w:t xml:space="preserve">Key words: </w:t>
      </w:r>
      <w:r w:rsidRPr="00705846">
        <w:rPr>
          <w:rFonts w:ascii="Book Antiqua" w:eastAsia="KaiTi_GB2312" w:hAnsi="Book Antiqua" w:cs="Times New Roman"/>
          <w:color w:val="000000"/>
          <w:sz w:val="24"/>
          <w:szCs w:val="24"/>
        </w:rPr>
        <w:t>Fatty liver; Carnitine palmitoyl transferase-II; Malignant transformation of hepatocytes; Dynamic expression; Rat model</w:t>
      </w:r>
    </w:p>
    <w:p w:rsidR="00341958" w:rsidRPr="00705846" w:rsidRDefault="00341958">
      <w:pPr>
        <w:spacing w:line="360" w:lineRule="auto"/>
        <w:rPr>
          <w:rFonts w:ascii="Book Antiqua" w:eastAsia="楷体" w:hAnsi="Book Antiqua" w:cs="Times New Roman"/>
          <w:sz w:val="24"/>
          <w:szCs w:val="24"/>
        </w:rPr>
      </w:pPr>
    </w:p>
    <w:p w:rsidR="00341958" w:rsidRPr="00705846" w:rsidRDefault="00705846">
      <w:pPr>
        <w:spacing w:line="360" w:lineRule="auto"/>
        <w:rPr>
          <w:rFonts w:ascii="Book Antiqua" w:hAnsi="Book Antiqua" w:cs="Arial"/>
          <w:sz w:val="24"/>
          <w:szCs w:val="24"/>
        </w:rPr>
      </w:pPr>
      <w:bookmarkStart w:id="20" w:name="OLE_LINK55"/>
      <w:bookmarkStart w:id="21" w:name="OLE_LINK56"/>
      <w:bookmarkStart w:id="22" w:name="OLE_LINK89"/>
      <w:bookmarkStart w:id="23" w:name="OLE_LINK105"/>
      <w:bookmarkStart w:id="24" w:name="OLE_LINK116"/>
      <w:r w:rsidRPr="00705846">
        <w:rPr>
          <w:rFonts w:ascii="Book Antiqua" w:hAnsi="Book Antiqua"/>
          <w:b/>
          <w:sz w:val="24"/>
          <w:szCs w:val="24"/>
        </w:rPr>
        <w:t>©</w:t>
      </w:r>
      <w:bookmarkEnd w:id="20"/>
      <w:bookmarkEnd w:id="21"/>
      <w:r w:rsidRPr="00705846">
        <w:rPr>
          <w:rFonts w:ascii="Book Antiqua" w:hAnsi="Book Antiqua"/>
          <w:b/>
          <w:sz w:val="24"/>
          <w:szCs w:val="24"/>
        </w:rPr>
        <w:t xml:space="preserve"> </w:t>
      </w:r>
      <w:r w:rsidRPr="00705846">
        <w:rPr>
          <w:rFonts w:ascii="Book Antiqua" w:hAnsi="Book Antiqua" w:cs="Arial"/>
          <w:b/>
          <w:sz w:val="24"/>
          <w:szCs w:val="24"/>
        </w:rPr>
        <w:t xml:space="preserve">The Author(s) 2016. </w:t>
      </w:r>
      <w:r w:rsidRPr="00705846">
        <w:rPr>
          <w:rFonts w:ascii="Book Antiqua" w:hAnsi="Book Antiqua" w:cs="Arial"/>
          <w:sz w:val="24"/>
          <w:szCs w:val="24"/>
        </w:rPr>
        <w:t>Published by Baishideng Publishing Group Inc. All rights reserved.</w:t>
      </w:r>
    </w:p>
    <w:p w:rsidR="00341958" w:rsidRPr="00705846" w:rsidRDefault="00341958">
      <w:pPr>
        <w:spacing w:line="360" w:lineRule="auto"/>
        <w:rPr>
          <w:rFonts w:ascii="Book Antiqua" w:hAnsi="Book Antiqua" w:cs="Arial"/>
          <w:sz w:val="24"/>
          <w:szCs w:val="24"/>
        </w:rPr>
      </w:pPr>
    </w:p>
    <w:bookmarkEnd w:id="22"/>
    <w:bookmarkEnd w:id="23"/>
    <w:bookmarkEnd w:id="24"/>
    <w:p w:rsidR="00341958" w:rsidRPr="00705846" w:rsidRDefault="00705846">
      <w:pPr>
        <w:spacing w:line="360" w:lineRule="auto"/>
        <w:rPr>
          <w:rFonts w:ascii="Book Antiqua" w:eastAsia="KaiTi_GB2312" w:hAnsi="Book Antiqua" w:cs="Times New Roman"/>
          <w:color w:val="000000"/>
          <w:sz w:val="24"/>
          <w:szCs w:val="24"/>
        </w:rPr>
      </w:pPr>
      <w:r w:rsidRPr="00705846">
        <w:rPr>
          <w:rFonts w:ascii="Book Antiqua" w:hAnsi="Book Antiqua" w:cs="Times New Roman"/>
          <w:b/>
          <w:bCs/>
          <w:color w:val="000000"/>
          <w:kern w:val="0"/>
          <w:sz w:val="24"/>
          <w:szCs w:val="24"/>
        </w:rPr>
        <w:t>Core tip:</w:t>
      </w:r>
      <w:r w:rsidRPr="00705846">
        <w:rPr>
          <w:rFonts w:ascii="Book Antiqua" w:hAnsi="Book Antiqua" w:cs="Times New Roman"/>
          <w:color w:val="FF0000"/>
          <w:kern w:val="0"/>
          <w:sz w:val="24"/>
          <w:szCs w:val="24"/>
        </w:rPr>
        <w:t xml:space="preserve"> </w:t>
      </w:r>
      <w:r w:rsidRPr="00705846">
        <w:rPr>
          <w:rFonts w:ascii="Book Antiqua" w:hAnsi="Book Antiqua" w:cs="Times New Roman"/>
          <w:sz w:val="24"/>
          <w:szCs w:val="24"/>
        </w:rPr>
        <w:t xml:space="preserve">Nonalcoholic fatty liver disease (NAFLD) has been one of the main risk factors for HCC except for chronic infection with HBV or HCV as well as other non-viral liver diseases. However, the pathogenesis of </w:t>
      </w:r>
      <w:r w:rsidRPr="00705846">
        <w:rPr>
          <w:rFonts w:ascii="Book Antiqua" w:hAnsi="Book Antiqua" w:cs="Times New Roman"/>
          <w:color w:val="000000"/>
          <w:sz w:val="24"/>
          <w:szCs w:val="24"/>
        </w:rPr>
        <w:t xml:space="preserve">NAFLD </w:t>
      </w:r>
      <w:r w:rsidRPr="00705846">
        <w:rPr>
          <w:rFonts w:ascii="Book Antiqua" w:hAnsi="Book Antiqua" w:cs="Times New Roman"/>
          <w:sz w:val="24"/>
          <w:szCs w:val="24"/>
        </w:rPr>
        <w:t xml:space="preserve">formation still need to be elucidated. </w:t>
      </w:r>
      <w:r w:rsidRPr="00705846">
        <w:rPr>
          <w:rFonts w:ascii="Book Antiqua" w:hAnsi="Book Antiqua" w:cs="Times New Roman"/>
          <w:color w:val="000000"/>
          <w:kern w:val="0"/>
          <w:sz w:val="24"/>
          <w:szCs w:val="24"/>
        </w:rPr>
        <w:t>We</w:t>
      </w:r>
      <w:r w:rsidRPr="00705846">
        <w:rPr>
          <w:rFonts w:ascii="Book Antiqua" w:hAnsi="Book Antiqua" w:cs="Times New Roman"/>
          <w:color w:val="C00000"/>
          <w:kern w:val="0"/>
          <w:sz w:val="24"/>
          <w:szCs w:val="24"/>
        </w:rPr>
        <w:t xml:space="preserve"> </w:t>
      </w:r>
      <w:r w:rsidRPr="00705846">
        <w:rPr>
          <w:rFonts w:ascii="Book Antiqua" w:hAnsi="Book Antiqua" w:cs="Times New Roman"/>
          <w:color w:val="000000"/>
          <w:kern w:val="0"/>
          <w:sz w:val="24"/>
          <w:szCs w:val="24"/>
        </w:rPr>
        <w:t>have</w:t>
      </w:r>
      <w:r w:rsidRPr="00705846">
        <w:rPr>
          <w:rFonts w:ascii="Book Antiqua" w:hAnsi="Book Antiqua" w:cs="Times New Roman"/>
          <w:color w:val="C00000"/>
          <w:kern w:val="0"/>
          <w:sz w:val="24"/>
          <w:szCs w:val="24"/>
        </w:rPr>
        <w:t xml:space="preserve"> </w:t>
      </w:r>
      <w:r w:rsidRPr="00705846">
        <w:rPr>
          <w:rFonts w:ascii="Book Antiqua" w:hAnsi="Book Antiqua" w:cs="Times New Roman"/>
          <w:color w:val="000000"/>
          <w:kern w:val="0"/>
          <w:sz w:val="24"/>
          <w:szCs w:val="24"/>
        </w:rPr>
        <w:t>successfully</w:t>
      </w:r>
      <w:r w:rsidRPr="00705846">
        <w:rPr>
          <w:rFonts w:ascii="Book Antiqua" w:hAnsi="Book Antiqua" w:cs="Times New Roman"/>
          <w:color w:val="C00000"/>
          <w:kern w:val="0"/>
          <w:sz w:val="24"/>
          <w:szCs w:val="24"/>
        </w:rPr>
        <w:t xml:space="preserve"> </w:t>
      </w:r>
      <w:r w:rsidRPr="00705846">
        <w:rPr>
          <w:rFonts w:ascii="Book Antiqua" w:hAnsi="Book Antiqua" w:cs="Times New Roman"/>
          <w:sz w:val="24"/>
          <w:szCs w:val="24"/>
        </w:rPr>
        <w:t xml:space="preserve">investigated the dynamic alteration of CPT-II expression located on </w:t>
      </w:r>
      <w:hyperlink r:id="rId12" w:history="1">
        <w:r w:rsidRPr="00705846">
          <w:rPr>
            <w:rFonts w:ascii="Book Antiqua" w:hAnsi="Book Antiqua" w:cs="Times New Roman"/>
            <w:sz w:val="24"/>
            <w:szCs w:val="24"/>
          </w:rPr>
          <w:t>mitochondrial</w:t>
        </w:r>
      </w:hyperlink>
      <w:r w:rsidRPr="00705846">
        <w:rPr>
          <w:rFonts w:ascii="Book Antiqua" w:hAnsi="Book Antiqua" w:cs="Times New Roman"/>
          <w:sz w:val="24"/>
          <w:szCs w:val="24"/>
        </w:rPr>
        <w:t xml:space="preserve"> inner membrane during malignant transformation of rat hepatocytes under lipid accumulation and first discovered that </w:t>
      </w:r>
      <w:r w:rsidRPr="00705846">
        <w:rPr>
          <w:rFonts w:ascii="Book Antiqua" w:hAnsi="Book Antiqua" w:cs="Times New Roman"/>
          <w:color w:val="000000"/>
          <w:sz w:val="24"/>
          <w:szCs w:val="24"/>
        </w:rPr>
        <w:t>t</w:t>
      </w:r>
      <w:r w:rsidRPr="00705846">
        <w:rPr>
          <w:rFonts w:ascii="Book Antiqua" w:hAnsi="Book Antiqua" w:cs="Times New Roman"/>
          <w:color w:val="000000"/>
          <w:kern w:val="0"/>
          <w:sz w:val="24"/>
          <w:szCs w:val="24"/>
        </w:rPr>
        <w:t xml:space="preserve">he progressively decreasing of </w:t>
      </w:r>
      <w:r w:rsidRPr="00705846">
        <w:rPr>
          <w:rFonts w:ascii="Book Antiqua" w:hAnsi="Book Antiqua" w:cs="Times New Roman"/>
          <w:color w:val="000000"/>
          <w:sz w:val="24"/>
          <w:szCs w:val="24"/>
        </w:rPr>
        <w:t>CPT-II</w:t>
      </w:r>
      <w:r w:rsidRPr="00705846">
        <w:rPr>
          <w:rFonts w:ascii="Book Antiqua" w:hAnsi="Book Antiqua" w:cs="Times New Roman"/>
          <w:color w:val="000000"/>
          <w:kern w:val="0"/>
          <w:sz w:val="24"/>
          <w:szCs w:val="24"/>
        </w:rPr>
        <w:t xml:space="preserve"> expression in hepatocarcinogenesis </w:t>
      </w:r>
      <w:r w:rsidRPr="00705846">
        <w:rPr>
          <w:rFonts w:ascii="Book Antiqua" w:eastAsia="KaiTi_GB2312" w:hAnsi="Book Antiqua" w:cs="Times New Roman"/>
          <w:color w:val="000000"/>
          <w:sz w:val="24"/>
          <w:szCs w:val="24"/>
        </w:rPr>
        <w:t>might lead to abnormal hepatic lipid accumulation and promote the malignant transformation of hepatocytes.</w:t>
      </w:r>
      <w:r w:rsidRPr="00705846">
        <w:rPr>
          <w:rFonts w:ascii="Book Antiqua" w:hAnsi="Book Antiqua"/>
          <w:color w:val="000000"/>
          <w:sz w:val="24"/>
          <w:szCs w:val="24"/>
        </w:rPr>
        <w:t xml:space="preserve"> </w:t>
      </w:r>
    </w:p>
    <w:p w:rsidR="00341958" w:rsidRPr="00705846" w:rsidRDefault="00341958">
      <w:pPr>
        <w:spacing w:line="360" w:lineRule="auto"/>
        <w:rPr>
          <w:rFonts w:ascii="Book Antiqua" w:eastAsia="楷体" w:hAnsi="Book Antiqua" w:cs="Times New Roman"/>
          <w:b/>
          <w:bCs/>
          <w:sz w:val="24"/>
          <w:szCs w:val="24"/>
        </w:rPr>
      </w:pPr>
    </w:p>
    <w:p w:rsidR="00341958" w:rsidRPr="0094585D" w:rsidRDefault="00705846">
      <w:pPr>
        <w:spacing w:line="360" w:lineRule="auto"/>
        <w:rPr>
          <w:rFonts w:ascii="Book Antiqua" w:eastAsia="KaiTi_GB2312" w:hAnsi="Book Antiqua" w:cs="Times New Roman"/>
          <w:bCs/>
          <w:color w:val="000000"/>
          <w:sz w:val="24"/>
          <w:szCs w:val="24"/>
          <w:lang w:val="nl-NL"/>
        </w:rPr>
      </w:pPr>
      <w:bookmarkStart w:id="25" w:name="OLE_LINK130"/>
      <w:bookmarkStart w:id="26" w:name="OLE_LINK74"/>
      <w:bookmarkStart w:id="27" w:name="OLE_LINK424"/>
      <w:bookmarkStart w:id="28" w:name="OLE_LINK425"/>
      <w:bookmarkStart w:id="29" w:name="OLE_LINK134"/>
      <w:bookmarkStart w:id="30" w:name="OLE_LINK455"/>
      <w:bookmarkStart w:id="31" w:name="OLE_LINK464"/>
      <w:bookmarkStart w:id="32" w:name="OLE_LINK73"/>
      <w:r w:rsidRPr="0094585D">
        <w:rPr>
          <w:rFonts w:ascii="Book Antiqua" w:eastAsia="楷体" w:hAnsi="Book Antiqua" w:cs="Times New Roman"/>
          <w:bCs/>
          <w:color w:val="000000"/>
          <w:sz w:val="24"/>
          <w:szCs w:val="24"/>
          <w:lang w:val="nl-NL"/>
        </w:rPr>
        <w:t xml:space="preserve">Gu JJ, </w:t>
      </w:r>
      <w:r w:rsidRPr="0094585D">
        <w:rPr>
          <w:rFonts w:ascii="Book Antiqua" w:eastAsia="KaiTi_GB2312" w:hAnsi="Book Antiqua" w:cs="Times New Roman"/>
          <w:bCs/>
          <w:color w:val="000000"/>
          <w:sz w:val="24"/>
          <w:szCs w:val="24"/>
          <w:lang w:val="da-DK"/>
        </w:rPr>
        <w:t>Yao M,</w:t>
      </w:r>
      <w:r w:rsidRPr="0094585D">
        <w:rPr>
          <w:rFonts w:ascii="Book Antiqua" w:eastAsia="KaiTi_GB2312" w:hAnsi="Book Antiqua" w:cs="Times New Roman"/>
          <w:bCs/>
          <w:color w:val="000000"/>
          <w:sz w:val="24"/>
          <w:szCs w:val="24"/>
        </w:rPr>
        <w:t xml:space="preserve"> Yang J, </w:t>
      </w:r>
      <w:r w:rsidRPr="0094585D">
        <w:rPr>
          <w:rFonts w:ascii="Book Antiqua" w:eastAsia="楷体" w:hAnsi="Book Antiqua" w:cs="Times New Roman"/>
          <w:bCs/>
          <w:color w:val="000000"/>
          <w:sz w:val="24"/>
          <w:szCs w:val="24"/>
          <w:lang w:val="nl-NL"/>
        </w:rPr>
        <w:t>Cai Y</w:t>
      </w:r>
      <w:r w:rsidRPr="0094585D">
        <w:rPr>
          <w:rFonts w:ascii="Book Antiqua" w:eastAsia="KaiTi_GB2312" w:hAnsi="Book Antiqua" w:cs="Times New Roman"/>
          <w:bCs/>
          <w:color w:val="000000"/>
          <w:sz w:val="24"/>
          <w:szCs w:val="24"/>
          <w:lang w:val="nl-NL"/>
        </w:rPr>
        <w:t xml:space="preserve">, </w:t>
      </w:r>
      <w:r w:rsidRPr="0094585D">
        <w:rPr>
          <w:rFonts w:ascii="Book Antiqua" w:eastAsia="KaiTi_GB2312" w:hAnsi="Book Antiqua" w:cs="Times New Roman"/>
          <w:bCs/>
          <w:color w:val="000000"/>
          <w:sz w:val="24"/>
          <w:szCs w:val="24"/>
        </w:rPr>
        <w:t xml:space="preserve">Zheng WJ, </w:t>
      </w:r>
      <w:r w:rsidRPr="0094585D">
        <w:rPr>
          <w:rFonts w:ascii="Book Antiqua" w:eastAsia="KaiTi_GB2312" w:hAnsi="Book Antiqua" w:cs="Times New Roman"/>
          <w:bCs/>
          <w:color w:val="000000"/>
          <w:sz w:val="24"/>
          <w:szCs w:val="24"/>
          <w:lang w:val="da-DK"/>
        </w:rPr>
        <w:t>Wang L,</w:t>
      </w:r>
      <w:r w:rsidRPr="0094585D">
        <w:rPr>
          <w:rFonts w:ascii="Book Antiqua" w:eastAsia="KaiTi_GB2312" w:hAnsi="Book Antiqua" w:cs="Times New Roman"/>
          <w:bCs/>
          <w:color w:val="000000"/>
          <w:sz w:val="24"/>
          <w:szCs w:val="24"/>
          <w:lang w:val="nl-NL"/>
        </w:rPr>
        <w:t xml:space="preserve"> Yao DB, Yao DF.</w:t>
      </w:r>
      <w:r w:rsidRPr="0094585D">
        <w:rPr>
          <w:rFonts w:ascii="Book Antiqua" w:hAnsi="Book Antiqua"/>
          <w:color w:val="000000"/>
          <w:sz w:val="24"/>
          <w:szCs w:val="24"/>
        </w:rPr>
        <w:t xml:space="preserve"> </w:t>
      </w:r>
      <w:r w:rsidRPr="0094585D">
        <w:rPr>
          <w:rFonts w:ascii="Book Antiqua" w:eastAsia="KaiTi_GB2312" w:hAnsi="Book Antiqua" w:cs="Times New Roman"/>
          <w:bCs/>
          <w:color w:val="000000"/>
          <w:sz w:val="24"/>
          <w:szCs w:val="24"/>
          <w:lang w:val="nl-NL"/>
        </w:rPr>
        <w:t xml:space="preserve">Mitochondrial Carnitine Palmitoyl Transferase-II Inactivity Aggravates Lipid Accumulation in Rat Hepatocarcinogenesis. </w:t>
      </w:r>
      <w:r w:rsidRPr="0094585D">
        <w:rPr>
          <w:rFonts w:ascii="Book Antiqua" w:hAnsi="Book Antiqua"/>
          <w:i/>
          <w:color w:val="000000"/>
          <w:sz w:val="24"/>
          <w:szCs w:val="24"/>
        </w:rPr>
        <w:t>World J Gastroenterol</w:t>
      </w:r>
      <w:r w:rsidRPr="0094585D">
        <w:rPr>
          <w:rFonts w:ascii="Book Antiqua" w:hAnsi="Book Antiqua"/>
          <w:color w:val="000000"/>
          <w:sz w:val="24"/>
          <w:szCs w:val="24"/>
        </w:rPr>
        <w:t xml:space="preserve"> 2016; </w:t>
      </w:r>
      <w:bookmarkStart w:id="33" w:name="OLE_LINK1298"/>
      <w:bookmarkStart w:id="34" w:name="OLE_LINK1297"/>
      <w:bookmarkStart w:id="35" w:name="OLE_LINK1689"/>
      <w:r w:rsidRPr="0094585D">
        <w:rPr>
          <w:rFonts w:ascii="Book Antiqua" w:hAnsi="Book Antiqua"/>
          <w:color w:val="000000"/>
          <w:sz w:val="24"/>
          <w:szCs w:val="24"/>
        </w:rPr>
        <w:t>In press</w:t>
      </w:r>
      <w:bookmarkEnd w:id="33"/>
      <w:bookmarkEnd w:id="34"/>
      <w:bookmarkEnd w:id="35"/>
    </w:p>
    <w:bookmarkEnd w:id="25"/>
    <w:bookmarkEnd w:id="26"/>
    <w:bookmarkEnd w:id="27"/>
    <w:bookmarkEnd w:id="28"/>
    <w:bookmarkEnd w:id="29"/>
    <w:bookmarkEnd w:id="30"/>
    <w:bookmarkEnd w:id="31"/>
    <w:bookmarkEnd w:id="32"/>
    <w:p w:rsidR="00341958" w:rsidRPr="00705846" w:rsidRDefault="00341958">
      <w:pPr>
        <w:spacing w:line="360" w:lineRule="auto"/>
        <w:rPr>
          <w:rFonts w:ascii="Book Antiqua" w:eastAsia="KaiTi_GB2312" w:hAnsi="Book Antiqua" w:cs="Times New Roman"/>
          <w:sz w:val="24"/>
          <w:szCs w:val="24"/>
        </w:rPr>
      </w:pPr>
    </w:p>
    <w:p w:rsidR="00341958" w:rsidRPr="00705846" w:rsidRDefault="00341958">
      <w:pPr>
        <w:spacing w:line="360" w:lineRule="auto"/>
        <w:rPr>
          <w:rFonts w:ascii="Book Antiqua" w:eastAsia="KaiTi_GB2312" w:hAnsi="Book Antiqua" w:cs="Times New Roman"/>
          <w:sz w:val="24"/>
          <w:szCs w:val="24"/>
        </w:rPr>
      </w:pPr>
    </w:p>
    <w:p w:rsidR="00341958" w:rsidRPr="00705846" w:rsidRDefault="00341958">
      <w:pPr>
        <w:spacing w:line="360" w:lineRule="auto"/>
        <w:rPr>
          <w:rFonts w:ascii="Book Antiqua" w:eastAsia="楷体" w:hAnsi="Book Antiqua" w:cs="Times New Roman"/>
          <w:b/>
          <w:bCs/>
          <w:kern w:val="0"/>
          <w:sz w:val="24"/>
          <w:szCs w:val="24"/>
        </w:rPr>
      </w:pPr>
    </w:p>
    <w:p w:rsidR="00341958" w:rsidRPr="00705846" w:rsidRDefault="00341958">
      <w:pPr>
        <w:spacing w:line="360" w:lineRule="auto"/>
        <w:rPr>
          <w:rFonts w:ascii="Book Antiqua" w:eastAsia="楷体" w:hAnsi="Book Antiqua" w:cs="Times New Roman"/>
          <w:b/>
          <w:bCs/>
          <w:kern w:val="0"/>
          <w:sz w:val="24"/>
          <w:szCs w:val="24"/>
        </w:rPr>
      </w:pPr>
    </w:p>
    <w:p w:rsidR="00341958" w:rsidRPr="00705846" w:rsidRDefault="00341958">
      <w:pPr>
        <w:spacing w:line="360" w:lineRule="auto"/>
        <w:rPr>
          <w:rFonts w:ascii="Book Antiqua" w:eastAsia="楷体" w:hAnsi="Book Antiqua" w:cs="Times New Roman"/>
          <w:b/>
          <w:bCs/>
          <w:kern w:val="0"/>
          <w:sz w:val="24"/>
          <w:szCs w:val="24"/>
        </w:rPr>
      </w:pPr>
    </w:p>
    <w:p w:rsidR="00341958" w:rsidRPr="00705846" w:rsidRDefault="00341958">
      <w:pPr>
        <w:spacing w:line="360" w:lineRule="auto"/>
        <w:rPr>
          <w:rFonts w:ascii="Book Antiqua" w:eastAsia="楷体" w:hAnsi="Book Antiqua" w:cs="Times New Roman"/>
          <w:b/>
          <w:bCs/>
          <w:kern w:val="0"/>
          <w:sz w:val="24"/>
          <w:szCs w:val="24"/>
        </w:rPr>
      </w:pPr>
    </w:p>
    <w:p w:rsidR="00341958" w:rsidRPr="00705846" w:rsidRDefault="00341958">
      <w:pPr>
        <w:spacing w:line="360" w:lineRule="auto"/>
        <w:rPr>
          <w:rFonts w:ascii="Book Antiqua" w:eastAsia="楷体" w:hAnsi="Book Antiqua" w:cs="Times New Roman"/>
          <w:b/>
          <w:bCs/>
          <w:kern w:val="0"/>
          <w:sz w:val="24"/>
          <w:szCs w:val="24"/>
        </w:rPr>
      </w:pPr>
    </w:p>
    <w:p w:rsidR="00341958" w:rsidRPr="00705846" w:rsidRDefault="00341958">
      <w:pPr>
        <w:spacing w:line="360" w:lineRule="auto"/>
        <w:rPr>
          <w:rFonts w:ascii="Book Antiqua" w:eastAsia="楷体" w:hAnsi="Book Antiqua" w:cs="Times New Roman"/>
          <w:b/>
          <w:bCs/>
          <w:kern w:val="0"/>
          <w:sz w:val="24"/>
          <w:szCs w:val="24"/>
        </w:rPr>
      </w:pPr>
    </w:p>
    <w:p w:rsidR="00341958" w:rsidRPr="00705846" w:rsidRDefault="00341958">
      <w:pPr>
        <w:spacing w:line="360" w:lineRule="auto"/>
        <w:rPr>
          <w:rFonts w:ascii="Book Antiqua" w:eastAsia="楷体" w:hAnsi="Book Antiqua" w:cs="Times New Roman"/>
          <w:b/>
          <w:bCs/>
          <w:kern w:val="0"/>
          <w:sz w:val="24"/>
          <w:szCs w:val="24"/>
        </w:rPr>
      </w:pPr>
    </w:p>
    <w:p w:rsidR="00341958" w:rsidRPr="00705846" w:rsidRDefault="00705846">
      <w:pPr>
        <w:spacing w:line="360" w:lineRule="auto"/>
        <w:rPr>
          <w:rFonts w:ascii="Book Antiqua" w:eastAsia="楷体" w:hAnsi="Book Antiqua" w:cs="Times New Roman"/>
          <w:b/>
          <w:bCs/>
          <w:kern w:val="0"/>
          <w:sz w:val="24"/>
          <w:szCs w:val="24"/>
        </w:rPr>
      </w:pPr>
      <w:r w:rsidRPr="00705846">
        <w:rPr>
          <w:rFonts w:ascii="Book Antiqua" w:eastAsia="楷体" w:hAnsi="Book Antiqua" w:cs="Times New Roman"/>
          <w:b/>
          <w:bCs/>
          <w:kern w:val="0"/>
          <w:sz w:val="24"/>
          <w:szCs w:val="24"/>
        </w:rPr>
        <w:lastRenderedPageBreak/>
        <w:t>INTRODUCTION</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Hepatocellular carcinoma (HCC) is one of the most common and rapidly fatal malignancies worldwide</w:t>
      </w:r>
      <w:r w:rsidRPr="00705846">
        <w:rPr>
          <w:rFonts w:ascii="Book Antiqua" w:hAnsi="Book Antiqua" w:cs="Times New Roman"/>
          <w:sz w:val="24"/>
          <w:szCs w:val="24"/>
          <w:vertAlign w:val="superscript"/>
        </w:rPr>
        <w:t>[1,2]</w:t>
      </w:r>
      <w:r w:rsidRPr="00705846">
        <w:rPr>
          <w:rFonts w:ascii="Book Antiqua" w:hAnsi="Book Antiqua" w:cs="Times New Roman"/>
          <w:sz w:val="24"/>
          <w:szCs w:val="24"/>
        </w:rPr>
        <w:t>, with a highly chemoresistant cancer with no effective systemic or well-established adjuvant therapies</w:t>
      </w:r>
      <w:r w:rsidRPr="00705846">
        <w:rPr>
          <w:rFonts w:ascii="Book Antiqua" w:hAnsi="Book Antiqua" w:cs="Times New Roman"/>
          <w:sz w:val="24"/>
          <w:szCs w:val="24"/>
          <w:vertAlign w:val="superscript"/>
        </w:rPr>
        <w:t>[3,4]</w:t>
      </w:r>
      <w:r w:rsidRPr="00705846">
        <w:rPr>
          <w:rFonts w:ascii="Book Antiqua" w:hAnsi="Book Antiqua" w:cs="Times New Roman"/>
          <w:sz w:val="24"/>
          <w:szCs w:val="24"/>
        </w:rPr>
        <w:t>. HCC prognosis remains very poor because of its high recurrence. Nonalcoholic fatty liver disease (NAFLD) has been one of the primary causes of patients with chronic liver diseases or HCC in Europe, the United States, and Japan</w:t>
      </w:r>
      <w:r w:rsidRPr="00705846">
        <w:rPr>
          <w:rFonts w:ascii="Book Antiqua" w:hAnsi="Book Antiqua" w:cs="Times New Roman"/>
          <w:sz w:val="24"/>
          <w:szCs w:val="24"/>
          <w:vertAlign w:val="superscript"/>
        </w:rPr>
        <w:t>[5,6]</w:t>
      </w:r>
      <w:r w:rsidRPr="00705846">
        <w:rPr>
          <w:rFonts w:ascii="Book Antiqua" w:hAnsi="Book Antiqua" w:cs="Times New Roman"/>
          <w:sz w:val="24"/>
          <w:szCs w:val="24"/>
        </w:rPr>
        <w:t>. Now, it is also one of the main risk factors for HCC in China except for chronic persistent infection with hepatitis B viruses (HBV) or hepatitis C viruses (HCV) as well as other non-viral liver diseases</w:t>
      </w:r>
      <w:r w:rsidRPr="00705846">
        <w:rPr>
          <w:rFonts w:ascii="Book Antiqua" w:hAnsi="Book Antiqua" w:cs="Times New Roman"/>
          <w:sz w:val="24"/>
          <w:szCs w:val="24"/>
          <w:vertAlign w:val="superscript"/>
        </w:rPr>
        <w:t>[7</w:t>
      </w:r>
      <w:r>
        <w:rPr>
          <w:rFonts w:ascii="Book Antiqua" w:hAnsi="Book Antiqua" w:cs="Times New Roman" w:hint="eastAsia"/>
          <w:sz w:val="24"/>
          <w:szCs w:val="24"/>
          <w:vertAlign w:val="superscript"/>
        </w:rPr>
        <w:t>-</w:t>
      </w:r>
      <w:r w:rsidRPr="00705846">
        <w:rPr>
          <w:rFonts w:ascii="Book Antiqua" w:hAnsi="Book Antiqua" w:cs="Times New Roman"/>
          <w:sz w:val="24"/>
          <w:szCs w:val="24"/>
          <w:vertAlign w:val="superscript"/>
        </w:rPr>
        <w:t>9]</w:t>
      </w:r>
      <w:r w:rsidRPr="00705846">
        <w:rPr>
          <w:rFonts w:ascii="Book Antiqua" w:hAnsi="Book Antiqua" w:cs="Times New Roman"/>
          <w:sz w:val="24"/>
          <w:szCs w:val="24"/>
        </w:rPr>
        <w:t>. NAFLD is a disease characterized by diffuse macrovesicular steatosis of hepatocyte without excessive drinking history or other factors of liver damage</w:t>
      </w:r>
      <w:r w:rsidRPr="00705846">
        <w:rPr>
          <w:rFonts w:ascii="Book Antiqua" w:hAnsi="Book Antiqua" w:cs="Times New Roman"/>
          <w:sz w:val="24"/>
          <w:szCs w:val="24"/>
          <w:vertAlign w:val="superscript"/>
        </w:rPr>
        <w:t>[10,11]</w:t>
      </w:r>
      <w:r w:rsidRPr="00705846">
        <w:rPr>
          <w:rFonts w:ascii="Book Antiqua" w:hAnsi="Book Antiqua" w:cs="Times New Roman"/>
          <w:sz w:val="24"/>
          <w:szCs w:val="24"/>
        </w:rPr>
        <w:t>. It mainly includes simple fatty liver, nonalcoholic steatosis hepatitis (NASH), NASH-related cirrhosis, and even finally development of HCC</w:t>
      </w:r>
      <w:r w:rsidRPr="00705846">
        <w:rPr>
          <w:rFonts w:ascii="Book Antiqua" w:hAnsi="Book Antiqua" w:cs="Times New Roman"/>
          <w:sz w:val="24"/>
          <w:szCs w:val="24"/>
          <w:vertAlign w:val="superscript"/>
        </w:rPr>
        <w:t>[12,13]</w:t>
      </w:r>
      <w:r w:rsidRPr="00705846">
        <w:rPr>
          <w:rFonts w:ascii="Book Antiqua" w:hAnsi="Book Antiqua" w:cs="Times New Roman"/>
          <w:sz w:val="24"/>
          <w:szCs w:val="24"/>
        </w:rPr>
        <w:t xml:space="preserve">. However, the pathogenesis of </w:t>
      </w:r>
      <w:r w:rsidRPr="00705846">
        <w:rPr>
          <w:rFonts w:ascii="Book Antiqua" w:hAnsi="Book Antiqua" w:cs="Times New Roman"/>
          <w:color w:val="000000"/>
          <w:sz w:val="24"/>
          <w:szCs w:val="24"/>
        </w:rPr>
        <w:t xml:space="preserve">NAFLD </w:t>
      </w:r>
      <w:r w:rsidRPr="00705846">
        <w:rPr>
          <w:rFonts w:ascii="Book Antiqua" w:hAnsi="Book Antiqua" w:cs="Times New Roman"/>
          <w:sz w:val="24"/>
          <w:szCs w:val="24"/>
        </w:rPr>
        <w:t>formation is very complicated and the relationship between nonalcoholic fatty accumulation and hepatocyte injury or malignant transformation still need to be elucidated</w:t>
      </w:r>
      <w:r w:rsidRPr="00705846">
        <w:rPr>
          <w:rFonts w:ascii="Book Antiqua" w:hAnsi="Book Antiqua" w:cs="Times New Roman"/>
          <w:sz w:val="24"/>
          <w:szCs w:val="24"/>
          <w:vertAlign w:val="superscript"/>
        </w:rPr>
        <w:t>[14,15]</w:t>
      </w:r>
      <w:r w:rsidRPr="00705846">
        <w:rPr>
          <w:rFonts w:ascii="Book Antiqua" w:hAnsi="Book Antiqua" w:cs="Times New Roman"/>
          <w:sz w:val="24"/>
          <w:szCs w:val="24"/>
        </w:rPr>
        <w:t xml:space="preserve">. </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 xml:space="preserve">    </w:t>
      </w:r>
      <w:hyperlink r:id="rId13" w:tooltip="Fatty acid" w:history="1">
        <w:r w:rsidRPr="00705846">
          <w:rPr>
            <w:rStyle w:val="Hyperlink"/>
            <w:rFonts w:ascii="Book Antiqua" w:hAnsi="Book Antiqua" w:cs="Times New Roman"/>
            <w:sz w:val="24"/>
            <w:szCs w:val="24"/>
          </w:rPr>
          <w:t>Fatty acids</w:t>
        </w:r>
      </w:hyperlink>
      <w:r w:rsidRPr="00705846">
        <w:rPr>
          <w:rFonts w:ascii="Book Antiqua" w:hAnsi="Book Antiqua" w:cs="Times New Roman"/>
          <w:sz w:val="24"/>
          <w:szCs w:val="24"/>
        </w:rPr>
        <w:t xml:space="preserve"> are a family of molecules classified within the </w:t>
      </w:r>
      <w:hyperlink r:id="rId14" w:tooltip="Lipid" w:history="1">
        <w:r w:rsidRPr="00705846">
          <w:rPr>
            <w:rStyle w:val="Hyperlink"/>
            <w:rFonts w:ascii="Book Antiqua" w:hAnsi="Book Antiqua" w:cs="Times New Roman"/>
            <w:sz w:val="24"/>
            <w:szCs w:val="24"/>
          </w:rPr>
          <w:t>lipid</w:t>
        </w:r>
      </w:hyperlink>
      <w:r w:rsidRPr="00705846">
        <w:rPr>
          <w:rFonts w:ascii="Book Antiqua" w:hAnsi="Book Antiqua" w:cs="Times New Roman"/>
          <w:sz w:val="24"/>
          <w:szCs w:val="24"/>
        </w:rPr>
        <w:t xml:space="preserve"> </w:t>
      </w:r>
      <w:hyperlink r:id="rId15" w:tooltip="Macronutrient" w:history="1">
        <w:r w:rsidRPr="00705846">
          <w:rPr>
            <w:rStyle w:val="Hyperlink"/>
            <w:rFonts w:ascii="Book Antiqua" w:hAnsi="Book Antiqua" w:cs="Times New Roman"/>
            <w:sz w:val="24"/>
            <w:szCs w:val="24"/>
          </w:rPr>
          <w:t>macronutrient</w:t>
        </w:r>
      </w:hyperlink>
      <w:r w:rsidRPr="00705846">
        <w:rPr>
          <w:rFonts w:ascii="Book Antiqua" w:hAnsi="Book Antiqua" w:cs="Times New Roman"/>
          <w:sz w:val="24"/>
          <w:szCs w:val="24"/>
        </w:rPr>
        <w:t xml:space="preserve"> class. One role of fatty acids within metabolism is energy production, captured in the form of </w:t>
      </w:r>
      <w:hyperlink r:id="rId16" w:tooltip="Adenosine triphosphate" w:history="1">
        <w:r w:rsidRPr="00705846">
          <w:rPr>
            <w:rStyle w:val="Hyperlink"/>
            <w:rFonts w:ascii="Book Antiqua" w:hAnsi="Book Antiqua" w:cs="Times New Roman"/>
            <w:sz w:val="24"/>
            <w:szCs w:val="24"/>
          </w:rPr>
          <w:t>adenosine triphosphate</w:t>
        </w:r>
      </w:hyperlink>
      <w:r w:rsidRPr="00705846">
        <w:rPr>
          <w:rFonts w:ascii="Book Antiqua" w:hAnsi="Book Antiqua" w:cs="Times New Roman"/>
          <w:sz w:val="24"/>
          <w:szCs w:val="24"/>
        </w:rPr>
        <w:t xml:space="preserve"> (ATP)</w:t>
      </w:r>
      <w:r w:rsidRPr="00705846">
        <w:rPr>
          <w:rFonts w:ascii="Book Antiqua" w:hAnsi="Book Antiqua" w:cs="Times New Roman"/>
          <w:sz w:val="24"/>
          <w:szCs w:val="24"/>
          <w:vertAlign w:val="superscript"/>
        </w:rPr>
        <w:t>[16]</w:t>
      </w:r>
      <w:r w:rsidRPr="00705846">
        <w:rPr>
          <w:rFonts w:ascii="Book Antiqua" w:hAnsi="Book Antiqua" w:cs="Times New Roman"/>
          <w:sz w:val="24"/>
          <w:szCs w:val="24"/>
        </w:rPr>
        <w:t>. When they are completely oxidized to CO</w:t>
      </w:r>
      <w:r w:rsidRPr="00705846">
        <w:rPr>
          <w:rFonts w:ascii="Book Antiqua" w:hAnsi="Book Antiqua" w:cs="Times New Roman"/>
          <w:sz w:val="24"/>
          <w:szCs w:val="24"/>
          <w:vertAlign w:val="subscript"/>
        </w:rPr>
        <w:t>2</w:t>
      </w:r>
      <w:r w:rsidRPr="00705846">
        <w:rPr>
          <w:rFonts w:ascii="Book Antiqua" w:hAnsi="Book Antiqua" w:cs="Times New Roman"/>
          <w:sz w:val="24"/>
          <w:szCs w:val="24"/>
        </w:rPr>
        <w:t xml:space="preserve"> and water by </w:t>
      </w:r>
      <w:hyperlink r:id="rId17" w:tooltip="Β-oxidation" w:history="1">
        <w:r w:rsidRPr="00705846">
          <w:rPr>
            <w:rStyle w:val="Hyperlink"/>
            <w:rFonts w:ascii="Book Antiqua" w:hAnsi="Book Antiqua" w:cs="Times New Roman"/>
            <w:sz w:val="24"/>
            <w:szCs w:val="24"/>
          </w:rPr>
          <w:t>β-oxidation</w:t>
        </w:r>
      </w:hyperlink>
      <w:r w:rsidRPr="00705846">
        <w:rPr>
          <w:rFonts w:ascii="Book Antiqua" w:hAnsi="Book Antiqua" w:cs="Times New Roman"/>
          <w:sz w:val="24"/>
          <w:szCs w:val="24"/>
        </w:rPr>
        <w:t xml:space="preserve"> in </w:t>
      </w:r>
      <w:hyperlink r:id="rId18" w:tooltip="Mitochondria" w:history="1">
        <w:r w:rsidRPr="00705846">
          <w:rPr>
            <w:rStyle w:val="Hyperlink"/>
            <w:rFonts w:ascii="Book Antiqua" w:hAnsi="Book Antiqua" w:cs="Times New Roman"/>
            <w:sz w:val="24"/>
            <w:szCs w:val="24"/>
          </w:rPr>
          <w:t>mitochondria</w:t>
        </w:r>
      </w:hyperlink>
      <w:r w:rsidRPr="00705846">
        <w:rPr>
          <w:rFonts w:ascii="Book Antiqua" w:hAnsi="Book Antiqua" w:cs="Times New Roman"/>
          <w:sz w:val="24"/>
          <w:szCs w:val="24"/>
        </w:rPr>
        <w:t xml:space="preserve"> and the </w:t>
      </w:r>
      <w:hyperlink r:id="rId19" w:tooltip="Citric acid cycle" w:history="1">
        <w:r w:rsidRPr="00705846">
          <w:rPr>
            <w:rStyle w:val="Hyperlink"/>
            <w:rFonts w:ascii="Book Antiqua" w:hAnsi="Book Antiqua" w:cs="Times New Roman"/>
            <w:sz w:val="24"/>
            <w:szCs w:val="24"/>
          </w:rPr>
          <w:t>citric acid cycle</w:t>
        </w:r>
      </w:hyperlink>
      <w:r w:rsidRPr="00705846">
        <w:rPr>
          <w:rFonts w:ascii="Book Antiqua" w:hAnsi="Book Antiqua" w:cs="Times New Roman"/>
          <w:sz w:val="24"/>
          <w:szCs w:val="24"/>
        </w:rPr>
        <w:t>. Carnitine palmitoyl transferase (CPT) system (EC 2.3.1.21) is a pivotal component of ATP generation through mitochondrial fatty acid oxidation</w:t>
      </w:r>
      <w:r w:rsidRPr="00705846">
        <w:rPr>
          <w:rFonts w:ascii="Book Antiqua" w:hAnsi="Book Antiqua" w:cs="Times New Roman"/>
          <w:sz w:val="24"/>
          <w:szCs w:val="24"/>
          <w:vertAlign w:val="superscript"/>
        </w:rPr>
        <w:t>[17]</w:t>
      </w:r>
      <w:r w:rsidRPr="00705846">
        <w:rPr>
          <w:rFonts w:ascii="Book Antiqua" w:hAnsi="Book Antiqua" w:cs="Times New Roman"/>
          <w:sz w:val="24"/>
          <w:szCs w:val="24"/>
        </w:rPr>
        <w:t>. The CPT complex consists of two enzymes located in the outer (CPT-I) and inner (CPT-II) mitochondrial membranes</w:t>
      </w:r>
      <w:r w:rsidRPr="00705846">
        <w:rPr>
          <w:rFonts w:ascii="Book Antiqua" w:hAnsi="Book Antiqua" w:cs="Times New Roman"/>
          <w:sz w:val="24"/>
          <w:szCs w:val="24"/>
          <w:vertAlign w:val="superscript"/>
        </w:rPr>
        <w:t>[18]</w:t>
      </w:r>
      <w:r w:rsidRPr="00705846">
        <w:rPr>
          <w:rFonts w:ascii="Book Antiqua" w:hAnsi="Book Antiqua" w:cs="Times New Roman"/>
          <w:sz w:val="24"/>
          <w:szCs w:val="24"/>
        </w:rPr>
        <w:t>. The rate-limiting step in the importation of long-chain fatty acids into the mitochondria is the transesterification of acyl-coenzyme A (CoA) to acylcarnitine by CPT-I, while CPT-II changes the imported acylcarnitine back to acyl-CoA</w:t>
      </w:r>
      <w:r w:rsidRPr="00705846">
        <w:rPr>
          <w:rFonts w:ascii="Book Antiqua" w:hAnsi="Book Antiqua" w:cs="Times New Roman"/>
          <w:sz w:val="24"/>
          <w:szCs w:val="24"/>
          <w:vertAlign w:val="superscript"/>
        </w:rPr>
        <w:t>[19]</w:t>
      </w:r>
      <w:r w:rsidRPr="00705846">
        <w:rPr>
          <w:rFonts w:ascii="Book Antiqua" w:hAnsi="Book Antiqua" w:cs="Times New Roman"/>
          <w:sz w:val="24"/>
          <w:szCs w:val="24"/>
        </w:rPr>
        <w:t>. CPT II protein is a homotetramer encoded by a single gene (which spans 20kb, contai</w:t>
      </w:r>
      <w:r>
        <w:rPr>
          <w:rFonts w:ascii="Book Antiqua" w:hAnsi="Book Antiqua" w:cs="Times New Roman"/>
          <w:sz w:val="24"/>
          <w:szCs w:val="24"/>
        </w:rPr>
        <w:t>ns 5 exons ranging from 81 to 1</w:t>
      </w:r>
      <w:r w:rsidRPr="00705846">
        <w:rPr>
          <w:rFonts w:ascii="Book Antiqua" w:hAnsi="Book Antiqua" w:cs="Times New Roman"/>
          <w:sz w:val="24"/>
          <w:szCs w:val="24"/>
        </w:rPr>
        <w:t xml:space="preserve">305 bp), and is located on </w:t>
      </w:r>
      <w:r w:rsidRPr="00705846">
        <w:rPr>
          <w:rFonts w:ascii="Book Antiqua" w:hAnsi="Book Antiqua" w:cs="Times New Roman"/>
          <w:sz w:val="24"/>
          <w:szCs w:val="24"/>
        </w:rPr>
        <w:lastRenderedPageBreak/>
        <w:t>chromosome 1p32. Its activity has closely associated with energy metabolism and fatty acid oxidation</w:t>
      </w:r>
      <w:r w:rsidRPr="00705846">
        <w:rPr>
          <w:rFonts w:ascii="Book Antiqua" w:hAnsi="Book Antiqua" w:cs="Times New Roman"/>
          <w:sz w:val="24"/>
          <w:szCs w:val="24"/>
          <w:vertAlign w:val="superscript"/>
        </w:rPr>
        <w:t>[20]</w:t>
      </w:r>
      <w:r w:rsidRPr="00705846">
        <w:rPr>
          <w:rFonts w:ascii="Book Antiqua" w:hAnsi="Book Antiqua" w:cs="Times New Roman"/>
          <w:sz w:val="24"/>
          <w:szCs w:val="24"/>
        </w:rPr>
        <w:t>. However, to our knowledge, the relationship between CPT-II activity and lipid accumulation has not been reported, especially in NAFLD or HCC</w:t>
      </w:r>
      <w:r w:rsidRPr="00705846">
        <w:rPr>
          <w:rFonts w:ascii="Book Antiqua" w:hAnsi="Book Antiqua" w:cs="Times New Roman"/>
          <w:sz w:val="24"/>
          <w:szCs w:val="24"/>
          <w:vertAlign w:val="superscript"/>
        </w:rPr>
        <w:t>[21,22]</w:t>
      </w:r>
      <w:r w:rsidRPr="00705846">
        <w:rPr>
          <w:rFonts w:ascii="Book Antiqua" w:hAnsi="Book Antiqua" w:cs="Times New Roman"/>
          <w:sz w:val="24"/>
          <w:szCs w:val="24"/>
        </w:rPr>
        <w:t>. The objectives of this study were to investigate the dynamic alterations of hepatic mitochondrial inner membrane CPT-II activity and hepatic specific concentration during rat hepatocarcinogenesis under the statues of nonalcoholic lipid accumulation.</w:t>
      </w:r>
    </w:p>
    <w:p w:rsidR="00341958" w:rsidRPr="00705846" w:rsidRDefault="00341958">
      <w:pPr>
        <w:spacing w:line="360" w:lineRule="auto"/>
        <w:rPr>
          <w:rFonts w:ascii="Book Antiqua" w:hAnsi="Book Antiqua" w:cs="Times New Roman"/>
          <w:b/>
          <w:bCs/>
          <w:sz w:val="24"/>
          <w:szCs w:val="24"/>
        </w:rPr>
      </w:pP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b/>
          <w:bCs/>
          <w:sz w:val="24"/>
          <w:szCs w:val="24"/>
        </w:rPr>
        <w:t>MATERIALS AND METHODS</w:t>
      </w: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b/>
          <w:bCs/>
          <w:i/>
          <w:iCs/>
          <w:sz w:val="24"/>
          <w:szCs w:val="24"/>
        </w:rPr>
        <w:t>Rats and animal models</w:t>
      </w:r>
      <w:r w:rsidRPr="00705846">
        <w:rPr>
          <w:rFonts w:ascii="Book Antiqua" w:hAnsi="Book Antiqua" w:cs="Times New Roman"/>
          <w:b/>
          <w:bCs/>
          <w:sz w:val="24"/>
          <w:szCs w:val="24"/>
        </w:rPr>
        <w:t xml:space="preserve"> </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 xml:space="preserve">Ninety-four male </w:t>
      </w:r>
      <w:r w:rsidRPr="00705846">
        <w:rPr>
          <w:rFonts w:ascii="Book Antiqua" w:eastAsia="KaiTi_GB2312" w:hAnsi="Book Antiqua" w:cs="Times New Roman"/>
          <w:sz w:val="24"/>
          <w:szCs w:val="24"/>
        </w:rPr>
        <w:t>Sprague-Dawley (</w:t>
      </w:r>
      <w:r w:rsidRPr="00705846">
        <w:rPr>
          <w:rFonts w:ascii="Book Antiqua" w:hAnsi="Book Antiqua" w:cs="Times New Roman"/>
          <w:sz w:val="24"/>
          <w:szCs w:val="24"/>
        </w:rPr>
        <w:t>SD) rats (4</w:t>
      </w:r>
      <w:r>
        <w:rPr>
          <w:rFonts w:ascii="Book Antiqua" w:hAnsi="Book Antiqua" w:cs="Times New Roman" w:hint="eastAsia"/>
          <w:sz w:val="24"/>
          <w:szCs w:val="24"/>
        </w:rPr>
        <w:t>-</w:t>
      </w:r>
      <w:r w:rsidRPr="00705846">
        <w:rPr>
          <w:rFonts w:ascii="Book Antiqua" w:hAnsi="Book Antiqua" w:cs="Times New Roman"/>
          <w:sz w:val="24"/>
          <w:szCs w:val="24"/>
        </w:rPr>
        <w:t>6</w:t>
      </w:r>
      <w:r>
        <w:rPr>
          <w:rFonts w:ascii="Book Antiqua" w:hAnsi="Book Antiqua" w:cs="Times New Roman" w:hint="eastAsia"/>
          <w:sz w:val="24"/>
          <w:szCs w:val="24"/>
        </w:rPr>
        <w:t>-</w:t>
      </w:r>
      <w:r w:rsidRPr="00705846">
        <w:rPr>
          <w:rFonts w:ascii="Book Antiqua" w:hAnsi="Book Antiqua" w:cs="Times New Roman"/>
          <w:sz w:val="24"/>
          <w:szCs w:val="24"/>
        </w:rPr>
        <w:t>week</w:t>
      </w:r>
      <w:r>
        <w:rPr>
          <w:rFonts w:ascii="Book Antiqua" w:hAnsi="Book Antiqua" w:cs="Times New Roman" w:hint="eastAsia"/>
          <w:sz w:val="24"/>
          <w:szCs w:val="24"/>
        </w:rPr>
        <w:t>-</w:t>
      </w:r>
      <w:r w:rsidRPr="00705846">
        <w:rPr>
          <w:rFonts w:ascii="Book Antiqua" w:hAnsi="Book Antiqua" w:cs="Times New Roman"/>
          <w:sz w:val="24"/>
          <w:szCs w:val="24"/>
        </w:rPr>
        <w:t>old, body weight 100</w:t>
      </w:r>
      <w:r>
        <w:rPr>
          <w:rFonts w:ascii="Book Antiqua" w:hAnsi="Book Antiqua" w:cs="Times New Roman" w:hint="eastAsia"/>
          <w:sz w:val="24"/>
          <w:szCs w:val="24"/>
        </w:rPr>
        <w:t>-</w:t>
      </w:r>
      <w:r w:rsidRPr="00705846">
        <w:rPr>
          <w:rFonts w:ascii="Book Antiqua" w:hAnsi="Book Antiqua" w:cs="Times New Roman"/>
          <w:sz w:val="24"/>
          <w:szCs w:val="24"/>
        </w:rPr>
        <w:t xml:space="preserve">120g) provided by the Experimental Animal Center of Nantong University, China, </w:t>
      </w:r>
      <w:r w:rsidRPr="00705846">
        <w:rPr>
          <w:rFonts w:ascii="Book Antiqua" w:eastAsia="KaiTi_GB2312" w:hAnsi="Book Antiqua" w:cs="Times New Roman"/>
          <w:sz w:val="24"/>
          <w:szCs w:val="24"/>
        </w:rPr>
        <w:t>were divided randomly into control (</w:t>
      </w:r>
      <w:r w:rsidRPr="00705846">
        <w:rPr>
          <w:rFonts w:ascii="Book Antiqua" w:eastAsia="KaiTi_GB2312" w:hAnsi="Book Antiqua" w:cs="Times New Roman"/>
          <w:i/>
          <w:sz w:val="24"/>
          <w:szCs w:val="24"/>
        </w:rPr>
        <w:t>n</w:t>
      </w:r>
      <w:r w:rsidRPr="00705846">
        <w:rPr>
          <w:rFonts w:ascii="Book Antiqua" w:eastAsia="KaiTi_GB2312" w:hAnsi="Book Antiqua" w:cs="Times New Roman"/>
          <w:sz w:val="24"/>
          <w:szCs w:val="24"/>
        </w:rPr>
        <w:t xml:space="preserve"> =</w:t>
      </w:r>
      <w:r>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10), fatty liver (</w:t>
      </w:r>
      <w:r w:rsidRPr="00705846">
        <w:rPr>
          <w:rFonts w:ascii="Book Antiqua" w:eastAsia="KaiTi_GB2312" w:hAnsi="Book Antiqua" w:cs="Times New Roman"/>
          <w:i/>
          <w:sz w:val="24"/>
          <w:szCs w:val="24"/>
        </w:rPr>
        <w:t>n</w:t>
      </w:r>
      <w:r w:rsidRPr="00705846">
        <w:rPr>
          <w:rFonts w:ascii="Book Antiqua" w:eastAsia="KaiTi_GB2312" w:hAnsi="Book Antiqua" w:cs="Times New Roman"/>
          <w:sz w:val="24"/>
          <w:szCs w:val="24"/>
        </w:rPr>
        <w:t xml:space="preserve"> =</w:t>
      </w:r>
      <w:r>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42), and inducing cancer groups (</w:t>
      </w:r>
      <w:r w:rsidRPr="00705846">
        <w:rPr>
          <w:rFonts w:ascii="Book Antiqua" w:eastAsia="KaiTi_GB2312" w:hAnsi="Book Antiqua" w:cs="Times New Roman"/>
          <w:i/>
          <w:sz w:val="24"/>
          <w:szCs w:val="24"/>
        </w:rPr>
        <w:t>n</w:t>
      </w:r>
      <w:r>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w:t>
      </w:r>
      <w:r>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 xml:space="preserve">42), </w:t>
      </w:r>
      <w:r w:rsidRPr="00705846">
        <w:rPr>
          <w:rFonts w:ascii="Book Antiqua" w:hAnsi="Book Antiqua" w:cs="Times New Roman"/>
          <w:sz w:val="24"/>
          <w:szCs w:val="24"/>
        </w:rPr>
        <w:t>and housed under bio-clean conditions at 22</w:t>
      </w:r>
      <w:r w:rsidRPr="00705846">
        <w:rPr>
          <w:rFonts w:ascii="Book Antiqua" w:hAnsi="Book Antiqua" w:cs="SimSun"/>
          <w:sz w:val="24"/>
          <w:szCs w:val="24"/>
        </w:rPr>
        <w:t>±</w:t>
      </w:r>
      <w:r w:rsidRPr="00705846">
        <w:rPr>
          <w:rFonts w:ascii="Book Antiqua" w:hAnsi="Book Antiqua" w:cs="Times New Roman"/>
          <w:sz w:val="24"/>
          <w:szCs w:val="24"/>
        </w:rPr>
        <w:t>2</w:t>
      </w:r>
      <w:r w:rsidRPr="00705846">
        <w:rPr>
          <w:rFonts w:ascii="SimSun" w:hAnsi="SimSun" w:cs="SimSun" w:hint="eastAsia"/>
          <w:sz w:val="24"/>
          <w:szCs w:val="24"/>
        </w:rPr>
        <w:t>℃</w:t>
      </w:r>
      <w:r>
        <w:rPr>
          <w:rFonts w:ascii="Book Antiqua" w:hAnsi="Book Antiqua" w:cs="Times New Roman"/>
          <w:sz w:val="24"/>
          <w:szCs w:val="24"/>
        </w:rPr>
        <w:t xml:space="preserve"> environment with a 12-h</w:t>
      </w:r>
      <w:r w:rsidRPr="00705846">
        <w:rPr>
          <w:rFonts w:ascii="Book Antiqua" w:hAnsi="Book Antiqua" w:cs="Times New Roman"/>
          <w:sz w:val="24"/>
          <w:szCs w:val="24"/>
        </w:rPr>
        <w:t xml:space="preserve"> light/dark cycle and 55% humidity according to the previous method</w:t>
      </w:r>
      <w:r w:rsidRPr="00705846">
        <w:rPr>
          <w:rFonts w:ascii="Book Antiqua" w:hAnsi="Book Antiqua" w:cs="Times New Roman"/>
          <w:sz w:val="24"/>
          <w:szCs w:val="24"/>
          <w:vertAlign w:val="superscript"/>
        </w:rPr>
        <w:t>[23]</w:t>
      </w:r>
      <w:r w:rsidRPr="00705846">
        <w:rPr>
          <w:rFonts w:ascii="Book Antiqua" w:hAnsi="Book Antiqua" w:cs="Times New Roman"/>
          <w:sz w:val="24"/>
          <w:szCs w:val="24"/>
        </w:rPr>
        <w:t xml:space="preserve"> . The starting time for the animal experiment was defined as week 0. The rats were then monitored daily for survival and weight loss, recorded their clinical signs and sacrificed at different time. All procedures performed on the animals were conducted in accordance with the guidelines for experimental animals approved by the Animal Care and Use Committee of Nantong University, China.</w:t>
      </w:r>
    </w:p>
    <w:p w:rsidR="00341958" w:rsidRPr="00705846" w:rsidRDefault="00341958">
      <w:pPr>
        <w:spacing w:line="360" w:lineRule="auto"/>
        <w:rPr>
          <w:rFonts w:ascii="Book Antiqua" w:hAnsi="Book Antiqua" w:cs="Times New Roman"/>
          <w:b/>
          <w:bCs/>
          <w:i/>
          <w:iCs/>
          <w:sz w:val="24"/>
          <w:szCs w:val="24"/>
        </w:rPr>
      </w:pPr>
    </w:p>
    <w:p w:rsidR="00341958" w:rsidRPr="00705846" w:rsidRDefault="00705846">
      <w:pPr>
        <w:spacing w:line="360" w:lineRule="auto"/>
        <w:rPr>
          <w:rFonts w:ascii="Book Antiqua" w:hAnsi="Book Antiqua" w:cs="Times New Roman"/>
          <w:b/>
          <w:bCs/>
          <w:i/>
          <w:iCs/>
          <w:sz w:val="24"/>
          <w:szCs w:val="24"/>
        </w:rPr>
      </w:pPr>
      <w:r w:rsidRPr="00705846">
        <w:rPr>
          <w:rFonts w:ascii="Book Antiqua" w:hAnsi="Book Antiqua" w:cs="Times New Roman"/>
          <w:b/>
          <w:bCs/>
          <w:i/>
          <w:iCs/>
          <w:sz w:val="24"/>
          <w:szCs w:val="24"/>
        </w:rPr>
        <w:t>Pathological examination</w:t>
      </w:r>
    </w:p>
    <w:p w:rsidR="00341958" w:rsidRPr="00705846" w:rsidRDefault="00705846">
      <w:pPr>
        <w:spacing w:line="360" w:lineRule="auto"/>
        <w:rPr>
          <w:rFonts w:ascii="Book Antiqua" w:eastAsia="KaiTi_GB2312" w:hAnsi="Book Antiqua" w:cs="Times New Roman"/>
          <w:sz w:val="24"/>
          <w:szCs w:val="24"/>
        </w:rPr>
      </w:pPr>
      <w:r w:rsidRPr="00705846">
        <w:rPr>
          <w:rFonts w:ascii="Book Antiqua" w:hAnsi="Book Antiqua" w:cs="Times New Roman"/>
          <w:sz w:val="24"/>
          <w:szCs w:val="24"/>
        </w:rPr>
        <w:t xml:space="preserve">Rat liver tissues were fixed by 10% (V/V) buffered formalin and then dehydrated, transparent, dipped wax, embedded, sliced, made of the paraffin sections. And then subjected to histological examination </w:t>
      </w:r>
      <w:r w:rsidRPr="00705846">
        <w:rPr>
          <w:rFonts w:ascii="Book Antiqua" w:eastAsia="KaiTi_GB2312" w:hAnsi="Book Antiqua" w:cs="Times New Roman"/>
          <w:sz w:val="24"/>
          <w:szCs w:val="24"/>
        </w:rPr>
        <w:t xml:space="preserve">with the Hematoxylin and Eosin (H&amp;E) staining </w:t>
      </w:r>
      <w:r w:rsidRPr="00705846">
        <w:rPr>
          <w:rFonts w:ascii="Book Antiqua" w:hAnsi="Book Antiqua" w:cs="Times New Roman"/>
          <w:sz w:val="24"/>
          <w:szCs w:val="24"/>
        </w:rPr>
        <w:t>which observed and photographed by light microscope (BX51, Olympus, Japan) and</w:t>
      </w:r>
      <w:r w:rsidRPr="00705846">
        <w:rPr>
          <w:rFonts w:ascii="Book Antiqua" w:eastAsia="KaiTi_GB2312" w:hAnsi="Book Antiqua" w:cs="Times New Roman"/>
          <w:sz w:val="24"/>
          <w:szCs w:val="24"/>
        </w:rPr>
        <w:t>divided into control, fatty liver, degeneration, precancerous, and cancerous groups.</w:t>
      </w:r>
    </w:p>
    <w:p w:rsidR="00341958" w:rsidRPr="00705846" w:rsidRDefault="00341958">
      <w:pPr>
        <w:spacing w:line="360" w:lineRule="auto"/>
        <w:rPr>
          <w:rFonts w:ascii="Book Antiqua" w:hAnsi="Book Antiqua" w:cs="Times New Roman"/>
          <w:b/>
          <w:bCs/>
          <w:i/>
          <w:iCs/>
          <w:sz w:val="24"/>
          <w:szCs w:val="24"/>
        </w:rPr>
      </w:pPr>
    </w:p>
    <w:p w:rsidR="00341958" w:rsidRPr="00705846" w:rsidRDefault="00705846">
      <w:pPr>
        <w:spacing w:line="360" w:lineRule="auto"/>
        <w:rPr>
          <w:rFonts w:ascii="Book Antiqua" w:hAnsi="Book Antiqua" w:cs="Times New Roman"/>
          <w:i/>
          <w:iCs/>
          <w:sz w:val="24"/>
          <w:szCs w:val="24"/>
        </w:rPr>
      </w:pPr>
      <w:r w:rsidRPr="00705846">
        <w:rPr>
          <w:rFonts w:ascii="Book Antiqua" w:hAnsi="Book Antiqua" w:cs="Times New Roman"/>
          <w:b/>
          <w:bCs/>
          <w:i/>
          <w:iCs/>
          <w:sz w:val="24"/>
          <w:szCs w:val="24"/>
        </w:rPr>
        <w:lastRenderedPageBreak/>
        <w:t>Lipid accumulation model</w:t>
      </w:r>
    </w:p>
    <w:p w:rsidR="00341958" w:rsidRPr="00705846" w:rsidRDefault="00705846">
      <w:pPr>
        <w:spacing w:line="360" w:lineRule="auto"/>
        <w:rPr>
          <w:rFonts w:ascii="Book Antiqua" w:eastAsia="KaiTi_GB2312" w:hAnsi="Book Antiqua" w:cs="Times New Roman"/>
          <w:sz w:val="24"/>
          <w:szCs w:val="24"/>
        </w:rPr>
      </w:pPr>
      <w:r w:rsidRPr="00705846">
        <w:rPr>
          <w:rFonts w:ascii="Book Antiqua" w:hAnsi="Book Antiqua" w:cs="Times New Roman"/>
          <w:sz w:val="24"/>
          <w:szCs w:val="24"/>
        </w:rPr>
        <w:t>The rats in the fatty liver group were fed with high fat diet (HF, 10% lard, 10% yolk, 4% cholesterol, 1% cholic acid, and 75% normal diet)</w:t>
      </w:r>
      <w:r w:rsidRPr="00705846">
        <w:rPr>
          <w:rFonts w:ascii="Book Antiqua" w:hAnsi="Book Antiqua" w:cs="Times New Roman"/>
          <w:sz w:val="24"/>
          <w:szCs w:val="24"/>
          <w:vertAlign w:val="superscript"/>
        </w:rPr>
        <w:t>[24, 25]</w:t>
      </w:r>
      <w:r w:rsidRPr="00705846">
        <w:rPr>
          <w:rFonts w:ascii="Book Antiqua" w:hAnsi="Book Antiqua" w:cs="Times New Roman"/>
          <w:sz w:val="24"/>
          <w:szCs w:val="24"/>
        </w:rPr>
        <w:t>. The rats in the i</w:t>
      </w:r>
      <w:r w:rsidRPr="00705846">
        <w:rPr>
          <w:rFonts w:ascii="Book Antiqua" w:eastAsia="KaiTi_GB2312" w:hAnsi="Book Antiqua" w:cs="Times New Roman"/>
          <w:sz w:val="24"/>
          <w:szCs w:val="24"/>
        </w:rPr>
        <w:t>nducing cancer groups</w:t>
      </w:r>
      <w:r w:rsidRPr="00705846">
        <w:rPr>
          <w:rFonts w:ascii="Book Antiqua" w:hAnsi="Book Antiqua" w:cs="Times New Roman"/>
          <w:sz w:val="24"/>
          <w:szCs w:val="24"/>
        </w:rPr>
        <w:t xml:space="preserve"> were fed with </w:t>
      </w:r>
      <w:r w:rsidRPr="00705846">
        <w:rPr>
          <w:rFonts w:ascii="Book Antiqua" w:eastAsia="KaiTi_GB2312" w:hAnsi="Book Antiqua" w:cs="Times New Roman"/>
          <w:sz w:val="24"/>
          <w:szCs w:val="24"/>
        </w:rPr>
        <w:t xml:space="preserve">HF containing 0.05% 2-fluorenyl- acetamide (2-FAA, Sigma, United States) diet. </w:t>
      </w:r>
      <w:r w:rsidRPr="00705846">
        <w:rPr>
          <w:rFonts w:ascii="Book Antiqua" w:hAnsi="Book Antiqua" w:cs="Times New Roman"/>
          <w:sz w:val="24"/>
          <w:szCs w:val="24"/>
        </w:rPr>
        <w:t xml:space="preserve">The rats in the control group were fed with normal diet. </w:t>
      </w:r>
      <w:r w:rsidRPr="00705846">
        <w:rPr>
          <w:rFonts w:ascii="Book Antiqua" w:eastAsia="KaiTi_GB2312" w:hAnsi="Book Antiqua" w:cs="Times New Roman"/>
          <w:sz w:val="24"/>
          <w:szCs w:val="24"/>
        </w:rPr>
        <w:t>The rats with one control, each of HF and HF-2-FAA group were sacrificed for drawn blood and collected livers in every two weeks. The morphological changes of rat livers were examined with the H&amp;E staining. According the H&amp;E results, the rats were divided into the control, fatty liver, degeneration, precancerous, and cancerous groups. The hepatic lipid accumulation of different livers were dyed with the Oil Red O method</w:t>
      </w:r>
      <w:r w:rsidRPr="00705846">
        <w:rPr>
          <w:rFonts w:ascii="Book Antiqua" w:eastAsia="KaiTi_GB2312" w:hAnsi="Book Antiqua" w:cs="Times New Roman"/>
          <w:color w:val="000000"/>
          <w:sz w:val="24"/>
          <w:szCs w:val="24"/>
          <w:vertAlign w:val="superscript"/>
        </w:rPr>
        <w:t>[26]</w:t>
      </w:r>
      <w:r w:rsidRPr="00705846">
        <w:rPr>
          <w:rFonts w:ascii="Book Antiqua" w:eastAsia="KaiTi_GB2312" w:hAnsi="Book Antiqua" w:cs="Times New Roman"/>
          <w:sz w:val="24"/>
          <w:szCs w:val="24"/>
        </w:rPr>
        <w:t xml:space="preserve">, the alterations of CPT-II expression were confirmed by immunohistochemistry, and compared with the CPT-II specific concentration (μg/mg liver protein) among the different groups. </w:t>
      </w:r>
    </w:p>
    <w:p w:rsidR="00341958" w:rsidRPr="00705846" w:rsidRDefault="00341958">
      <w:pPr>
        <w:spacing w:line="360" w:lineRule="auto"/>
        <w:rPr>
          <w:rFonts w:ascii="Book Antiqua" w:hAnsi="Book Antiqua" w:cs="Times New Roman"/>
          <w:b/>
          <w:bCs/>
          <w:i/>
          <w:iCs/>
          <w:sz w:val="24"/>
          <w:szCs w:val="24"/>
        </w:rPr>
      </w:pPr>
    </w:p>
    <w:p w:rsidR="00341958" w:rsidRPr="00705846" w:rsidRDefault="00705846">
      <w:pPr>
        <w:spacing w:line="360" w:lineRule="auto"/>
        <w:rPr>
          <w:rFonts w:ascii="Book Antiqua" w:hAnsi="Book Antiqua" w:cs="Times New Roman"/>
          <w:b/>
          <w:bCs/>
          <w:i/>
          <w:iCs/>
          <w:sz w:val="24"/>
          <w:szCs w:val="24"/>
        </w:rPr>
      </w:pPr>
      <w:r w:rsidRPr="00705846">
        <w:rPr>
          <w:rFonts w:ascii="Book Antiqua" w:hAnsi="Book Antiqua" w:cs="Times New Roman"/>
          <w:b/>
          <w:bCs/>
          <w:i/>
          <w:iCs/>
          <w:sz w:val="24"/>
          <w:szCs w:val="24"/>
        </w:rPr>
        <w:t>Fat with oil red O staining</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Rat liver tissues stored at −80</w:t>
      </w:r>
      <w:r w:rsidRPr="00705846">
        <w:rPr>
          <w:rFonts w:ascii="SimSun" w:hAnsi="SimSun" w:cs="SimSun" w:hint="eastAsia"/>
          <w:sz w:val="24"/>
          <w:szCs w:val="24"/>
        </w:rPr>
        <w:t>℃</w:t>
      </w:r>
      <w:r w:rsidRPr="00705846">
        <w:rPr>
          <w:rFonts w:ascii="Book Antiqua" w:hAnsi="Book Antiqua" w:cs="Times New Roman"/>
          <w:sz w:val="24"/>
          <w:szCs w:val="24"/>
        </w:rPr>
        <w:t xml:space="preserve">were made of the frozen section, stained by the Oil Red O solution </w:t>
      </w:r>
      <w:r w:rsidRPr="00705846">
        <w:rPr>
          <w:rFonts w:ascii="Book Antiqua" w:hAnsi="Book Antiqua" w:cs="Times New Roman"/>
          <w:color w:val="000000"/>
          <w:sz w:val="24"/>
          <w:szCs w:val="24"/>
        </w:rPr>
        <w:t>(0.5%, Nanjing Jiangcheng Bioengineering Institute, China)</w:t>
      </w:r>
      <w:r w:rsidRPr="00705846">
        <w:rPr>
          <w:rFonts w:ascii="Book Antiqua" w:hAnsi="Book Antiqua" w:cs="Times New Roman"/>
          <w:sz w:val="24"/>
          <w:szCs w:val="24"/>
        </w:rPr>
        <w:t xml:space="preserve"> observed and photographed by light microscopy (IX71-A12FL/PH, Olympus, Japan).The ratio of red area to total tissue area in each microscopic field was determined by the </w:t>
      </w:r>
      <w:r w:rsidRPr="00705846">
        <w:rPr>
          <w:rFonts w:ascii="Book Antiqua" w:eastAsia="KaiTi_GB2312" w:hAnsi="Book Antiqua" w:cs="Times New Roman"/>
          <w:sz w:val="24"/>
          <w:szCs w:val="24"/>
        </w:rPr>
        <w:t>Image Pro Plus 6.0</w:t>
      </w:r>
      <w:r w:rsidRPr="00705846">
        <w:rPr>
          <w:rFonts w:ascii="Book Antiqua" w:hAnsi="Book Antiqua" w:cs="Times New Roman"/>
          <w:sz w:val="24"/>
          <w:szCs w:val="24"/>
        </w:rPr>
        <w:t>. This ratio represents the relative content of fats in each liver tissue.</w:t>
      </w:r>
    </w:p>
    <w:p w:rsidR="00341958" w:rsidRPr="00705846" w:rsidRDefault="00341958">
      <w:pPr>
        <w:spacing w:line="360" w:lineRule="auto"/>
        <w:rPr>
          <w:rFonts w:ascii="Book Antiqua" w:hAnsi="Book Antiqua" w:cs="Times New Roman"/>
          <w:b/>
          <w:bCs/>
          <w:i/>
          <w:iCs/>
          <w:sz w:val="24"/>
          <w:szCs w:val="24"/>
        </w:rPr>
      </w:pPr>
    </w:p>
    <w:p w:rsidR="00341958" w:rsidRPr="00705846" w:rsidRDefault="00705846">
      <w:pPr>
        <w:spacing w:line="360" w:lineRule="auto"/>
        <w:rPr>
          <w:rFonts w:ascii="Book Antiqua" w:hAnsi="Book Antiqua" w:cs="Times New Roman"/>
          <w:b/>
          <w:bCs/>
          <w:i/>
          <w:iCs/>
          <w:sz w:val="24"/>
          <w:szCs w:val="24"/>
        </w:rPr>
      </w:pPr>
      <w:r w:rsidRPr="00705846">
        <w:rPr>
          <w:rFonts w:ascii="Book Antiqua" w:hAnsi="Book Antiqua" w:cs="Times New Roman"/>
          <w:b/>
          <w:bCs/>
          <w:i/>
          <w:iCs/>
          <w:sz w:val="24"/>
          <w:szCs w:val="24"/>
        </w:rPr>
        <w:t>Total Protein in liver tissues</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 xml:space="preserve">Liver tissues were rinsed in ice-cold </w:t>
      </w:r>
      <w:r w:rsidRPr="0094585D">
        <w:rPr>
          <w:rFonts w:ascii="Book Antiqua" w:hAnsi="Book Antiqua" w:cs="Times New Roman"/>
          <w:color w:val="000000"/>
          <w:sz w:val="24"/>
          <w:szCs w:val="24"/>
        </w:rPr>
        <w:t>PBS</w:t>
      </w:r>
      <w:r w:rsidRPr="00705846">
        <w:rPr>
          <w:rFonts w:ascii="Book Antiqua" w:hAnsi="Book Antiqua" w:cs="Times New Roman"/>
          <w:color w:val="FF0000"/>
          <w:sz w:val="24"/>
          <w:szCs w:val="24"/>
        </w:rPr>
        <w:t xml:space="preserve"> </w:t>
      </w:r>
      <w:r w:rsidRPr="00705846">
        <w:rPr>
          <w:rFonts w:ascii="Book Antiqua" w:hAnsi="Book Antiqua" w:cs="Times New Roman"/>
          <w:sz w:val="24"/>
          <w:szCs w:val="24"/>
        </w:rPr>
        <w:t>(0.01moL/L, PH 7.0 ~ 7.2) to remove excess blood thoroughly and weighted before homogenization. Minced the tissues to small pieces and homogenized them in 10 mL of PBS with a glass homogenizer on ice. The resulting suspension was subjected to two freeze-thaw cycle to further break the cell membranes. After that, the homogenates were centrifugated for 5 min at 5000</w:t>
      </w:r>
      <w:r w:rsidRPr="00705846">
        <w:rPr>
          <w:rFonts w:ascii="Book Antiqua" w:hAnsi="Book Antiqua" w:cs="SimSun"/>
          <w:sz w:val="24"/>
          <w:szCs w:val="24"/>
        </w:rPr>
        <w:t>×</w:t>
      </w:r>
      <w:r w:rsidRPr="00705846">
        <w:rPr>
          <w:rFonts w:ascii="Book Antiqua" w:hAnsi="Book Antiqua" w:cs="Times New Roman"/>
          <w:sz w:val="24"/>
          <w:szCs w:val="24"/>
        </w:rPr>
        <w:t xml:space="preserve">g. After then, removed the supernate and assay </w:t>
      </w:r>
      <w:r w:rsidRPr="00705846">
        <w:rPr>
          <w:rFonts w:ascii="Book Antiqua" w:hAnsi="Book Antiqua" w:cs="Times New Roman"/>
          <w:sz w:val="24"/>
          <w:szCs w:val="24"/>
        </w:rPr>
        <w:lastRenderedPageBreak/>
        <w:t>immediately or aliquot and stored under -20</w:t>
      </w:r>
      <w:r w:rsidRPr="00705846">
        <w:rPr>
          <w:rFonts w:ascii="SimSun" w:hAnsi="SimSun" w:cs="SimSun" w:hint="eastAsia"/>
          <w:sz w:val="24"/>
          <w:szCs w:val="24"/>
        </w:rPr>
        <w:t>℃</w:t>
      </w:r>
      <w:r w:rsidRPr="00705846">
        <w:rPr>
          <w:rFonts w:ascii="Book Antiqua" w:hAnsi="Book Antiqua" w:cs="Times New Roman"/>
          <w:sz w:val="24"/>
          <w:szCs w:val="24"/>
        </w:rPr>
        <w:t>. The protein concentration was determined using a Biclnchoninic acid (BCA) protein assay kit (Beyotime Institute of Biotechnology, China).</w:t>
      </w:r>
    </w:p>
    <w:p w:rsidR="00341958" w:rsidRPr="00705846" w:rsidRDefault="00341958">
      <w:pPr>
        <w:spacing w:line="360" w:lineRule="auto"/>
        <w:rPr>
          <w:rFonts w:ascii="Book Antiqua" w:hAnsi="Book Antiqua" w:cs="Times New Roman"/>
          <w:b/>
          <w:bCs/>
          <w:i/>
          <w:iCs/>
          <w:sz w:val="24"/>
          <w:szCs w:val="24"/>
        </w:rPr>
      </w:pPr>
    </w:p>
    <w:p w:rsidR="00341958" w:rsidRPr="00705846" w:rsidRDefault="00705846">
      <w:pPr>
        <w:spacing w:line="360" w:lineRule="auto"/>
        <w:rPr>
          <w:rFonts w:ascii="Book Antiqua" w:hAnsi="Book Antiqua" w:cs="Times New Roman"/>
          <w:b/>
          <w:bCs/>
          <w:i/>
          <w:iCs/>
          <w:sz w:val="24"/>
          <w:szCs w:val="24"/>
        </w:rPr>
      </w:pPr>
      <w:r w:rsidRPr="00705846">
        <w:rPr>
          <w:rFonts w:ascii="Book Antiqua" w:hAnsi="Book Antiqua" w:cs="Times New Roman"/>
          <w:b/>
          <w:bCs/>
          <w:i/>
          <w:iCs/>
          <w:sz w:val="24"/>
          <w:szCs w:val="24"/>
        </w:rPr>
        <w:t>CPT-II immunohistochemistry</w:t>
      </w:r>
      <w:r>
        <w:rPr>
          <w:rFonts w:ascii="Book Antiqua" w:hAnsi="Book Antiqua" w:cs="Times New Roman" w:hint="eastAsia"/>
          <w:b/>
          <w:bCs/>
          <w:i/>
          <w:iCs/>
          <w:sz w:val="24"/>
          <w:szCs w:val="24"/>
        </w:rPr>
        <w:t xml:space="preserve"> </w:t>
      </w:r>
    </w:p>
    <w:p w:rsidR="00341958" w:rsidRPr="00705846" w:rsidRDefault="00705846">
      <w:pPr>
        <w:spacing w:line="360" w:lineRule="auto"/>
        <w:rPr>
          <w:rFonts w:ascii="Book Antiqua" w:hAnsi="Book Antiqua" w:cs="Times New Roman"/>
          <w:sz w:val="24"/>
          <w:szCs w:val="24"/>
        </w:rPr>
      </w:pPr>
      <w:bookmarkStart w:id="36" w:name="OLE_LINK1"/>
      <w:bookmarkStart w:id="37" w:name="OLE_LINK2"/>
      <w:r w:rsidRPr="00705846">
        <w:rPr>
          <w:rFonts w:ascii="Book Antiqua" w:hAnsi="Book Antiqua" w:cs="Times New Roman"/>
          <w:sz w:val="24"/>
          <w:szCs w:val="24"/>
        </w:rPr>
        <w:t>Paraffin tissue slides of the rat liver tissues were dewaxed, rehydrated, and antigen retrieval. Slides were incubated with 3 % H</w:t>
      </w:r>
      <w:r w:rsidRPr="00705846">
        <w:rPr>
          <w:rFonts w:ascii="Book Antiqua" w:hAnsi="Book Antiqua" w:cs="Times New Roman"/>
          <w:sz w:val="24"/>
          <w:szCs w:val="24"/>
          <w:vertAlign w:val="subscript"/>
        </w:rPr>
        <w:t>2</w:t>
      </w:r>
      <w:r w:rsidRPr="00705846">
        <w:rPr>
          <w:rFonts w:ascii="Book Antiqua" w:hAnsi="Book Antiqua" w:cs="Times New Roman"/>
          <w:sz w:val="24"/>
          <w:szCs w:val="24"/>
        </w:rPr>
        <w:t>O</w:t>
      </w:r>
      <w:r w:rsidRPr="00705846">
        <w:rPr>
          <w:rFonts w:ascii="Book Antiqua" w:hAnsi="Book Antiqua" w:cs="Times New Roman"/>
          <w:sz w:val="24"/>
          <w:szCs w:val="24"/>
          <w:vertAlign w:val="subscript"/>
        </w:rPr>
        <w:t>2</w:t>
      </w:r>
      <w:r w:rsidRPr="00705846">
        <w:rPr>
          <w:rFonts w:ascii="Book Antiqua" w:hAnsi="Book Antiqua" w:cs="Times New Roman"/>
          <w:sz w:val="24"/>
          <w:szCs w:val="24"/>
        </w:rPr>
        <w:t xml:space="preserve"> for 10 min, washed with PBS, and then incubated with </w:t>
      </w:r>
      <w:r w:rsidRPr="00705846">
        <w:rPr>
          <w:rFonts w:ascii="Book Antiqua" w:hAnsi="Book Antiqua" w:cs="Times New Roman"/>
          <w:color w:val="000000"/>
          <w:sz w:val="24"/>
          <w:szCs w:val="24"/>
        </w:rPr>
        <w:t xml:space="preserve">rabbit anti-rat monoclonal CPT-II antibody (ab181114, </w:t>
      </w:r>
      <w:r w:rsidRPr="00705846">
        <w:rPr>
          <w:rFonts w:ascii="Book Antiqua" w:hAnsi="Book Antiqua" w:cs="Times New Roman"/>
          <w:sz w:val="24"/>
          <w:szCs w:val="24"/>
        </w:rPr>
        <w:t>diluted 1:80; Abcam, United Kingdom) at 4</w:t>
      </w:r>
      <w:r>
        <w:rPr>
          <w:rFonts w:ascii="Book Antiqua" w:hAnsi="Book Antiqua" w:cs="Times New Roman" w:hint="eastAsia"/>
          <w:sz w:val="24"/>
          <w:szCs w:val="24"/>
        </w:rPr>
        <w:t xml:space="preserve"> </w:t>
      </w:r>
      <w:r w:rsidRPr="00705846">
        <w:rPr>
          <w:rFonts w:ascii="SimSun" w:hAnsi="SimSun" w:cs="SimSun" w:hint="eastAsia"/>
          <w:sz w:val="24"/>
          <w:szCs w:val="24"/>
        </w:rPr>
        <w:t>℃</w:t>
      </w:r>
      <w:r w:rsidRPr="00705846">
        <w:rPr>
          <w:rFonts w:ascii="Book Antiqua" w:hAnsi="Book Antiqua" w:cs="Times New Roman"/>
          <w:sz w:val="24"/>
          <w:szCs w:val="24"/>
        </w:rPr>
        <w:t xml:space="preserve"> overnight. After washed with PBS, add reaction enhancement solution, incubated for 20 min and washed then incubated with horse reldish peroxidase (HRP)-conjugated goat antirabbit IgG for 30 min. In finally, the slides were reincubated with diaminobenzidine and counterstained with hematoxylin solution, dehydrated in ethanol, cleared in xylene, and cover-slipped. The relative quantitative levels of CPT-II expression were calculated using the Image-Pro Plus 6.0 software.</w:t>
      </w:r>
      <w:bookmarkEnd w:id="36"/>
      <w:bookmarkEnd w:id="37"/>
    </w:p>
    <w:p w:rsidR="00341958" w:rsidRPr="00705846" w:rsidRDefault="00341958">
      <w:pPr>
        <w:spacing w:line="360" w:lineRule="auto"/>
        <w:rPr>
          <w:rFonts w:ascii="Book Antiqua" w:hAnsi="Book Antiqua" w:cs="Times New Roman"/>
          <w:b/>
          <w:bCs/>
          <w:i/>
          <w:iCs/>
          <w:sz w:val="24"/>
          <w:szCs w:val="24"/>
        </w:rPr>
      </w:pPr>
    </w:p>
    <w:p w:rsidR="00341958" w:rsidRPr="00705846" w:rsidRDefault="00705846">
      <w:pPr>
        <w:spacing w:line="360" w:lineRule="auto"/>
        <w:rPr>
          <w:rFonts w:ascii="Book Antiqua" w:hAnsi="Book Antiqua" w:cs="Times New Roman"/>
          <w:b/>
          <w:bCs/>
          <w:i/>
          <w:iCs/>
          <w:sz w:val="24"/>
          <w:szCs w:val="24"/>
        </w:rPr>
      </w:pPr>
      <w:r w:rsidRPr="00705846">
        <w:rPr>
          <w:rFonts w:ascii="Book Antiqua" w:hAnsi="Book Antiqua" w:cs="Times New Roman"/>
          <w:b/>
          <w:bCs/>
          <w:i/>
          <w:iCs/>
          <w:sz w:val="24"/>
          <w:szCs w:val="24"/>
        </w:rPr>
        <w:t>Biochemistry analysis</w:t>
      </w:r>
    </w:p>
    <w:p w:rsidR="00341958" w:rsidRPr="00705846" w:rsidRDefault="00705846">
      <w:pPr>
        <w:spacing w:line="360" w:lineRule="auto"/>
        <w:rPr>
          <w:rFonts w:ascii="Book Antiqua" w:hAnsi="Book Antiqua" w:cs="Times New Roman"/>
          <w:sz w:val="24"/>
          <w:szCs w:val="24"/>
        </w:rPr>
      </w:pPr>
      <w:r w:rsidRPr="00705846">
        <w:rPr>
          <w:rFonts w:ascii="Book Antiqua" w:eastAsia="KaiTi_GB2312" w:hAnsi="Book Antiqua" w:cs="Times New Roman"/>
          <w:sz w:val="24"/>
          <w:szCs w:val="24"/>
        </w:rPr>
        <w:t xml:space="preserve">The levels of total cholesterol (Tch), triglyceride (TG), alanine aminotransferase (ALT), and aspartic aminotransferase (AST) in sera of rats were quantitatively </w:t>
      </w:r>
      <w:r w:rsidRPr="00705846">
        <w:rPr>
          <w:rFonts w:ascii="Book Antiqua" w:hAnsi="Book Antiqua" w:cs="Times New Roman"/>
          <w:sz w:val="24"/>
          <w:szCs w:val="24"/>
        </w:rPr>
        <w:t>detected</w:t>
      </w:r>
      <w:r w:rsidRPr="00705846">
        <w:rPr>
          <w:rFonts w:ascii="Book Antiqua" w:eastAsia="KaiTi_GB2312" w:hAnsi="Book Antiqua" w:cs="Times New Roman"/>
          <w:sz w:val="24"/>
          <w:szCs w:val="24"/>
        </w:rPr>
        <w:t xml:space="preserve"> by clinical routine methods</w:t>
      </w:r>
      <w:r w:rsidRPr="00705846">
        <w:rPr>
          <w:rFonts w:ascii="Book Antiqua" w:hAnsi="Book Antiqua" w:cs="Times New Roman"/>
          <w:sz w:val="24"/>
          <w:szCs w:val="24"/>
        </w:rPr>
        <w:t xml:space="preserve"> according to the instruction of matched test kit provided by the Jiangcheng Bioengineering Institute (Nanjing, China). Then the absorbance (A) was determined and the result was calculated as concentration of Tch, TG, AST, and ALT from their standard curves, respectively.</w:t>
      </w:r>
    </w:p>
    <w:p w:rsidR="00341958" w:rsidRPr="0094585D" w:rsidRDefault="00341958">
      <w:pPr>
        <w:spacing w:line="360" w:lineRule="auto"/>
        <w:rPr>
          <w:rFonts w:ascii="Book Antiqua" w:hAnsi="Book Antiqua" w:cs="Times New Roman"/>
          <w:b/>
          <w:bCs/>
          <w:i/>
          <w:iCs/>
          <w:color w:val="000000"/>
          <w:sz w:val="24"/>
          <w:szCs w:val="24"/>
        </w:rPr>
      </w:pPr>
    </w:p>
    <w:p w:rsidR="00341958" w:rsidRPr="0094585D" w:rsidRDefault="00705846">
      <w:pPr>
        <w:spacing w:line="360" w:lineRule="auto"/>
        <w:rPr>
          <w:rFonts w:ascii="Book Antiqua" w:hAnsi="Book Antiqua" w:cs="Times New Roman"/>
          <w:color w:val="000000"/>
          <w:sz w:val="24"/>
          <w:szCs w:val="24"/>
        </w:rPr>
      </w:pPr>
      <w:r w:rsidRPr="0094585D">
        <w:rPr>
          <w:rFonts w:ascii="Book Antiqua" w:hAnsi="Book Antiqua" w:cs="Times New Roman"/>
          <w:b/>
          <w:bCs/>
          <w:i/>
          <w:iCs/>
          <w:color w:val="000000"/>
          <w:sz w:val="24"/>
          <w:szCs w:val="24"/>
        </w:rPr>
        <w:t>ELISA</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The levels of hepatic CPT-II expression were detected by using an</w:t>
      </w:r>
      <w:r w:rsidRPr="00705846">
        <w:rPr>
          <w:rFonts w:ascii="Book Antiqua" w:hAnsi="Book Antiqua" w:cs="Times New Roman"/>
          <w:color w:val="FF0000"/>
          <w:sz w:val="24"/>
          <w:szCs w:val="24"/>
        </w:rPr>
        <w:t xml:space="preserve"> </w:t>
      </w:r>
      <w:r w:rsidRPr="0094585D">
        <w:rPr>
          <w:rFonts w:ascii="Book Antiqua" w:hAnsi="Book Antiqua" w:cs="Times New Roman"/>
          <w:color w:val="000000"/>
          <w:sz w:val="24"/>
          <w:szCs w:val="24"/>
        </w:rPr>
        <w:t>ELISA</w:t>
      </w:r>
      <w:r w:rsidRPr="00705846">
        <w:rPr>
          <w:rFonts w:ascii="Book Antiqua" w:hAnsi="Book Antiqua" w:cs="Times New Roman"/>
          <w:color w:val="FF0000"/>
          <w:sz w:val="24"/>
          <w:szCs w:val="24"/>
        </w:rPr>
        <w:t xml:space="preserve"> </w:t>
      </w:r>
      <w:r w:rsidRPr="00705846">
        <w:rPr>
          <w:rFonts w:ascii="Book Antiqua" w:hAnsi="Book Antiqua" w:cs="Times New Roman"/>
          <w:sz w:val="24"/>
          <w:szCs w:val="24"/>
        </w:rPr>
        <w:t>kit (</w:t>
      </w:r>
      <w:r w:rsidRPr="00705846">
        <w:rPr>
          <w:rFonts w:ascii="Book Antiqua" w:eastAsia="KaiTi_GB2312" w:hAnsi="Book Antiqua" w:cs="Times New Roman"/>
          <w:sz w:val="24"/>
          <w:szCs w:val="24"/>
        </w:rPr>
        <w:t>CLOUD-CLONE</w:t>
      </w:r>
      <w:r w:rsidRPr="00705846">
        <w:rPr>
          <w:rFonts w:ascii="Book Antiqua" w:hAnsi="Book Antiqua" w:cs="Times New Roman"/>
          <w:sz w:val="24"/>
          <w:szCs w:val="24"/>
        </w:rPr>
        <w:t xml:space="preserve">, USA) according to the manufacturer’s instructions with positive sample as quality control by two researches independently. For the study, added 100 μL each of dilutions of standard, blank and samples into the </w:t>
      </w:r>
      <w:r w:rsidRPr="00705846">
        <w:rPr>
          <w:rFonts w:ascii="Book Antiqua" w:hAnsi="Book Antiqua" w:cs="Times New Roman"/>
          <w:sz w:val="24"/>
          <w:szCs w:val="24"/>
        </w:rPr>
        <w:lastRenderedPageBreak/>
        <w:t>appropriate wells. After then, covered with the Plate sealer. Incubated for 2 h at 37</w:t>
      </w:r>
      <w:r>
        <w:rPr>
          <w:rFonts w:ascii="Book Antiqua" w:hAnsi="Book Antiqua" w:cs="Times New Roman" w:hint="eastAsia"/>
          <w:sz w:val="24"/>
          <w:szCs w:val="24"/>
        </w:rPr>
        <w:t xml:space="preserve"> </w:t>
      </w:r>
      <w:r w:rsidRPr="00705846">
        <w:rPr>
          <w:rFonts w:ascii="SimSun" w:hAnsi="SimSun" w:cs="SimSun" w:hint="eastAsia"/>
          <w:sz w:val="24"/>
          <w:szCs w:val="24"/>
        </w:rPr>
        <w:t>℃</w:t>
      </w:r>
      <w:r w:rsidRPr="00705846">
        <w:rPr>
          <w:rFonts w:ascii="Book Antiqua" w:hAnsi="Book Antiqua" w:cs="SimSun"/>
          <w:sz w:val="24"/>
          <w:szCs w:val="24"/>
        </w:rPr>
        <w:t>,</w:t>
      </w:r>
      <w:r w:rsidRPr="00705846">
        <w:rPr>
          <w:rFonts w:ascii="Book Antiqua" w:hAnsi="Book Antiqua" w:cs="Times New Roman"/>
          <w:sz w:val="24"/>
          <w:szCs w:val="24"/>
        </w:rPr>
        <w:t xml:space="preserve"> removed the liquid of each well, added 100 μL of biotin-conjugated antibody specific to CPT-II to each well, and incubated for 1 h at 37</w:t>
      </w:r>
      <w:r>
        <w:rPr>
          <w:rFonts w:ascii="Book Antiqua" w:hAnsi="Book Antiqua" w:cs="Times New Roman" w:hint="eastAsia"/>
          <w:sz w:val="24"/>
          <w:szCs w:val="24"/>
        </w:rPr>
        <w:t xml:space="preserve"> </w:t>
      </w:r>
      <w:r w:rsidRPr="00705846">
        <w:rPr>
          <w:rFonts w:ascii="SimSun" w:hAnsi="SimSun" w:cs="SimSun" w:hint="eastAsia"/>
          <w:sz w:val="24"/>
          <w:szCs w:val="24"/>
        </w:rPr>
        <w:t>℃</w:t>
      </w:r>
      <w:r w:rsidRPr="00705846">
        <w:rPr>
          <w:rFonts w:ascii="Book Antiqua" w:hAnsi="Book Antiqua" w:cs="Times New Roman"/>
          <w:sz w:val="24"/>
          <w:szCs w:val="24"/>
        </w:rPr>
        <w:t>. Next, washed, and added 100 μL of avid in conjugated to HRP, and incubated for 30 min at 37</w:t>
      </w:r>
      <w:r>
        <w:rPr>
          <w:rFonts w:ascii="Book Antiqua" w:hAnsi="Book Antiqua" w:cs="Times New Roman" w:hint="eastAsia"/>
          <w:sz w:val="24"/>
          <w:szCs w:val="24"/>
        </w:rPr>
        <w:t xml:space="preserve"> </w:t>
      </w:r>
      <w:r w:rsidRPr="00705846">
        <w:rPr>
          <w:rFonts w:ascii="SimSun" w:hAnsi="SimSun" w:cs="SimSun" w:hint="eastAsia"/>
          <w:sz w:val="24"/>
          <w:szCs w:val="24"/>
        </w:rPr>
        <w:t>℃</w:t>
      </w:r>
      <w:r w:rsidRPr="00705846">
        <w:rPr>
          <w:rFonts w:ascii="Book Antiqua" w:hAnsi="Book Antiqua" w:cs="Times New Roman"/>
          <w:sz w:val="24"/>
          <w:szCs w:val="24"/>
        </w:rPr>
        <w:t>. Then, washed, and added 90 μL of substrate solution to each well for 15 min at 37</w:t>
      </w:r>
      <w:r>
        <w:rPr>
          <w:rFonts w:ascii="Book Antiqua" w:hAnsi="Book Antiqua" w:cs="Times New Roman" w:hint="eastAsia"/>
          <w:sz w:val="24"/>
          <w:szCs w:val="24"/>
        </w:rPr>
        <w:t xml:space="preserve"> </w:t>
      </w:r>
      <w:r w:rsidRPr="00705846">
        <w:rPr>
          <w:rFonts w:ascii="SimSun" w:hAnsi="SimSun" w:cs="SimSun" w:hint="eastAsia"/>
          <w:sz w:val="24"/>
          <w:szCs w:val="24"/>
        </w:rPr>
        <w:t>℃</w:t>
      </w:r>
      <w:r w:rsidRPr="00705846">
        <w:rPr>
          <w:rFonts w:ascii="Book Antiqua" w:hAnsi="Book Antiqua" w:cs="Times New Roman"/>
          <w:sz w:val="24"/>
          <w:szCs w:val="24"/>
        </w:rPr>
        <w:t>. Next, 50 μL of the stop solution was added to each well, and the A value was read at 450 nm of the microplate reader (</w:t>
      </w:r>
      <w:r w:rsidRPr="00705846">
        <w:rPr>
          <w:rFonts w:ascii="Book Antiqua" w:eastAsia="KaiTi_GB2312" w:hAnsi="Book Antiqua" w:cs="Times New Roman"/>
          <w:sz w:val="24"/>
          <w:szCs w:val="24"/>
        </w:rPr>
        <w:t>Synergy HT, BioTek, United States</w:t>
      </w:r>
      <w:r w:rsidRPr="00705846">
        <w:rPr>
          <w:rFonts w:ascii="Book Antiqua" w:hAnsi="Book Antiqua" w:cs="Times New Roman"/>
          <w:sz w:val="24"/>
          <w:szCs w:val="24"/>
        </w:rPr>
        <w:t>). A standard curve was plotted based on the concentrations of different standards and their corrospedence A values. The CPT-II concentration of each sample were calculated according to its A value with the standard curve.</w:t>
      </w:r>
    </w:p>
    <w:p w:rsidR="00341958" w:rsidRPr="00705846" w:rsidRDefault="00341958">
      <w:pPr>
        <w:spacing w:line="360" w:lineRule="auto"/>
        <w:rPr>
          <w:rFonts w:ascii="Book Antiqua" w:hAnsi="Book Antiqua" w:cs="Times New Roman"/>
          <w:b/>
          <w:bCs/>
          <w:i/>
          <w:iCs/>
          <w:sz w:val="24"/>
          <w:szCs w:val="24"/>
        </w:rPr>
      </w:pPr>
    </w:p>
    <w:p w:rsidR="00341958" w:rsidRPr="00705846" w:rsidRDefault="00705846">
      <w:pPr>
        <w:spacing w:line="360" w:lineRule="auto"/>
        <w:rPr>
          <w:rFonts w:ascii="Book Antiqua" w:hAnsi="Book Antiqua" w:cs="Times New Roman"/>
          <w:b/>
          <w:bCs/>
          <w:i/>
          <w:iCs/>
          <w:sz w:val="24"/>
          <w:szCs w:val="24"/>
        </w:rPr>
      </w:pPr>
      <w:r w:rsidRPr="00705846">
        <w:rPr>
          <w:rFonts w:ascii="Book Antiqua" w:hAnsi="Book Antiqua" w:cs="Times New Roman"/>
          <w:b/>
          <w:bCs/>
          <w:i/>
          <w:iCs/>
          <w:sz w:val="24"/>
          <w:szCs w:val="24"/>
        </w:rPr>
        <w:t>Statistical analysis</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Statistical analysis was carried out by using SPSS software (version 20.0). Using ImagePro Plus 6.0 image analysis system for analysis. Data were presented in the mean ±</w:t>
      </w:r>
      <w:r>
        <w:rPr>
          <w:rFonts w:ascii="Book Antiqua" w:hAnsi="Book Antiqua" w:cs="Times New Roman" w:hint="eastAsia"/>
          <w:sz w:val="24"/>
          <w:szCs w:val="24"/>
        </w:rPr>
        <w:t xml:space="preserve"> </w:t>
      </w:r>
      <w:r>
        <w:rPr>
          <w:rFonts w:ascii="Book Antiqua" w:hAnsi="Book Antiqua" w:cs="Times New Roman"/>
          <w:sz w:val="24"/>
          <w:szCs w:val="24"/>
        </w:rPr>
        <w:t>SD</w:t>
      </w:r>
      <w:r w:rsidRPr="00705846">
        <w:rPr>
          <w:rFonts w:ascii="Book Antiqua" w:hAnsi="Book Antiqua" w:cs="Times New Roman"/>
          <w:sz w:val="24"/>
          <w:szCs w:val="24"/>
        </w:rPr>
        <w:t xml:space="preserve"> and compared between two groups by </w:t>
      </w:r>
      <w:r w:rsidRPr="00705846">
        <w:rPr>
          <w:rFonts w:ascii="Book Antiqua" w:hAnsi="Book Antiqua" w:cs="Times New Roman"/>
          <w:i/>
          <w:iCs/>
          <w:sz w:val="24"/>
          <w:szCs w:val="24"/>
        </w:rPr>
        <w:t>t</w:t>
      </w:r>
      <w:r w:rsidRPr="00705846">
        <w:rPr>
          <w:rFonts w:ascii="Book Antiqua" w:hAnsi="Book Antiqua" w:cs="Times New Roman"/>
          <w:sz w:val="24"/>
          <w:szCs w:val="24"/>
        </w:rPr>
        <w:t xml:space="preserve"> test. A </w:t>
      </w:r>
      <w:r w:rsidRPr="00705846">
        <w:rPr>
          <w:rFonts w:ascii="Book Antiqua" w:hAnsi="Book Antiqua" w:cs="Times New Roman"/>
          <w:i/>
          <w:iCs/>
          <w:sz w:val="24"/>
          <w:szCs w:val="24"/>
        </w:rPr>
        <w:t>P</w:t>
      </w:r>
      <w:r w:rsidRPr="00705846">
        <w:rPr>
          <w:rFonts w:ascii="Book Antiqua" w:hAnsi="Book Antiqua" w:cs="Times New Roman"/>
          <w:sz w:val="24"/>
          <w:szCs w:val="24"/>
        </w:rPr>
        <w:t xml:space="preserve"> value less than 0.05 were set at the significance level for statistical analysis.</w:t>
      </w:r>
    </w:p>
    <w:p w:rsidR="00341958" w:rsidRPr="00705846" w:rsidRDefault="00341958">
      <w:pPr>
        <w:spacing w:line="360" w:lineRule="auto"/>
        <w:rPr>
          <w:rFonts w:ascii="Book Antiqua" w:hAnsi="Book Antiqua" w:cs="Times New Roman"/>
          <w:sz w:val="24"/>
          <w:szCs w:val="24"/>
        </w:rPr>
      </w:pP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b/>
          <w:bCs/>
          <w:sz w:val="24"/>
          <w:szCs w:val="24"/>
        </w:rPr>
        <w:t>RESULTS</w:t>
      </w:r>
    </w:p>
    <w:p w:rsidR="00341958" w:rsidRPr="00705846" w:rsidRDefault="00705846">
      <w:pPr>
        <w:spacing w:line="360" w:lineRule="auto"/>
        <w:rPr>
          <w:rFonts w:ascii="Book Antiqua" w:hAnsi="Book Antiqua" w:cs="Times New Roman"/>
          <w:b/>
          <w:bCs/>
          <w:i/>
          <w:iCs/>
          <w:sz w:val="24"/>
          <w:szCs w:val="24"/>
        </w:rPr>
      </w:pPr>
      <w:r w:rsidRPr="00705846">
        <w:rPr>
          <w:rFonts w:ascii="Book Antiqua" w:hAnsi="Book Antiqua" w:cs="Times New Roman"/>
          <w:b/>
          <w:bCs/>
          <w:i/>
          <w:iCs/>
          <w:sz w:val="24"/>
          <w:szCs w:val="24"/>
        </w:rPr>
        <w:t>Pathological morphological</w:t>
      </w:r>
      <w:r w:rsidRPr="00705846">
        <w:rPr>
          <w:rFonts w:ascii="Book Antiqua" w:hAnsi="Book Antiqua" w:cs="Times New Roman"/>
          <w:i/>
          <w:iCs/>
          <w:sz w:val="24"/>
          <w:szCs w:val="24"/>
        </w:rPr>
        <w:t xml:space="preserve"> </w:t>
      </w:r>
      <w:r w:rsidRPr="00705846">
        <w:rPr>
          <w:rFonts w:ascii="Book Antiqua" w:hAnsi="Book Antiqua" w:cs="Times New Roman"/>
          <w:b/>
          <w:bCs/>
          <w:i/>
          <w:iCs/>
          <w:sz w:val="24"/>
          <w:szCs w:val="24"/>
        </w:rPr>
        <w:t>alteration of rat livers</w:t>
      </w:r>
    </w:p>
    <w:p w:rsidR="00341958" w:rsidRPr="00572FF7" w:rsidRDefault="00705846">
      <w:pPr>
        <w:spacing w:line="360" w:lineRule="auto"/>
        <w:rPr>
          <w:rFonts w:ascii="Book Antiqua" w:hAnsi="Book Antiqua" w:cs="Times New Roman"/>
          <w:sz w:val="24"/>
          <w:szCs w:val="24"/>
        </w:rPr>
      </w:pPr>
      <w:r w:rsidRPr="00572FF7">
        <w:rPr>
          <w:rFonts w:ascii="Book Antiqua" w:hAnsi="Book Antiqua" w:cs="Times New Roman"/>
          <w:sz w:val="24"/>
          <w:szCs w:val="24"/>
        </w:rPr>
        <w:t xml:space="preserve">The alterations of morphology and pathology of rat livers are shown in </w:t>
      </w:r>
      <w:r w:rsidRPr="00572FF7">
        <w:rPr>
          <w:rFonts w:ascii="Book Antiqua" w:hAnsi="Book Antiqua" w:cs="Times New Roman"/>
          <w:bCs/>
          <w:sz w:val="24"/>
          <w:szCs w:val="24"/>
        </w:rPr>
        <w:t>Figure 1</w:t>
      </w:r>
      <w:r w:rsidRPr="00572FF7">
        <w:rPr>
          <w:rFonts w:ascii="Book Antiqua" w:hAnsi="Book Antiqua" w:cs="Times New Roman"/>
          <w:sz w:val="24"/>
          <w:szCs w:val="24"/>
        </w:rPr>
        <w:t>.</w:t>
      </w:r>
      <w:r w:rsidRPr="00572FF7">
        <w:rPr>
          <w:rFonts w:ascii="Book Antiqua" w:eastAsia="KaiTi_GB2312" w:hAnsi="Book Antiqua" w:cs="Times New Roman"/>
          <w:sz w:val="24"/>
          <w:szCs w:val="24"/>
        </w:rPr>
        <w:t xml:space="preserve"> </w:t>
      </w:r>
      <w:r w:rsidRPr="00572FF7">
        <w:rPr>
          <w:rFonts w:ascii="Book Antiqua" w:hAnsi="Book Antiqua" w:cs="Times New Roman"/>
          <w:sz w:val="24"/>
          <w:szCs w:val="24"/>
        </w:rPr>
        <w:t xml:space="preserve">The general specimen of the rat livers in the control group were observed with reddish brown, soft, and brittle </w:t>
      </w:r>
      <w:r w:rsidRPr="00572FF7">
        <w:rPr>
          <w:rFonts w:ascii="Book Antiqua" w:hAnsi="Book Antiqua" w:cs="Times New Roman"/>
          <w:bCs/>
          <w:sz w:val="24"/>
          <w:szCs w:val="24"/>
        </w:rPr>
        <w:t xml:space="preserve">(Figure 1A). </w:t>
      </w:r>
      <w:r w:rsidRPr="00572FF7">
        <w:rPr>
          <w:rFonts w:ascii="Book Antiqua" w:hAnsi="Book Antiqua" w:cs="Times New Roman"/>
          <w:sz w:val="24"/>
          <w:szCs w:val="24"/>
        </w:rPr>
        <w:t xml:space="preserve">The liver cells after the H&amp;E staining showed the cords, prominent nucleoli, nuclear membrane clear, nuclear chromatin sparse, and dyeing shallow under microscopy </w:t>
      </w:r>
      <w:r w:rsidRPr="00572FF7">
        <w:rPr>
          <w:rFonts w:ascii="Book Antiqua" w:hAnsi="Book Antiqua" w:cs="Times New Roman"/>
          <w:bCs/>
          <w:sz w:val="24"/>
          <w:szCs w:val="24"/>
        </w:rPr>
        <w:t>(Figure 1 A1)</w:t>
      </w:r>
      <w:r w:rsidRPr="00572FF7">
        <w:rPr>
          <w:rFonts w:ascii="Book Antiqua" w:hAnsi="Book Antiqua" w:cs="Times New Roman"/>
          <w:sz w:val="24"/>
          <w:szCs w:val="24"/>
        </w:rPr>
        <w:t xml:space="preserve">. Of the livers in the </w:t>
      </w:r>
      <w:r w:rsidRPr="00572FF7">
        <w:rPr>
          <w:rFonts w:ascii="Book Antiqua" w:eastAsia="KaiTi_GB2312" w:hAnsi="Book Antiqua" w:cs="Times New Roman"/>
          <w:sz w:val="24"/>
          <w:szCs w:val="24"/>
        </w:rPr>
        <w:t>fatty liver</w:t>
      </w:r>
      <w:r w:rsidRPr="00572FF7">
        <w:rPr>
          <w:rFonts w:ascii="Book Antiqua" w:hAnsi="Book Antiqua" w:cs="Times New Roman"/>
          <w:sz w:val="24"/>
          <w:szCs w:val="24"/>
        </w:rPr>
        <w:t xml:space="preserve"> group, the appearance volumes seem increasing slightly with tight membrane smooth, soft texture, color yellow, and greasy feeling </w:t>
      </w:r>
      <w:r w:rsidRPr="00572FF7">
        <w:rPr>
          <w:rFonts w:ascii="Book Antiqua" w:hAnsi="Book Antiqua" w:cs="Times New Roman"/>
          <w:bCs/>
          <w:sz w:val="24"/>
          <w:szCs w:val="24"/>
        </w:rPr>
        <w:t>(Figure 1B)</w:t>
      </w:r>
      <w:r w:rsidRPr="00572FF7">
        <w:rPr>
          <w:rFonts w:ascii="Book Antiqua" w:hAnsi="Book Antiqua" w:cs="Times New Roman"/>
          <w:sz w:val="24"/>
          <w:szCs w:val="24"/>
        </w:rPr>
        <w:t xml:space="preserve">; </w:t>
      </w:r>
      <w:r w:rsidRPr="00572FF7">
        <w:rPr>
          <w:rFonts w:ascii="Book Antiqua" w:hAnsi="Book Antiqua" w:cs="Times New Roman"/>
          <w:color w:val="000000"/>
          <w:sz w:val="24"/>
          <w:szCs w:val="24"/>
        </w:rPr>
        <w:t>the liver cells under microscopy</w:t>
      </w:r>
      <w:r w:rsidRPr="00572FF7">
        <w:rPr>
          <w:rFonts w:ascii="Book Antiqua" w:hAnsi="Book Antiqua" w:cs="Times New Roman"/>
          <w:sz w:val="24"/>
          <w:szCs w:val="24"/>
        </w:rPr>
        <w:t xml:space="preserve"> showed the cytoplasm appeared in many ranging from the swollen size of the vacuoles (lipid droplets), nucleus clear, and intercellular boundary fuzzy </w:t>
      </w:r>
      <w:r w:rsidRPr="00572FF7">
        <w:rPr>
          <w:rFonts w:ascii="Book Antiqua" w:hAnsi="Book Antiqua" w:cs="Times New Roman"/>
          <w:bCs/>
          <w:sz w:val="24"/>
          <w:szCs w:val="24"/>
        </w:rPr>
        <w:t>(Figure 1</w:t>
      </w:r>
      <w:r w:rsidRPr="00572FF7">
        <w:rPr>
          <w:rFonts w:ascii="Book Antiqua" w:hAnsi="Book Antiqua" w:cs="Times New Roman" w:hint="eastAsia"/>
          <w:bCs/>
          <w:sz w:val="24"/>
          <w:szCs w:val="24"/>
        </w:rPr>
        <w:t xml:space="preserve"> </w:t>
      </w:r>
      <w:r w:rsidRPr="00572FF7">
        <w:rPr>
          <w:rFonts w:ascii="Book Antiqua" w:hAnsi="Book Antiqua" w:cs="Times New Roman"/>
          <w:bCs/>
          <w:sz w:val="24"/>
          <w:szCs w:val="24"/>
        </w:rPr>
        <w:t>B1)</w:t>
      </w:r>
      <w:r w:rsidRPr="00572FF7">
        <w:rPr>
          <w:rFonts w:ascii="Book Antiqua" w:hAnsi="Book Antiqua" w:cs="Times New Roman"/>
          <w:sz w:val="24"/>
          <w:szCs w:val="24"/>
        </w:rPr>
        <w:t xml:space="preserve">. </w:t>
      </w:r>
    </w:p>
    <w:p w:rsidR="00341958" w:rsidRPr="00705846" w:rsidRDefault="00705846">
      <w:pPr>
        <w:spacing w:line="360" w:lineRule="auto"/>
        <w:rPr>
          <w:rFonts w:ascii="Book Antiqua" w:hAnsi="Book Antiqua" w:cs="Times New Roman"/>
          <w:color w:val="FF0000"/>
          <w:sz w:val="24"/>
          <w:szCs w:val="24"/>
        </w:rPr>
      </w:pPr>
      <w:r>
        <w:rPr>
          <w:rFonts w:ascii="Book Antiqua" w:hAnsi="Book Antiqua" w:cs="Times New Roman"/>
          <w:sz w:val="24"/>
          <w:szCs w:val="24"/>
        </w:rPr>
        <w:lastRenderedPageBreak/>
        <w:t xml:space="preserve">    </w:t>
      </w:r>
      <w:r w:rsidRPr="00705846">
        <w:rPr>
          <w:rFonts w:ascii="Book Antiqua" w:hAnsi="Book Antiqua" w:cs="Times New Roman"/>
          <w:sz w:val="24"/>
          <w:szCs w:val="24"/>
        </w:rPr>
        <w:t>The r</w:t>
      </w:r>
      <w:r w:rsidRPr="00705846">
        <w:rPr>
          <w:rFonts w:ascii="Book Antiqua" w:hAnsi="Book Antiqua" w:cs="Times New Roman"/>
          <w:color w:val="000000"/>
          <w:sz w:val="24"/>
          <w:szCs w:val="24"/>
        </w:rPr>
        <w:t>at l</w:t>
      </w:r>
      <w:r w:rsidRPr="00705846">
        <w:rPr>
          <w:rFonts w:ascii="Book Antiqua" w:eastAsia="KaiTi_GB2312" w:hAnsi="Book Antiqua" w:cs="Times New Roman"/>
          <w:color w:val="000000"/>
          <w:sz w:val="24"/>
          <w:szCs w:val="24"/>
        </w:rPr>
        <w:t>iver morphological changes with the H&amp;E staining after 2-FAA diet were divided into the degeneration, precancerous, and cancerous groups except of the control or fatty liver group. At early stage, t</w:t>
      </w:r>
      <w:r w:rsidRPr="00705846">
        <w:rPr>
          <w:rFonts w:ascii="Book Antiqua" w:hAnsi="Book Antiqua" w:cs="Times New Roman"/>
          <w:sz w:val="24"/>
          <w:szCs w:val="24"/>
        </w:rPr>
        <w:t xml:space="preserve">he livers in the </w:t>
      </w:r>
      <w:r w:rsidRPr="00572FF7">
        <w:rPr>
          <w:rFonts w:ascii="Book Antiqua" w:hAnsi="Book Antiqua" w:cs="Times New Roman"/>
          <w:sz w:val="24"/>
          <w:szCs w:val="24"/>
        </w:rPr>
        <w:t xml:space="preserve">degeneration group tend to yellowish and microscopically, a large number of round vacuoles were seen around the nuclei of the liver, which can be fused into a large vacuole with mild hepatic fibrosis </w:t>
      </w:r>
      <w:r w:rsidRPr="00572FF7">
        <w:rPr>
          <w:rFonts w:ascii="Book Antiqua" w:hAnsi="Book Antiqua" w:cs="Times New Roman"/>
          <w:bCs/>
          <w:sz w:val="24"/>
          <w:szCs w:val="24"/>
        </w:rPr>
        <w:t xml:space="preserve">(Figure 1C, C1). </w:t>
      </w:r>
      <w:r w:rsidRPr="00572FF7">
        <w:rPr>
          <w:rFonts w:ascii="Book Antiqua" w:hAnsi="Book Antiqua" w:cs="Times New Roman"/>
          <w:sz w:val="24"/>
          <w:szCs w:val="24"/>
        </w:rPr>
        <w:t>At the medial stage, a</w:t>
      </w:r>
      <w:r w:rsidRPr="00572FF7">
        <w:rPr>
          <w:rFonts w:ascii="Book Antiqua" w:hAnsi="Book Antiqua" w:cs="Times New Roman"/>
          <w:bCs/>
          <w:sz w:val="24"/>
          <w:szCs w:val="24"/>
        </w:rPr>
        <w:t xml:space="preserve"> </w:t>
      </w:r>
      <w:r w:rsidRPr="00572FF7">
        <w:rPr>
          <w:rFonts w:ascii="Book Antiqua" w:hAnsi="Book Antiqua" w:cs="Times New Roman"/>
          <w:sz w:val="24"/>
          <w:szCs w:val="24"/>
        </w:rPr>
        <w:t xml:space="preserve">small amount of nodules appeared on the liver surface in the </w:t>
      </w:r>
      <w:r w:rsidRPr="00572FF7">
        <w:rPr>
          <w:rFonts w:ascii="Book Antiqua" w:eastAsia="KaiTi_GB2312" w:hAnsi="Book Antiqua" w:cs="Times New Roman"/>
          <w:sz w:val="24"/>
          <w:szCs w:val="24"/>
        </w:rPr>
        <w:t>precancerous</w:t>
      </w:r>
      <w:r w:rsidRPr="00572FF7">
        <w:rPr>
          <w:rFonts w:ascii="Book Antiqua" w:hAnsi="Book Antiqua" w:cs="Times New Roman"/>
          <w:sz w:val="24"/>
          <w:szCs w:val="24"/>
        </w:rPr>
        <w:t xml:space="preserve"> group, and pseudolobuli formation was found under a microscope, with hyperchromatic nuclei, obvious nucleoli and dysplasia </w:t>
      </w:r>
      <w:r w:rsidRPr="00572FF7">
        <w:rPr>
          <w:rFonts w:ascii="Book Antiqua" w:hAnsi="Book Antiqua" w:cs="Times New Roman"/>
          <w:bCs/>
          <w:sz w:val="24"/>
          <w:szCs w:val="24"/>
        </w:rPr>
        <w:t xml:space="preserve">(Figure </w:t>
      </w:r>
      <w:r w:rsidRPr="00572FF7">
        <w:rPr>
          <w:rFonts w:ascii="Book Antiqua" w:hAnsi="Book Antiqua" w:cs="Times New Roman" w:hint="eastAsia"/>
          <w:bCs/>
          <w:sz w:val="24"/>
          <w:szCs w:val="24"/>
        </w:rPr>
        <w:t xml:space="preserve">1 </w:t>
      </w:r>
      <w:r w:rsidRPr="00572FF7">
        <w:rPr>
          <w:rFonts w:ascii="Book Antiqua" w:hAnsi="Book Antiqua" w:cs="Times New Roman"/>
          <w:bCs/>
          <w:sz w:val="24"/>
          <w:szCs w:val="24"/>
        </w:rPr>
        <w:t>D1)</w:t>
      </w:r>
      <w:r w:rsidRPr="00572FF7">
        <w:rPr>
          <w:rFonts w:ascii="Book Antiqua" w:hAnsi="Book Antiqua" w:cs="Times New Roman"/>
          <w:sz w:val="24"/>
          <w:szCs w:val="24"/>
        </w:rPr>
        <w:t xml:space="preserve">. And at last stage, the liver surface in the </w:t>
      </w:r>
      <w:r w:rsidRPr="00572FF7">
        <w:rPr>
          <w:rFonts w:ascii="Book Antiqua" w:eastAsia="KaiTi_GB2312" w:hAnsi="Book Antiqua" w:cs="Times New Roman"/>
          <w:sz w:val="24"/>
          <w:szCs w:val="24"/>
        </w:rPr>
        <w:t>cancerous groups</w:t>
      </w:r>
      <w:r w:rsidRPr="00572FF7">
        <w:rPr>
          <w:rFonts w:ascii="Book Antiqua" w:hAnsi="Book Antiqua" w:cs="Times New Roman"/>
          <w:sz w:val="24"/>
          <w:szCs w:val="24"/>
        </w:rPr>
        <w:t xml:space="preserve"> diffusing small nodules and pathological observation suggested tumor cell showed disorder and nest, neoplastic cells with round, oval or irregular shape</w:t>
      </w:r>
      <w:r w:rsidRPr="00572FF7">
        <w:rPr>
          <w:rFonts w:ascii="Book Antiqua" w:hAnsi="Book Antiqua" w:cs="Times New Roman"/>
          <w:bCs/>
          <w:sz w:val="24"/>
          <w:szCs w:val="24"/>
        </w:rPr>
        <w:t xml:space="preserve"> (Figure </w:t>
      </w:r>
      <w:r w:rsidRPr="00572FF7">
        <w:rPr>
          <w:rFonts w:ascii="Book Antiqua" w:hAnsi="Book Antiqua" w:cs="Times New Roman" w:hint="eastAsia"/>
          <w:bCs/>
          <w:sz w:val="24"/>
          <w:szCs w:val="24"/>
        </w:rPr>
        <w:t>1</w:t>
      </w:r>
      <w:r w:rsidRPr="00572FF7">
        <w:rPr>
          <w:rFonts w:ascii="Book Antiqua" w:hAnsi="Book Antiqua" w:cs="Times New Roman"/>
          <w:bCs/>
          <w:sz w:val="24"/>
          <w:szCs w:val="24"/>
        </w:rPr>
        <w:t>E, E1)</w:t>
      </w:r>
      <w:r w:rsidRPr="00572FF7">
        <w:rPr>
          <w:rFonts w:ascii="Book Antiqua" w:hAnsi="Book Antiqua" w:cs="Times New Roman"/>
          <w:sz w:val="24"/>
          <w:szCs w:val="24"/>
        </w:rPr>
        <w:t xml:space="preserve">. </w:t>
      </w:r>
    </w:p>
    <w:p w:rsidR="00341958" w:rsidRPr="00705846" w:rsidRDefault="00341958">
      <w:pPr>
        <w:spacing w:line="360" w:lineRule="auto"/>
        <w:rPr>
          <w:rFonts w:ascii="Book Antiqua" w:hAnsi="Book Antiqua" w:cs="Times New Roman"/>
          <w:sz w:val="24"/>
          <w:szCs w:val="24"/>
        </w:rPr>
      </w:pPr>
    </w:p>
    <w:p w:rsidR="00341958" w:rsidRPr="00705846" w:rsidRDefault="00705846">
      <w:pPr>
        <w:spacing w:line="360" w:lineRule="auto"/>
        <w:rPr>
          <w:rFonts w:ascii="Book Antiqua" w:hAnsi="Book Antiqua" w:cs="Times New Roman"/>
          <w:b/>
          <w:bCs/>
          <w:i/>
          <w:iCs/>
          <w:sz w:val="24"/>
          <w:szCs w:val="24"/>
        </w:rPr>
      </w:pPr>
      <w:r w:rsidRPr="00705846">
        <w:rPr>
          <w:rFonts w:ascii="Book Antiqua" w:hAnsi="Book Antiqua" w:cs="Times New Roman"/>
          <w:b/>
          <w:bCs/>
          <w:i/>
          <w:iCs/>
          <w:sz w:val="24"/>
          <w:szCs w:val="24"/>
        </w:rPr>
        <w:t>Lipid accumulation and hepatocyte malignant transformation</w:t>
      </w:r>
    </w:p>
    <w:p w:rsidR="00341958" w:rsidRPr="00705846" w:rsidRDefault="00705846">
      <w:pPr>
        <w:spacing w:line="360" w:lineRule="auto"/>
        <w:rPr>
          <w:rFonts w:ascii="Book Antiqua" w:eastAsia="KaiTi_GB2312" w:hAnsi="Book Antiqua" w:cs="Times New Roman"/>
          <w:sz w:val="24"/>
          <w:szCs w:val="24"/>
        </w:rPr>
      </w:pPr>
      <w:r w:rsidRPr="00572FF7">
        <w:rPr>
          <w:rFonts w:ascii="Book Antiqua" w:hAnsi="Book Antiqua" w:cs="Times New Roman"/>
          <w:sz w:val="24"/>
          <w:szCs w:val="24"/>
        </w:rPr>
        <w:t xml:space="preserve">The lipid accumulation after liver sections stained with the Oil red O are shown in </w:t>
      </w:r>
      <w:r w:rsidRPr="00572FF7">
        <w:rPr>
          <w:rFonts w:ascii="Book Antiqua" w:hAnsi="Book Antiqua" w:cs="Times New Roman"/>
          <w:bCs/>
          <w:sz w:val="24"/>
          <w:szCs w:val="24"/>
        </w:rPr>
        <w:t>Figure 2</w:t>
      </w:r>
      <w:r w:rsidRPr="00572FF7">
        <w:rPr>
          <w:rFonts w:ascii="Book Antiqua" w:hAnsi="Book Antiqua" w:cs="Times New Roman"/>
          <w:sz w:val="24"/>
          <w:szCs w:val="24"/>
        </w:rPr>
        <w:t>. There was no obvious positive lipid staining in the livers of the control group (</w:t>
      </w:r>
      <w:r w:rsidRPr="00572FF7">
        <w:rPr>
          <w:rFonts w:ascii="Book Antiqua" w:hAnsi="Book Antiqua" w:cs="Times New Roman"/>
          <w:bCs/>
          <w:sz w:val="24"/>
          <w:szCs w:val="24"/>
        </w:rPr>
        <w:t xml:space="preserve">Figure </w:t>
      </w:r>
      <w:r w:rsidRPr="00572FF7">
        <w:rPr>
          <w:rFonts w:ascii="Book Antiqua" w:hAnsi="Book Antiqua" w:cs="Times New Roman"/>
          <w:sz w:val="24"/>
          <w:szCs w:val="24"/>
        </w:rPr>
        <w:t xml:space="preserve">2A); and significant positive staining was found in each of the other groups with large amount of lipid accumulation. </w:t>
      </w:r>
      <w:r w:rsidRPr="00572FF7">
        <w:rPr>
          <w:rFonts w:ascii="Book Antiqua" w:eastAsia="KaiTi_GB2312" w:hAnsi="Book Antiqua" w:cs="Times New Roman"/>
          <w:sz w:val="24"/>
          <w:szCs w:val="24"/>
        </w:rPr>
        <w:t xml:space="preserve">The lipid levels in the control group was significantly lower than those in the fatty liver </w:t>
      </w:r>
      <w:r w:rsidRPr="00572FF7">
        <w:rPr>
          <w:rFonts w:ascii="Book Antiqua" w:eastAsia="KaiTi_GB2312" w:hAnsi="Book Antiqua" w:cs="Times New Roman"/>
          <w:color w:val="000000"/>
          <w:sz w:val="24"/>
          <w:szCs w:val="24"/>
        </w:rPr>
        <w:t>(</w:t>
      </w:r>
      <w:r w:rsidRPr="00572FF7">
        <w:rPr>
          <w:rFonts w:ascii="Book Antiqua" w:eastAsia="KaiTi_GB2312" w:hAnsi="Book Antiqua" w:cs="Times New Roman"/>
          <w:i/>
          <w:iCs/>
          <w:color w:val="000000"/>
          <w:sz w:val="24"/>
          <w:szCs w:val="24"/>
        </w:rPr>
        <w:t>t</w:t>
      </w:r>
      <w:r w:rsidRPr="00572FF7">
        <w:rPr>
          <w:rFonts w:ascii="Book Antiqua" w:eastAsia="KaiTi_GB2312" w:hAnsi="Book Antiqua" w:cs="Times New Roman" w:hint="eastAsia"/>
          <w:i/>
          <w:iCs/>
          <w:color w:val="000000"/>
          <w:sz w:val="24"/>
          <w:szCs w:val="24"/>
        </w:rPr>
        <w:t xml:space="preserve"> </w:t>
      </w:r>
      <w:r w:rsidRPr="00572FF7">
        <w:rPr>
          <w:rFonts w:ascii="Book Antiqua" w:eastAsia="KaiTi_GB2312" w:hAnsi="Book Antiqua" w:cs="Times New Roman"/>
          <w:color w:val="000000"/>
          <w:sz w:val="24"/>
          <w:szCs w:val="24"/>
        </w:rPr>
        <w:t>=</w:t>
      </w:r>
      <w:r w:rsidRPr="00572FF7">
        <w:rPr>
          <w:rFonts w:ascii="Book Antiqua" w:eastAsia="KaiTi_GB2312" w:hAnsi="Book Antiqua" w:cs="Times New Roman" w:hint="eastAsia"/>
          <w:color w:val="000000"/>
          <w:sz w:val="24"/>
          <w:szCs w:val="24"/>
        </w:rPr>
        <w:t xml:space="preserve"> </w:t>
      </w:r>
      <w:r w:rsidRPr="00572FF7">
        <w:rPr>
          <w:rFonts w:ascii="Book Antiqua" w:eastAsia="KaiTi_GB2312" w:hAnsi="Book Antiqua" w:cs="Times New Roman"/>
          <w:color w:val="000000"/>
          <w:sz w:val="24"/>
          <w:szCs w:val="24"/>
        </w:rPr>
        <w:t xml:space="preserve">-11.556, </w:t>
      </w:r>
      <w:r w:rsidRPr="00572FF7">
        <w:rPr>
          <w:rFonts w:ascii="Book Antiqua" w:eastAsia="KaiTi_GB2312" w:hAnsi="Book Antiqua" w:cs="Times New Roman"/>
          <w:i/>
          <w:iCs/>
          <w:color w:val="000000"/>
          <w:sz w:val="24"/>
          <w:szCs w:val="24"/>
        </w:rPr>
        <w:t>P</w:t>
      </w:r>
      <w:r w:rsidRPr="00572FF7">
        <w:rPr>
          <w:rFonts w:ascii="Book Antiqua" w:eastAsia="KaiTi_GB2312" w:hAnsi="Book Antiqua" w:cs="Times New Roman" w:hint="eastAsia"/>
          <w:i/>
          <w:iCs/>
          <w:color w:val="000000"/>
          <w:sz w:val="24"/>
          <w:szCs w:val="24"/>
        </w:rPr>
        <w:t xml:space="preserve"> </w:t>
      </w:r>
      <w:r w:rsidRPr="00572FF7">
        <w:rPr>
          <w:rFonts w:ascii="Book Antiqua" w:eastAsia="KaiTi_GB2312" w:hAnsi="Book Antiqua" w:cs="Times New Roman"/>
          <w:color w:val="000000"/>
          <w:sz w:val="24"/>
          <w:szCs w:val="24"/>
        </w:rPr>
        <w:t>&lt;</w:t>
      </w:r>
      <w:r w:rsidRPr="00572FF7">
        <w:rPr>
          <w:rFonts w:ascii="Book Antiqua" w:eastAsia="KaiTi_GB2312" w:hAnsi="Book Antiqua" w:cs="Times New Roman" w:hint="eastAsia"/>
          <w:color w:val="000000"/>
          <w:sz w:val="24"/>
          <w:szCs w:val="24"/>
        </w:rPr>
        <w:t xml:space="preserve"> </w:t>
      </w:r>
      <w:r w:rsidRPr="00572FF7">
        <w:rPr>
          <w:rFonts w:ascii="Book Antiqua" w:eastAsia="KaiTi_GB2312" w:hAnsi="Book Antiqua" w:cs="Times New Roman"/>
          <w:color w:val="000000"/>
          <w:sz w:val="24"/>
          <w:szCs w:val="24"/>
        </w:rPr>
        <w:t>0.001,</w:t>
      </w:r>
      <w:r w:rsidRPr="00572FF7">
        <w:rPr>
          <w:rFonts w:ascii="Book Antiqua" w:hAnsi="Book Antiqua" w:cs="Times New Roman"/>
          <w:sz w:val="24"/>
          <w:szCs w:val="24"/>
        </w:rPr>
        <w:t xml:space="preserve"> </w:t>
      </w:r>
      <w:r w:rsidRPr="00572FF7">
        <w:rPr>
          <w:rFonts w:ascii="Book Antiqua" w:hAnsi="Book Antiqua" w:cs="Times New Roman"/>
          <w:bCs/>
          <w:sz w:val="24"/>
          <w:szCs w:val="24"/>
        </w:rPr>
        <w:t xml:space="preserve">Figure </w:t>
      </w:r>
      <w:r w:rsidRPr="00572FF7">
        <w:rPr>
          <w:rFonts w:ascii="Book Antiqua" w:hAnsi="Book Antiqua" w:cs="Times New Roman"/>
          <w:sz w:val="24"/>
          <w:szCs w:val="24"/>
        </w:rPr>
        <w:t>2B</w:t>
      </w:r>
      <w:r w:rsidRPr="00572FF7">
        <w:rPr>
          <w:rFonts w:ascii="Book Antiqua" w:eastAsia="KaiTi_GB2312" w:hAnsi="Book Antiqua" w:cs="Times New Roman"/>
          <w:color w:val="000000"/>
          <w:sz w:val="24"/>
          <w:szCs w:val="24"/>
        </w:rPr>
        <w:t>), denaturation (</w:t>
      </w:r>
      <w:r w:rsidRPr="00572FF7">
        <w:rPr>
          <w:rFonts w:ascii="Book Antiqua" w:eastAsia="KaiTi_GB2312" w:hAnsi="Book Antiqua" w:cs="Times New Roman"/>
          <w:i/>
          <w:iCs/>
          <w:color w:val="000000"/>
          <w:sz w:val="24"/>
          <w:szCs w:val="24"/>
        </w:rPr>
        <w:t>t</w:t>
      </w:r>
      <w:r w:rsidRPr="00572FF7">
        <w:rPr>
          <w:rFonts w:ascii="Book Antiqua" w:eastAsia="KaiTi_GB2312" w:hAnsi="Book Antiqua" w:cs="Times New Roman" w:hint="eastAsia"/>
          <w:i/>
          <w:iCs/>
          <w:color w:val="000000"/>
          <w:sz w:val="24"/>
          <w:szCs w:val="24"/>
        </w:rPr>
        <w:t xml:space="preserve"> </w:t>
      </w:r>
      <w:r w:rsidRPr="00572FF7">
        <w:rPr>
          <w:rFonts w:ascii="Book Antiqua" w:eastAsia="KaiTi_GB2312" w:hAnsi="Book Antiqua" w:cs="Times New Roman"/>
          <w:color w:val="000000"/>
          <w:sz w:val="24"/>
          <w:szCs w:val="24"/>
        </w:rPr>
        <w:t>=</w:t>
      </w:r>
      <w:r w:rsidRPr="00572FF7">
        <w:rPr>
          <w:rFonts w:ascii="Book Antiqua" w:eastAsia="KaiTi_GB2312" w:hAnsi="Book Antiqua" w:cs="Times New Roman" w:hint="eastAsia"/>
          <w:color w:val="000000"/>
          <w:sz w:val="24"/>
          <w:szCs w:val="24"/>
        </w:rPr>
        <w:t xml:space="preserve"> </w:t>
      </w:r>
      <w:r w:rsidRPr="00572FF7">
        <w:rPr>
          <w:rFonts w:ascii="Book Antiqua" w:eastAsia="KaiTi_GB2312" w:hAnsi="Book Antiqua" w:cs="Times New Roman"/>
          <w:color w:val="000000"/>
          <w:sz w:val="24"/>
          <w:szCs w:val="24"/>
        </w:rPr>
        <w:t xml:space="preserve">-4.847, </w:t>
      </w:r>
      <w:r w:rsidRPr="00572FF7">
        <w:rPr>
          <w:rFonts w:ascii="Book Antiqua" w:eastAsia="KaiTi_GB2312" w:hAnsi="Book Antiqua" w:cs="Times New Roman"/>
          <w:i/>
          <w:iCs/>
          <w:color w:val="000000"/>
          <w:sz w:val="24"/>
          <w:szCs w:val="24"/>
        </w:rPr>
        <w:t>P</w:t>
      </w:r>
      <w:r w:rsidRPr="00572FF7">
        <w:rPr>
          <w:rFonts w:ascii="Book Antiqua" w:eastAsia="KaiTi_GB2312" w:hAnsi="Book Antiqua" w:cs="Times New Roman"/>
          <w:color w:val="000000"/>
          <w:sz w:val="24"/>
          <w:szCs w:val="24"/>
        </w:rPr>
        <w:t>=0.04,</w:t>
      </w:r>
      <w:r w:rsidRPr="00572FF7">
        <w:rPr>
          <w:rFonts w:ascii="Book Antiqua" w:hAnsi="Book Antiqua" w:cs="Times New Roman"/>
          <w:sz w:val="24"/>
          <w:szCs w:val="24"/>
        </w:rPr>
        <w:t xml:space="preserve"> </w:t>
      </w:r>
      <w:r w:rsidRPr="00572FF7">
        <w:rPr>
          <w:rFonts w:ascii="Book Antiqua" w:hAnsi="Book Antiqua" w:cs="Times New Roman"/>
          <w:bCs/>
          <w:sz w:val="24"/>
          <w:szCs w:val="24"/>
        </w:rPr>
        <w:t xml:space="preserve">Figure </w:t>
      </w:r>
      <w:r w:rsidRPr="00572FF7">
        <w:rPr>
          <w:rFonts w:ascii="Book Antiqua" w:hAnsi="Book Antiqua" w:cs="Times New Roman"/>
          <w:sz w:val="24"/>
          <w:szCs w:val="24"/>
        </w:rPr>
        <w:t>2C</w:t>
      </w:r>
      <w:r w:rsidRPr="00572FF7">
        <w:rPr>
          <w:rFonts w:ascii="Book Antiqua" w:eastAsia="KaiTi_GB2312" w:hAnsi="Book Antiqua" w:cs="Times New Roman"/>
          <w:color w:val="000000"/>
          <w:sz w:val="24"/>
          <w:szCs w:val="24"/>
        </w:rPr>
        <w:t>), precancerous (</w:t>
      </w:r>
      <w:r w:rsidRPr="00572FF7">
        <w:rPr>
          <w:rFonts w:ascii="Book Antiqua" w:eastAsia="KaiTi_GB2312" w:hAnsi="Book Antiqua" w:cs="Times New Roman"/>
          <w:i/>
          <w:iCs/>
          <w:color w:val="000000"/>
          <w:sz w:val="24"/>
          <w:szCs w:val="24"/>
        </w:rPr>
        <w:t>t</w:t>
      </w:r>
      <w:r w:rsidRPr="00572FF7">
        <w:rPr>
          <w:rFonts w:ascii="Book Antiqua" w:eastAsia="KaiTi_GB2312" w:hAnsi="Book Antiqua" w:cs="Times New Roman" w:hint="eastAsia"/>
          <w:i/>
          <w:iCs/>
          <w:color w:val="000000"/>
          <w:sz w:val="24"/>
          <w:szCs w:val="24"/>
        </w:rPr>
        <w:t xml:space="preserve"> </w:t>
      </w:r>
      <w:r w:rsidRPr="00572FF7">
        <w:rPr>
          <w:rFonts w:ascii="Book Antiqua" w:eastAsia="KaiTi_GB2312" w:hAnsi="Book Antiqua" w:cs="Times New Roman"/>
          <w:color w:val="000000"/>
          <w:sz w:val="24"/>
          <w:szCs w:val="24"/>
        </w:rPr>
        <w:t>=</w:t>
      </w:r>
      <w:r w:rsidRPr="00572FF7">
        <w:rPr>
          <w:rFonts w:ascii="Book Antiqua" w:eastAsia="KaiTi_GB2312" w:hAnsi="Book Antiqua" w:cs="Times New Roman" w:hint="eastAsia"/>
          <w:color w:val="000000"/>
          <w:sz w:val="24"/>
          <w:szCs w:val="24"/>
        </w:rPr>
        <w:t xml:space="preserve"> </w:t>
      </w:r>
      <w:r w:rsidRPr="00572FF7">
        <w:rPr>
          <w:rFonts w:ascii="Book Antiqua" w:eastAsia="KaiTi_GB2312" w:hAnsi="Book Antiqua" w:cs="Times New Roman"/>
          <w:color w:val="000000"/>
          <w:sz w:val="24"/>
          <w:szCs w:val="24"/>
        </w:rPr>
        <w:t xml:space="preserve">-13.652, </w:t>
      </w:r>
      <w:r w:rsidRPr="00572FF7">
        <w:rPr>
          <w:rFonts w:ascii="Book Antiqua" w:eastAsia="KaiTi_GB2312" w:hAnsi="Book Antiqua" w:cs="Times New Roman"/>
          <w:i/>
          <w:iCs/>
          <w:color w:val="000000"/>
          <w:sz w:val="24"/>
          <w:szCs w:val="24"/>
        </w:rPr>
        <w:t>P</w:t>
      </w:r>
      <w:r w:rsidRPr="00572FF7">
        <w:rPr>
          <w:rFonts w:ascii="Book Antiqua" w:eastAsia="KaiTi_GB2312" w:hAnsi="Book Antiqua" w:cs="Times New Roman" w:hint="eastAsia"/>
          <w:i/>
          <w:iCs/>
          <w:color w:val="000000"/>
          <w:sz w:val="24"/>
          <w:szCs w:val="24"/>
        </w:rPr>
        <w:t xml:space="preserve"> </w:t>
      </w:r>
      <w:r w:rsidRPr="00572FF7">
        <w:rPr>
          <w:rFonts w:ascii="Book Antiqua" w:eastAsia="KaiTi_GB2312" w:hAnsi="Book Antiqua" w:cs="Times New Roman"/>
          <w:color w:val="000000"/>
          <w:sz w:val="24"/>
          <w:szCs w:val="24"/>
        </w:rPr>
        <w:t>=</w:t>
      </w:r>
      <w:r w:rsidRPr="00572FF7">
        <w:rPr>
          <w:rFonts w:ascii="Book Antiqua" w:eastAsia="KaiTi_GB2312" w:hAnsi="Book Antiqua" w:cs="Times New Roman" w:hint="eastAsia"/>
          <w:color w:val="000000"/>
          <w:sz w:val="24"/>
          <w:szCs w:val="24"/>
        </w:rPr>
        <w:t xml:space="preserve"> </w:t>
      </w:r>
      <w:r w:rsidRPr="00572FF7">
        <w:rPr>
          <w:rFonts w:ascii="Book Antiqua" w:eastAsia="KaiTi_GB2312" w:hAnsi="Book Antiqua" w:cs="Times New Roman"/>
          <w:color w:val="000000"/>
          <w:sz w:val="24"/>
          <w:szCs w:val="24"/>
        </w:rPr>
        <w:t>0.005,</w:t>
      </w:r>
      <w:r w:rsidRPr="00572FF7">
        <w:rPr>
          <w:rFonts w:ascii="Book Antiqua" w:hAnsi="Book Antiqua" w:cs="Times New Roman"/>
          <w:sz w:val="24"/>
          <w:szCs w:val="24"/>
        </w:rPr>
        <w:t xml:space="preserve"> </w:t>
      </w:r>
      <w:r w:rsidRPr="00572FF7">
        <w:rPr>
          <w:rFonts w:ascii="Book Antiqua" w:hAnsi="Book Antiqua" w:cs="Times New Roman"/>
          <w:bCs/>
          <w:sz w:val="24"/>
          <w:szCs w:val="24"/>
        </w:rPr>
        <w:t xml:space="preserve">Figure </w:t>
      </w:r>
      <w:r w:rsidRPr="00572FF7">
        <w:rPr>
          <w:rFonts w:ascii="Book Antiqua" w:hAnsi="Book Antiqua" w:cs="Times New Roman"/>
          <w:sz w:val="24"/>
          <w:szCs w:val="24"/>
        </w:rPr>
        <w:t>2D</w:t>
      </w:r>
      <w:r w:rsidRPr="00572FF7">
        <w:rPr>
          <w:rFonts w:ascii="Book Antiqua" w:eastAsia="KaiTi_GB2312" w:hAnsi="Book Antiqua" w:cs="Times New Roman"/>
          <w:color w:val="000000"/>
          <w:sz w:val="24"/>
          <w:szCs w:val="24"/>
        </w:rPr>
        <w:t>), and cancerous group (</w:t>
      </w:r>
      <w:r w:rsidRPr="00572FF7">
        <w:rPr>
          <w:rFonts w:ascii="Book Antiqua" w:eastAsia="KaiTi_GB2312" w:hAnsi="Book Antiqua" w:cs="Times New Roman"/>
          <w:i/>
          <w:iCs/>
          <w:color w:val="000000"/>
          <w:sz w:val="24"/>
          <w:szCs w:val="24"/>
        </w:rPr>
        <w:t>t</w:t>
      </w:r>
      <w:r w:rsidRPr="00572FF7">
        <w:rPr>
          <w:rFonts w:ascii="Book Antiqua" w:eastAsia="KaiTi_GB2312" w:hAnsi="Book Antiqua" w:cs="Times New Roman"/>
          <w:color w:val="000000"/>
          <w:sz w:val="24"/>
          <w:szCs w:val="24"/>
        </w:rPr>
        <w:t xml:space="preserve">=-10.896, </w:t>
      </w:r>
      <w:r w:rsidRPr="00572FF7">
        <w:rPr>
          <w:rFonts w:ascii="Book Antiqua" w:eastAsia="KaiTi_GB2312" w:hAnsi="Book Antiqua" w:cs="Times New Roman"/>
          <w:i/>
          <w:iCs/>
          <w:color w:val="000000"/>
          <w:sz w:val="24"/>
          <w:szCs w:val="24"/>
        </w:rPr>
        <w:t>P</w:t>
      </w:r>
      <w:r w:rsidRPr="00572FF7">
        <w:rPr>
          <w:rFonts w:ascii="Book Antiqua" w:eastAsia="KaiTi_GB2312" w:hAnsi="Book Antiqua" w:cs="Times New Roman"/>
          <w:color w:val="000000"/>
          <w:sz w:val="24"/>
          <w:szCs w:val="24"/>
        </w:rPr>
        <w:t>=0.008,</w:t>
      </w:r>
      <w:r w:rsidRPr="00572FF7">
        <w:rPr>
          <w:rFonts w:ascii="Book Antiqua" w:hAnsi="Book Antiqua" w:cs="Times New Roman"/>
          <w:sz w:val="24"/>
          <w:szCs w:val="24"/>
        </w:rPr>
        <w:t xml:space="preserve"> </w:t>
      </w:r>
      <w:r w:rsidRPr="00572FF7">
        <w:rPr>
          <w:rFonts w:ascii="Book Antiqua" w:hAnsi="Book Antiqua" w:cs="Times New Roman"/>
          <w:bCs/>
          <w:sz w:val="24"/>
          <w:szCs w:val="24"/>
        </w:rPr>
        <w:t xml:space="preserve">Figure </w:t>
      </w:r>
      <w:r w:rsidRPr="00572FF7">
        <w:rPr>
          <w:rFonts w:ascii="Book Antiqua" w:hAnsi="Book Antiqua" w:cs="Times New Roman"/>
          <w:sz w:val="24"/>
          <w:szCs w:val="24"/>
        </w:rPr>
        <w:t>2E</w:t>
      </w:r>
      <w:r w:rsidRPr="00572FF7">
        <w:rPr>
          <w:rFonts w:ascii="Book Antiqua" w:eastAsia="KaiTi_GB2312" w:hAnsi="Book Antiqua" w:cs="Times New Roman"/>
          <w:color w:val="000000"/>
          <w:sz w:val="24"/>
          <w:szCs w:val="24"/>
        </w:rPr>
        <w:t>), respectively. The r</w:t>
      </w:r>
      <w:r w:rsidRPr="00572FF7">
        <w:rPr>
          <w:rFonts w:ascii="Book Antiqua" w:eastAsia="KaiTi_GB2312" w:hAnsi="Book Antiqua" w:cs="Times New Roman"/>
          <w:sz w:val="24"/>
          <w:szCs w:val="24"/>
        </w:rPr>
        <w:t>elative fat quantitative analysis in the liver tissues (</w:t>
      </w:r>
      <w:r w:rsidRPr="00572FF7">
        <w:rPr>
          <w:rFonts w:ascii="Book Antiqua" w:hAnsi="Book Antiqua" w:cs="Times New Roman"/>
          <w:bCs/>
          <w:sz w:val="24"/>
          <w:szCs w:val="24"/>
        </w:rPr>
        <w:t xml:space="preserve">Figure </w:t>
      </w:r>
      <w:r w:rsidRPr="00572FF7">
        <w:rPr>
          <w:rFonts w:ascii="Book Antiqua" w:eastAsia="KaiTi_GB2312" w:hAnsi="Book Antiqua" w:cs="Times New Roman"/>
          <w:sz w:val="24"/>
          <w:szCs w:val="24"/>
        </w:rPr>
        <w:t>2F) indicated that there was no obvious lipid staining in the control group, while the lipid accumulation of livers in the fatty liver group was the highest among different rats with the deepest red by the Oil Red O staining. The lipid content in the inducing cancer groups was about only 50% of the fatty liver group, the significantly difference (</w:t>
      </w:r>
      <w:r w:rsidRPr="00572FF7">
        <w:rPr>
          <w:rFonts w:ascii="Book Antiqua" w:eastAsia="KaiTi_GB2312" w:hAnsi="Book Antiqua" w:cs="Times New Roman"/>
          <w:i/>
          <w:iCs/>
          <w:sz w:val="24"/>
          <w:szCs w:val="24"/>
        </w:rPr>
        <w:t>P</w:t>
      </w:r>
      <w:r w:rsidRPr="00572FF7">
        <w:rPr>
          <w:rFonts w:ascii="Book Antiqua" w:eastAsia="KaiTi_GB2312" w:hAnsi="Book Antiqua" w:cs="Times New Roman"/>
          <w:sz w:val="24"/>
          <w:szCs w:val="24"/>
        </w:rPr>
        <w:t xml:space="preserve"> &lt; </w:t>
      </w:r>
      <w:r w:rsidRPr="00705846">
        <w:rPr>
          <w:rFonts w:ascii="Book Antiqua" w:eastAsia="KaiTi_GB2312" w:hAnsi="Book Antiqua" w:cs="Times New Roman"/>
          <w:sz w:val="24"/>
          <w:szCs w:val="24"/>
        </w:rPr>
        <w:t>0.05).</w:t>
      </w:r>
    </w:p>
    <w:p w:rsidR="00341958" w:rsidRPr="00705846" w:rsidRDefault="00341958">
      <w:pPr>
        <w:spacing w:line="360" w:lineRule="auto"/>
        <w:rPr>
          <w:rFonts w:ascii="Book Antiqua" w:hAnsi="Book Antiqua" w:cs="Times New Roman"/>
          <w:color w:val="C00000"/>
          <w:sz w:val="24"/>
          <w:szCs w:val="24"/>
        </w:rPr>
      </w:pP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b/>
          <w:bCs/>
          <w:i/>
          <w:iCs/>
          <w:sz w:val="24"/>
          <w:szCs w:val="24"/>
        </w:rPr>
        <w:t>Lipid accumulation and hepatocyte injury</w:t>
      </w:r>
      <w:r w:rsidRPr="00705846">
        <w:rPr>
          <w:rFonts w:ascii="Book Antiqua" w:hAnsi="Book Antiqua" w:cs="Times New Roman"/>
          <w:b/>
          <w:bCs/>
          <w:sz w:val="24"/>
          <w:szCs w:val="24"/>
        </w:rPr>
        <w:t xml:space="preserve"> </w:t>
      </w:r>
    </w:p>
    <w:p w:rsidR="00341958" w:rsidRPr="00705846" w:rsidRDefault="00705846">
      <w:pPr>
        <w:spacing w:line="360" w:lineRule="auto"/>
        <w:rPr>
          <w:rFonts w:ascii="Book Antiqua" w:eastAsia="KaiTi_GB2312" w:hAnsi="Book Antiqua" w:cs="Times New Roman"/>
          <w:sz w:val="24"/>
          <w:szCs w:val="24"/>
        </w:rPr>
      </w:pPr>
      <w:r w:rsidRPr="00705846">
        <w:rPr>
          <w:rFonts w:ascii="Book Antiqua" w:hAnsi="Book Antiqua" w:cs="Times New Roman"/>
          <w:sz w:val="24"/>
          <w:szCs w:val="24"/>
        </w:rPr>
        <w:lastRenderedPageBreak/>
        <w:t xml:space="preserve">During the rat hepatocyte malignant transformation, the changes of circulating lipid levels and hepatic enzyme activities in the SD rats are shown in </w:t>
      </w:r>
      <w:r w:rsidRPr="00705846">
        <w:rPr>
          <w:rFonts w:ascii="Book Antiqua" w:hAnsi="Book Antiqua" w:cs="Times New Roman"/>
          <w:b/>
          <w:bCs/>
          <w:sz w:val="24"/>
          <w:szCs w:val="24"/>
        </w:rPr>
        <w:t>Table 1</w:t>
      </w:r>
      <w:r w:rsidRPr="00705846">
        <w:rPr>
          <w:rFonts w:ascii="Book Antiqua" w:hAnsi="Book Antiqua" w:cs="Times New Roman"/>
          <w:sz w:val="24"/>
          <w:szCs w:val="24"/>
        </w:rPr>
        <w:t xml:space="preserve">. </w:t>
      </w:r>
      <w:r w:rsidRPr="00705846">
        <w:rPr>
          <w:rFonts w:ascii="Book Antiqua" w:eastAsia="KaiTi_GB2312" w:hAnsi="Book Antiqua" w:cs="Times New Roman"/>
          <w:sz w:val="24"/>
          <w:szCs w:val="24"/>
        </w:rPr>
        <w:t xml:space="preserve">The changes of serum TG and Tch levels were abnormally increasing </w:t>
      </w:r>
      <w:r w:rsidRPr="00705846">
        <w:rPr>
          <w:rFonts w:ascii="Book Antiqua" w:eastAsia="KaiTi_GB2312" w:hAnsi="Book Antiqua" w:cs="Times New Roman"/>
          <w:color w:val="000000"/>
          <w:sz w:val="24"/>
          <w:szCs w:val="24"/>
        </w:rPr>
        <w:t xml:space="preserve">2 </w:t>
      </w:r>
      <w:r>
        <w:rPr>
          <w:rFonts w:ascii="Book Antiqua" w:eastAsia="KaiTi_GB2312" w:hAnsi="Book Antiqua" w:cs="Times New Roman" w:hint="eastAsia"/>
          <w:color w:val="000000"/>
          <w:sz w:val="24"/>
          <w:szCs w:val="24"/>
        </w:rPr>
        <w:t>-</w:t>
      </w:r>
      <w:r w:rsidRPr="00705846">
        <w:rPr>
          <w:rFonts w:ascii="Book Antiqua" w:eastAsia="KaiTi_GB2312" w:hAnsi="Book Antiqua" w:cs="Times New Roman"/>
          <w:color w:val="000000"/>
          <w:sz w:val="24"/>
          <w:szCs w:val="24"/>
        </w:rPr>
        <w:t xml:space="preserve"> 3 times more than those in the controls (</w:t>
      </w:r>
      <w:r w:rsidRPr="00705846">
        <w:rPr>
          <w:rFonts w:ascii="Book Antiqua" w:eastAsia="KaiTi_GB2312" w:hAnsi="Book Antiqua" w:cs="Times New Roman"/>
          <w:i/>
          <w:iCs/>
          <w:color w:val="000000"/>
          <w:sz w:val="24"/>
          <w:szCs w:val="24"/>
        </w:rPr>
        <w:t xml:space="preserve">P </w:t>
      </w:r>
      <w:r w:rsidRPr="00705846">
        <w:rPr>
          <w:rFonts w:ascii="Book Antiqua" w:eastAsia="KaiTi_GB2312" w:hAnsi="Book Antiqua" w:cs="Times New Roman"/>
          <w:color w:val="000000"/>
          <w:sz w:val="24"/>
          <w:szCs w:val="24"/>
        </w:rPr>
        <w:t xml:space="preserve">&lt; 0.05). During the rat liver </w:t>
      </w:r>
      <w:r w:rsidRPr="00705846">
        <w:rPr>
          <w:rFonts w:ascii="Book Antiqua" w:eastAsia="KaiTi_GB2312" w:hAnsi="Book Antiqua" w:cs="Times New Roman"/>
          <w:sz w:val="24"/>
          <w:szCs w:val="24"/>
        </w:rPr>
        <w:t>morphological changes</w:t>
      </w:r>
      <w:r w:rsidRPr="00705846">
        <w:rPr>
          <w:rFonts w:ascii="Book Antiqua" w:eastAsia="KaiTi_GB2312" w:hAnsi="Book Antiqua" w:cs="Times New Roman"/>
          <w:color w:val="000000"/>
          <w:sz w:val="24"/>
          <w:szCs w:val="24"/>
        </w:rPr>
        <w:t xml:space="preserve"> from normal to cancer development process with hepatocyte injury, serum </w:t>
      </w:r>
      <w:r w:rsidRPr="00705846">
        <w:rPr>
          <w:rFonts w:ascii="Book Antiqua" w:eastAsia="KaiTi_GB2312" w:hAnsi="Book Antiqua" w:cs="Times New Roman"/>
          <w:sz w:val="24"/>
          <w:szCs w:val="24"/>
        </w:rPr>
        <w:t>AST and ALT levels were significantly higher (</w:t>
      </w:r>
      <w:r w:rsidRPr="00705846">
        <w:rPr>
          <w:rFonts w:ascii="Book Antiqua" w:eastAsia="KaiTi_GB2312" w:hAnsi="Book Antiqua" w:cs="Times New Roman"/>
          <w:color w:val="000000"/>
          <w:sz w:val="24"/>
          <w:szCs w:val="24"/>
        </w:rPr>
        <w:t xml:space="preserve">4 </w:t>
      </w:r>
      <w:r>
        <w:rPr>
          <w:rFonts w:ascii="Book Antiqua" w:eastAsia="KaiTi_GB2312" w:hAnsi="Book Antiqua" w:cs="Times New Roman" w:hint="eastAsia"/>
          <w:color w:val="000000"/>
          <w:sz w:val="24"/>
          <w:szCs w:val="24"/>
        </w:rPr>
        <w:t>-</w:t>
      </w:r>
      <w:r w:rsidRPr="00705846">
        <w:rPr>
          <w:rFonts w:ascii="Book Antiqua" w:eastAsia="KaiTi_GB2312" w:hAnsi="Book Antiqua" w:cs="Times New Roman"/>
          <w:color w:val="000000"/>
          <w:sz w:val="24"/>
          <w:szCs w:val="24"/>
        </w:rPr>
        <w:t xml:space="preserve"> 8 times, </w:t>
      </w:r>
      <w:r w:rsidRPr="00705846">
        <w:rPr>
          <w:rFonts w:ascii="Book Antiqua" w:eastAsia="KaiTi_GB2312" w:hAnsi="Book Antiqua" w:cs="Times New Roman"/>
          <w:i/>
          <w:iCs/>
          <w:sz w:val="24"/>
          <w:szCs w:val="24"/>
        </w:rPr>
        <w:t>P</w:t>
      </w:r>
      <w:r>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&lt;</w:t>
      </w:r>
      <w:r>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0.05) than those in the control group. All the data showed that, liver lipid accumulation were serious with hepatocyte injury in all groups except of the rats in the control group.</w:t>
      </w:r>
    </w:p>
    <w:p w:rsidR="00341958" w:rsidRPr="00705846" w:rsidRDefault="00341958">
      <w:pPr>
        <w:spacing w:line="360" w:lineRule="auto"/>
        <w:rPr>
          <w:rFonts w:ascii="Book Antiqua" w:hAnsi="Book Antiqua" w:cs="Times New Roman"/>
          <w:b/>
          <w:bCs/>
          <w:sz w:val="24"/>
          <w:szCs w:val="24"/>
        </w:rPr>
      </w:pPr>
    </w:p>
    <w:p w:rsidR="00341958" w:rsidRPr="00705846" w:rsidRDefault="00705846">
      <w:pPr>
        <w:spacing w:line="360" w:lineRule="auto"/>
        <w:rPr>
          <w:rFonts w:ascii="Book Antiqua" w:hAnsi="Book Antiqua" w:cs="Times New Roman"/>
          <w:b/>
          <w:bCs/>
          <w:i/>
          <w:iCs/>
          <w:sz w:val="24"/>
          <w:szCs w:val="24"/>
        </w:rPr>
      </w:pPr>
      <w:r w:rsidRPr="00705846">
        <w:rPr>
          <w:rFonts w:ascii="Book Antiqua" w:hAnsi="Book Antiqua" w:cs="Times New Roman"/>
          <w:b/>
          <w:bCs/>
          <w:i/>
          <w:iCs/>
          <w:sz w:val="24"/>
          <w:szCs w:val="24"/>
        </w:rPr>
        <w:t>Significant decreasing of liver CPT-II specific concentration</w:t>
      </w:r>
    </w:p>
    <w:p w:rsidR="00341958" w:rsidRPr="00705846" w:rsidRDefault="00705846">
      <w:pPr>
        <w:spacing w:line="360" w:lineRule="auto"/>
        <w:rPr>
          <w:rFonts w:ascii="Book Antiqua" w:eastAsia="KaiTi_GB2312" w:hAnsi="Book Antiqua" w:cs="Times New Roman"/>
          <w:sz w:val="24"/>
          <w:szCs w:val="24"/>
        </w:rPr>
      </w:pPr>
      <w:r w:rsidRPr="00705846">
        <w:rPr>
          <w:rFonts w:ascii="Book Antiqua" w:hAnsi="Book Antiqua" w:cs="Times New Roman"/>
          <w:color w:val="000000"/>
          <w:sz w:val="24"/>
          <w:szCs w:val="24"/>
        </w:rPr>
        <w:t xml:space="preserve">The alterations of CPT-II concentration in liver tissues are shown in </w:t>
      </w:r>
      <w:r w:rsidRPr="00D1335F">
        <w:rPr>
          <w:rFonts w:ascii="Book Antiqua" w:hAnsi="Book Antiqua" w:cs="Times New Roman"/>
          <w:bCs/>
          <w:color w:val="000000"/>
          <w:sz w:val="24"/>
          <w:szCs w:val="24"/>
        </w:rPr>
        <w:t>Figure 3</w:t>
      </w:r>
      <w:r w:rsidRPr="00D1335F">
        <w:rPr>
          <w:rFonts w:ascii="Book Antiqua" w:hAnsi="Book Antiqua" w:cs="Times New Roman"/>
          <w:color w:val="000000"/>
          <w:sz w:val="24"/>
          <w:szCs w:val="24"/>
        </w:rPr>
        <w:t xml:space="preserve">. </w:t>
      </w:r>
      <w:r w:rsidRPr="00705846">
        <w:rPr>
          <w:rFonts w:ascii="Book Antiqua" w:hAnsi="Book Antiqua" w:cs="Times New Roman"/>
          <w:sz w:val="24"/>
          <w:szCs w:val="24"/>
        </w:rPr>
        <w:t>The meaning is the concentration of CPT-II/per mg of total protein in the supernatant of liver tissue homogenate (</w:t>
      </w:r>
      <w:r w:rsidRPr="00705846">
        <w:rPr>
          <w:rFonts w:ascii="Book Antiqua" w:eastAsia="KaiTi_GB2312" w:hAnsi="Book Antiqua" w:cs="Times New Roman"/>
          <w:color w:val="000000"/>
          <w:sz w:val="24"/>
          <w:szCs w:val="24"/>
        </w:rPr>
        <w:t>ng/mg P</w:t>
      </w:r>
      <w:r w:rsidRPr="00705846">
        <w:rPr>
          <w:rFonts w:ascii="Book Antiqua" w:hAnsi="Book Antiqua" w:cs="Times New Roman"/>
          <w:sz w:val="24"/>
          <w:szCs w:val="24"/>
        </w:rPr>
        <w:t xml:space="preserve">). The specific concentration of liver CPT-II </w:t>
      </w:r>
      <w:r w:rsidRPr="00705846">
        <w:rPr>
          <w:rFonts w:ascii="Book Antiqua" w:eastAsia="KaiTi_GB2312" w:hAnsi="Book Antiqua" w:cs="Times New Roman"/>
          <w:sz w:val="24"/>
          <w:szCs w:val="24"/>
        </w:rPr>
        <w:t xml:space="preserve">was </w:t>
      </w:r>
      <w:r w:rsidRPr="00705846">
        <w:rPr>
          <w:rFonts w:ascii="Book Antiqua" w:eastAsia="KaiTi_GB2312" w:hAnsi="Book Antiqua" w:cs="Times New Roman"/>
          <w:color w:val="000000"/>
          <w:sz w:val="24"/>
          <w:szCs w:val="24"/>
        </w:rPr>
        <w:t xml:space="preserve">124.08 ± 26.73 </w:t>
      </w:r>
      <w:r w:rsidRPr="00705846">
        <w:rPr>
          <w:rFonts w:ascii="Book Antiqua" w:eastAsia="KaiTi_GB2312" w:hAnsi="Book Antiqua" w:cs="Times New Roman"/>
          <w:sz w:val="24"/>
          <w:szCs w:val="24"/>
        </w:rPr>
        <w:t>(</w:t>
      </w:r>
      <w:r w:rsidRPr="00705846">
        <w:rPr>
          <w:rFonts w:ascii="Book Antiqua" w:eastAsia="KaiTi_GB2312" w:hAnsi="Book Antiqua" w:cs="Times New Roman"/>
          <w:color w:val="000000"/>
          <w:sz w:val="24"/>
          <w:szCs w:val="24"/>
        </w:rPr>
        <w:t xml:space="preserve">ng/mg P) </w:t>
      </w:r>
      <w:r w:rsidRPr="00705846">
        <w:rPr>
          <w:rFonts w:ascii="Book Antiqua" w:hAnsi="Book Antiqua" w:cs="Times New Roman"/>
          <w:sz w:val="24"/>
          <w:szCs w:val="24"/>
        </w:rPr>
        <w:t xml:space="preserve">in the </w:t>
      </w:r>
      <w:r w:rsidRPr="00705846">
        <w:rPr>
          <w:rFonts w:ascii="Book Antiqua" w:eastAsia="KaiTi_GB2312" w:hAnsi="Book Antiqua" w:cs="Times New Roman"/>
          <w:sz w:val="24"/>
          <w:szCs w:val="24"/>
        </w:rPr>
        <w:t>control group</w:t>
      </w:r>
      <w:r w:rsidRPr="00705846">
        <w:rPr>
          <w:rFonts w:ascii="Book Antiqua" w:eastAsia="KaiTi_GB2312" w:hAnsi="Book Antiqua" w:cs="Times New Roman"/>
          <w:color w:val="000000"/>
          <w:sz w:val="24"/>
          <w:szCs w:val="24"/>
        </w:rPr>
        <w:t xml:space="preserve">, 92.84 ± 11.18 </w:t>
      </w:r>
      <w:r w:rsidRPr="00705846">
        <w:rPr>
          <w:rFonts w:ascii="Book Antiqua" w:eastAsia="KaiTi_GB2312" w:hAnsi="Book Antiqua" w:cs="Times New Roman"/>
          <w:sz w:val="24"/>
          <w:szCs w:val="24"/>
        </w:rPr>
        <w:t>(</w:t>
      </w:r>
      <w:r w:rsidRPr="00705846">
        <w:rPr>
          <w:rFonts w:ascii="Book Antiqua" w:eastAsia="KaiTi_GB2312" w:hAnsi="Book Antiqua" w:cs="Times New Roman"/>
          <w:color w:val="000000"/>
          <w:sz w:val="24"/>
          <w:szCs w:val="24"/>
        </w:rPr>
        <w:t xml:space="preserve">ng/mg P) in the </w:t>
      </w:r>
      <w:r w:rsidRPr="00705846">
        <w:rPr>
          <w:rFonts w:ascii="Book Antiqua" w:eastAsia="KaiTi_GB2312" w:hAnsi="Book Antiqua" w:cs="Times New Roman"/>
          <w:sz w:val="24"/>
          <w:szCs w:val="24"/>
        </w:rPr>
        <w:t>fatty liver group</w:t>
      </w:r>
      <w:r w:rsidRPr="00705846">
        <w:rPr>
          <w:rFonts w:ascii="Book Antiqua" w:eastAsia="KaiTi_GB2312" w:hAnsi="Book Antiqua" w:cs="Times New Roman"/>
          <w:color w:val="000000"/>
          <w:sz w:val="24"/>
          <w:szCs w:val="24"/>
        </w:rPr>
        <w:t xml:space="preserve">, 39.29 ± 6.33 (ng/mg P) in the denaturation group, 50.49 ± 18.92 (ng/mg P) in the precancerous group, and 38.73 ± 14.95 (ng/mg P) in the </w:t>
      </w:r>
      <w:r w:rsidRPr="00705846">
        <w:rPr>
          <w:rFonts w:ascii="Book Antiqua" w:eastAsia="KaiTi_GB2312" w:hAnsi="Book Antiqua" w:cs="Times New Roman"/>
          <w:sz w:val="24"/>
          <w:szCs w:val="24"/>
        </w:rPr>
        <w:t>cancerous</w:t>
      </w:r>
      <w:r w:rsidR="00D1335F">
        <w:rPr>
          <w:rFonts w:ascii="Book Antiqua" w:eastAsia="KaiTi_GB2312" w:hAnsi="Book Antiqua" w:cs="Times New Roman"/>
          <w:color w:val="000000"/>
          <w:sz w:val="24"/>
          <w:szCs w:val="24"/>
        </w:rPr>
        <w:t xml:space="preserve"> group</w:t>
      </w:r>
      <w:r w:rsidRPr="00705846">
        <w:rPr>
          <w:rFonts w:ascii="Book Antiqua" w:eastAsia="KaiTi_GB2312" w:hAnsi="Book Antiqua" w:cs="Times New Roman"/>
          <w:color w:val="000000"/>
          <w:sz w:val="24"/>
          <w:szCs w:val="24"/>
        </w:rPr>
        <w:t xml:space="preserve">, respectively. </w:t>
      </w:r>
      <w:r w:rsidRPr="00705846">
        <w:rPr>
          <w:rFonts w:ascii="Book Antiqua" w:eastAsia="KaiTi_GB2312" w:hAnsi="Book Antiqua" w:cs="Times New Roman"/>
          <w:sz w:val="24"/>
          <w:szCs w:val="24"/>
        </w:rPr>
        <w:t xml:space="preserve">The hepatic CPT-II levels was significantly higher in the control group than those in the fatty liver </w:t>
      </w:r>
      <w:r w:rsidRPr="00705846">
        <w:rPr>
          <w:rFonts w:ascii="Book Antiqua" w:eastAsia="KaiTi_GB2312" w:hAnsi="Book Antiqua" w:cs="Times New Roman"/>
          <w:color w:val="000000"/>
          <w:sz w:val="24"/>
          <w:szCs w:val="24"/>
        </w:rPr>
        <w:t>(</w:t>
      </w:r>
      <w:r w:rsidRPr="00705846">
        <w:rPr>
          <w:rFonts w:ascii="Book Antiqua" w:eastAsia="KaiTi_GB2312" w:hAnsi="Book Antiqua" w:cs="Times New Roman"/>
          <w:i/>
          <w:iCs/>
          <w:color w:val="000000"/>
          <w:sz w:val="24"/>
          <w:szCs w:val="24"/>
        </w:rPr>
        <w:t>t</w:t>
      </w:r>
      <w:r w:rsidR="00D1335F">
        <w:rPr>
          <w:rFonts w:ascii="Book Antiqua" w:eastAsia="KaiTi_GB2312" w:hAnsi="Book Antiqua" w:cs="Times New Roman" w:hint="eastAsia"/>
          <w:i/>
          <w:iCs/>
          <w:color w:val="000000"/>
          <w:sz w:val="24"/>
          <w:szCs w:val="24"/>
        </w:rPr>
        <w:t xml:space="preserve"> </w:t>
      </w:r>
      <w:r w:rsidRPr="00705846">
        <w:rPr>
          <w:rFonts w:ascii="Book Antiqua" w:eastAsia="KaiTi_GB2312" w:hAnsi="Book Antiqua" w:cs="Times New Roman"/>
          <w:color w:val="000000"/>
          <w:sz w:val="24"/>
          <w:szCs w:val="24"/>
        </w:rPr>
        <w: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 xml:space="preserve">2.641, </w:t>
      </w:r>
      <w:r w:rsidRPr="00705846">
        <w:rPr>
          <w:rFonts w:ascii="Book Antiqua" w:eastAsia="KaiTi_GB2312" w:hAnsi="Book Antiqua" w:cs="Times New Roman"/>
          <w:i/>
          <w:iCs/>
          <w:color w:val="000000"/>
          <w:sz w:val="24"/>
          <w:szCs w:val="24"/>
        </w:rPr>
        <w:t>P</w:t>
      </w:r>
      <w:r w:rsidR="00D1335F">
        <w:rPr>
          <w:rFonts w:ascii="Book Antiqua" w:eastAsia="KaiTi_GB2312" w:hAnsi="Book Antiqua" w:cs="Times New Roman" w:hint="eastAsia"/>
          <w:i/>
          <w:iCs/>
          <w:color w:val="000000"/>
          <w:sz w:val="24"/>
          <w:szCs w:val="24"/>
        </w:rPr>
        <w:t xml:space="preserve"> </w:t>
      </w:r>
      <w:r w:rsidRPr="00705846">
        <w:rPr>
          <w:rFonts w:ascii="Book Antiqua" w:eastAsia="KaiTi_GB2312" w:hAnsi="Book Antiqua" w:cs="Times New Roman"/>
          <w:color w:val="000000"/>
          <w:sz w:val="24"/>
          <w:szCs w:val="24"/>
        </w:rPr>
        <w: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0.035), denaturation (</w:t>
      </w:r>
      <w:r w:rsidRPr="00705846">
        <w:rPr>
          <w:rFonts w:ascii="Book Antiqua" w:eastAsia="KaiTi_GB2312" w:hAnsi="Book Antiqua" w:cs="Times New Roman"/>
          <w:i/>
          <w:iCs/>
          <w:color w:val="000000"/>
          <w:sz w:val="24"/>
          <w:szCs w:val="24"/>
        </w:rPr>
        <w:t>t</w:t>
      </w:r>
      <w:r w:rsidR="00D1335F">
        <w:rPr>
          <w:rFonts w:ascii="Book Antiqua" w:eastAsia="KaiTi_GB2312" w:hAnsi="Book Antiqua" w:cs="Times New Roman" w:hint="eastAsia"/>
          <w:i/>
          <w:iCs/>
          <w:color w:val="000000"/>
          <w:sz w:val="24"/>
          <w:szCs w:val="24"/>
        </w:rPr>
        <w:t xml:space="preserve"> </w:t>
      </w:r>
      <w:r w:rsidRPr="00705846">
        <w:rPr>
          <w:rFonts w:ascii="Book Antiqua" w:eastAsia="KaiTi_GB2312" w:hAnsi="Book Antiqua" w:cs="Times New Roman"/>
          <w:color w:val="000000"/>
          <w:sz w:val="24"/>
          <w:szCs w:val="24"/>
        </w:rPr>
        <w: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 xml:space="preserve">7.559, </w:t>
      </w:r>
      <w:r w:rsidRPr="00705846">
        <w:rPr>
          <w:rFonts w:ascii="Book Antiqua" w:eastAsia="KaiTi_GB2312" w:hAnsi="Book Antiqua" w:cs="Times New Roman"/>
          <w:i/>
          <w:iCs/>
          <w:color w:val="000000"/>
          <w:sz w:val="24"/>
          <w:szCs w:val="24"/>
        </w:rPr>
        <w:t>P</w:t>
      </w:r>
      <w:r w:rsidR="00D1335F">
        <w:rPr>
          <w:rFonts w:ascii="Book Antiqua" w:eastAsia="KaiTi_GB2312" w:hAnsi="Book Antiqua" w:cs="Times New Roman" w:hint="eastAsia"/>
          <w:i/>
          <w:iCs/>
          <w:color w:val="000000"/>
          <w:sz w:val="24"/>
          <w:szCs w:val="24"/>
        </w:rPr>
        <w:t xml:space="preserve"> </w:t>
      </w:r>
      <w:r w:rsidRPr="00705846">
        <w:rPr>
          <w:rFonts w:ascii="Book Antiqua" w:eastAsia="KaiTi_GB2312" w:hAnsi="Book Antiqua" w:cs="Times New Roman"/>
          <w:color w:val="000000"/>
          <w:sz w:val="24"/>
          <w:szCs w:val="24"/>
        </w:rPr>
        <w:t>&lt;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0.001), precancerous (</w:t>
      </w:r>
      <w:r w:rsidRPr="00705846">
        <w:rPr>
          <w:rFonts w:ascii="Book Antiqua" w:eastAsia="KaiTi_GB2312" w:hAnsi="Book Antiqua" w:cs="Times New Roman"/>
          <w:i/>
          <w:iCs/>
          <w:color w:val="000000"/>
          <w:sz w:val="24"/>
          <w:szCs w:val="24"/>
        </w:rPr>
        <w:t>t</w:t>
      </w:r>
      <w:r w:rsidR="00D1335F">
        <w:rPr>
          <w:rFonts w:ascii="Book Antiqua" w:eastAsia="KaiTi_GB2312" w:hAnsi="Book Antiqua" w:cs="Times New Roman" w:hint="eastAsia"/>
          <w:i/>
          <w:iCs/>
          <w:color w:val="000000"/>
          <w:sz w:val="24"/>
          <w:szCs w:val="24"/>
        </w:rPr>
        <w:t xml:space="preserve"> </w:t>
      </w:r>
      <w:r w:rsidRPr="00705846">
        <w:rPr>
          <w:rFonts w:ascii="Book Antiqua" w:eastAsia="KaiTi_GB2312" w:hAnsi="Book Antiqua" w:cs="Times New Roman"/>
          <w:color w:val="000000"/>
          <w:sz w:val="24"/>
          <w:szCs w:val="24"/>
        </w:rPr>
        <w: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 xml:space="preserve">5.504, </w:t>
      </w:r>
      <w:r w:rsidRPr="00705846">
        <w:rPr>
          <w:rFonts w:ascii="Book Antiqua" w:eastAsia="KaiTi_GB2312" w:hAnsi="Book Antiqua" w:cs="Times New Roman"/>
          <w:i/>
          <w:iCs/>
          <w:color w:val="000000"/>
          <w:sz w:val="24"/>
          <w:szCs w:val="24"/>
        </w:rPr>
        <w:t>P</w:t>
      </w:r>
      <w:r w:rsidR="00D1335F">
        <w:rPr>
          <w:rFonts w:ascii="Book Antiqua" w:eastAsia="KaiTi_GB2312" w:hAnsi="Book Antiqua" w:cs="Times New Roman" w:hint="eastAsia"/>
          <w:i/>
          <w:iCs/>
          <w:color w:val="000000"/>
          <w:sz w:val="24"/>
          <w:szCs w:val="24"/>
        </w:rPr>
        <w:t xml:space="preserve"> </w:t>
      </w:r>
      <w:r w:rsidRPr="00705846">
        <w:rPr>
          <w:rFonts w:ascii="Book Antiqua" w:eastAsia="KaiTi_GB2312" w:hAnsi="Book Antiqua" w:cs="Times New Roman"/>
          <w:color w:val="000000"/>
          <w:sz w:val="24"/>
          <w:szCs w:val="24"/>
        </w:rPr>
        <w:t>&lt;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 xml:space="preserve">0.001), and </w:t>
      </w:r>
      <w:r w:rsidRPr="00705846">
        <w:rPr>
          <w:rFonts w:ascii="Book Antiqua" w:eastAsia="KaiTi_GB2312" w:hAnsi="Book Antiqua" w:cs="Times New Roman"/>
          <w:sz w:val="24"/>
          <w:szCs w:val="24"/>
        </w:rPr>
        <w:t>cancerous</w:t>
      </w:r>
      <w:r w:rsidRPr="00705846">
        <w:rPr>
          <w:rFonts w:ascii="Book Antiqua" w:eastAsia="KaiTi_GB2312" w:hAnsi="Book Antiqua" w:cs="Times New Roman"/>
          <w:color w:val="000000"/>
          <w:sz w:val="24"/>
          <w:szCs w:val="24"/>
        </w:rPr>
        <w:t xml:space="preserve"> group (</w:t>
      </w:r>
      <w:r w:rsidRPr="00705846">
        <w:rPr>
          <w:rFonts w:ascii="Book Antiqua" w:eastAsia="KaiTi_GB2312" w:hAnsi="Book Antiqua" w:cs="Times New Roman"/>
          <w:i/>
          <w:iCs/>
          <w:color w:val="000000"/>
          <w:sz w:val="24"/>
          <w:szCs w:val="24"/>
        </w:rPr>
        <w:t>t</w:t>
      </w:r>
      <w:r w:rsidR="00D1335F">
        <w:rPr>
          <w:rFonts w:ascii="Book Antiqua" w:eastAsia="KaiTi_GB2312" w:hAnsi="Book Antiqua" w:cs="Times New Roman" w:hint="eastAsia"/>
          <w:i/>
          <w:iCs/>
          <w:color w:val="000000"/>
          <w:sz w:val="24"/>
          <w:szCs w:val="24"/>
        </w:rPr>
        <w:t xml:space="preserve"> </w:t>
      </w:r>
      <w:r w:rsidRPr="00705846">
        <w:rPr>
          <w:rFonts w:ascii="Book Antiqua" w:eastAsia="KaiTi_GB2312" w:hAnsi="Book Antiqua" w:cs="Times New Roman"/>
          <w:color w:val="000000"/>
          <w:sz w:val="24"/>
          <w:szCs w:val="24"/>
        </w:rPr>
        <w: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 xml:space="preserve">6.825, </w:t>
      </w:r>
      <w:r w:rsidRPr="00705846">
        <w:rPr>
          <w:rFonts w:ascii="Book Antiqua" w:eastAsia="KaiTi_GB2312" w:hAnsi="Book Antiqua" w:cs="Times New Roman"/>
          <w:i/>
          <w:iCs/>
          <w:color w:val="000000"/>
          <w:sz w:val="24"/>
          <w:szCs w:val="24"/>
        </w:rPr>
        <w:t>P</w:t>
      </w:r>
      <w:r w:rsidR="00D1335F">
        <w:rPr>
          <w:rFonts w:ascii="Book Antiqua" w:eastAsia="KaiTi_GB2312" w:hAnsi="Book Antiqua" w:cs="Times New Roman" w:hint="eastAsia"/>
          <w:i/>
          <w:iCs/>
          <w:color w:val="000000"/>
          <w:sz w:val="24"/>
          <w:szCs w:val="24"/>
        </w:rPr>
        <w:t xml:space="preserve"> </w:t>
      </w:r>
      <w:r w:rsidRPr="00705846">
        <w:rPr>
          <w:rFonts w:ascii="Book Antiqua" w:eastAsia="KaiTi_GB2312" w:hAnsi="Book Antiqua" w:cs="Times New Roman"/>
          <w:color w:val="000000"/>
          <w:sz w:val="24"/>
          <w:szCs w:val="24"/>
        </w:rPr>
        <w:t>&lt;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 xml:space="preserve">0.001), respectively. Besides, </w:t>
      </w:r>
      <w:r w:rsidRPr="00705846">
        <w:rPr>
          <w:rFonts w:ascii="Book Antiqua" w:eastAsia="KaiTi_GB2312" w:hAnsi="Book Antiqua" w:cs="Times New Roman"/>
          <w:sz w:val="24"/>
          <w:szCs w:val="24"/>
        </w:rPr>
        <w:t xml:space="preserve">the CPT-II levels in the fatty liver group was significantly higher than those </w:t>
      </w:r>
      <w:r w:rsidRPr="00705846">
        <w:rPr>
          <w:rFonts w:ascii="Book Antiqua" w:eastAsia="KaiTi_GB2312" w:hAnsi="Book Antiqua" w:cs="Times New Roman"/>
          <w:color w:val="000000"/>
          <w:sz w:val="24"/>
          <w:szCs w:val="24"/>
        </w:rPr>
        <w:t>denaturation (</w:t>
      </w:r>
      <w:r w:rsidR="00D1335F" w:rsidRPr="00705846">
        <w:rPr>
          <w:rFonts w:ascii="Book Antiqua" w:eastAsia="KaiTi_GB2312" w:hAnsi="Book Antiqua" w:cs="Times New Roman"/>
          <w:i/>
          <w:iCs/>
          <w:color w:val="000000"/>
          <w:sz w:val="24"/>
          <w:szCs w:val="24"/>
        </w:rPr>
        <w:t>t</w:t>
      </w:r>
      <w:r w:rsidR="00D1335F" w:rsidRPr="00705846">
        <w:rPr>
          <w:rFonts w:ascii="Book Antiqua" w:eastAsia="KaiTi_GB2312" w:hAnsi="Book Antiqua" w:cs="Times New Roman"/>
          <w:color w:val="000000"/>
          <w:sz w:val="24"/>
          <w:szCs w:val="24"/>
        </w:rPr>
        <w:t xml:space="preserve"> </w:t>
      </w:r>
      <w:r w:rsidRPr="00705846">
        <w:rPr>
          <w:rFonts w:ascii="Book Antiqua" w:eastAsia="KaiTi_GB2312" w:hAnsi="Book Antiqua" w:cs="Times New Roman"/>
          <w:color w:val="000000"/>
          <w:sz w:val="24"/>
          <w:szCs w:val="24"/>
        </w:rPr>
        <w: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 xml:space="preserve">10.210, </w:t>
      </w:r>
      <w:r w:rsidRPr="00D1335F">
        <w:rPr>
          <w:rFonts w:ascii="Book Antiqua" w:eastAsia="KaiTi_GB2312" w:hAnsi="Book Antiqua" w:cs="Times New Roman"/>
          <w:i/>
          <w:color w:val="000000"/>
          <w:sz w:val="24"/>
          <w:szCs w:val="24"/>
        </w:rPr>
        <w:t>P</w:t>
      </w:r>
      <w:r w:rsidR="00D1335F" w:rsidRPr="00D1335F">
        <w:rPr>
          <w:rFonts w:ascii="Book Antiqua" w:eastAsia="KaiTi_GB2312" w:hAnsi="Book Antiqua" w:cs="Times New Roman" w:hint="eastAsia"/>
          <w:i/>
          <w:color w:val="000000"/>
          <w:sz w:val="24"/>
          <w:szCs w:val="24"/>
        </w:rPr>
        <w:t xml:space="preserve"> </w:t>
      </w:r>
      <w:r w:rsidRPr="00705846">
        <w:rPr>
          <w:rFonts w:ascii="Book Antiqua" w:eastAsia="KaiTi_GB2312" w:hAnsi="Book Antiqua" w:cs="Times New Roman"/>
          <w:color w:val="000000"/>
          <w:sz w:val="24"/>
          <w:szCs w:val="24"/>
        </w:rPr>
        <w:t>&lt;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0.001), precancerous (</w:t>
      </w:r>
      <w:r w:rsidRPr="00D1335F">
        <w:rPr>
          <w:rFonts w:ascii="Book Antiqua" w:eastAsia="KaiTi_GB2312" w:hAnsi="Book Antiqua" w:cs="Times New Roman"/>
          <w:i/>
          <w:color w:val="000000"/>
          <w:sz w:val="24"/>
          <w:szCs w:val="24"/>
        </w:rPr>
        <w:t>t</w:t>
      </w:r>
      <w:r w:rsidR="00D1335F" w:rsidRPr="00D1335F">
        <w:rPr>
          <w:rFonts w:ascii="Book Antiqua" w:eastAsia="KaiTi_GB2312" w:hAnsi="Book Antiqua" w:cs="Times New Roman" w:hint="eastAsia"/>
          <w:i/>
          <w:color w:val="000000"/>
          <w:sz w:val="24"/>
          <w:szCs w:val="24"/>
        </w:rPr>
        <w:t xml:space="preserve"> </w:t>
      </w:r>
      <w:r w:rsidRPr="00705846">
        <w:rPr>
          <w:rFonts w:ascii="Book Antiqua" w:eastAsia="KaiTi_GB2312" w:hAnsi="Book Antiqua" w:cs="Times New Roman"/>
          <w:color w:val="000000"/>
          <w:sz w:val="24"/>
          <w:szCs w:val="24"/>
        </w:rPr>
        <w: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 xml:space="preserve">4.721, </w:t>
      </w:r>
      <w:r w:rsidRPr="00D1335F">
        <w:rPr>
          <w:rFonts w:ascii="Book Antiqua" w:eastAsia="KaiTi_GB2312" w:hAnsi="Book Antiqua" w:cs="Times New Roman"/>
          <w:i/>
          <w:color w:val="000000"/>
          <w:sz w:val="24"/>
          <w:szCs w:val="24"/>
        </w:rPr>
        <w:t>P</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 xml:space="preserve">0.001), and </w:t>
      </w:r>
      <w:r w:rsidRPr="00705846">
        <w:rPr>
          <w:rFonts w:ascii="Book Antiqua" w:eastAsia="KaiTi_GB2312" w:hAnsi="Book Antiqua" w:cs="Times New Roman"/>
          <w:sz w:val="24"/>
          <w:szCs w:val="24"/>
        </w:rPr>
        <w:t>cancerous</w:t>
      </w:r>
      <w:r w:rsidRPr="00705846">
        <w:rPr>
          <w:rFonts w:ascii="Book Antiqua" w:eastAsia="KaiTi_GB2312" w:hAnsi="Book Antiqua" w:cs="Times New Roman"/>
          <w:color w:val="000000"/>
          <w:sz w:val="24"/>
          <w:szCs w:val="24"/>
        </w:rPr>
        <w:t xml:space="preserve"> group (</w:t>
      </w:r>
      <w:r w:rsidR="00D1335F" w:rsidRPr="00705846">
        <w:rPr>
          <w:rFonts w:ascii="Book Antiqua" w:eastAsia="KaiTi_GB2312" w:hAnsi="Book Antiqua" w:cs="Times New Roman"/>
          <w:i/>
          <w:iCs/>
          <w:color w:val="000000"/>
          <w:sz w:val="24"/>
          <w:szCs w:val="24"/>
        </w:rPr>
        <w:t>t</w:t>
      </w:r>
      <w:r w:rsidR="00D1335F" w:rsidRPr="00705846">
        <w:rPr>
          <w:rFonts w:ascii="Book Antiqua" w:eastAsia="KaiTi_GB2312" w:hAnsi="Book Antiqua" w:cs="Times New Roman"/>
          <w:color w:val="000000"/>
          <w:sz w:val="24"/>
          <w:szCs w:val="24"/>
        </w:rPr>
        <w:t xml:space="preserve"> </w:t>
      </w:r>
      <w:r w:rsidRPr="00705846">
        <w:rPr>
          <w:rFonts w:ascii="Book Antiqua" w:eastAsia="KaiTi_GB2312" w:hAnsi="Book Antiqua" w:cs="Times New Roman"/>
          <w:color w:val="000000"/>
          <w:sz w:val="24"/>
          <w:szCs w:val="24"/>
        </w:rPr>
        <w: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 xml:space="preserve">7.100, </w:t>
      </w:r>
      <w:r w:rsidR="00D1335F" w:rsidRPr="00D1335F">
        <w:rPr>
          <w:rFonts w:ascii="Book Antiqua" w:eastAsia="KaiTi_GB2312" w:hAnsi="Book Antiqua" w:cs="Times New Roman"/>
          <w:i/>
          <w:color w:val="000000"/>
          <w:sz w:val="24"/>
          <w:szCs w:val="24"/>
        </w:rPr>
        <w:t>P</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&lt;</w:t>
      </w:r>
      <w:r w:rsidR="00D1335F">
        <w:rPr>
          <w:rFonts w:ascii="Book Antiqua" w:eastAsia="KaiTi_GB2312" w:hAnsi="Book Antiqua" w:cs="Times New Roman" w:hint="eastAsia"/>
          <w:color w:val="000000"/>
          <w:sz w:val="24"/>
          <w:szCs w:val="24"/>
        </w:rPr>
        <w:t xml:space="preserve"> </w:t>
      </w:r>
      <w:r w:rsidRPr="00705846">
        <w:rPr>
          <w:rFonts w:ascii="Book Antiqua" w:eastAsia="KaiTi_GB2312" w:hAnsi="Book Antiqua" w:cs="Times New Roman"/>
          <w:color w:val="000000"/>
          <w:sz w:val="24"/>
          <w:szCs w:val="24"/>
        </w:rPr>
        <w:t>0.001), respectively.</w:t>
      </w:r>
      <w:r w:rsidRPr="00705846">
        <w:rPr>
          <w:rFonts w:ascii="Book Antiqua" w:eastAsia="KaiTi_GB2312" w:hAnsi="Book Antiqua" w:cs="Times New Roman"/>
          <w:sz w:val="24"/>
          <w:szCs w:val="24"/>
        </w:rPr>
        <w:t xml:space="preserve"> It can be seen that the specific concentration of liver CPT-II expression was progressively decreasing during hepatocyte malignant transformation.</w:t>
      </w:r>
    </w:p>
    <w:p w:rsidR="00341958" w:rsidRPr="00705846" w:rsidRDefault="00341958">
      <w:pPr>
        <w:spacing w:line="360" w:lineRule="auto"/>
        <w:rPr>
          <w:rFonts w:ascii="Book Antiqua" w:eastAsia="KaiTi_GB2312" w:hAnsi="Book Antiqua" w:cs="Times New Roman"/>
          <w:sz w:val="24"/>
          <w:szCs w:val="24"/>
        </w:rPr>
      </w:pPr>
    </w:p>
    <w:p w:rsidR="00341958" w:rsidRPr="00705846" w:rsidRDefault="00705846">
      <w:pPr>
        <w:spacing w:line="360" w:lineRule="auto"/>
        <w:rPr>
          <w:rFonts w:ascii="Book Antiqua" w:hAnsi="Book Antiqua" w:cs="Times New Roman"/>
          <w:b/>
          <w:bCs/>
          <w:i/>
          <w:iCs/>
          <w:sz w:val="24"/>
          <w:szCs w:val="24"/>
        </w:rPr>
      </w:pPr>
      <w:r w:rsidRPr="00705846">
        <w:rPr>
          <w:rFonts w:ascii="Book Antiqua" w:hAnsi="Book Antiqua" w:cs="Times New Roman"/>
          <w:b/>
          <w:bCs/>
          <w:i/>
          <w:iCs/>
          <w:sz w:val="24"/>
          <w:szCs w:val="24"/>
        </w:rPr>
        <w:t>Immunohistochemical analysis of CPT-II expression</w:t>
      </w:r>
    </w:p>
    <w:p w:rsidR="00341958" w:rsidRPr="00705846" w:rsidRDefault="00705846">
      <w:pPr>
        <w:spacing w:line="360" w:lineRule="auto"/>
        <w:rPr>
          <w:rFonts w:ascii="Book Antiqua" w:eastAsia="KaiTi_GB2312" w:hAnsi="Book Antiqua" w:cs="Times New Roman"/>
          <w:sz w:val="24"/>
          <w:szCs w:val="24"/>
        </w:rPr>
      </w:pPr>
      <w:r w:rsidRPr="00705846">
        <w:rPr>
          <w:rFonts w:ascii="Book Antiqua" w:hAnsi="Book Antiqua" w:cs="Times New Roman"/>
          <w:sz w:val="24"/>
          <w:szCs w:val="24"/>
        </w:rPr>
        <w:t xml:space="preserve">The immunohistochemical analysis of CPT-II expression in the different rat liver tissues are shown in </w:t>
      </w:r>
      <w:r w:rsidRPr="00D1335F">
        <w:rPr>
          <w:rFonts w:ascii="Book Antiqua" w:hAnsi="Book Antiqua" w:cs="Times New Roman"/>
          <w:bCs/>
          <w:sz w:val="24"/>
          <w:szCs w:val="24"/>
        </w:rPr>
        <w:t>Figure 4</w:t>
      </w:r>
      <w:r w:rsidRPr="00D1335F">
        <w:rPr>
          <w:rFonts w:ascii="Book Antiqua" w:hAnsi="Book Antiqua" w:cs="Times New Roman"/>
          <w:sz w:val="24"/>
          <w:szCs w:val="24"/>
        </w:rPr>
        <w:t>. Th</w:t>
      </w:r>
      <w:r w:rsidRPr="00705846">
        <w:rPr>
          <w:rFonts w:ascii="Book Antiqua" w:hAnsi="Book Antiqua" w:cs="Times New Roman"/>
          <w:sz w:val="24"/>
          <w:szCs w:val="24"/>
        </w:rPr>
        <w:t>e average optical density</w:t>
      </w:r>
      <w:r w:rsidRPr="00705846">
        <w:rPr>
          <w:rFonts w:ascii="Book Antiqua" w:eastAsia="KaiTi_GB2312" w:hAnsi="Book Antiqua" w:cs="Times New Roman"/>
          <w:sz w:val="24"/>
          <w:szCs w:val="24"/>
        </w:rPr>
        <w:t xml:space="preserve"> of hepatic </w:t>
      </w:r>
      <w:r w:rsidRPr="00705846">
        <w:rPr>
          <w:rFonts w:ascii="Book Antiqua" w:hAnsi="Book Antiqua" w:cs="Times New Roman"/>
          <w:sz w:val="24"/>
          <w:szCs w:val="24"/>
        </w:rPr>
        <w:lastRenderedPageBreak/>
        <w:t xml:space="preserve">CPT-II expression </w:t>
      </w:r>
      <w:r w:rsidRPr="00705846">
        <w:rPr>
          <w:rFonts w:ascii="Book Antiqua" w:eastAsia="KaiTi_GB2312" w:hAnsi="Book Antiqua" w:cs="Times New Roman"/>
          <w:sz w:val="24"/>
          <w:szCs w:val="24"/>
        </w:rPr>
        <w:t>in the control group was significantly higher than those in the fatty liver (</w:t>
      </w:r>
      <w:r w:rsidRPr="00705846">
        <w:rPr>
          <w:rFonts w:ascii="Book Antiqua" w:eastAsia="KaiTi_GB2312" w:hAnsi="Book Antiqua" w:cs="Times New Roman"/>
          <w:i/>
          <w:iCs/>
          <w:sz w:val="24"/>
          <w:szCs w:val="24"/>
        </w:rPr>
        <w:t>t</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 xml:space="preserve">2.648, </w:t>
      </w:r>
      <w:r w:rsidRPr="00705846">
        <w:rPr>
          <w:rFonts w:ascii="Book Antiqua" w:eastAsia="KaiTi_GB2312" w:hAnsi="Book Antiqua" w:cs="Times New Roman"/>
          <w:i/>
          <w:iCs/>
          <w:sz w:val="24"/>
          <w:szCs w:val="24"/>
        </w:rPr>
        <w:t>P</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0.025), denaturation (</w:t>
      </w:r>
      <w:r w:rsidRPr="00705846">
        <w:rPr>
          <w:rFonts w:ascii="Book Antiqua" w:eastAsia="KaiTi_GB2312" w:hAnsi="Book Antiqua" w:cs="Times New Roman"/>
          <w:i/>
          <w:iCs/>
          <w:sz w:val="24"/>
          <w:szCs w:val="24"/>
        </w:rPr>
        <w:t>t</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 xml:space="preserve">9.071, </w:t>
      </w:r>
      <w:r w:rsidRPr="00705846">
        <w:rPr>
          <w:rFonts w:ascii="Book Antiqua" w:eastAsia="KaiTi_GB2312" w:hAnsi="Book Antiqua" w:cs="Times New Roman"/>
          <w:i/>
          <w:iCs/>
          <w:sz w:val="24"/>
          <w:szCs w:val="24"/>
        </w:rPr>
        <w:t>P</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&lt;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0.001), precancerous (</w:t>
      </w:r>
      <w:r w:rsidRPr="00705846">
        <w:rPr>
          <w:rFonts w:ascii="Book Antiqua" w:eastAsia="KaiTi_GB2312" w:hAnsi="Book Antiqua" w:cs="Times New Roman"/>
          <w:i/>
          <w:iCs/>
          <w:sz w:val="24"/>
          <w:szCs w:val="24"/>
        </w:rPr>
        <w:t>t</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 xml:space="preserve">8.397, </w:t>
      </w:r>
      <w:r w:rsidRPr="00705846">
        <w:rPr>
          <w:rFonts w:ascii="Book Antiqua" w:eastAsia="KaiTi_GB2312" w:hAnsi="Book Antiqua" w:cs="Times New Roman"/>
          <w:i/>
          <w:iCs/>
          <w:sz w:val="24"/>
          <w:szCs w:val="24"/>
        </w:rPr>
        <w:t>P</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&lt;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0.001), and cancerous group (</w:t>
      </w:r>
      <w:r w:rsidRPr="00705846">
        <w:rPr>
          <w:rFonts w:ascii="Book Antiqua" w:eastAsia="KaiTi_GB2312" w:hAnsi="Book Antiqua" w:cs="Times New Roman"/>
          <w:i/>
          <w:iCs/>
          <w:sz w:val="24"/>
          <w:szCs w:val="24"/>
        </w:rPr>
        <w:t>t</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 xml:space="preserve">8.836, </w:t>
      </w:r>
      <w:r w:rsidRPr="00705846">
        <w:rPr>
          <w:rFonts w:ascii="Book Antiqua" w:eastAsia="KaiTi_GB2312" w:hAnsi="Book Antiqua" w:cs="Times New Roman"/>
          <w:i/>
          <w:iCs/>
          <w:sz w:val="24"/>
          <w:szCs w:val="24"/>
        </w:rPr>
        <w:t>P</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&lt;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 xml:space="preserve">0.001), respectively. Besides, </w:t>
      </w:r>
      <w:r w:rsidRPr="00705846">
        <w:rPr>
          <w:rFonts w:ascii="Book Antiqua" w:hAnsi="Book Antiqua" w:cs="Times New Roman"/>
          <w:sz w:val="24"/>
          <w:szCs w:val="24"/>
        </w:rPr>
        <w:t>the average optical density</w:t>
      </w:r>
      <w:r w:rsidRPr="00705846">
        <w:rPr>
          <w:rFonts w:ascii="Book Antiqua" w:eastAsia="KaiTi_GB2312" w:hAnsi="Book Antiqua" w:cs="Times New Roman"/>
          <w:sz w:val="24"/>
          <w:szCs w:val="24"/>
        </w:rPr>
        <w:t xml:space="preserve"> in the fatty liver group was significantly higher than those denaturation (</w:t>
      </w:r>
      <w:r w:rsidRPr="00705846">
        <w:rPr>
          <w:rFonts w:ascii="Book Antiqua" w:eastAsia="KaiTi_GB2312" w:hAnsi="Book Antiqua" w:cs="Times New Roman"/>
          <w:i/>
          <w:iCs/>
          <w:sz w:val="24"/>
          <w:szCs w:val="24"/>
        </w:rPr>
        <w:t>t</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 xml:space="preserve">6.976, </w:t>
      </w:r>
      <w:r w:rsidRPr="00705846">
        <w:rPr>
          <w:rFonts w:ascii="Book Antiqua" w:eastAsia="KaiTi_GB2312" w:hAnsi="Book Antiqua" w:cs="Times New Roman"/>
          <w:i/>
          <w:iCs/>
          <w:sz w:val="24"/>
          <w:szCs w:val="24"/>
        </w:rPr>
        <w:t>P</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&lt;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0.001), precancerous (</w:t>
      </w:r>
      <w:r w:rsidRPr="00705846">
        <w:rPr>
          <w:rFonts w:ascii="Book Antiqua" w:eastAsia="KaiTi_GB2312" w:hAnsi="Book Antiqua" w:cs="Times New Roman"/>
          <w:i/>
          <w:iCs/>
          <w:sz w:val="24"/>
          <w:szCs w:val="24"/>
        </w:rPr>
        <w:t>t</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 xml:space="preserve">6.166, </w:t>
      </w:r>
      <w:r w:rsidRPr="00705846">
        <w:rPr>
          <w:rFonts w:ascii="Book Antiqua" w:eastAsia="KaiTi_GB2312" w:hAnsi="Book Antiqua" w:cs="Times New Roman"/>
          <w:i/>
          <w:iCs/>
          <w:sz w:val="24"/>
          <w:szCs w:val="24"/>
        </w:rPr>
        <w:t>P</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&lt; 0.001), and cancerous group (</w:t>
      </w:r>
      <w:r w:rsidRPr="00705846">
        <w:rPr>
          <w:rFonts w:ascii="Book Antiqua" w:eastAsia="KaiTi_GB2312" w:hAnsi="Book Antiqua" w:cs="Times New Roman"/>
          <w:i/>
          <w:iCs/>
          <w:sz w:val="24"/>
          <w:szCs w:val="24"/>
        </w:rPr>
        <w:t>t</w:t>
      </w:r>
      <w:r w:rsidR="00D1335F">
        <w:rPr>
          <w:rFonts w:ascii="Book Antiqua" w:eastAsia="KaiTi_GB2312" w:hAnsi="Book Antiqua" w:cs="Times New Roman" w:hint="eastAsia"/>
          <w:i/>
          <w:iCs/>
          <w:sz w:val="24"/>
          <w:szCs w:val="24"/>
        </w:rPr>
        <w:t xml:space="preserve"> </w:t>
      </w:r>
      <w:r w:rsidRPr="00705846">
        <w:rPr>
          <w:rFonts w:ascii="Book Antiqua" w:eastAsia="KaiTi_GB2312" w:hAnsi="Book Antiqua" w:cs="Times New Roman"/>
          <w:sz w:val="24"/>
          <w:szCs w:val="24"/>
        </w:rPr>
        <w: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 xml:space="preserve">6.698, </w:t>
      </w:r>
      <w:r w:rsidRPr="00D1335F">
        <w:rPr>
          <w:rFonts w:ascii="Book Antiqua" w:eastAsia="KaiTi_GB2312" w:hAnsi="Book Antiqua" w:cs="Times New Roman"/>
          <w:i/>
          <w:sz w:val="24"/>
          <w:szCs w:val="24"/>
        </w:rPr>
        <w:t>P</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&lt;</w:t>
      </w:r>
      <w:r w:rsidR="00D1335F">
        <w:rPr>
          <w:rFonts w:ascii="Book Antiqua" w:eastAsia="KaiTi_GB2312" w:hAnsi="Book Antiqua" w:cs="Times New Roman" w:hint="eastAsia"/>
          <w:sz w:val="24"/>
          <w:szCs w:val="24"/>
        </w:rPr>
        <w:t xml:space="preserve"> </w:t>
      </w:r>
      <w:r w:rsidRPr="00705846">
        <w:rPr>
          <w:rFonts w:ascii="Book Antiqua" w:eastAsia="KaiTi_GB2312" w:hAnsi="Book Antiqua" w:cs="Times New Roman"/>
          <w:sz w:val="24"/>
          <w:szCs w:val="24"/>
        </w:rPr>
        <w:t>0.001), respectively. From these data, the decreasing specific concentration of liver CPT-II expression was discovered during rat hepatocyte malignant transformation.</w:t>
      </w:r>
    </w:p>
    <w:p w:rsidR="00341958" w:rsidRPr="00705846" w:rsidRDefault="00341958">
      <w:pPr>
        <w:spacing w:line="360" w:lineRule="auto"/>
        <w:rPr>
          <w:rFonts w:ascii="Book Antiqua" w:eastAsia="KaiTi_GB2312" w:hAnsi="Book Antiqua" w:cs="Times New Roman"/>
          <w:sz w:val="24"/>
          <w:szCs w:val="24"/>
        </w:rPr>
      </w:pP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b/>
          <w:bCs/>
          <w:sz w:val="24"/>
          <w:szCs w:val="24"/>
        </w:rPr>
        <w:t>DISCUSSION</w:t>
      </w:r>
    </w:p>
    <w:p w:rsidR="00D1335F"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The formation mechanism of NAFLD is very complex, many related theories such as insulin resistance, lipid peroxidation, cellular factors over expression, lipid metabolism disorder, genetic, environmental, immune, drugs, iron overload and so on</w:t>
      </w:r>
      <w:r w:rsidRPr="00705846">
        <w:rPr>
          <w:rFonts w:ascii="Book Antiqua" w:hAnsi="Book Antiqua" w:cs="Times New Roman"/>
          <w:color w:val="000000"/>
          <w:sz w:val="24"/>
          <w:szCs w:val="24"/>
          <w:vertAlign w:val="superscript"/>
        </w:rPr>
        <w:t>[25,</w:t>
      </w:r>
      <w:r w:rsidRPr="00705846">
        <w:rPr>
          <w:rFonts w:ascii="Book Antiqua" w:hAnsi="Book Antiqua" w:cs="Times New Roman"/>
          <w:sz w:val="24"/>
          <w:szCs w:val="24"/>
          <w:vertAlign w:val="superscript"/>
        </w:rPr>
        <w:t>27]</w:t>
      </w:r>
      <w:r w:rsidRPr="00705846">
        <w:rPr>
          <w:rFonts w:ascii="Book Antiqua" w:hAnsi="Book Antiqua" w:cs="Times New Roman"/>
          <w:sz w:val="24"/>
          <w:szCs w:val="24"/>
        </w:rPr>
        <w:t>. The performance characteristic of NAFLD is metabolic</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 xml:space="preserve">disorder of lipids, and CPT-II </w:t>
      </w:r>
      <w:r w:rsidRPr="00705846">
        <w:rPr>
          <w:rFonts w:ascii="Book Antiqua" w:eastAsia="KaiTi_GB2312" w:hAnsi="Book Antiqua" w:cs="Times New Roman"/>
          <w:sz w:val="24"/>
          <w:szCs w:val="24"/>
        </w:rPr>
        <w:t xml:space="preserve">located on </w:t>
      </w:r>
      <w:hyperlink r:id="rId20" w:history="1">
        <w:r w:rsidRPr="00705846">
          <w:rPr>
            <w:rStyle w:val="Hyperlink"/>
            <w:rFonts w:ascii="Book Antiqua" w:eastAsia="Times New Roman" w:hAnsi="Book Antiqua" w:cs="Times New Roman"/>
            <w:color w:val="000000"/>
            <w:sz w:val="24"/>
            <w:szCs w:val="24"/>
          </w:rPr>
          <w:t>mitochondrial</w:t>
        </w:r>
      </w:hyperlink>
      <w:r w:rsidRPr="00705846">
        <w:rPr>
          <w:rFonts w:ascii="Book Antiqua" w:hAnsi="Book Antiqua" w:cs="Times New Roman"/>
          <w:color w:val="000000"/>
          <w:sz w:val="24"/>
          <w:szCs w:val="24"/>
        </w:rPr>
        <w:t> </w:t>
      </w:r>
      <w:hyperlink r:id="rId21" w:history="1">
        <w:r w:rsidRPr="00705846">
          <w:rPr>
            <w:rStyle w:val="Hyperlink"/>
            <w:rFonts w:ascii="Book Antiqua" w:eastAsia="Times New Roman" w:hAnsi="Book Antiqua" w:cs="Times New Roman"/>
            <w:color w:val="000000"/>
            <w:sz w:val="24"/>
            <w:szCs w:val="24"/>
          </w:rPr>
          <w:t>inner</w:t>
        </w:r>
      </w:hyperlink>
      <w:r w:rsidRPr="00705846">
        <w:rPr>
          <w:rFonts w:ascii="Book Antiqua" w:hAnsi="Book Antiqua" w:cs="Times New Roman"/>
          <w:color w:val="000000"/>
          <w:sz w:val="24"/>
          <w:szCs w:val="24"/>
        </w:rPr>
        <w:t> </w:t>
      </w:r>
      <w:hyperlink r:id="rId22" w:history="1">
        <w:r w:rsidRPr="00705846">
          <w:rPr>
            <w:rStyle w:val="Hyperlink"/>
            <w:rFonts w:ascii="Book Antiqua" w:eastAsia="Times New Roman" w:hAnsi="Book Antiqua" w:cs="Times New Roman"/>
            <w:color w:val="000000"/>
            <w:sz w:val="24"/>
            <w:szCs w:val="24"/>
          </w:rPr>
          <w:t>membrane</w:t>
        </w:r>
      </w:hyperlink>
      <w:r w:rsidRPr="00705846">
        <w:rPr>
          <w:rFonts w:ascii="Book Antiqua" w:hAnsi="Book Antiqua" w:cs="Times New Roman"/>
          <w:color w:val="000000"/>
          <w:sz w:val="24"/>
          <w:szCs w:val="24"/>
        </w:rPr>
        <w:t xml:space="preserve">is as </w:t>
      </w:r>
      <w:r w:rsidRPr="00705846">
        <w:rPr>
          <w:rFonts w:ascii="Book Antiqua" w:hAnsi="Book Antiqua" w:cs="Times New Roman"/>
          <w:sz w:val="24"/>
          <w:szCs w:val="24"/>
        </w:rPr>
        <w:t>the key enzyme of fatty acid metabolism</w:t>
      </w:r>
      <w:r w:rsidR="00D1335F">
        <w:rPr>
          <w:rFonts w:ascii="Book Antiqua" w:hAnsi="Book Antiqua" w:cs="Times New Roman"/>
          <w:sz w:val="24"/>
          <w:szCs w:val="24"/>
          <w:vertAlign w:val="superscript"/>
        </w:rPr>
        <w:t>[28,</w:t>
      </w:r>
      <w:r w:rsidRPr="00705846">
        <w:rPr>
          <w:rFonts w:ascii="Book Antiqua" w:hAnsi="Book Antiqua" w:cs="Times New Roman"/>
          <w:sz w:val="24"/>
          <w:szCs w:val="24"/>
          <w:vertAlign w:val="superscript"/>
        </w:rPr>
        <w:t>18]</w:t>
      </w:r>
      <w:r w:rsidRPr="00705846">
        <w:rPr>
          <w:rFonts w:ascii="Book Antiqua" w:hAnsi="Book Antiqua" w:cs="Times New Roman"/>
          <w:sz w:val="24"/>
          <w:szCs w:val="24"/>
        </w:rPr>
        <w:t>. In normal lipid metabolism, the fatty acids in the body activated into acylCoA, are carried into the mitochondria by carnitine. In the mitochondrial outer membrane fatty acids and CoA must be converted to acyltransferases by CPT-I. Once inside the mitochondrial matrix, CPT-11 generates acyl-CoAs from acylcarnitines to initiate the β-oxidation of fatty acids to acetyl-CoA</w:t>
      </w:r>
      <w:r w:rsidR="00D1335F">
        <w:rPr>
          <w:rFonts w:ascii="Book Antiqua" w:hAnsi="Book Antiqua" w:cs="Times New Roman"/>
          <w:sz w:val="24"/>
          <w:szCs w:val="24"/>
          <w:vertAlign w:val="superscript"/>
        </w:rPr>
        <w:t>[28,</w:t>
      </w:r>
      <w:r w:rsidRPr="00705846">
        <w:rPr>
          <w:rFonts w:ascii="Book Antiqua" w:hAnsi="Book Antiqua" w:cs="Times New Roman"/>
          <w:sz w:val="24"/>
          <w:szCs w:val="24"/>
          <w:vertAlign w:val="superscript"/>
        </w:rPr>
        <w:t>29]</w:t>
      </w:r>
      <w:r w:rsidRPr="00705846">
        <w:rPr>
          <w:rFonts w:ascii="Book Antiqua" w:hAnsi="Book Antiqua" w:cs="Times New Roman"/>
          <w:sz w:val="24"/>
          <w:szCs w:val="24"/>
        </w:rPr>
        <w:t>. And then carnitine crosses the mitochondrial inner membrane, bind with the endogenous or exogenous acyl CoA to prevent the accumulation of acyl CoA causing cell poisoning. Recently, although the association between NAFLD and HCC caused a high degree of clinical attention, however, the pathogensis of NAFLD occurrence still remains unclear</w:t>
      </w:r>
      <w:r w:rsidRPr="00705846">
        <w:rPr>
          <w:rFonts w:ascii="Book Antiqua" w:hAnsi="Book Antiqua" w:cs="Times New Roman"/>
          <w:sz w:val="24"/>
          <w:szCs w:val="24"/>
          <w:vertAlign w:val="superscript"/>
        </w:rPr>
        <w:t>[13-15]</w:t>
      </w:r>
      <w:r w:rsidRPr="00705846">
        <w:rPr>
          <w:rFonts w:ascii="Book Antiqua" w:hAnsi="Book Antiqua" w:cs="Times New Roman"/>
          <w:sz w:val="24"/>
          <w:szCs w:val="24"/>
        </w:rPr>
        <w:t xml:space="preserve">. In this paper, we have successfully made a model </w:t>
      </w:r>
      <w:r w:rsidRPr="00705846">
        <w:rPr>
          <w:rFonts w:ascii="Book Antiqua" w:hAnsi="Book Antiqua" w:cs="Times New Roman"/>
          <w:i/>
          <w:iCs/>
          <w:sz w:val="24"/>
          <w:szCs w:val="24"/>
        </w:rPr>
        <w:t>in vivo</w:t>
      </w:r>
      <w:r w:rsidRPr="00705846">
        <w:rPr>
          <w:rFonts w:ascii="Book Antiqua" w:hAnsi="Book Antiqua" w:cs="Times New Roman"/>
          <w:sz w:val="24"/>
          <w:szCs w:val="24"/>
        </w:rPr>
        <w:t xml:space="preserve"> under the lipid accumulation first time to investigate the dynamic alteration of CPT-II expression during hepatocyte malignant transformation.</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 xml:space="preserve">   Long chain fatty acid required to be transported by carnitine via </w:t>
      </w:r>
      <w:r w:rsidRPr="00705846">
        <w:rPr>
          <w:rFonts w:ascii="Book Antiqua" w:hAnsi="Book Antiqua" w:cs="Times New Roman"/>
          <w:sz w:val="24"/>
          <w:szCs w:val="24"/>
        </w:rPr>
        <w:lastRenderedPageBreak/>
        <w:t>mitochondrial inner membrane into the substrate for oxidation, thus enough carnitine are very important for fatty acids oxidation</w:t>
      </w:r>
      <w:r w:rsidRPr="00705846">
        <w:rPr>
          <w:rFonts w:ascii="Book Antiqua" w:hAnsi="Book Antiqua" w:cs="Times New Roman"/>
          <w:sz w:val="24"/>
          <w:szCs w:val="24"/>
          <w:vertAlign w:val="superscript"/>
        </w:rPr>
        <w:t>[30]</w:t>
      </w:r>
      <w:r w:rsidRPr="00705846">
        <w:rPr>
          <w:rFonts w:ascii="Book Antiqua" w:hAnsi="Book Antiqua" w:cs="Times New Roman"/>
          <w:sz w:val="24"/>
          <w:szCs w:val="24"/>
        </w:rPr>
        <w:t>. After virus infection, competitive combination of endogenous metabolites and carnitine inhibited the CPT-II expression, which cause the lack of carnitine and the accumulation acyl CoA and fatty acid leading to mitochondrial damage and finally result in energy dysmetabolism</w:t>
      </w:r>
      <w:r w:rsidRPr="00705846">
        <w:rPr>
          <w:rFonts w:ascii="Book Antiqua" w:hAnsi="Book Antiqua" w:cs="Times New Roman"/>
          <w:sz w:val="24"/>
          <w:szCs w:val="24"/>
          <w:vertAlign w:val="superscript"/>
        </w:rPr>
        <w:t>[31,16]</w:t>
      </w:r>
      <w:r w:rsidRPr="00705846">
        <w:rPr>
          <w:rFonts w:ascii="Book Antiqua" w:hAnsi="Book Antiqua" w:cs="Times New Roman"/>
          <w:sz w:val="24"/>
          <w:szCs w:val="24"/>
        </w:rPr>
        <w:t>. During the process, carnitine deficiency cause the decrease of serum free fatty acid, which resulting in visceral fat accumulation, abnormal endogenous metabolites (dicarboxylic acid) production results in more severe injury of mitochondria</w:t>
      </w:r>
      <w:r w:rsidRPr="00705846">
        <w:rPr>
          <w:rFonts w:ascii="Book Antiqua" w:hAnsi="Book Antiqua" w:cs="Times New Roman"/>
          <w:sz w:val="24"/>
          <w:szCs w:val="24"/>
          <w:vertAlign w:val="superscript"/>
        </w:rPr>
        <w:t>[17,18]</w:t>
      </w:r>
      <w:r w:rsidRPr="00705846">
        <w:rPr>
          <w:rFonts w:ascii="Book Antiqua" w:hAnsi="Book Antiqua" w:cs="Times New Roman"/>
          <w:sz w:val="24"/>
          <w:szCs w:val="24"/>
        </w:rPr>
        <w:t xml:space="preserve">. After the SD rats intaked with the HF diets, the rat livers appeared mass lipid accumulation. The lipid levels in the control group was significantly lower than those in the fatty liver, denaturation, precancerous, and cancer group, respectively. The levels of serum TG and Tch were abnormally increasing 2 </w:t>
      </w:r>
      <w:r w:rsidR="00D1335F">
        <w:rPr>
          <w:rFonts w:ascii="Book Antiqua" w:hAnsi="Book Antiqua" w:cs="Times New Roman" w:hint="eastAsia"/>
          <w:sz w:val="24"/>
          <w:szCs w:val="24"/>
        </w:rPr>
        <w:t>-</w:t>
      </w:r>
      <w:r w:rsidRPr="00705846">
        <w:rPr>
          <w:rFonts w:ascii="Book Antiqua" w:hAnsi="Book Antiqua" w:cs="Times New Roman"/>
          <w:sz w:val="24"/>
          <w:szCs w:val="24"/>
        </w:rPr>
        <w:t xml:space="preserve"> 3 times more than those in the controls. During the rat liver morphological changes from normal to cancer development process with hepatocyte injury, serum AST and ALT levels were significantly higher (4</w:t>
      </w:r>
      <w:r w:rsidR="00D1335F">
        <w:rPr>
          <w:rFonts w:ascii="Book Antiqua" w:hAnsi="Book Antiqua" w:cs="Times New Roman" w:hint="eastAsia"/>
          <w:sz w:val="24"/>
          <w:szCs w:val="24"/>
        </w:rPr>
        <w:t xml:space="preserve"> - </w:t>
      </w:r>
      <w:r w:rsidRPr="00705846">
        <w:rPr>
          <w:rFonts w:ascii="Book Antiqua" w:hAnsi="Book Antiqua" w:cs="Times New Roman"/>
          <w:sz w:val="24"/>
          <w:szCs w:val="24"/>
        </w:rPr>
        <w:t>8 times) than those in the control group. The results indicated that the fat accumulation in the rat livers with hepatocyte damage could affect the fat oxidation in mitochondria.</w:t>
      </w:r>
    </w:p>
    <w:p w:rsidR="00341958" w:rsidRPr="00705846" w:rsidRDefault="00705846">
      <w:pPr>
        <w:spacing w:line="360" w:lineRule="auto"/>
        <w:ind w:firstLine="480"/>
        <w:rPr>
          <w:rFonts w:ascii="Book Antiqua" w:eastAsia="STKaiti" w:hAnsi="Book Antiqua" w:cs="Times New Roman"/>
          <w:sz w:val="24"/>
          <w:szCs w:val="24"/>
        </w:rPr>
      </w:pPr>
      <w:r w:rsidRPr="00705846">
        <w:rPr>
          <w:rFonts w:ascii="Book Antiqua" w:hAnsi="Book Antiqua" w:cs="Times New Roman"/>
          <w:sz w:val="24"/>
          <w:szCs w:val="24"/>
        </w:rPr>
        <w:t xml:space="preserve">Hepatic lipid accumulation is a complicated process with multi-factors, multi-steps, and multi-phases and closely related to the </w:t>
      </w:r>
      <w:hyperlink r:id="rId23" w:history="1">
        <w:r w:rsidRPr="00705846">
          <w:rPr>
            <w:rStyle w:val="Hyperlink"/>
            <w:rFonts w:ascii="Book Antiqua" w:eastAsia="Times New Roman" w:hAnsi="Book Antiqua" w:cs="Times New Roman"/>
            <w:color w:val="000000"/>
            <w:sz w:val="24"/>
            <w:szCs w:val="24"/>
          </w:rPr>
          <w:t>mitochondrial</w:t>
        </w:r>
      </w:hyperlink>
      <w:r w:rsidRPr="00705846">
        <w:rPr>
          <w:rStyle w:val="Hyperlink"/>
          <w:rFonts w:ascii="Book Antiqua" w:hAnsi="Book Antiqua" w:cs="Times New Roman"/>
          <w:color w:val="000000"/>
          <w:sz w:val="24"/>
          <w:szCs w:val="24"/>
        </w:rPr>
        <w:t xml:space="preserve"> </w:t>
      </w:r>
      <w:hyperlink r:id="rId24" w:history="1">
        <w:r w:rsidRPr="00705846">
          <w:rPr>
            <w:rStyle w:val="Hyperlink"/>
            <w:rFonts w:ascii="Book Antiqua" w:eastAsia="Times New Roman" w:hAnsi="Book Antiqua" w:cs="Times New Roman"/>
            <w:color w:val="000000"/>
            <w:sz w:val="24"/>
            <w:szCs w:val="24"/>
          </w:rPr>
          <w:t>inner</w:t>
        </w:r>
      </w:hyperlink>
      <w:r w:rsidRPr="00705846">
        <w:rPr>
          <w:rFonts w:ascii="Book Antiqua" w:hAnsi="Book Antiqua" w:cs="Times New Roman"/>
          <w:color w:val="000000"/>
          <w:sz w:val="24"/>
          <w:szCs w:val="24"/>
        </w:rPr>
        <w:t> </w:t>
      </w:r>
      <w:hyperlink r:id="rId25" w:history="1">
        <w:r w:rsidRPr="00705846">
          <w:rPr>
            <w:rStyle w:val="Hyperlink"/>
            <w:rFonts w:ascii="Book Antiqua" w:eastAsia="Times New Roman" w:hAnsi="Book Antiqua" w:cs="Times New Roman"/>
            <w:color w:val="000000"/>
            <w:sz w:val="24"/>
            <w:szCs w:val="24"/>
          </w:rPr>
          <w:t>membrane</w:t>
        </w:r>
      </w:hyperlink>
      <w:r w:rsidRPr="00705846">
        <w:rPr>
          <w:rStyle w:val="Hyperlink"/>
          <w:rFonts w:ascii="Book Antiqua" w:hAnsi="Book Antiqua" w:cs="Times New Roman"/>
          <w:color w:val="000000"/>
          <w:sz w:val="24"/>
          <w:szCs w:val="24"/>
        </w:rPr>
        <w:t xml:space="preserve"> </w:t>
      </w:r>
      <w:r w:rsidRPr="00705846">
        <w:rPr>
          <w:rFonts w:ascii="Book Antiqua" w:hAnsi="Book Antiqua" w:cs="Times New Roman"/>
          <w:sz w:val="24"/>
          <w:szCs w:val="24"/>
        </w:rPr>
        <w:t>CPT-II activity or function</w:t>
      </w:r>
      <w:r w:rsidR="00D1335F">
        <w:rPr>
          <w:rFonts w:ascii="Book Antiqua" w:hAnsi="Book Antiqua" w:cs="Times New Roman"/>
          <w:sz w:val="24"/>
          <w:szCs w:val="24"/>
          <w:vertAlign w:val="superscript"/>
        </w:rPr>
        <w:t>[32,</w:t>
      </w:r>
      <w:r w:rsidRPr="00705846">
        <w:rPr>
          <w:rFonts w:ascii="Book Antiqua" w:hAnsi="Book Antiqua" w:cs="Times New Roman"/>
          <w:sz w:val="24"/>
          <w:szCs w:val="24"/>
          <w:vertAlign w:val="superscript"/>
        </w:rPr>
        <w:t>33]</w:t>
      </w:r>
      <w:r w:rsidRPr="00705846">
        <w:rPr>
          <w:rFonts w:ascii="Book Antiqua" w:hAnsi="Book Antiqua" w:cs="Times New Roman"/>
          <w:sz w:val="24"/>
          <w:szCs w:val="24"/>
        </w:rPr>
        <w:t>. Hepatic CPT-II controls the mitochondria lipid oxidation, and its activity is sensitive to temperature, regulated by peroxisome proliferators-activated receptors (PPARs)</w:t>
      </w:r>
      <w:r w:rsidRPr="00705846">
        <w:rPr>
          <w:rFonts w:ascii="Book Antiqua" w:hAnsi="Book Antiqua" w:cs="Times New Roman"/>
          <w:sz w:val="24"/>
          <w:szCs w:val="24"/>
          <w:vertAlign w:val="superscript"/>
        </w:rPr>
        <w:t>[17,18]</w:t>
      </w:r>
      <w:r w:rsidRPr="00705846">
        <w:rPr>
          <w:rFonts w:ascii="Book Antiqua" w:hAnsi="Book Antiqua" w:cs="Times New Roman"/>
          <w:sz w:val="24"/>
          <w:szCs w:val="24"/>
        </w:rPr>
        <w:t>, and have multiple variation. Liver derangements in lipid metabolism, importing free fatty acids and manufacturing, storing and exporting lipids could lead to NAFLD development. Although the majority of NAFLD patients presented with steatosis only, about 20% of patients present with NASH (as defined by microscopic findings and consisting of liver injury, steatosis, parenchymal and portal inflammation, and distinctive fibrosis)</w:t>
      </w:r>
      <w:r w:rsidRPr="00705846">
        <w:rPr>
          <w:rFonts w:ascii="Book Antiqua" w:hAnsi="Book Antiqua" w:cs="Times New Roman"/>
          <w:sz w:val="24"/>
          <w:szCs w:val="24"/>
          <w:vertAlign w:val="superscript"/>
        </w:rPr>
        <w:t>[34,35]</w:t>
      </w:r>
      <w:r w:rsidRPr="00705846">
        <w:rPr>
          <w:rFonts w:ascii="Book Antiqua" w:hAnsi="Book Antiqua" w:cs="Times New Roman"/>
          <w:sz w:val="24"/>
          <w:szCs w:val="24"/>
        </w:rPr>
        <w:t>. Loss of CPT-II catalytic function directly effect on lipid oxidation. Hepatic C</w:t>
      </w:r>
      <w:r w:rsidRPr="00705846">
        <w:rPr>
          <w:rFonts w:ascii="Book Antiqua" w:eastAsia="STKaiti" w:hAnsi="Book Antiqua" w:cs="Times New Roman"/>
          <w:sz w:val="24"/>
          <w:szCs w:val="24"/>
        </w:rPr>
        <w:t>PT-II level in t</w:t>
      </w:r>
      <w:r w:rsidRPr="00705846">
        <w:rPr>
          <w:rFonts w:ascii="Book Antiqua" w:hAnsi="Book Antiqua" w:cs="Times New Roman"/>
          <w:sz w:val="24"/>
          <w:szCs w:val="24"/>
        </w:rPr>
        <w:t xml:space="preserve">he fatty liver </w:t>
      </w:r>
      <w:r w:rsidRPr="00705846">
        <w:rPr>
          <w:rFonts w:ascii="Book Antiqua" w:hAnsi="Book Antiqua" w:cs="Times New Roman"/>
          <w:sz w:val="24"/>
          <w:szCs w:val="24"/>
        </w:rPr>
        <w:lastRenderedPageBreak/>
        <w:t xml:space="preserve">group </w:t>
      </w:r>
      <w:r w:rsidRPr="00705846">
        <w:rPr>
          <w:rFonts w:ascii="Book Antiqua" w:eastAsia="STKaiti" w:hAnsi="Book Antiqua" w:cs="Times New Roman"/>
          <w:sz w:val="24"/>
          <w:szCs w:val="24"/>
        </w:rPr>
        <w:t xml:space="preserve">was significantly lower than that in the control group, indicated that CPT-II reduction could associate with the lipid accumulation or steatosis.  </w:t>
      </w:r>
    </w:p>
    <w:p w:rsidR="00341958" w:rsidRPr="00705846" w:rsidRDefault="00705846">
      <w:pPr>
        <w:spacing w:line="360" w:lineRule="auto"/>
        <w:ind w:firstLine="480"/>
        <w:rPr>
          <w:rFonts w:ascii="Book Antiqua" w:hAnsi="Book Antiqua" w:cs="Times New Roman"/>
          <w:sz w:val="24"/>
          <w:szCs w:val="24"/>
        </w:rPr>
      </w:pPr>
      <w:r w:rsidRPr="00705846">
        <w:rPr>
          <w:rFonts w:ascii="Book Antiqua" w:hAnsi="Book Antiqua" w:cs="Times New Roman"/>
          <w:sz w:val="24"/>
          <w:szCs w:val="24"/>
        </w:rPr>
        <w:t>Systemic and genetic mechanisms involved in the malignant trans- formation of liver cells, as well as some biomarkers at early stage HCC have been investigated</w:t>
      </w:r>
      <w:r w:rsidR="00D1335F">
        <w:rPr>
          <w:rFonts w:ascii="Book Antiqua" w:hAnsi="Book Antiqua" w:cs="Times New Roman"/>
          <w:sz w:val="24"/>
          <w:szCs w:val="24"/>
          <w:vertAlign w:val="superscript"/>
        </w:rPr>
        <w:t>[23,</w:t>
      </w:r>
      <w:r w:rsidRPr="00705846">
        <w:rPr>
          <w:rFonts w:ascii="Book Antiqua" w:hAnsi="Book Antiqua" w:cs="Times New Roman"/>
          <w:sz w:val="24"/>
          <w:szCs w:val="24"/>
          <w:vertAlign w:val="superscript"/>
        </w:rPr>
        <w:t>36]</w:t>
      </w:r>
      <w:r w:rsidRPr="00705846">
        <w:rPr>
          <w:rFonts w:ascii="Book Antiqua" w:hAnsi="Book Antiqua" w:cs="Times New Roman"/>
          <w:sz w:val="24"/>
          <w:szCs w:val="24"/>
        </w:rPr>
        <w:t>. Dysregulation of the hormonal axes and cytokines in patients with NAFLD promotes a greater impairment of the cycle between metabolic and inflammatory stimulus that might lead to malignant transformation of hepatocytes</w:t>
      </w:r>
      <w:r w:rsidRPr="00705846">
        <w:rPr>
          <w:rFonts w:ascii="Book Antiqua" w:hAnsi="Book Antiqua" w:cs="Times New Roman"/>
          <w:sz w:val="24"/>
          <w:szCs w:val="24"/>
          <w:vertAlign w:val="superscript"/>
        </w:rPr>
        <w:t>[37,38]</w:t>
      </w:r>
      <w:r w:rsidRPr="00705846">
        <w:rPr>
          <w:rFonts w:ascii="Book Antiqua" w:hAnsi="Book Antiqua" w:cs="Times New Roman"/>
          <w:sz w:val="24"/>
          <w:szCs w:val="24"/>
        </w:rPr>
        <w:t xml:space="preserve">. However, the exact mechanisms underlying the interrelation of NAFLD and HCC remain largely unknown. In this study, the dynamic alteration of CPT-II expression were observed by the models of hepatocyte malignant transformation under nonalcoholic lipid accumulation. The rat hepatocyte developing presented from normal to malignant transformation after the fatty liver rat diets with chemical inducing cancer agent. The specific contents of hepatic CPT-II in the </w:t>
      </w:r>
      <w:r w:rsidRPr="00705846">
        <w:rPr>
          <w:rFonts w:ascii="Book Antiqua" w:eastAsia="KaiTi_GB2312" w:hAnsi="Book Antiqua" w:cs="Times New Roman"/>
          <w:sz w:val="24"/>
          <w:szCs w:val="24"/>
        </w:rPr>
        <w:t>cancerous groups</w:t>
      </w:r>
      <w:r w:rsidRPr="00705846">
        <w:rPr>
          <w:rFonts w:ascii="Book Antiqua" w:hAnsi="Book Antiqua" w:cs="Times New Roman"/>
          <w:sz w:val="24"/>
          <w:szCs w:val="24"/>
        </w:rPr>
        <w:t xml:space="preserve"> were significantly lower than those in the fatty liver group, which was negatively correlated with the cell malignancy degree. The present data suggested that decreasing CPT-II with lipid accumulation further damage liver cells and promote cell malignancy transformation. </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 xml:space="preserve">      In conclusion, to the best of our knowledge, this is the first report to investigate hepatic CPT-II expression in hepatocarcinogenesis and to indicate that it may be a novel important factor for NAFLD</w:t>
      </w:r>
      <w:r w:rsidRPr="00705846">
        <w:rPr>
          <w:rFonts w:ascii="Book Antiqua" w:hAnsi="Book Antiqua" w:cs="Times New Roman"/>
          <w:sz w:val="24"/>
          <w:szCs w:val="24"/>
          <w:vertAlign w:val="superscript"/>
        </w:rPr>
        <w:t>[39,14,40]</w:t>
      </w:r>
      <w:r w:rsidRPr="00705846">
        <w:rPr>
          <w:rFonts w:ascii="Book Antiqua" w:hAnsi="Book Antiqua" w:cs="Times New Roman"/>
          <w:sz w:val="24"/>
          <w:szCs w:val="24"/>
        </w:rPr>
        <w:t>. Here, the findings are promising, and the initial evidence confirmed that CPT-II is one of the key molecules in the β-oxidation of fatty acids. Future studies should clarify the molecular mechanisms of the down- regulation of hepatic CPT-II expression and the relationship between NAFLD and HCC. Although the exact mechanisms underlying the NAFLD tumor-promoting mechanisms triggered by hypernutrition remain to be explored, it is well recognized that NAFLD with excessive fat deposition with loss CPT-II activity are at greater risk of tumor- promoting inflammation conditions and should be treated in time to avoid liver cell malignant transformation</w:t>
      </w:r>
      <w:r w:rsidRPr="00705846">
        <w:rPr>
          <w:rFonts w:ascii="Book Antiqua" w:hAnsi="Book Antiqua" w:cs="Times New Roman"/>
          <w:sz w:val="24"/>
          <w:szCs w:val="24"/>
          <w:vertAlign w:val="superscript"/>
        </w:rPr>
        <w:t>[41,42]</w:t>
      </w:r>
      <w:r w:rsidRPr="00705846">
        <w:rPr>
          <w:rFonts w:ascii="Book Antiqua" w:hAnsi="Book Antiqua" w:cs="Times New Roman"/>
          <w:sz w:val="24"/>
          <w:szCs w:val="24"/>
        </w:rPr>
        <w:t>.</w:t>
      </w:r>
    </w:p>
    <w:p w:rsidR="00341958" w:rsidRPr="00705846" w:rsidRDefault="00341958">
      <w:pPr>
        <w:spacing w:line="360" w:lineRule="auto"/>
        <w:rPr>
          <w:rFonts w:ascii="Book Antiqua" w:hAnsi="Book Antiqua" w:cs="Times New Roman"/>
          <w:sz w:val="24"/>
          <w:szCs w:val="24"/>
        </w:rPr>
      </w:pP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b/>
          <w:bCs/>
          <w:sz w:val="24"/>
          <w:szCs w:val="24"/>
        </w:rPr>
        <w:t>ACKNOWLEDGMENTS</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The authors thank Dr. FitzGibbon T for comments on earlier drafts of the manuscript.</w:t>
      </w:r>
    </w:p>
    <w:p w:rsidR="00341958" w:rsidRPr="00705846" w:rsidRDefault="00341958">
      <w:pPr>
        <w:spacing w:line="360" w:lineRule="auto"/>
        <w:rPr>
          <w:rFonts w:ascii="Book Antiqua" w:hAnsi="Book Antiqua" w:cs="Times New Roman"/>
          <w:sz w:val="24"/>
          <w:szCs w:val="24"/>
        </w:rPr>
      </w:pP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b/>
          <w:bCs/>
          <w:sz w:val="24"/>
          <w:szCs w:val="24"/>
        </w:rPr>
        <w:t>COMMENTS</w:t>
      </w: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b/>
          <w:bCs/>
          <w:i/>
          <w:iCs/>
          <w:sz w:val="24"/>
          <w:szCs w:val="24"/>
        </w:rPr>
        <w:t>Background</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t xml:space="preserve">Systemic and genetic mechanisms involved in the malignant transformation of liver cells. Dysregulation of the hormonal axes and cytokines in patients with </w:t>
      </w:r>
      <w:r w:rsidR="00D1335F" w:rsidRPr="00705846">
        <w:rPr>
          <w:rFonts w:ascii="Book Antiqua" w:hAnsi="Book Antiqua" w:cs="Times New Roman"/>
          <w:sz w:val="24"/>
          <w:szCs w:val="24"/>
        </w:rPr>
        <w:t xml:space="preserve">nonalcoholic fatty liver disease (NAFLD) </w:t>
      </w:r>
      <w:r w:rsidRPr="00705846">
        <w:rPr>
          <w:rFonts w:ascii="Book Antiqua" w:hAnsi="Book Antiqua" w:cs="Times New Roman"/>
          <w:sz w:val="24"/>
          <w:szCs w:val="24"/>
        </w:rPr>
        <w:t xml:space="preserve">promotes a greater impairment of the cycle between metabolic and inflammatory stimulus that might lead to malignant transformation of hepatocytes. However, the exact mechanisms underlying the interrelation of NAFLD and </w:t>
      </w:r>
      <w:r w:rsidR="00D1335F" w:rsidRPr="00705846">
        <w:rPr>
          <w:rFonts w:ascii="Book Antiqua" w:hAnsi="Book Antiqua" w:cs="Times New Roman"/>
          <w:sz w:val="24"/>
          <w:szCs w:val="24"/>
        </w:rPr>
        <w:t>hepatocellular carcinoma (HCC)</w:t>
      </w:r>
      <w:r w:rsidR="00D1335F">
        <w:rPr>
          <w:rFonts w:ascii="Book Antiqua" w:hAnsi="Book Antiqua" w:cs="Times New Roman" w:hint="eastAsia"/>
          <w:sz w:val="24"/>
          <w:szCs w:val="24"/>
        </w:rPr>
        <w:t xml:space="preserve"> </w:t>
      </w:r>
      <w:r w:rsidRPr="00705846">
        <w:rPr>
          <w:rFonts w:ascii="Book Antiqua" w:hAnsi="Book Antiqua" w:cs="Times New Roman"/>
          <w:sz w:val="24"/>
          <w:szCs w:val="24"/>
        </w:rPr>
        <w:t xml:space="preserve">remain largely unknown. </w:t>
      </w:r>
    </w:p>
    <w:p w:rsidR="00341958" w:rsidRPr="00705846" w:rsidRDefault="00341958">
      <w:pPr>
        <w:spacing w:line="360" w:lineRule="auto"/>
        <w:rPr>
          <w:rFonts w:ascii="Book Antiqua" w:hAnsi="Book Antiqua" w:cs="Times New Roman"/>
          <w:b/>
          <w:bCs/>
          <w:i/>
          <w:iCs/>
          <w:sz w:val="24"/>
          <w:szCs w:val="24"/>
        </w:rPr>
      </w:pPr>
    </w:p>
    <w:p w:rsidR="00341958" w:rsidRPr="00705846" w:rsidRDefault="00705846">
      <w:pPr>
        <w:spacing w:line="360" w:lineRule="auto"/>
        <w:rPr>
          <w:rFonts w:ascii="Book Antiqua" w:hAnsi="Book Antiqua" w:cs="Times New Roman"/>
          <w:b/>
          <w:bCs/>
          <w:i/>
          <w:iCs/>
          <w:sz w:val="24"/>
          <w:szCs w:val="24"/>
        </w:rPr>
      </w:pPr>
      <w:r w:rsidRPr="00705846">
        <w:rPr>
          <w:rFonts w:ascii="Book Antiqua" w:hAnsi="Book Antiqua" w:cs="Times New Roman"/>
          <w:b/>
          <w:bCs/>
          <w:i/>
          <w:iCs/>
          <w:sz w:val="24"/>
          <w:szCs w:val="24"/>
        </w:rPr>
        <w:t>Research frontiers</w:t>
      </w: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sz w:val="24"/>
          <w:szCs w:val="24"/>
        </w:rPr>
        <w:t xml:space="preserve">The formation mechanism of NAFLD is very complex, many related theories such as insulin resistance, lipid peroxidation, cellular factors over expression, lipid metabolism disorder, genetic, environmental, immune, drugs, iron overload and so on. The performance characteristic of NAFLD is metabolic disorder of lipids, and </w:t>
      </w:r>
      <w:r w:rsidR="00D1335F" w:rsidRPr="00D1335F">
        <w:rPr>
          <w:rFonts w:ascii="Book Antiqua" w:hAnsi="Book Antiqua" w:cs="Times New Roman"/>
          <w:color w:val="000000"/>
          <w:sz w:val="24"/>
          <w:szCs w:val="24"/>
        </w:rPr>
        <w:t>carnitine palmitoyl transferase II (CPT-II)</w:t>
      </w:r>
      <w:r w:rsidRPr="00705846">
        <w:rPr>
          <w:rFonts w:ascii="Book Antiqua" w:hAnsi="Book Antiqua" w:cs="Times New Roman"/>
          <w:sz w:val="24"/>
          <w:szCs w:val="24"/>
        </w:rPr>
        <w:t xml:space="preserve"> </w:t>
      </w:r>
      <w:r w:rsidRPr="00705846">
        <w:rPr>
          <w:rFonts w:ascii="Book Antiqua" w:eastAsia="KaiTi_GB2312" w:hAnsi="Book Antiqua" w:cs="Times New Roman"/>
          <w:sz w:val="24"/>
          <w:szCs w:val="24"/>
        </w:rPr>
        <w:t xml:space="preserve">located on </w:t>
      </w:r>
      <w:hyperlink r:id="rId26" w:history="1">
        <w:r w:rsidRPr="00705846">
          <w:rPr>
            <w:rStyle w:val="Hyperlink"/>
            <w:rFonts w:ascii="Book Antiqua" w:eastAsia="Times New Roman" w:hAnsi="Book Antiqua" w:cs="Times New Roman"/>
            <w:color w:val="000000"/>
            <w:sz w:val="24"/>
            <w:szCs w:val="24"/>
          </w:rPr>
          <w:t>mitochondrial</w:t>
        </w:r>
      </w:hyperlink>
      <w:r w:rsidRPr="00705846">
        <w:rPr>
          <w:rFonts w:ascii="Book Antiqua" w:hAnsi="Book Antiqua" w:cs="Times New Roman"/>
          <w:color w:val="000000"/>
          <w:sz w:val="24"/>
          <w:szCs w:val="24"/>
        </w:rPr>
        <w:t> </w:t>
      </w:r>
      <w:hyperlink r:id="rId27" w:history="1">
        <w:r w:rsidRPr="00705846">
          <w:rPr>
            <w:rStyle w:val="Hyperlink"/>
            <w:rFonts w:ascii="Book Antiqua" w:eastAsia="Times New Roman" w:hAnsi="Book Antiqua" w:cs="Times New Roman"/>
            <w:color w:val="000000"/>
            <w:sz w:val="24"/>
            <w:szCs w:val="24"/>
          </w:rPr>
          <w:t>inner</w:t>
        </w:r>
      </w:hyperlink>
      <w:r w:rsidRPr="00705846">
        <w:rPr>
          <w:rFonts w:ascii="Book Antiqua" w:hAnsi="Book Antiqua" w:cs="Times New Roman"/>
          <w:color w:val="000000"/>
          <w:sz w:val="24"/>
          <w:szCs w:val="24"/>
        </w:rPr>
        <w:t> </w:t>
      </w:r>
      <w:hyperlink r:id="rId28" w:history="1">
        <w:r w:rsidRPr="00705846">
          <w:rPr>
            <w:rStyle w:val="Hyperlink"/>
            <w:rFonts w:ascii="Book Antiqua" w:eastAsia="Times New Roman" w:hAnsi="Book Antiqua" w:cs="Times New Roman"/>
            <w:color w:val="000000"/>
            <w:sz w:val="24"/>
            <w:szCs w:val="24"/>
          </w:rPr>
          <w:t>membrane</w:t>
        </w:r>
      </w:hyperlink>
      <w:r w:rsidRPr="00705846">
        <w:rPr>
          <w:rStyle w:val="Hyperlink"/>
          <w:rFonts w:ascii="Book Antiqua" w:hAnsi="Book Antiqua" w:cs="Times New Roman"/>
          <w:color w:val="000000"/>
          <w:sz w:val="24"/>
          <w:szCs w:val="24"/>
        </w:rPr>
        <w:t xml:space="preserve"> </w:t>
      </w:r>
      <w:r w:rsidRPr="00705846">
        <w:rPr>
          <w:rFonts w:ascii="Book Antiqua" w:hAnsi="Book Antiqua" w:cs="Times New Roman"/>
          <w:color w:val="000000"/>
          <w:sz w:val="24"/>
          <w:szCs w:val="24"/>
        </w:rPr>
        <w:t>is</w:t>
      </w:r>
      <w:r w:rsidRPr="00705846">
        <w:rPr>
          <w:rFonts w:ascii="Book Antiqua" w:hAnsi="Book Antiqua" w:cs="Times New Roman"/>
          <w:sz w:val="24"/>
          <w:szCs w:val="24"/>
        </w:rPr>
        <w:t xml:space="preserve"> as the key enzyme of fat metabolism. </w:t>
      </w:r>
    </w:p>
    <w:p w:rsidR="00341958" w:rsidRPr="00705846" w:rsidRDefault="00341958">
      <w:pPr>
        <w:spacing w:line="360" w:lineRule="auto"/>
        <w:rPr>
          <w:rFonts w:ascii="Book Antiqua" w:hAnsi="Book Antiqua" w:cs="Times New Roman"/>
          <w:b/>
          <w:bCs/>
          <w:i/>
          <w:iCs/>
          <w:sz w:val="24"/>
          <w:szCs w:val="24"/>
        </w:rPr>
      </w:pP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b/>
          <w:bCs/>
          <w:i/>
          <w:iCs/>
          <w:sz w:val="24"/>
          <w:szCs w:val="24"/>
        </w:rPr>
        <w:t>Innovations and breakthroughs</w:t>
      </w: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sz w:val="24"/>
          <w:szCs w:val="24"/>
        </w:rPr>
        <w:t>This is the first report to investigate hepatic CPT-II expression in hepato- carcinogenesis and to indicate that it may be a novel important factor for NAFLD. Here, the findings are promising, and the initial evidence confirmed that CPT-II is one of the key molecules in the β-oxidation of fatty acids.</w:t>
      </w:r>
    </w:p>
    <w:p w:rsidR="00341958" w:rsidRPr="00705846" w:rsidRDefault="00341958">
      <w:pPr>
        <w:spacing w:line="360" w:lineRule="auto"/>
        <w:rPr>
          <w:rFonts w:ascii="Book Antiqua" w:hAnsi="Book Antiqua" w:cs="Times New Roman"/>
          <w:b/>
          <w:bCs/>
          <w:i/>
          <w:iCs/>
          <w:sz w:val="24"/>
          <w:szCs w:val="24"/>
        </w:rPr>
      </w:pPr>
    </w:p>
    <w:p w:rsidR="00341958" w:rsidRPr="00705846" w:rsidRDefault="00705846">
      <w:pPr>
        <w:spacing w:line="360" w:lineRule="auto"/>
        <w:rPr>
          <w:rFonts w:ascii="Book Antiqua" w:hAnsi="Book Antiqua" w:cs="Times New Roman"/>
          <w:b/>
          <w:bCs/>
          <w:i/>
          <w:iCs/>
          <w:sz w:val="24"/>
          <w:szCs w:val="24"/>
        </w:rPr>
      </w:pPr>
      <w:r w:rsidRPr="00705846">
        <w:rPr>
          <w:rFonts w:ascii="Book Antiqua" w:hAnsi="Book Antiqua" w:cs="Times New Roman"/>
          <w:b/>
          <w:bCs/>
          <w:i/>
          <w:iCs/>
          <w:sz w:val="24"/>
          <w:szCs w:val="24"/>
        </w:rPr>
        <w:t>Applications</w:t>
      </w:r>
    </w:p>
    <w:p w:rsidR="00341958" w:rsidRPr="00705846" w:rsidRDefault="00705846">
      <w:pPr>
        <w:spacing w:line="360" w:lineRule="auto"/>
        <w:rPr>
          <w:rFonts w:ascii="Book Antiqua" w:hAnsi="Book Antiqua" w:cs="Times New Roman"/>
          <w:sz w:val="24"/>
          <w:szCs w:val="24"/>
        </w:rPr>
      </w:pPr>
      <w:r w:rsidRPr="00705846">
        <w:rPr>
          <w:rFonts w:ascii="Book Antiqua" w:hAnsi="Book Antiqua" w:cs="Times New Roman"/>
          <w:sz w:val="24"/>
          <w:szCs w:val="24"/>
        </w:rPr>
        <w:lastRenderedPageBreak/>
        <w:t>Although the exact mechanisms underlying the NAFLD tumor-promoting mechanisms triggered by hypernutrition remain to be explored, it is well recognized that NAFLD with excessive fat deposition with loss CPT-II activity are at greater risk of tumor- promoting inflammation conditions and should be treated in time to avoid liver cell malignant transformation.</w:t>
      </w:r>
    </w:p>
    <w:p w:rsidR="00341958" w:rsidRPr="00705846" w:rsidRDefault="00341958">
      <w:pPr>
        <w:spacing w:line="360" w:lineRule="auto"/>
        <w:rPr>
          <w:rFonts w:ascii="Book Antiqua" w:hAnsi="Book Antiqua" w:cs="Times New Roman"/>
          <w:b/>
          <w:bCs/>
          <w:i/>
          <w:iCs/>
          <w:sz w:val="24"/>
          <w:szCs w:val="24"/>
        </w:rPr>
      </w:pP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b/>
          <w:bCs/>
          <w:i/>
          <w:iCs/>
          <w:sz w:val="24"/>
          <w:szCs w:val="24"/>
        </w:rPr>
        <w:t>Terminology</w:t>
      </w: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sz w:val="24"/>
          <w:szCs w:val="24"/>
        </w:rPr>
        <w:t>Carnitine palmitoyl transferase (CPT) consists of two enzymes located in the outer CPT-I and inner CPT-II of mitochondrial membranes. CPT II is a homotetramer encoded by a single gene (which spans 20kb, contai</w:t>
      </w:r>
      <w:r w:rsidR="00572FF7">
        <w:rPr>
          <w:rFonts w:ascii="Book Antiqua" w:hAnsi="Book Antiqua" w:cs="Times New Roman"/>
          <w:sz w:val="24"/>
          <w:szCs w:val="24"/>
        </w:rPr>
        <w:t>ns 5 exons ranging from 81 to 1</w:t>
      </w:r>
      <w:r w:rsidRPr="00705846">
        <w:rPr>
          <w:rFonts w:ascii="Book Antiqua" w:hAnsi="Book Antiqua" w:cs="Times New Roman"/>
          <w:sz w:val="24"/>
          <w:szCs w:val="24"/>
        </w:rPr>
        <w:t xml:space="preserve">305 bp) located on chromosome 1p32 and its activity has closely associated with energy metabolism and fatty acid oxidation. </w:t>
      </w:r>
    </w:p>
    <w:p w:rsidR="00341958" w:rsidRPr="00572FF7" w:rsidRDefault="00341958">
      <w:pPr>
        <w:spacing w:line="360" w:lineRule="auto"/>
        <w:rPr>
          <w:rFonts w:ascii="Book Antiqua" w:hAnsi="Book Antiqua" w:cs="Times New Roman"/>
          <w:b/>
          <w:bCs/>
          <w:i/>
          <w:iCs/>
          <w:sz w:val="24"/>
          <w:szCs w:val="24"/>
        </w:rPr>
      </w:pPr>
    </w:p>
    <w:p w:rsidR="00341958" w:rsidRPr="00705846" w:rsidRDefault="00705846">
      <w:pPr>
        <w:spacing w:line="360" w:lineRule="auto"/>
        <w:rPr>
          <w:rFonts w:ascii="Book Antiqua" w:hAnsi="Book Antiqua" w:cs="Times New Roman"/>
          <w:b/>
          <w:bCs/>
          <w:sz w:val="24"/>
          <w:szCs w:val="24"/>
        </w:rPr>
      </w:pPr>
      <w:r w:rsidRPr="00705846">
        <w:rPr>
          <w:rFonts w:ascii="Book Antiqua" w:hAnsi="Book Antiqua" w:cs="Times New Roman"/>
          <w:b/>
          <w:bCs/>
          <w:i/>
          <w:iCs/>
          <w:sz w:val="24"/>
          <w:szCs w:val="24"/>
        </w:rPr>
        <w:t>Peer-review</w:t>
      </w:r>
    </w:p>
    <w:p w:rsidR="00341958" w:rsidRPr="00705846" w:rsidRDefault="00705846">
      <w:pPr>
        <w:spacing w:line="360" w:lineRule="auto"/>
        <w:rPr>
          <w:rFonts w:ascii="Book Antiqua" w:hAnsi="Book Antiqua" w:cs="Times New Roman"/>
          <w:b/>
          <w:bCs/>
          <w:color w:val="000000"/>
          <w:sz w:val="24"/>
          <w:szCs w:val="24"/>
        </w:rPr>
      </w:pPr>
      <w:r w:rsidRPr="00705846">
        <w:rPr>
          <w:rFonts w:ascii="Book Antiqua" w:hAnsi="Book Antiqua" w:cs="Times New Roman"/>
          <w:color w:val="000000"/>
          <w:kern w:val="0"/>
          <w:sz w:val="24"/>
          <w:szCs w:val="24"/>
        </w:rPr>
        <w:t xml:space="preserve">The abnormality of </w:t>
      </w:r>
      <w:hyperlink r:id="rId29" w:history="1">
        <w:r w:rsidRPr="00705846">
          <w:rPr>
            <w:rFonts w:ascii="Book Antiqua" w:hAnsi="Book Antiqua" w:cs="Times New Roman"/>
            <w:color w:val="000000"/>
            <w:sz w:val="24"/>
            <w:szCs w:val="24"/>
          </w:rPr>
          <w:t>mitochondrial</w:t>
        </w:r>
      </w:hyperlink>
      <w:r w:rsidRPr="00705846">
        <w:rPr>
          <w:rFonts w:ascii="Book Antiqua" w:hAnsi="Book Antiqua" w:cs="Times New Roman"/>
          <w:color w:val="000000"/>
          <w:sz w:val="24"/>
          <w:szCs w:val="24"/>
        </w:rPr>
        <w:t xml:space="preserve"> CPT-II</w:t>
      </w:r>
      <w:r w:rsidRPr="00705846">
        <w:rPr>
          <w:rFonts w:ascii="Book Antiqua" w:hAnsi="Book Antiqua" w:cs="Times New Roman"/>
          <w:color w:val="000000"/>
          <w:kern w:val="0"/>
          <w:sz w:val="24"/>
          <w:szCs w:val="24"/>
        </w:rPr>
        <w:t xml:space="preserve"> expression was progressively decreased in hepatocarcinogenesis,</w:t>
      </w:r>
      <w:r w:rsidRPr="00705846">
        <w:rPr>
          <w:rFonts w:ascii="Book Antiqua" w:eastAsia="KaiTi_GB2312" w:hAnsi="Book Antiqua" w:cs="Times New Roman"/>
          <w:color w:val="000000"/>
          <w:sz w:val="24"/>
          <w:szCs w:val="24"/>
        </w:rPr>
        <w:t xml:space="preserve"> which might lead to abnormal hepatic lipid accumulation that should promote the malignant transformation of hepatocytes, and </w:t>
      </w:r>
      <w:r w:rsidRPr="00705846">
        <w:rPr>
          <w:rFonts w:ascii="Book Antiqua" w:hAnsi="Book Antiqua" w:cs="Times New Roman"/>
          <w:color w:val="000000"/>
          <w:sz w:val="24"/>
          <w:szCs w:val="24"/>
        </w:rPr>
        <w:t>CPT-II</w:t>
      </w:r>
      <w:r w:rsidRPr="00705846">
        <w:rPr>
          <w:rFonts w:ascii="Book Antiqua" w:eastAsia="KaiTi_GB2312" w:hAnsi="Book Antiqua" w:cs="Times New Roman"/>
          <w:color w:val="000000"/>
          <w:sz w:val="24"/>
          <w:szCs w:val="24"/>
        </w:rPr>
        <w:t xml:space="preserve"> should be an early useful marker for monitoring malignant transformation of rat hepatocytes.</w:t>
      </w:r>
    </w:p>
    <w:p w:rsidR="00341958" w:rsidRPr="00705846" w:rsidRDefault="00341958">
      <w:pPr>
        <w:spacing w:line="360" w:lineRule="auto"/>
        <w:rPr>
          <w:rFonts w:ascii="Book Antiqua" w:hAnsi="Book Antiqua" w:cs="Times New Roman"/>
          <w:b/>
          <w:bCs/>
          <w:sz w:val="24"/>
          <w:szCs w:val="24"/>
        </w:rPr>
      </w:pPr>
    </w:p>
    <w:p w:rsidR="00341958" w:rsidRDefault="00D1335F" w:rsidP="00B33D71">
      <w:pPr>
        <w:autoSpaceDE w:val="0"/>
        <w:autoSpaceDN w:val="0"/>
        <w:adjustRightInd w:val="0"/>
        <w:snapToGrid w:val="0"/>
        <w:spacing w:line="360" w:lineRule="auto"/>
        <w:rPr>
          <w:rFonts w:ascii="Book Antiqua" w:hAnsi="Book Antiqua" w:cs="Times New Roman"/>
          <w:b/>
          <w:bCs/>
          <w:color w:val="000000"/>
          <w:kern w:val="0"/>
          <w:sz w:val="24"/>
          <w:szCs w:val="24"/>
          <w:lang w:val="de-DE"/>
        </w:rPr>
      </w:pPr>
      <w:r>
        <w:rPr>
          <w:rFonts w:ascii="Book Antiqua" w:hAnsi="Book Antiqua" w:cs="Arial"/>
          <w:b/>
          <w:sz w:val="24"/>
          <w:szCs w:val="24"/>
        </w:rPr>
        <w:br w:type="page"/>
      </w:r>
      <w:r w:rsidR="00705846" w:rsidRPr="00705846">
        <w:rPr>
          <w:rFonts w:ascii="Book Antiqua" w:hAnsi="Book Antiqua" w:cs="Arial"/>
          <w:b/>
          <w:sz w:val="24"/>
          <w:szCs w:val="24"/>
        </w:rPr>
        <w:lastRenderedPageBreak/>
        <w:t>REFERENCES</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1 </w:t>
      </w:r>
      <w:r w:rsidRPr="00536287">
        <w:rPr>
          <w:rFonts w:ascii="Book Antiqua" w:hAnsi="Book Antiqua" w:cs="SimSun"/>
          <w:b/>
          <w:bCs/>
          <w:kern w:val="0"/>
          <w:sz w:val="24"/>
          <w:szCs w:val="24"/>
        </w:rPr>
        <w:t>Singal AG</w:t>
      </w:r>
      <w:r w:rsidRPr="00536287">
        <w:rPr>
          <w:rFonts w:ascii="Book Antiqua" w:hAnsi="Book Antiqua" w:cs="SimSun"/>
          <w:kern w:val="0"/>
          <w:sz w:val="24"/>
          <w:szCs w:val="24"/>
        </w:rPr>
        <w:t>, El-Serag HB. Hepatocellular Carcinoma From Epidemiology to Prevention: Translating Knowledge into Practice. </w:t>
      </w:r>
      <w:r w:rsidRPr="00536287">
        <w:rPr>
          <w:rFonts w:ascii="Book Antiqua" w:hAnsi="Book Antiqua" w:cs="SimSun"/>
          <w:i/>
          <w:iCs/>
          <w:kern w:val="0"/>
          <w:sz w:val="24"/>
          <w:szCs w:val="24"/>
        </w:rPr>
        <w:t>Clin Gastroenterol Hepatol</w:t>
      </w:r>
      <w:r w:rsidRPr="00536287">
        <w:rPr>
          <w:rFonts w:ascii="Book Antiqua" w:hAnsi="Book Antiqua" w:cs="SimSun"/>
          <w:kern w:val="0"/>
          <w:sz w:val="24"/>
          <w:szCs w:val="24"/>
        </w:rPr>
        <w:t> 2015; </w:t>
      </w:r>
      <w:r w:rsidRPr="00536287">
        <w:rPr>
          <w:rFonts w:ascii="Book Antiqua" w:hAnsi="Book Antiqua" w:cs="SimSun"/>
          <w:b/>
          <w:bCs/>
          <w:kern w:val="0"/>
          <w:sz w:val="24"/>
          <w:szCs w:val="24"/>
        </w:rPr>
        <w:t>13</w:t>
      </w:r>
      <w:r w:rsidRPr="00536287">
        <w:rPr>
          <w:rFonts w:ascii="Book Antiqua" w:hAnsi="Book Antiqua" w:cs="SimSun"/>
          <w:kern w:val="0"/>
          <w:sz w:val="24"/>
          <w:szCs w:val="24"/>
        </w:rPr>
        <w:t>: 2140-2151 [PMID: 26284591 DOI: 10.1016/j.cgh.2015.08.014]</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2 </w:t>
      </w:r>
      <w:r w:rsidRPr="00536287">
        <w:rPr>
          <w:rFonts w:ascii="Book Antiqua" w:hAnsi="Book Antiqua" w:cs="SimSun"/>
          <w:b/>
          <w:bCs/>
          <w:kern w:val="0"/>
          <w:sz w:val="24"/>
          <w:szCs w:val="24"/>
        </w:rPr>
        <w:t>Ashtari S</w:t>
      </w:r>
      <w:r w:rsidRPr="00536287">
        <w:rPr>
          <w:rFonts w:ascii="Book Antiqua" w:hAnsi="Book Antiqua" w:cs="SimSun"/>
          <w:kern w:val="0"/>
          <w:sz w:val="24"/>
          <w:szCs w:val="24"/>
        </w:rPr>
        <w:t>, Pourhoseingholi MA, Sharifian A, Zali MR. Hepatocellular carcinoma in Asia: Prevention strategy and planning. </w:t>
      </w:r>
      <w:r w:rsidRPr="00536287">
        <w:rPr>
          <w:rFonts w:ascii="Book Antiqua" w:hAnsi="Book Antiqua" w:cs="SimSun"/>
          <w:i/>
          <w:iCs/>
          <w:kern w:val="0"/>
          <w:sz w:val="24"/>
          <w:szCs w:val="24"/>
        </w:rPr>
        <w:t>World J Hepatol</w:t>
      </w:r>
      <w:r w:rsidRPr="00536287">
        <w:rPr>
          <w:rFonts w:ascii="Book Antiqua" w:hAnsi="Book Antiqua" w:cs="SimSun"/>
          <w:kern w:val="0"/>
          <w:sz w:val="24"/>
          <w:szCs w:val="24"/>
        </w:rPr>
        <w:t> 2015; </w:t>
      </w:r>
      <w:r w:rsidRPr="00536287">
        <w:rPr>
          <w:rFonts w:ascii="Book Antiqua" w:hAnsi="Book Antiqua" w:cs="SimSun"/>
          <w:b/>
          <w:bCs/>
          <w:kern w:val="0"/>
          <w:sz w:val="24"/>
          <w:szCs w:val="24"/>
        </w:rPr>
        <w:t>7</w:t>
      </w:r>
      <w:r w:rsidRPr="00536287">
        <w:rPr>
          <w:rFonts w:ascii="Book Antiqua" w:hAnsi="Book Antiqua" w:cs="SimSun"/>
          <w:kern w:val="0"/>
          <w:sz w:val="24"/>
          <w:szCs w:val="24"/>
        </w:rPr>
        <w:t>: 1708-1717 [PMID: 26140091 DOI: 10.4254/wjh.v7.i12.1708]</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3 </w:t>
      </w:r>
      <w:r w:rsidRPr="00536287">
        <w:rPr>
          <w:rFonts w:ascii="Book Antiqua" w:hAnsi="Book Antiqua" w:cs="SimSun"/>
          <w:b/>
          <w:bCs/>
          <w:kern w:val="0"/>
          <w:sz w:val="24"/>
          <w:szCs w:val="24"/>
        </w:rPr>
        <w:t>Yao M</w:t>
      </w:r>
      <w:r w:rsidRPr="00536287">
        <w:rPr>
          <w:rFonts w:ascii="Book Antiqua" w:hAnsi="Book Antiqua" w:cs="SimSun"/>
          <w:kern w:val="0"/>
          <w:sz w:val="24"/>
          <w:szCs w:val="24"/>
        </w:rPr>
        <w:t>, Wang L, Yao Y, Gu HB, Yao DF. Biomarker-based MicroRNA Therapeutic Strategies for Hepatocellular Carcinoma. </w:t>
      </w:r>
      <w:r w:rsidRPr="00536287">
        <w:rPr>
          <w:rFonts w:ascii="Book Antiqua" w:hAnsi="Book Antiqua" w:cs="SimSun"/>
          <w:i/>
          <w:iCs/>
          <w:kern w:val="0"/>
          <w:sz w:val="24"/>
          <w:szCs w:val="24"/>
        </w:rPr>
        <w:t>J Clin Transl Hepatol</w:t>
      </w:r>
      <w:r w:rsidRPr="00536287">
        <w:rPr>
          <w:rFonts w:ascii="Book Antiqua" w:hAnsi="Book Antiqua" w:cs="SimSun"/>
          <w:kern w:val="0"/>
          <w:sz w:val="24"/>
          <w:szCs w:val="24"/>
        </w:rPr>
        <w:t> 2014; </w:t>
      </w:r>
      <w:r w:rsidRPr="00536287">
        <w:rPr>
          <w:rFonts w:ascii="Book Antiqua" w:hAnsi="Book Antiqua" w:cs="SimSun"/>
          <w:b/>
          <w:bCs/>
          <w:kern w:val="0"/>
          <w:sz w:val="24"/>
          <w:szCs w:val="24"/>
        </w:rPr>
        <w:t>2</w:t>
      </w:r>
      <w:r w:rsidRPr="00536287">
        <w:rPr>
          <w:rFonts w:ascii="Book Antiqua" w:hAnsi="Book Antiqua" w:cs="SimSun"/>
          <w:kern w:val="0"/>
          <w:sz w:val="24"/>
          <w:szCs w:val="24"/>
        </w:rPr>
        <w:t>: 253-258 [PMID: 26355266 DOI: 10.14218/JCTH.2014.00020]</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4 </w:t>
      </w:r>
      <w:r w:rsidRPr="00536287">
        <w:rPr>
          <w:rFonts w:ascii="Book Antiqua" w:hAnsi="Book Antiqua" w:cs="SimSun"/>
          <w:b/>
          <w:bCs/>
          <w:kern w:val="0"/>
          <w:sz w:val="24"/>
          <w:szCs w:val="24"/>
        </w:rPr>
        <w:t>Wu W</w:t>
      </w:r>
      <w:r w:rsidRPr="00536287">
        <w:rPr>
          <w:rFonts w:ascii="Book Antiqua" w:hAnsi="Book Antiqua" w:cs="SimSun"/>
          <w:kern w:val="0"/>
          <w:sz w:val="24"/>
          <w:szCs w:val="24"/>
        </w:rPr>
        <w:t>, Yang JL, Wang YL, Wang H, Yao M, Wang L, Gu JJ, Cai Y, Shi Y, Yao DF. Reversal of multidrug resistance of hepatocellular carcinoma cells by metformin through inhibiting NF-κB gene transcription. </w:t>
      </w:r>
      <w:r w:rsidRPr="00536287">
        <w:rPr>
          <w:rFonts w:ascii="Book Antiqua" w:hAnsi="Book Antiqua" w:cs="SimSun"/>
          <w:i/>
          <w:iCs/>
          <w:kern w:val="0"/>
          <w:sz w:val="24"/>
          <w:szCs w:val="24"/>
        </w:rPr>
        <w:t>World J Hepatol</w:t>
      </w:r>
      <w:r w:rsidRPr="00536287">
        <w:rPr>
          <w:rFonts w:ascii="Book Antiqua" w:hAnsi="Book Antiqua" w:cs="SimSun"/>
          <w:kern w:val="0"/>
          <w:sz w:val="24"/>
          <w:szCs w:val="24"/>
        </w:rPr>
        <w:t> 2016; </w:t>
      </w:r>
      <w:r w:rsidRPr="00536287">
        <w:rPr>
          <w:rFonts w:ascii="Book Antiqua" w:hAnsi="Book Antiqua" w:cs="SimSun"/>
          <w:b/>
          <w:bCs/>
          <w:kern w:val="0"/>
          <w:sz w:val="24"/>
          <w:szCs w:val="24"/>
        </w:rPr>
        <w:t>8</w:t>
      </w:r>
      <w:r w:rsidRPr="00536287">
        <w:rPr>
          <w:rFonts w:ascii="Book Antiqua" w:hAnsi="Book Antiqua" w:cs="SimSun"/>
          <w:kern w:val="0"/>
          <w:sz w:val="24"/>
          <w:szCs w:val="24"/>
        </w:rPr>
        <w:t>: 985-993 [PMID: 27621764 DOI: 10.4254/wjh.v8.i23.985]</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5 </w:t>
      </w:r>
      <w:r w:rsidRPr="00536287">
        <w:rPr>
          <w:rFonts w:ascii="Book Antiqua" w:hAnsi="Book Antiqua" w:cs="SimSun"/>
          <w:b/>
          <w:bCs/>
          <w:kern w:val="0"/>
          <w:sz w:val="24"/>
          <w:szCs w:val="24"/>
        </w:rPr>
        <w:t>Okanoue T</w:t>
      </w:r>
      <w:r w:rsidRPr="00536287">
        <w:rPr>
          <w:rFonts w:ascii="Book Antiqua" w:hAnsi="Book Antiqua" w:cs="SimSun"/>
          <w:kern w:val="0"/>
          <w:sz w:val="24"/>
          <w:szCs w:val="24"/>
        </w:rPr>
        <w:t>, Umemura A, Yasui K, Itoh Y. Nonalcoholic fatty liver disease and nonalcoholic steatohepatitis in Japan. </w:t>
      </w:r>
      <w:r w:rsidRPr="00536287">
        <w:rPr>
          <w:rFonts w:ascii="Book Antiqua" w:hAnsi="Book Antiqua" w:cs="SimSun"/>
          <w:i/>
          <w:iCs/>
          <w:kern w:val="0"/>
          <w:sz w:val="24"/>
          <w:szCs w:val="24"/>
        </w:rPr>
        <w:t>J Gastroenterol Hepatol</w:t>
      </w:r>
      <w:r w:rsidRPr="00536287">
        <w:rPr>
          <w:rFonts w:ascii="Book Antiqua" w:hAnsi="Book Antiqua" w:cs="SimSun"/>
          <w:kern w:val="0"/>
          <w:sz w:val="24"/>
          <w:szCs w:val="24"/>
        </w:rPr>
        <w:t> 2011; </w:t>
      </w:r>
      <w:r w:rsidRPr="00536287">
        <w:rPr>
          <w:rFonts w:ascii="Book Antiqua" w:hAnsi="Book Antiqua" w:cs="SimSun"/>
          <w:b/>
          <w:bCs/>
          <w:kern w:val="0"/>
          <w:sz w:val="24"/>
          <w:szCs w:val="24"/>
        </w:rPr>
        <w:t xml:space="preserve">26 </w:t>
      </w:r>
      <w:r w:rsidRPr="00536287">
        <w:rPr>
          <w:rFonts w:ascii="Book Antiqua" w:hAnsi="Book Antiqua" w:cs="SimSun"/>
          <w:bCs/>
          <w:kern w:val="0"/>
          <w:sz w:val="24"/>
          <w:szCs w:val="24"/>
        </w:rPr>
        <w:t>Suppl 1</w:t>
      </w:r>
      <w:r w:rsidRPr="00536287">
        <w:rPr>
          <w:rFonts w:ascii="Book Antiqua" w:hAnsi="Book Antiqua" w:cs="SimSun"/>
          <w:kern w:val="0"/>
          <w:sz w:val="24"/>
          <w:szCs w:val="24"/>
        </w:rPr>
        <w:t>: 153-162 [PMID: 21199527 DOI: 10.1111/j.1440-1746.2010.06547.x]</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6 </w:t>
      </w:r>
      <w:r w:rsidRPr="00536287">
        <w:rPr>
          <w:rFonts w:ascii="Book Antiqua" w:hAnsi="Book Antiqua" w:cs="SimSun"/>
          <w:b/>
          <w:bCs/>
          <w:kern w:val="0"/>
          <w:sz w:val="24"/>
          <w:szCs w:val="24"/>
        </w:rPr>
        <w:t>van Meer S</w:t>
      </w:r>
      <w:r w:rsidRPr="00536287">
        <w:rPr>
          <w:rFonts w:ascii="Book Antiqua" w:hAnsi="Book Antiqua" w:cs="SimSun"/>
          <w:kern w:val="0"/>
          <w:sz w:val="24"/>
          <w:szCs w:val="24"/>
        </w:rPr>
        <w:t>, van Erpecum KJ, Sprengers D, Klümpen HJ, Jansen PL, Ijzermans JN, Siersema PD, de Man RA, Verheij J. Hepatocellular carcinoma in noncirrhotic livers is associated with steatosis rather than steatohepatitis: potential implications for pathogenesis. </w:t>
      </w:r>
      <w:r w:rsidRPr="00536287">
        <w:rPr>
          <w:rFonts w:ascii="Book Antiqua" w:hAnsi="Book Antiqua" w:cs="SimSun"/>
          <w:i/>
          <w:iCs/>
          <w:kern w:val="0"/>
          <w:sz w:val="24"/>
          <w:szCs w:val="24"/>
        </w:rPr>
        <w:t>Eur J Gastroenterol Hepatol</w:t>
      </w:r>
      <w:r w:rsidRPr="00536287">
        <w:rPr>
          <w:rFonts w:ascii="Book Antiqua" w:hAnsi="Book Antiqua" w:cs="SimSun"/>
          <w:kern w:val="0"/>
          <w:sz w:val="24"/>
          <w:szCs w:val="24"/>
        </w:rPr>
        <w:t> 2016; </w:t>
      </w:r>
      <w:r w:rsidRPr="00536287">
        <w:rPr>
          <w:rFonts w:ascii="Book Antiqua" w:hAnsi="Book Antiqua" w:cs="SimSun"/>
          <w:b/>
          <w:bCs/>
          <w:kern w:val="0"/>
          <w:sz w:val="24"/>
          <w:szCs w:val="24"/>
        </w:rPr>
        <w:t>28</w:t>
      </w:r>
      <w:r w:rsidRPr="00536287">
        <w:rPr>
          <w:rFonts w:ascii="Book Antiqua" w:hAnsi="Book Antiqua" w:cs="SimSun"/>
          <w:kern w:val="0"/>
          <w:sz w:val="24"/>
          <w:szCs w:val="24"/>
        </w:rPr>
        <w:t>: 955-962 [PMID: 27196679 DOI: 10.1097/]</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7 </w:t>
      </w:r>
      <w:r w:rsidRPr="00536287">
        <w:rPr>
          <w:rFonts w:ascii="Book Antiqua" w:hAnsi="Book Antiqua" w:cs="SimSun"/>
          <w:b/>
          <w:bCs/>
          <w:kern w:val="0"/>
          <w:sz w:val="24"/>
          <w:szCs w:val="24"/>
        </w:rPr>
        <w:t>de Martel C</w:t>
      </w:r>
      <w:r w:rsidRPr="00536287">
        <w:rPr>
          <w:rFonts w:ascii="Book Antiqua" w:hAnsi="Book Antiqua" w:cs="SimSun"/>
          <w:kern w:val="0"/>
          <w:sz w:val="24"/>
          <w:szCs w:val="24"/>
        </w:rPr>
        <w:t>, Maucort-Boulch D, Plummer M, Franceschi S. World-wide relative contribution of hepatitis B and C viruses in hepatocellular carcinoma. </w:t>
      </w:r>
      <w:r w:rsidRPr="00536287">
        <w:rPr>
          <w:rFonts w:ascii="Book Antiqua" w:hAnsi="Book Antiqua" w:cs="SimSun"/>
          <w:i/>
          <w:iCs/>
          <w:kern w:val="0"/>
          <w:sz w:val="24"/>
          <w:szCs w:val="24"/>
        </w:rPr>
        <w:t>Hepatology</w:t>
      </w:r>
      <w:r w:rsidRPr="00536287">
        <w:rPr>
          <w:rFonts w:ascii="Book Antiqua" w:hAnsi="Book Antiqua" w:cs="SimSun"/>
          <w:kern w:val="0"/>
          <w:sz w:val="24"/>
          <w:szCs w:val="24"/>
        </w:rPr>
        <w:t> 2015; </w:t>
      </w:r>
      <w:r w:rsidRPr="00536287">
        <w:rPr>
          <w:rFonts w:ascii="Book Antiqua" w:hAnsi="Book Antiqua" w:cs="SimSun"/>
          <w:b/>
          <w:bCs/>
          <w:kern w:val="0"/>
          <w:sz w:val="24"/>
          <w:szCs w:val="24"/>
        </w:rPr>
        <w:t>62</w:t>
      </w:r>
      <w:r w:rsidRPr="00536287">
        <w:rPr>
          <w:rFonts w:ascii="Book Antiqua" w:hAnsi="Book Antiqua" w:cs="SimSun"/>
          <w:kern w:val="0"/>
          <w:sz w:val="24"/>
          <w:szCs w:val="24"/>
        </w:rPr>
        <w:t>: 1190-1200 [PMID: 26146815 DOI: 10.1002/]</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8 </w:t>
      </w:r>
      <w:r w:rsidRPr="00536287">
        <w:rPr>
          <w:rFonts w:ascii="Book Antiqua" w:hAnsi="Book Antiqua" w:cs="SimSun"/>
          <w:b/>
          <w:bCs/>
          <w:kern w:val="0"/>
          <w:sz w:val="24"/>
          <w:szCs w:val="24"/>
        </w:rPr>
        <w:t>Seyda Seydel G</w:t>
      </w:r>
      <w:r w:rsidRPr="00536287">
        <w:rPr>
          <w:rFonts w:ascii="Book Antiqua" w:hAnsi="Book Antiqua" w:cs="SimSun"/>
          <w:kern w:val="0"/>
          <w:sz w:val="24"/>
          <w:szCs w:val="24"/>
        </w:rPr>
        <w:t>, Kucukoglu O, Altinbasv A, Demir OO, Yilmaz S, Akkiz H, Otan E, Sowa JP, Canbay A.  Economic growth leads to increase of obesity and associated hepatocellular carcinoma in developing countries. </w:t>
      </w:r>
      <w:r w:rsidRPr="00536287">
        <w:rPr>
          <w:rFonts w:ascii="Book Antiqua" w:hAnsi="Book Antiqua" w:cs="SimSun"/>
          <w:i/>
          <w:iCs/>
          <w:kern w:val="0"/>
          <w:sz w:val="24"/>
          <w:szCs w:val="24"/>
        </w:rPr>
        <w:t>Ann Hepatol</w:t>
      </w:r>
      <w:r w:rsidRPr="00536287">
        <w:rPr>
          <w:rFonts w:ascii="Book Antiqua" w:hAnsi="Book Antiqua" w:cs="SimSun"/>
          <w:kern w:val="0"/>
          <w:sz w:val="24"/>
          <w:szCs w:val="24"/>
        </w:rPr>
        <w:t> </w:t>
      </w:r>
      <w:r>
        <w:rPr>
          <w:rFonts w:ascii="Book Antiqua" w:hAnsi="Book Antiqua" w:cs="SimSun" w:hint="eastAsia"/>
          <w:kern w:val="0"/>
          <w:sz w:val="24"/>
          <w:szCs w:val="24"/>
        </w:rPr>
        <w:t>2016</w:t>
      </w:r>
      <w:r w:rsidRPr="00536287">
        <w:rPr>
          <w:rFonts w:ascii="Book Antiqua" w:hAnsi="Book Antiqua" w:cs="SimSun"/>
          <w:kern w:val="0"/>
          <w:sz w:val="24"/>
          <w:szCs w:val="24"/>
        </w:rPr>
        <w:t>; </w:t>
      </w:r>
      <w:r w:rsidRPr="00536287">
        <w:rPr>
          <w:rFonts w:ascii="Book Antiqua" w:hAnsi="Book Antiqua" w:cs="SimSun"/>
          <w:b/>
          <w:bCs/>
          <w:kern w:val="0"/>
          <w:sz w:val="24"/>
          <w:szCs w:val="24"/>
        </w:rPr>
        <w:t>15</w:t>
      </w:r>
      <w:r w:rsidRPr="00536287">
        <w:rPr>
          <w:rFonts w:ascii="Book Antiqua" w:hAnsi="Book Antiqua" w:cs="SimSun"/>
          <w:kern w:val="0"/>
          <w:sz w:val="24"/>
          <w:szCs w:val="24"/>
        </w:rPr>
        <w:t>: 662-672 [PMID: 27493104 DOI: 10.5604/16652681.1212316]</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lastRenderedPageBreak/>
        <w:t>9 </w:t>
      </w:r>
      <w:r w:rsidRPr="00536287">
        <w:rPr>
          <w:rFonts w:ascii="Book Antiqua" w:hAnsi="Book Antiqua" w:cs="SimSun"/>
          <w:b/>
          <w:bCs/>
          <w:kern w:val="0"/>
          <w:sz w:val="24"/>
          <w:szCs w:val="24"/>
        </w:rPr>
        <w:t>Fan JG</w:t>
      </w:r>
      <w:r w:rsidRPr="00536287">
        <w:rPr>
          <w:rFonts w:ascii="Book Antiqua" w:hAnsi="Book Antiqua" w:cs="SimSun"/>
          <w:kern w:val="0"/>
          <w:sz w:val="24"/>
          <w:szCs w:val="24"/>
        </w:rPr>
        <w:t>. Epidemiology of alcoholic and nonalcoholic fatty liver disease in China. </w:t>
      </w:r>
      <w:r w:rsidRPr="00536287">
        <w:rPr>
          <w:rFonts w:ascii="Book Antiqua" w:hAnsi="Book Antiqua" w:cs="SimSun"/>
          <w:i/>
          <w:iCs/>
          <w:kern w:val="0"/>
          <w:sz w:val="24"/>
          <w:szCs w:val="24"/>
        </w:rPr>
        <w:t>J Gastroenterol Hepatol</w:t>
      </w:r>
      <w:r w:rsidRPr="00536287">
        <w:rPr>
          <w:rFonts w:ascii="Book Antiqua" w:hAnsi="Book Antiqua" w:cs="SimSun"/>
          <w:kern w:val="0"/>
          <w:sz w:val="24"/>
          <w:szCs w:val="24"/>
        </w:rPr>
        <w:t> 2013; </w:t>
      </w:r>
      <w:r w:rsidRPr="00536287">
        <w:rPr>
          <w:rFonts w:ascii="Book Antiqua" w:hAnsi="Book Antiqua" w:cs="SimSun"/>
          <w:b/>
          <w:bCs/>
          <w:kern w:val="0"/>
          <w:sz w:val="24"/>
          <w:szCs w:val="24"/>
        </w:rPr>
        <w:t xml:space="preserve">28 </w:t>
      </w:r>
      <w:r w:rsidRPr="00536287">
        <w:rPr>
          <w:rFonts w:ascii="Book Antiqua" w:hAnsi="Book Antiqua" w:cs="SimSun"/>
          <w:bCs/>
          <w:kern w:val="0"/>
          <w:sz w:val="24"/>
          <w:szCs w:val="24"/>
        </w:rPr>
        <w:t>Suppl 1</w:t>
      </w:r>
      <w:r w:rsidRPr="00536287">
        <w:rPr>
          <w:rFonts w:ascii="Book Antiqua" w:hAnsi="Book Antiqua" w:cs="SimSun"/>
          <w:kern w:val="0"/>
          <w:sz w:val="24"/>
          <w:szCs w:val="24"/>
        </w:rPr>
        <w:t>: 11-17 [PMID: 23855290 DOI: 10.1111/]</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10 </w:t>
      </w:r>
      <w:r w:rsidRPr="00536287">
        <w:rPr>
          <w:rFonts w:ascii="Book Antiqua" w:hAnsi="Book Antiqua" w:cs="SimSun"/>
          <w:b/>
          <w:bCs/>
          <w:kern w:val="0"/>
          <w:sz w:val="24"/>
          <w:szCs w:val="24"/>
        </w:rPr>
        <w:t>Yki-Järvinen H</w:t>
      </w:r>
      <w:r w:rsidRPr="00536287">
        <w:rPr>
          <w:rFonts w:ascii="Book Antiqua" w:hAnsi="Book Antiqua" w:cs="SimSun"/>
          <w:kern w:val="0"/>
          <w:sz w:val="24"/>
          <w:szCs w:val="24"/>
        </w:rPr>
        <w:t>. Diagnosis of non-alcoholic fatty liver disease (NAFLD). </w:t>
      </w:r>
      <w:r w:rsidRPr="00536287">
        <w:rPr>
          <w:rFonts w:ascii="Book Antiqua" w:hAnsi="Book Antiqua" w:cs="SimSun"/>
          <w:i/>
          <w:iCs/>
          <w:kern w:val="0"/>
          <w:sz w:val="24"/>
          <w:szCs w:val="24"/>
        </w:rPr>
        <w:t>Diabetologia</w:t>
      </w:r>
      <w:r w:rsidRPr="00536287">
        <w:rPr>
          <w:rFonts w:ascii="Book Antiqua" w:hAnsi="Book Antiqua" w:cs="SimSun"/>
          <w:kern w:val="0"/>
          <w:sz w:val="24"/>
          <w:szCs w:val="24"/>
        </w:rPr>
        <w:t> 2016; </w:t>
      </w:r>
      <w:r w:rsidRPr="00536287">
        <w:rPr>
          <w:rFonts w:ascii="Book Antiqua" w:hAnsi="Book Antiqua" w:cs="SimSun"/>
          <w:b/>
          <w:bCs/>
          <w:kern w:val="0"/>
          <w:sz w:val="24"/>
          <w:szCs w:val="24"/>
        </w:rPr>
        <w:t>59</w:t>
      </w:r>
      <w:r w:rsidRPr="00536287">
        <w:rPr>
          <w:rFonts w:ascii="Book Antiqua" w:hAnsi="Book Antiqua" w:cs="SimSun"/>
          <w:kern w:val="0"/>
          <w:sz w:val="24"/>
          <w:szCs w:val="24"/>
        </w:rPr>
        <w:t>: 1104-1111 [PMID: 27091184 DOI: 10.1007/S00125-]</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11 </w:t>
      </w:r>
      <w:r w:rsidRPr="00536287">
        <w:rPr>
          <w:rFonts w:ascii="Book Antiqua" w:hAnsi="Book Antiqua" w:cs="SimSun"/>
          <w:b/>
          <w:bCs/>
          <w:kern w:val="0"/>
          <w:sz w:val="24"/>
          <w:szCs w:val="24"/>
        </w:rPr>
        <w:t>Ibrahim MA</w:t>
      </w:r>
      <w:r w:rsidRPr="00536287">
        <w:rPr>
          <w:rFonts w:ascii="Book Antiqua" w:hAnsi="Book Antiqua" w:cs="SimSun"/>
          <w:kern w:val="0"/>
          <w:sz w:val="24"/>
          <w:szCs w:val="24"/>
        </w:rPr>
        <w:t>, Kelleni M, Geddawy A. Nonalcoholic fatty liver disease: current and potential therapies. </w:t>
      </w:r>
      <w:r w:rsidRPr="00536287">
        <w:rPr>
          <w:rFonts w:ascii="Book Antiqua" w:hAnsi="Book Antiqua" w:cs="SimSun"/>
          <w:i/>
          <w:iCs/>
          <w:kern w:val="0"/>
          <w:sz w:val="24"/>
          <w:szCs w:val="24"/>
        </w:rPr>
        <w:t>Life Sci</w:t>
      </w:r>
      <w:r w:rsidRPr="00536287">
        <w:rPr>
          <w:rFonts w:ascii="Book Antiqua" w:hAnsi="Book Antiqua" w:cs="SimSun"/>
          <w:kern w:val="0"/>
          <w:sz w:val="24"/>
          <w:szCs w:val="24"/>
        </w:rPr>
        <w:t> 2013; </w:t>
      </w:r>
      <w:r w:rsidRPr="00536287">
        <w:rPr>
          <w:rFonts w:ascii="Book Antiqua" w:hAnsi="Book Antiqua" w:cs="SimSun"/>
          <w:b/>
          <w:bCs/>
          <w:kern w:val="0"/>
          <w:sz w:val="24"/>
          <w:szCs w:val="24"/>
        </w:rPr>
        <w:t>92</w:t>
      </w:r>
      <w:r w:rsidRPr="00536287">
        <w:rPr>
          <w:rFonts w:ascii="Book Antiqua" w:hAnsi="Book Antiqua" w:cs="SimSun"/>
          <w:kern w:val="0"/>
          <w:sz w:val="24"/>
          <w:szCs w:val="24"/>
        </w:rPr>
        <w:t>: 114-118 [PMID: 23159641 DOI: 10.1016/j.ifs.2012.11</w:t>
      </w:r>
      <w:r>
        <w:rPr>
          <w:rFonts w:ascii="Book Antiqua" w:hAnsi="Book Antiqua" w:cs="SimSun"/>
          <w:kern w:val="0"/>
          <w:sz w:val="24"/>
          <w:szCs w:val="24"/>
        </w:rPr>
        <w:t>]</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12 </w:t>
      </w:r>
      <w:r w:rsidRPr="00536287">
        <w:rPr>
          <w:rFonts w:ascii="Book Antiqua" w:hAnsi="Book Antiqua" w:cs="SimSun"/>
          <w:b/>
          <w:bCs/>
          <w:kern w:val="0"/>
          <w:sz w:val="24"/>
          <w:szCs w:val="24"/>
        </w:rPr>
        <w:t>Bruix J</w:t>
      </w:r>
      <w:r w:rsidRPr="00536287">
        <w:rPr>
          <w:rFonts w:ascii="Book Antiqua" w:hAnsi="Book Antiqua" w:cs="SimSun"/>
          <w:kern w:val="0"/>
          <w:sz w:val="24"/>
          <w:szCs w:val="24"/>
        </w:rPr>
        <w:t>, Gores GJ, Mazzaferro V. Hepatocellular carcinoma: clinical frontiers and perspectives. </w:t>
      </w:r>
      <w:r w:rsidRPr="00536287">
        <w:rPr>
          <w:rFonts w:ascii="Book Antiqua" w:hAnsi="Book Antiqua" w:cs="SimSun"/>
          <w:i/>
          <w:iCs/>
          <w:kern w:val="0"/>
          <w:sz w:val="24"/>
          <w:szCs w:val="24"/>
        </w:rPr>
        <w:t>Gut</w:t>
      </w:r>
      <w:r w:rsidRPr="00536287">
        <w:rPr>
          <w:rFonts w:ascii="Book Antiqua" w:hAnsi="Book Antiqua" w:cs="SimSun"/>
          <w:kern w:val="0"/>
          <w:sz w:val="24"/>
          <w:szCs w:val="24"/>
        </w:rPr>
        <w:t> 2014; </w:t>
      </w:r>
      <w:r w:rsidRPr="00536287">
        <w:rPr>
          <w:rFonts w:ascii="Book Antiqua" w:hAnsi="Book Antiqua" w:cs="SimSun"/>
          <w:b/>
          <w:bCs/>
          <w:kern w:val="0"/>
          <w:sz w:val="24"/>
          <w:szCs w:val="24"/>
        </w:rPr>
        <w:t>63</w:t>
      </w:r>
      <w:r w:rsidRPr="00536287">
        <w:rPr>
          <w:rFonts w:ascii="Book Antiqua" w:hAnsi="Book Antiqua" w:cs="SimSun"/>
          <w:kern w:val="0"/>
          <w:sz w:val="24"/>
          <w:szCs w:val="24"/>
        </w:rPr>
        <w:t>: 844-855 [PMID: 24531850 DOI: 10.1136./</w:t>
      </w:r>
      <w:r w:rsidRPr="00705846">
        <w:rPr>
          <w:rFonts w:ascii="Book Antiqua" w:hAnsi="Book Antiqua" w:cs="Times New Roman"/>
          <w:kern w:val="0"/>
          <w:sz w:val="24"/>
          <w:szCs w:val="24"/>
        </w:rPr>
        <w:t>gutjnl- 2013-306627</w:t>
      </w:r>
      <w:r w:rsidRPr="00536287">
        <w:rPr>
          <w:rFonts w:ascii="Book Antiqua" w:hAnsi="Book Antiqua" w:cs="SimSun"/>
          <w:kern w:val="0"/>
          <w:sz w:val="24"/>
          <w:szCs w:val="24"/>
        </w:rPr>
        <w:t>]</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13 </w:t>
      </w:r>
      <w:r w:rsidRPr="00536287">
        <w:rPr>
          <w:rFonts w:ascii="Book Antiqua" w:hAnsi="Book Antiqua" w:cs="SimSun"/>
          <w:b/>
          <w:bCs/>
          <w:kern w:val="0"/>
          <w:sz w:val="24"/>
          <w:szCs w:val="24"/>
        </w:rPr>
        <w:t>Safaei A</w:t>
      </w:r>
      <w:r w:rsidRPr="00536287">
        <w:rPr>
          <w:rFonts w:ascii="Book Antiqua" w:hAnsi="Book Antiqua" w:cs="SimSun"/>
          <w:kern w:val="0"/>
          <w:sz w:val="24"/>
          <w:szCs w:val="24"/>
        </w:rPr>
        <w:t>, Arefi Oskouie A, Mohebbi SR, Rezaei-Tavirani M, Mahboubi M, Peyvandi M, Okhovatian F, Zamanian-Azodi M. Metabolomic analysis of human cirrhosis, hepatocellular carcinoma, non-alcoholic fatty liver disease and non-alcoholic steatohepatitis diseases. </w:t>
      </w:r>
      <w:r w:rsidRPr="00536287">
        <w:rPr>
          <w:rFonts w:ascii="Book Antiqua" w:hAnsi="Book Antiqua" w:cs="SimSun"/>
          <w:i/>
          <w:iCs/>
          <w:kern w:val="0"/>
          <w:sz w:val="24"/>
          <w:szCs w:val="24"/>
        </w:rPr>
        <w:t>Gastroenterol Hepatol Bed Bench</w:t>
      </w:r>
      <w:r w:rsidRPr="00536287">
        <w:rPr>
          <w:rFonts w:ascii="Book Antiqua" w:hAnsi="Book Antiqua" w:cs="SimSun"/>
          <w:kern w:val="0"/>
          <w:sz w:val="24"/>
          <w:szCs w:val="24"/>
        </w:rPr>
        <w:t> 2016; </w:t>
      </w:r>
      <w:r w:rsidRPr="00536287">
        <w:rPr>
          <w:rFonts w:ascii="Book Antiqua" w:hAnsi="Book Antiqua" w:cs="SimSun"/>
          <w:b/>
          <w:bCs/>
          <w:kern w:val="0"/>
          <w:sz w:val="24"/>
          <w:szCs w:val="24"/>
        </w:rPr>
        <w:t>9</w:t>
      </w:r>
      <w:r w:rsidRPr="00536287">
        <w:rPr>
          <w:rFonts w:ascii="Book Antiqua" w:hAnsi="Book Antiqua" w:cs="SimSun"/>
          <w:kern w:val="0"/>
          <w:sz w:val="24"/>
          <w:szCs w:val="24"/>
        </w:rPr>
        <w:t>: 158-173 [PMID: 27458508]</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14 </w:t>
      </w:r>
      <w:r w:rsidRPr="00536287">
        <w:rPr>
          <w:rFonts w:ascii="Book Antiqua" w:hAnsi="Book Antiqua" w:cs="SimSun"/>
          <w:b/>
          <w:bCs/>
          <w:kern w:val="0"/>
          <w:sz w:val="24"/>
          <w:szCs w:val="24"/>
        </w:rPr>
        <w:t>Gu J</w:t>
      </w:r>
      <w:r w:rsidRPr="00536287">
        <w:rPr>
          <w:rFonts w:ascii="Book Antiqua" w:hAnsi="Book Antiqua" w:cs="SimSun"/>
          <w:kern w:val="0"/>
          <w:sz w:val="24"/>
          <w:szCs w:val="24"/>
        </w:rPr>
        <w:t>, Yao M, Yao D, Wang L, Yang X, Yao D. Nonalcoholic Lipid Accumulation and Hepatocyte Malignant Transformation. </w:t>
      </w:r>
      <w:r w:rsidRPr="00536287">
        <w:rPr>
          <w:rFonts w:ascii="Book Antiqua" w:hAnsi="Book Antiqua" w:cs="SimSun"/>
          <w:i/>
          <w:iCs/>
          <w:kern w:val="0"/>
          <w:sz w:val="24"/>
          <w:szCs w:val="24"/>
        </w:rPr>
        <w:t>J Clin Transl Hepatol</w:t>
      </w:r>
      <w:r w:rsidRPr="00536287">
        <w:rPr>
          <w:rFonts w:ascii="Book Antiqua" w:hAnsi="Book Antiqua" w:cs="SimSun"/>
          <w:kern w:val="0"/>
          <w:sz w:val="24"/>
          <w:szCs w:val="24"/>
        </w:rPr>
        <w:t> 2016; </w:t>
      </w:r>
      <w:r w:rsidRPr="00536287">
        <w:rPr>
          <w:rFonts w:ascii="Book Antiqua" w:hAnsi="Book Antiqua" w:cs="SimSun"/>
          <w:b/>
          <w:bCs/>
          <w:kern w:val="0"/>
          <w:sz w:val="24"/>
          <w:szCs w:val="24"/>
        </w:rPr>
        <w:t>4</w:t>
      </w:r>
      <w:r w:rsidRPr="00536287">
        <w:rPr>
          <w:rFonts w:ascii="Book Antiqua" w:hAnsi="Book Antiqua" w:cs="SimSun"/>
          <w:kern w:val="0"/>
          <w:sz w:val="24"/>
          <w:szCs w:val="24"/>
        </w:rPr>
        <w:t>: 123-130 [PMID: 27350942 DOI: 10.14218/JCTH.2016.00010]</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15 </w:t>
      </w:r>
      <w:r w:rsidRPr="00536287">
        <w:rPr>
          <w:rFonts w:ascii="Book Antiqua" w:hAnsi="Book Antiqua" w:cs="SimSun"/>
          <w:b/>
          <w:bCs/>
          <w:kern w:val="0"/>
          <w:sz w:val="24"/>
          <w:szCs w:val="24"/>
        </w:rPr>
        <w:t>De Minicis S</w:t>
      </w:r>
      <w:r w:rsidRPr="00536287">
        <w:rPr>
          <w:rFonts w:ascii="Book Antiqua" w:hAnsi="Book Antiqua" w:cs="SimSun"/>
          <w:kern w:val="0"/>
          <w:sz w:val="24"/>
          <w:szCs w:val="24"/>
        </w:rPr>
        <w:t>, Day C, Svegliati-Baroni G. From NAFLD to NASH and HCC: pathogenetic mechanisms and therapeutic insights. </w:t>
      </w:r>
      <w:r w:rsidRPr="00536287">
        <w:rPr>
          <w:rFonts w:ascii="Book Antiqua" w:hAnsi="Book Antiqua" w:cs="SimSun"/>
          <w:i/>
          <w:iCs/>
          <w:kern w:val="0"/>
          <w:sz w:val="24"/>
          <w:szCs w:val="24"/>
        </w:rPr>
        <w:t>Curr Pharm Des</w:t>
      </w:r>
      <w:r w:rsidRPr="00536287">
        <w:rPr>
          <w:rFonts w:ascii="Book Antiqua" w:hAnsi="Book Antiqua" w:cs="SimSun"/>
          <w:kern w:val="0"/>
          <w:sz w:val="24"/>
          <w:szCs w:val="24"/>
        </w:rPr>
        <w:t> 2013; </w:t>
      </w:r>
      <w:r w:rsidRPr="00536287">
        <w:rPr>
          <w:rFonts w:ascii="Book Antiqua" w:hAnsi="Book Antiqua" w:cs="SimSun"/>
          <w:b/>
          <w:bCs/>
          <w:kern w:val="0"/>
          <w:sz w:val="24"/>
          <w:szCs w:val="24"/>
        </w:rPr>
        <w:t>19</w:t>
      </w:r>
      <w:r w:rsidRPr="00536287">
        <w:rPr>
          <w:rFonts w:ascii="Book Antiqua" w:hAnsi="Book Antiqua" w:cs="SimSun"/>
          <w:kern w:val="0"/>
          <w:sz w:val="24"/>
          <w:szCs w:val="24"/>
        </w:rPr>
        <w:t>: 5239-5249 [PMID: 23394093]</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16 </w:t>
      </w:r>
      <w:r w:rsidRPr="00536287">
        <w:rPr>
          <w:rFonts w:ascii="Book Antiqua" w:hAnsi="Book Antiqua" w:cs="SimSun"/>
          <w:b/>
          <w:bCs/>
          <w:kern w:val="0"/>
          <w:sz w:val="24"/>
          <w:szCs w:val="24"/>
        </w:rPr>
        <w:t>Yao M</w:t>
      </w:r>
      <w:r w:rsidRPr="00536287">
        <w:rPr>
          <w:rFonts w:ascii="Book Antiqua" w:hAnsi="Book Antiqua" w:cs="SimSun"/>
          <w:kern w:val="0"/>
          <w:sz w:val="24"/>
          <w:szCs w:val="24"/>
        </w:rPr>
        <w:t>, Cai M, Yao D, Xu X, Yang R, Li Y, Zhang Y, Kido H, Yao D. Abbreviated half-lives and impaired fuel utilization in carnitine palmitoyltransferase II variant fibroblasts. </w:t>
      </w:r>
      <w:r w:rsidRPr="00536287">
        <w:rPr>
          <w:rFonts w:ascii="Book Antiqua" w:hAnsi="Book Antiqua" w:cs="SimSun"/>
          <w:i/>
          <w:iCs/>
          <w:kern w:val="0"/>
          <w:sz w:val="24"/>
          <w:szCs w:val="24"/>
        </w:rPr>
        <w:t>PLoS One</w:t>
      </w:r>
      <w:r w:rsidRPr="00536287">
        <w:rPr>
          <w:rFonts w:ascii="Book Antiqua" w:hAnsi="Book Antiqua" w:cs="SimSun"/>
          <w:kern w:val="0"/>
          <w:sz w:val="24"/>
          <w:szCs w:val="24"/>
        </w:rPr>
        <w:t> 2015; </w:t>
      </w:r>
      <w:r w:rsidRPr="00536287">
        <w:rPr>
          <w:rFonts w:ascii="Book Antiqua" w:hAnsi="Book Antiqua" w:cs="SimSun"/>
          <w:b/>
          <w:bCs/>
          <w:kern w:val="0"/>
          <w:sz w:val="24"/>
          <w:szCs w:val="24"/>
        </w:rPr>
        <w:t>10</w:t>
      </w:r>
      <w:r w:rsidRPr="00536287">
        <w:rPr>
          <w:rFonts w:ascii="Book Antiqua" w:hAnsi="Book Antiqua" w:cs="SimSun"/>
          <w:kern w:val="0"/>
          <w:sz w:val="24"/>
          <w:szCs w:val="24"/>
        </w:rPr>
        <w:t>: e0119936 [PMID: 25781464 DOI: 10.1371/journal.pone.0119936]</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17 </w:t>
      </w:r>
      <w:r w:rsidRPr="00536287">
        <w:rPr>
          <w:rFonts w:ascii="Book Antiqua" w:hAnsi="Book Antiqua" w:cs="SimSun"/>
          <w:b/>
          <w:bCs/>
          <w:kern w:val="0"/>
          <w:sz w:val="24"/>
          <w:szCs w:val="24"/>
        </w:rPr>
        <w:t>Yao M</w:t>
      </w:r>
      <w:r w:rsidRPr="00536287">
        <w:rPr>
          <w:rFonts w:ascii="Book Antiqua" w:hAnsi="Book Antiqua" w:cs="SimSun"/>
          <w:kern w:val="0"/>
          <w:sz w:val="24"/>
          <w:szCs w:val="24"/>
        </w:rPr>
        <w:t xml:space="preserve">, Yao D, Yamaguchi M, Chida J, Yao D, Kido H. Bezafibrate upregulates carnitine palmitoyltransferase II expression and promotes mitochondrial energy crisis dissipation in fibroblasts of patients with </w:t>
      </w:r>
      <w:r w:rsidRPr="00536287">
        <w:rPr>
          <w:rFonts w:ascii="Book Antiqua" w:hAnsi="Book Antiqua" w:cs="SimSun"/>
          <w:kern w:val="0"/>
          <w:sz w:val="24"/>
          <w:szCs w:val="24"/>
        </w:rPr>
        <w:lastRenderedPageBreak/>
        <w:t>influenza-associated encephalopathy. </w:t>
      </w:r>
      <w:r w:rsidRPr="00536287">
        <w:rPr>
          <w:rFonts w:ascii="Book Antiqua" w:hAnsi="Book Antiqua" w:cs="SimSun"/>
          <w:i/>
          <w:iCs/>
          <w:kern w:val="0"/>
          <w:sz w:val="24"/>
          <w:szCs w:val="24"/>
        </w:rPr>
        <w:t>Mol Genet Metab</w:t>
      </w:r>
      <w:r w:rsidRPr="00536287">
        <w:rPr>
          <w:rFonts w:ascii="Book Antiqua" w:hAnsi="Book Antiqua" w:cs="SimSun"/>
          <w:kern w:val="0"/>
          <w:sz w:val="24"/>
          <w:szCs w:val="24"/>
        </w:rPr>
        <w:t> 2011; </w:t>
      </w:r>
      <w:r w:rsidRPr="00536287">
        <w:rPr>
          <w:rFonts w:ascii="Book Antiqua" w:hAnsi="Book Antiqua" w:cs="SimSun"/>
          <w:b/>
          <w:bCs/>
          <w:kern w:val="0"/>
          <w:sz w:val="24"/>
          <w:szCs w:val="24"/>
        </w:rPr>
        <w:t>104</w:t>
      </w:r>
      <w:r w:rsidRPr="00536287">
        <w:rPr>
          <w:rFonts w:ascii="Book Antiqua" w:hAnsi="Book Antiqua" w:cs="SimSun"/>
          <w:kern w:val="0"/>
          <w:sz w:val="24"/>
          <w:szCs w:val="24"/>
        </w:rPr>
        <w:t>: 265-272 [PMID: 21816645 DOI: 10.1016/j.ymgme]</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18 </w:t>
      </w:r>
      <w:r w:rsidRPr="00536287">
        <w:rPr>
          <w:rFonts w:ascii="Book Antiqua" w:hAnsi="Book Antiqua" w:cs="SimSun"/>
          <w:b/>
          <w:bCs/>
          <w:kern w:val="0"/>
          <w:sz w:val="24"/>
          <w:szCs w:val="24"/>
        </w:rPr>
        <w:t>Yao D</w:t>
      </w:r>
      <w:r w:rsidRPr="00536287">
        <w:rPr>
          <w:rFonts w:ascii="Book Antiqua" w:hAnsi="Book Antiqua" w:cs="SimSun"/>
          <w:kern w:val="0"/>
          <w:sz w:val="24"/>
          <w:szCs w:val="24"/>
        </w:rPr>
        <w:t>, Mizuguchi H, Yamaguchi M, Yamada H, Chida J, Shikata K, Kido H. Thermal instability of compound variants of carnitine palmitoyltransferase II and impaired mitochondrial fuel utilization in influenza-associated encephalopathy. </w:t>
      </w:r>
      <w:r w:rsidRPr="00536287">
        <w:rPr>
          <w:rFonts w:ascii="Book Antiqua" w:hAnsi="Book Antiqua" w:cs="SimSun"/>
          <w:i/>
          <w:iCs/>
          <w:kern w:val="0"/>
          <w:sz w:val="24"/>
          <w:szCs w:val="24"/>
        </w:rPr>
        <w:t>Hum Mutat</w:t>
      </w:r>
      <w:r w:rsidRPr="00536287">
        <w:rPr>
          <w:rFonts w:ascii="Book Antiqua" w:hAnsi="Book Antiqua" w:cs="SimSun"/>
          <w:kern w:val="0"/>
          <w:sz w:val="24"/>
          <w:szCs w:val="24"/>
        </w:rPr>
        <w:t> 2008; </w:t>
      </w:r>
      <w:r w:rsidRPr="00536287">
        <w:rPr>
          <w:rFonts w:ascii="Book Antiqua" w:hAnsi="Book Antiqua" w:cs="SimSun"/>
          <w:b/>
          <w:bCs/>
          <w:kern w:val="0"/>
          <w:sz w:val="24"/>
          <w:szCs w:val="24"/>
        </w:rPr>
        <w:t>29</w:t>
      </w:r>
      <w:r w:rsidRPr="00536287">
        <w:rPr>
          <w:rFonts w:ascii="Book Antiqua" w:hAnsi="Book Antiqua" w:cs="SimSun"/>
          <w:kern w:val="0"/>
          <w:sz w:val="24"/>
          <w:szCs w:val="24"/>
        </w:rPr>
        <w:t>: 718-727 [PMID: 18306170 DOI: 10.1002/humu.20717]</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19 </w:t>
      </w:r>
      <w:r w:rsidRPr="00536287">
        <w:rPr>
          <w:rFonts w:ascii="Book Antiqua" w:hAnsi="Book Antiqua" w:cs="SimSun"/>
          <w:b/>
          <w:bCs/>
          <w:kern w:val="0"/>
          <w:sz w:val="24"/>
          <w:szCs w:val="24"/>
        </w:rPr>
        <w:t>Yao D</w:t>
      </w:r>
      <w:r w:rsidRPr="00536287">
        <w:rPr>
          <w:rFonts w:ascii="Book Antiqua" w:hAnsi="Book Antiqua" w:cs="SimSun"/>
          <w:kern w:val="0"/>
          <w:sz w:val="24"/>
          <w:szCs w:val="24"/>
        </w:rPr>
        <w:t>, Kuwajima M, Chen Y, Shiota M, Okumura Y, Yamada H, Kido H. Impaired long-chain fatty acid metabolism in mitochondria causes brain vascular invasion by a non-neurotropic epidemic influenza A virus in the newborn/suckling period: implications for influenza-associated encephalopathy. </w:t>
      </w:r>
      <w:r w:rsidRPr="00536287">
        <w:rPr>
          <w:rFonts w:ascii="Book Antiqua" w:hAnsi="Book Antiqua" w:cs="SimSun"/>
          <w:i/>
          <w:iCs/>
          <w:kern w:val="0"/>
          <w:sz w:val="24"/>
          <w:szCs w:val="24"/>
        </w:rPr>
        <w:t>Mol Cell Biochem</w:t>
      </w:r>
      <w:r w:rsidRPr="00536287">
        <w:rPr>
          <w:rFonts w:ascii="Book Antiqua" w:hAnsi="Book Antiqua" w:cs="SimSun"/>
          <w:kern w:val="0"/>
          <w:sz w:val="24"/>
          <w:szCs w:val="24"/>
        </w:rPr>
        <w:t> 2007; </w:t>
      </w:r>
      <w:r w:rsidRPr="00536287">
        <w:rPr>
          <w:rFonts w:ascii="Book Antiqua" w:hAnsi="Book Antiqua" w:cs="SimSun"/>
          <w:b/>
          <w:bCs/>
          <w:kern w:val="0"/>
          <w:sz w:val="24"/>
          <w:szCs w:val="24"/>
        </w:rPr>
        <w:t>299</w:t>
      </w:r>
      <w:r w:rsidRPr="00536287">
        <w:rPr>
          <w:rFonts w:ascii="Book Antiqua" w:hAnsi="Book Antiqua" w:cs="SimSun"/>
          <w:kern w:val="0"/>
          <w:sz w:val="24"/>
          <w:szCs w:val="24"/>
        </w:rPr>
        <w:t>: 85-92 [PMID: 16896540 DOI: 10.1007/]</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20 </w:t>
      </w:r>
      <w:r w:rsidRPr="00536287">
        <w:rPr>
          <w:rFonts w:ascii="Book Antiqua" w:hAnsi="Book Antiqua" w:cs="SimSun"/>
          <w:b/>
          <w:bCs/>
          <w:kern w:val="0"/>
          <w:sz w:val="24"/>
          <w:szCs w:val="24"/>
        </w:rPr>
        <w:t>Yao D</w:t>
      </w:r>
      <w:r w:rsidRPr="00536287">
        <w:rPr>
          <w:rFonts w:ascii="Book Antiqua" w:hAnsi="Book Antiqua" w:cs="SimSun"/>
          <w:kern w:val="0"/>
          <w:sz w:val="24"/>
          <w:szCs w:val="24"/>
        </w:rPr>
        <w:t>, Yao M, Yamaguchi M, Chida J, Kido H. Characterization of compound missense mutation and deletion of carnitine palmitoyltransferase II in a patient with adenovirus-associated encephalopathy. </w:t>
      </w:r>
      <w:r w:rsidRPr="00536287">
        <w:rPr>
          <w:rFonts w:ascii="Book Antiqua" w:hAnsi="Book Antiqua" w:cs="SimSun"/>
          <w:i/>
          <w:iCs/>
          <w:kern w:val="0"/>
          <w:sz w:val="24"/>
          <w:szCs w:val="24"/>
        </w:rPr>
        <w:t>J Med Invest</w:t>
      </w:r>
      <w:r w:rsidRPr="00536287">
        <w:rPr>
          <w:rFonts w:ascii="Book Antiqua" w:hAnsi="Book Antiqua" w:cs="SimSun"/>
          <w:kern w:val="0"/>
          <w:sz w:val="24"/>
          <w:szCs w:val="24"/>
        </w:rPr>
        <w:t> 2011; </w:t>
      </w:r>
      <w:r w:rsidRPr="00536287">
        <w:rPr>
          <w:rFonts w:ascii="Book Antiqua" w:hAnsi="Book Antiqua" w:cs="SimSun"/>
          <w:b/>
          <w:bCs/>
          <w:kern w:val="0"/>
          <w:sz w:val="24"/>
          <w:szCs w:val="24"/>
        </w:rPr>
        <w:t>58</w:t>
      </w:r>
      <w:r w:rsidRPr="00536287">
        <w:rPr>
          <w:rFonts w:ascii="Book Antiqua" w:hAnsi="Book Antiqua" w:cs="SimSun"/>
          <w:kern w:val="0"/>
          <w:sz w:val="24"/>
          <w:szCs w:val="24"/>
        </w:rPr>
        <w:t>: 210-218 [PMID: 21921422]</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21 </w:t>
      </w:r>
      <w:r w:rsidRPr="00536287">
        <w:rPr>
          <w:rFonts w:ascii="Book Antiqua" w:hAnsi="Book Antiqua" w:cs="SimSun"/>
          <w:b/>
          <w:bCs/>
          <w:kern w:val="0"/>
          <w:sz w:val="24"/>
          <w:szCs w:val="24"/>
        </w:rPr>
        <w:t>White DL</w:t>
      </w:r>
      <w:r w:rsidRPr="00536287">
        <w:rPr>
          <w:rFonts w:ascii="Book Antiqua" w:hAnsi="Book Antiqua" w:cs="SimSun"/>
          <w:kern w:val="0"/>
          <w:sz w:val="24"/>
          <w:szCs w:val="24"/>
        </w:rPr>
        <w:t>, Kanwal F, El-Serag HB. Association between nonalcoholic fatty liver disease and risk for hepatocellular cancer, based on systematic review. </w:t>
      </w:r>
      <w:r w:rsidRPr="00536287">
        <w:rPr>
          <w:rFonts w:ascii="Book Antiqua" w:hAnsi="Book Antiqua" w:cs="SimSun"/>
          <w:i/>
          <w:iCs/>
          <w:kern w:val="0"/>
          <w:sz w:val="24"/>
          <w:szCs w:val="24"/>
        </w:rPr>
        <w:t>Clin Gastroenterol Hepatol</w:t>
      </w:r>
      <w:r w:rsidRPr="00536287">
        <w:rPr>
          <w:rFonts w:ascii="Book Antiqua" w:hAnsi="Book Antiqua" w:cs="SimSun"/>
          <w:kern w:val="0"/>
          <w:sz w:val="24"/>
          <w:szCs w:val="24"/>
        </w:rPr>
        <w:t> 2012; </w:t>
      </w:r>
      <w:r w:rsidRPr="00536287">
        <w:rPr>
          <w:rFonts w:ascii="Book Antiqua" w:hAnsi="Book Antiqua" w:cs="SimSun"/>
          <w:b/>
          <w:bCs/>
          <w:kern w:val="0"/>
          <w:sz w:val="24"/>
          <w:szCs w:val="24"/>
        </w:rPr>
        <w:t>10</w:t>
      </w:r>
      <w:r w:rsidRPr="00536287">
        <w:rPr>
          <w:rFonts w:ascii="Book Antiqua" w:hAnsi="Book Antiqua" w:cs="SimSun"/>
          <w:kern w:val="0"/>
          <w:sz w:val="24"/>
          <w:szCs w:val="24"/>
        </w:rPr>
        <w:t>: 1342-1359.e2 [PMID: 23041539 DOI: 10.1016/j.cgh.2012.10.001]</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22 </w:t>
      </w:r>
      <w:r w:rsidRPr="00536287">
        <w:rPr>
          <w:rFonts w:ascii="Book Antiqua" w:hAnsi="Book Antiqua" w:cs="SimSun"/>
          <w:b/>
          <w:bCs/>
          <w:kern w:val="0"/>
          <w:sz w:val="24"/>
          <w:szCs w:val="24"/>
        </w:rPr>
        <w:t>Purohit V</w:t>
      </w:r>
      <w:r w:rsidRPr="00536287">
        <w:rPr>
          <w:rFonts w:ascii="Book Antiqua" w:hAnsi="Book Antiqua" w:cs="SimSun"/>
          <w:kern w:val="0"/>
          <w:sz w:val="24"/>
          <w:szCs w:val="24"/>
        </w:rPr>
        <w:t>, Rapaka R, Shurtleff D. Role of cannabinoids in the development of fatty liver (steatosis). </w:t>
      </w:r>
      <w:r w:rsidRPr="00536287">
        <w:rPr>
          <w:rFonts w:ascii="Book Antiqua" w:hAnsi="Book Antiqua" w:cs="SimSun"/>
          <w:i/>
          <w:iCs/>
          <w:kern w:val="0"/>
          <w:sz w:val="24"/>
          <w:szCs w:val="24"/>
        </w:rPr>
        <w:t>AAPS J</w:t>
      </w:r>
      <w:r w:rsidRPr="00536287">
        <w:rPr>
          <w:rFonts w:ascii="Book Antiqua" w:hAnsi="Book Antiqua" w:cs="SimSun"/>
          <w:kern w:val="0"/>
          <w:sz w:val="24"/>
          <w:szCs w:val="24"/>
        </w:rPr>
        <w:t> 2010; </w:t>
      </w:r>
      <w:r w:rsidRPr="00536287">
        <w:rPr>
          <w:rFonts w:ascii="Book Antiqua" w:hAnsi="Book Antiqua" w:cs="SimSun"/>
          <w:b/>
          <w:bCs/>
          <w:kern w:val="0"/>
          <w:sz w:val="24"/>
          <w:szCs w:val="24"/>
        </w:rPr>
        <w:t>12</w:t>
      </w:r>
      <w:r w:rsidRPr="00536287">
        <w:rPr>
          <w:rFonts w:ascii="Book Antiqua" w:hAnsi="Book Antiqua" w:cs="SimSun"/>
          <w:kern w:val="0"/>
          <w:sz w:val="24"/>
          <w:szCs w:val="24"/>
        </w:rPr>
        <w:t>: 233-237 [PMID: 20204561 DOI: 10.1208/s12248-010.9178-0]</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23 </w:t>
      </w:r>
      <w:r w:rsidRPr="00536287">
        <w:rPr>
          <w:rFonts w:ascii="Book Antiqua" w:hAnsi="Book Antiqua" w:cs="SimSun"/>
          <w:b/>
          <w:bCs/>
          <w:kern w:val="0"/>
          <w:sz w:val="24"/>
          <w:szCs w:val="24"/>
        </w:rPr>
        <w:t>Dong ZZ</w:t>
      </w:r>
      <w:r w:rsidRPr="00536287">
        <w:rPr>
          <w:rFonts w:ascii="Book Antiqua" w:hAnsi="Book Antiqua" w:cs="SimSun"/>
          <w:kern w:val="0"/>
          <w:sz w:val="24"/>
          <w:szCs w:val="24"/>
        </w:rPr>
        <w:t>, Yao DF, Wu W, Yao M, Yu HB, Shen JJ, Qiu LW, Yao NH, Sai WL, Yang JL. Delayed hepatocarcinogenesis through antiangiogenic intervention in the nuclear factor-kappa B activation pathway in rats. </w:t>
      </w:r>
      <w:r w:rsidRPr="00536287">
        <w:rPr>
          <w:rFonts w:ascii="Book Antiqua" w:hAnsi="Book Antiqua" w:cs="SimSun"/>
          <w:i/>
          <w:iCs/>
          <w:kern w:val="0"/>
          <w:sz w:val="24"/>
          <w:szCs w:val="24"/>
        </w:rPr>
        <w:t>Hepatobiliary Pancreat Dis Int</w:t>
      </w:r>
      <w:r w:rsidRPr="00536287">
        <w:rPr>
          <w:rFonts w:ascii="Book Antiqua" w:hAnsi="Book Antiqua" w:cs="SimSun"/>
          <w:kern w:val="0"/>
          <w:sz w:val="24"/>
          <w:szCs w:val="24"/>
        </w:rPr>
        <w:t> 2010; </w:t>
      </w:r>
      <w:r w:rsidRPr="00536287">
        <w:rPr>
          <w:rFonts w:ascii="Book Antiqua" w:hAnsi="Book Antiqua" w:cs="SimSun"/>
          <w:b/>
          <w:bCs/>
          <w:kern w:val="0"/>
          <w:sz w:val="24"/>
          <w:szCs w:val="24"/>
        </w:rPr>
        <w:t>9</w:t>
      </w:r>
      <w:r w:rsidRPr="00536287">
        <w:rPr>
          <w:rFonts w:ascii="Book Antiqua" w:hAnsi="Book Antiqua" w:cs="SimSun"/>
          <w:kern w:val="0"/>
          <w:sz w:val="24"/>
          <w:szCs w:val="24"/>
        </w:rPr>
        <w:t>: 169-174 [PMID: 20382589]</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lastRenderedPageBreak/>
        <w:t>24 </w:t>
      </w:r>
      <w:r w:rsidRPr="00536287">
        <w:rPr>
          <w:rFonts w:ascii="Book Antiqua" w:hAnsi="Book Antiqua" w:cs="SimSun"/>
          <w:b/>
          <w:bCs/>
          <w:kern w:val="0"/>
          <w:sz w:val="24"/>
          <w:szCs w:val="24"/>
        </w:rPr>
        <w:t>Hebbard L</w:t>
      </w:r>
      <w:r w:rsidRPr="00536287">
        <w:rPr>
          <w:rFonts w:ascii="Book Antiqua" w:hAnsi="Book Antiqua" w:cs="SimSun"/>
          <w:kern w:val="0"/>
          <w:sz w:val="24"/>
          <w:szCs w:val="24"/>
        </w:rPr>
        <w:t>, George J. Animal models of nonalcoholic fatty liver disease. </w:t>
      </w:r>
      <w:r w:rsidRPr="00536287">
        <w:rPr>
          <w:rFonts w:ascii="Book Antiqua" w:hAnsi="Book Antiqua" w:cs="SimSun"/>
          <w:i/>
          <w:iCs/>
          <w:kern w:val="0"/>
          <w:sz w:val="24"/>
          <w:szCs w:val="24"/>
        </w:rPr>
        <w:t>Nat Rev Gastroenterol Hepatol</w:t>
      </w:r>
      <w:r w:rsidRPr="00536287">
        <w:rPr>
          <w:rFonts w:ascii="Book Antiqua" w:hAnsi="Book Antiqua" w:cs="SimSun"/>
          <w:kern w:val="0"/>
          <w:sz w:val="24"/>
          <w:szCs w:val="24"/>
        </w:rPr>
        <w:t> 2011; </w:t>
      </w:r>
      <w:r w:rsidRPr="00536287">
        <w:rPr>
          <w:rFonts w:ascii="Book Antiqua" w:hAnsi="Book Antiqua" w:cs="SimSun"/>
          <w:b/>
          <w:bCs/>
          <w:kern w:val="0"/>
          <w:sz w:val="24"/>
          <w:szCs w:val="24"/>
        </w:rPr>
        <w:t>8</w:t>
      </w:r>
      <w:r w:rsidRPr="00536287">
        <w:rPr>
          <w:rFonts w:ascii="Book Antiqua" w:hAnsi="Book Antiqua" w:cs="SimSun"/>
          <w:kern w:val="0"/>
          <w:sz w:val="24"/>
          <w:szCs w:val="24"/>
        </w:rPr>
        <w:t>: 35-44 [PMID: 21119613 DOI: 10.1038/</w:t>
      </w:r>
      <w:r w:rsidRPr="00705846">
        <w:rPr>
          <w:rFonts w:ascii="Book Antiqua" w:hAnsi="Book Antiqua" w:cs="Times New Roman"/>
          <w:sz w:val="24"/>
          <w:szCs w:val="24"/>
        </w:rPr>
        <w:t>nrgastro.2010.191</w:t>
      </w:r>
      <w:r w:rsidRPr="00536287">
        <w:rPr>
          <w:rFonts w:ascii="Book Antiqua" w:hAnsi="Book Antiqua" w:cs="SimSun"/>
          <w:kern w:val="0"/>
          <w:sz w:val="24"/>
          <w:szCs w:val="24"/>
        </w:rPr>
        <w:t>]</w:t>
      </w:r>
    </w:p>
    <w:p w:rsidR="00B33D71" w:rsidRPr="00536287" w:rsidRDefault="00B33D71" w:rsidP="00B33D71">
      <w:pPr>
        <w:widowControl/>
        <w:spacing w:line="360" w:lineRule="auto"/>
        <w:rPr>
          <w:rFonts w:ascii="Book Antiqua" w:hAnsi="Book Antiqua" w:cs="SimSun"/>
          <w:kern w:val="0"/>
          <w:sz w:val="24"/>
          <w:szCs w:val="24"/>
        </w:rPr>
      </w:pPr>
      <w:r>
        <w:rPr>
          <w:rFonts w:ascii="Book Antiqua" w:hAnsi="Book Antiqua" w:cs="SimSun"/>
          <w:kern w:val="0"/>
          <w:sz w:val="24"/>
          <w:szCs w:val="24"/>
        </w:rPr>
        <w:t xml:space="preserve">25 </w:t>
      </w:r>
      <w:r w:rsidRPr="00536287">
        <w:rPr>
          <w:rFonts w:ascii="Book Antiqua" w:hAnsi="Book Antiqua" w:cs="SimSun"/>
          <w:b/>
          <w:kern w:val="0"/>
          <w:sz w:val="24"/>
          <w:szCs w:val="24"/>
        </w:rPr>
        <w:t>Yao P</w:t>
      </w:r>
      <w:r w:rsidRPr="00536287">
        <w:rPr>
          <w:rFonts w:ascii="Book Antiqua" w:hAnsi="Book Antiqua" w:cs="SimSun"/>
          <w:kern w:val="0"/>
          <w:sz w:val="24"/>
          <w:szCs w:val="24"/>
        </w:rPr>
        <w:t>, Qi AL, Zhang Y, Su HJ, Ying M, Zhang J, Huang YF, Yao LB, Wang WQ, Li TY. Non-alcoholic fatty liver in mice experimental models of optimal feed ratio of pr</w:t>
      </w:r>
      <w:r>
        <w:rPr>
          <w:rFonts w:ascii="Book Antiqua" w:hAnsi="Book Antiqua" w:cs="SimSun"/>
          <w:kern w:val="0"/>
          <w:sz w:val="24"/>
          <w:szCs w:val="24"/>
        </w:rPr>
        <w:t xml:space="preserve">ograms. </w:t>
      </w:r>
      <w:r w:rsidRPr="00536287">
        <w:rPr>
          <w:rFonts w:ascii="Book Antiqua" w:hAnsi="Book Antiqua" w:cs="SimSun"/>
          <w:i/>
          <w:kern w:val="0"/>
          <w:sz w:val="24"/>
          <w:szCs w:val="24"/>
        </w:rPr>
        <w:t>Med Innovation of China</w:t>
      </w:r>
      <w:r w:rsidRPr="00536287">
        <w:rPr>
          <w:rFonts w:ascii="Book Antiqua" w:hAnsi="Book Antiqua" w:cs="SimSun"/>
          <w:kern w:val="0"/>
          <w:sz w:val="24"/>
          <w:szCs w:val="24"/>
        </w:rPr>
        <w:t xml:space="preserve"> 2011; </w:t>
      </w:r>
      <w:r w:rsidRPr="00536287">
        <w:rPr>
          <w:rFonts w:ascii="Book Antiqua" w:hAnsi="Book Antiqua" w:cs="SimSun"/>
          <w:b/>
          <w:kern w:val="0"/>
          <w:sz w:val="24"/>
          <w:szCs w:val="24"/>
        </w:rPr>
        <w:t>8</w:t>
      </w:r>
      <w:r>
        <w:rPr>
          <w:rFonts w:ascii="Book Antiqua" w:hAnsi="Book Antiqua" w:cs="SimSun"/>
          <w:kern w:val="0"/>
          <w:sz w:val="24"/>
          <w:szCs w:val="24"/>
        </w:rPr>
        <w:t>: 11-14</w:t>
      </w:r>
    </w:p>
    <w:p w:rsidR="00B33D71" w:rsidRPr="00536287" w:rsidRDefault="00B33D71" w:rsidP="00B33D71">
      <w:pPr>
        <w:widowControl/>
        <w:spacing w:line="360" w:lineRule="auto"/>
        <w:rPr>
          <w:rFonts w:ascii="Book Antiqua" w:hAnsi="Book Antiqua" w:cs="SimSun"/>
          <w:kern w:val="0"/>
          <w:sz w:val="24"/>
          <w:szCs w:val="24"/>
        </w:rPr>
      </w:pPr>
      <w:r>
        <w:rPr>
          <w:rFonts w:ascii="Book Antiqua" w:hAnsi="Book Antiqua" w:cs="SimSun"/>
          <w:kern w:val="0"/>
          <w:sz w:val="24"/>
          <w:szCs w:val="24"/>
        </w:rPr>
        <w:t xml:space="preserve">26 </w:t>
      </w:r>
      <w:r w:rsidRPr="00536287">
        <w:rPr>
          <w:rFonts w:ascii="Book Antiqua" w:hAnsi="Book Antiqua" w:cs="SimSun"/>
          <w:b/>
          <w:kern w:val="0"/>
          <w:sz w:val="24"/>
          <w:szCs w:val="24"/>
        </w:rPr>
        <w:t>Yao M</w:t>
      </w:r>
      <w:r w:rsidRPr="00536287">
        <w:rPr>
          <w:rFonts w:ascii="Book Antiqua" w:hAnsi="Book Antiqua" w:cs="SimSun"/>
          <w:kern w:val="0"/>
          <w:sz w:val="24"/>
          <w:szCs w:val="24"/>
        </w:rPr>
        <w:t>, Wang XY, Wang L, Yao DF, Yao DB. Antagonistic key molecule of mitochondrial carnitine shuttle system on effects of hepatic fat meta</w:t>
      </w:r>
      <w:r>
        <w:rPr>
          <w:rFonts w:ascii="Book Antiqua" w:hAnsi="Book Antiqua" w:cs="SimSun"/>
          <w:kern w:val="0"/>
          <w:sz w:val="24"/>
          <w:szCs w:val="24"/>
        </w:rPr>
        <w:t>bolism.</w:t>
      </w:r>
      <w:r w:rsidRPr="00536287">
        <w:rPr>
          <w:rFonts w:ascii="Book Antiqua" w:hAnsi="Book Antiqua" w:cs="SimSun"/>
          <w:i/>
          <w:kern w:val="0"/>
          <w:sz w:val="24"/>
          <w:szCs w:val="24"/>
        </w:rPr>
        <w:t xml:space="preserve"> J Nantong Uni </w:t>
      </w:r>
      <w:r>
        <w:rPr>
          <w:rFonts w:ascii="Book Antiqua" w:hAnsi="Book Antiqua" w:cs="SimSun"/>
          <w:kern w:val="0"/>
          <w:sz w:val="24"/>
          <w:szCs w:val="24"/>
        </w:rPr>
        <w:t>(Med Sci)</w:t>
      </w:r>
      <w:r w:rsidRPr="00536287">
        <w:rPr>
          <w:rFonts w:ascii="Book Antiqua" w:hAnsi="Book Antiqua" w:cs="SimSun"/>
          <w:kern w:val="0"/>
          <w:sz w:val="24"/>
          <w:szCs w:val="24"/>
        </w:rPr>
        <w:t xml:space="preserve"> 2014; </w:t>
      </w:r>
      <w:r w:rsidRPr="00536287">
        <w:rPr>
          <w:rFonts w:ascii="Book Antiqua" w:hAnsi="Book Antiqua" w:cs="SimSun"/>
          <w:b/>
          <w:kern w:val="0"/>
          <w:sz w:val="24"/>
          <w:szCs w:val="24"/>
        </w:rPr>
        <w:t>34</w:t>
      </w:r>
      <w:r>
        <w:rPr>
          <w:rFonts w:ascii="Book Antiqua" w:hAnsi="Book Antiqua" w:cs="SimSun"/>
          <w:kern w:val="0"/>
          <w:sz w:val="24"/>
          <w:szCs w:val="24"/>
        </w:rPr>
        <w:t>: 247-250</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27 </w:t>
      </w:r>
      <w:r w:rsidRPr="00536287">
        <w:rPr>
          <w:rFonts w:ascii="Book Antiqua" w:hAnsi="Book Antiqua" w:cs="SimSun"/>
          <w:b/>
          <w:bCs/>
          <w:kern w:val="0"/>
          <w:sz w:val="24"/>
          <w:szCs w:val="24"/>
        </w:rPr>
        <w:t>Gori M</w:t>
      </w:r>
      <w:r w:rsidRPr="00536287">
        <w:rPr>
          <w:rFonts w:ascii="Book Antiqua" w:hAnsi="Book Antiqua" w:cs="SimSun"/>
          <w:kern w:val="0"/>
          <w:sz w:val="24"/>
          <w:szCs w:val="24"/>
        </w:rPr>
        <w:t>, Simonelli MC, Giannitelli SM, Businaro L, Trombetta M, Rainer A. Investigating Nonalcoholic Fatty Liver Disease in a Liver-on-a-Chip Microfluidic Device. </w:t>
      </w:r>
      <w:r w:rsidRPr="00536287">
        <w:rPr>
          <w:rFonts w:ascii="Book Antiqua" w:hAnsi="Book Antiqua" w:cs="SimSun"/>
          <w:i/>
          <w:iCs/>
          <w:kern w:val="0"/>
          <w:sz w:val="24"/>
          <w:szCs w:val="24"/>
        </w:rPr>
        <w:t>PLoS One</w:t>
      </w:r>
      <w:r w:rsidRPr="00536287">
        <w:rPr>
          <w:rFonts w:ascii="Book Antiqua" w:hAnsi="Book Antiqua" w:cs="SimSun"/>
          <w:kern w:val="0"/>
          <w:sz w:val="24"/>
          <w:szCs w:val="24"/>
        </w:rPr>
        <w:t> 2016; </w:t>
      </w:r>
      <w:r w:rsidRPr="00536287">
        <w:rPr>
          <w:rFonts w:ascii="Book Antiqua" w:hAnsi="Book Antiqua" w:cs="SimSun"/>
          <w:b/>
          <w:bCs/>
          <w:kern w:val="0"/>
          <w:sz w:val="24"/>
          <w:szCs w:val="24"/>
        </w:rPr>
        <w:t>11</w:t>
      </w:r>
      <w:r w:rsidRPr="00536287">
        <w:rPr>
          <w:rFonts w:ascii="Book Antiqua" w:hAnsi="Book Antiqua" w:cs="SimSun"/>
          <w:kern w:val="0"/>
          <w:sz w:val="24"/>
          <w:szCs w:val="24"/>
        </w:rPr>
        <w:t>: e0159729 [PMID: 27438262 DOI: 10.1371/journal.pone.0159729]</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28 </w:t>
      </w:r>
      <w:r w:rsidRPr="00536287">
        <w:rPr>
          <w:rFonts w:ascii="Book Antiqua" w:hAnsi="Book Antiqua" w:cs="SimSun"/>
          <w:b/>
          <w:bCs/>
          <w:kern w:val="0"/>
          <w:sz w:val="24"/>
          <w:szCs w:val="24"/>
        </w:rPr>
        <w:t>Sagnelli E</w:t>
      </w:r>
      <w:r w:rsidRPr="00536287">
        <w:rPr>
          <w:rFonts w:ascii="Book Antiqua" w:hAnsi="Book Antiqua" w:cs="SimSun"/>
          <w:kern w:val="0"/>
          <w:sz w:val="24"/>
          <w:szCs w:val="24"/>
        </w:rPr>
        <w:t>, Stroffolini T, Sagnelli C, Smedile A, Morisco F, Furlan C, Babudieri S, Brancaccio G, Coppola N, Gaeta GB, Almasio PL. Epidemiological and clinical scenario of chronic liver diseases in Italy: Data from a multicenter nationwide survey. </w:t>
      </w:r>
      <w:r w:rsidRPr="00536287">
        <w:rPr>
          <w:rFonts w:ascii="Book Antiqua" w:hAnsi="Book Antiqua" w:cs="SimSun"/>
          <w:i/>
          <w:iCs/>
          <w:kern w:val="0"/>
          <w:sz w:val="24"/>
          <w:szCs w:val="24"/>
        </w:rPr>
        <w:t>Dig Liver Dis</w:t>
      </w:r>
      <w:r w:rsidRPr="00536287">
        <w:rPr>
          <w:rFonts w:ascii="Book Antiqua" w:hAnsi="Book Antiqua" w:cs="SimSun"/>
          <w:kern w:val="0"/>
          <w:sz w:val="24"/>
          <w:szCs w:val="24"/>
        </w:rPr>
        <w:t> 2016; </w:t>
      </w:r>
      <w:r w:rsidRPr="00536287">
        <w:rPr>
          <w:rFonts w:ascii="Book Antiqua" w:hAnsi="Book Antiqua" w:cs="SimSun"/>
          <w:b/>
          <w:bCs/>
          <w:kern w:val="0"/>
          <w:sz w:val="24"/>
          <w:szCs w:val="24"/>
        </w:rPr>
        <w:t>48</w:t>
      </w:r>
      <w:r w:rsidRPr="00536287">
        <w:rPr>
          <w:rFonts w:ascii="Book Antiqua" w:hAnsi="Book Antiqua" w:cs="SimSun"/>
          <w:kern w:val="0"/>
          <w:sz w:val="24"/>
          <w:szCs w:val="24"/>
        </w:rPr>
        <w:t>: 1066-1071 [PMID: 27291331 DOI: 10.1016/j.dld.2016.05.014]</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29 </w:t>
      </w:r>
      <w:r w:rsidRPr="00536287">
        <w:rPr>
          <w:rFonts w:ascii="Book Antiqua" w:hAnsi="Book Antiqua" w:cs="SimSun"/>
          <w:b/>
          <w:bCs/>
          <w:kern w:val="0"/>
          <w:sz w:val="24"/>
          <w:szCs w:val="24"/>
        </w:rPr>
        <w:t>Kanwar P</w:t>
      </w:r>
      <w:r w:rsidRPr="00536287">
        <w:rPr>
          <w:rFonts w:ascii="Book Antiqua" w:hAnsi="Book Antiqua" w:cs="SimSun"/>
          <w:kern w:val="0"/>
          <w:sz w:val="24"/>
          <w:szCs w:val="24"/>
        </w:rPr>
        <w:t>, Kowdley KV. The Metabolic Syndrome and Its Influence on Nonalcoholic Steatohepatitis. </w:t>
      </w:r>
      <w:r w:rsidRPr="00536287">
        <w:rPr>
          <w:rFonts w:ascii="Book Antiqua" w:hAnsi="Book Antiqua" w:cs="SimSun"/>
          <w:i/>
          <w:iCs/>
          <w:kern w:val="0"/>
          <w:sz w:val="24"/>
          <w:szCs w:val="24"/>
        </w:rPr>
        <w:t>Clin Liver Dis</w:t>
      </w:r>
      <w:r w:rsidRPr="00536287">
        <w:rPr>
          <w:rFonts w:ascii="Book Antiqua" w:hAnsi="Book Antiqua" w:cs="SimSun"/>
          <w:kern w:val="0"/>
          <w:sz w:val="24"/>
          <w:szCs w:val="24"/>
        </w:rPr>
        <w:t> 2016; </w:t>
      </w:r>
      <w:r w:rsidRPr="00536287">
        <w:rPr>
          <w:rFonts w:ascii="Book Antiqua" w:hAnsi="Book Antiqua" w:cs="SimSun"/>
          <w:b/>
          <w:bCs/>
          <w:kern w:val="0"/>
          <w:sz w:val="24"/>
          <w:szCs w:val="24"/>
        </w:rPr>
        <w:t>20</w:t>
      </w:r>
      <w:r w:rsidRPr="00536287">
        <w:rPr>
          <w:rFonts w:ascii="Book Antiqua" w:hAnsi="Book Antiqua" w:cs="SimSun"/>
          <w:kern w:val="0"/>
          <w:sz w:val="24"/>
          <w:szCs w:val="24"/>
        </w:rPr>
        <w:t>: 225-243 [PMID: 27063266 DOI: 10.1016/j.cld</w:t>
      </w:r>
      <w:r>
        <w:rPr>
          <w:rFonts w:ascii="Book Antiqua" w:hAnsi="Book Antiqua" w:cs="SimSun"/>
          <w:kern w:val="0"/>
          <w:sz w:val="24"/>
          <w:szCs w:val="24"/>
        </w:rPr>
        <w:t>]</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30 </w:t>
      </w:r>
      <w:r w:rsidRPr="00536287">
        <w:rPr>
          <w:rFonts w:ascii="Book Antiqua" w:hAnsi="Book Antiqua" w:cs="SimSun"/>
          <w:b/>
          <w:bCs/>
          <w:kern w:val="0"/>
          <w:sz w:val="24"/>
          <w:szCs w:val="24"/>
        </w:rPr>
        <w:t>Chen Y</w:t>
      </w:r>
      <w:r w:rsidRPr="00536287">
        <w:rPr>
          <w:rFonts w:ascii="Book Antiqua" w:hAnsi="Book Antiqua" w:cs="SimSun"/>
          <w:kern w:val="0"/>
          <w:sz w:val="24"/>
          <w:szCs w:val="24"/>
        </w:rPr>
        <w:t>, Mizuguchi H, Yao D, Ide M, Kuroda Y, Shigematsu Y, Yamaguchi S, Yamaguchi M, Kinoshita M, Kido H. Thermolabile phenotype of carnitine palmitoyltransferase II variations as a predisposing factor for influenza-associated encephalopathy. </w:t>
      </w:r>
      <w:r w:rsidRPr="00536287">
        <w:rPr>
          <w:rFonts w:ascii="Book Antiqua" w:hAnsi="Book Antiqua" w:cs="SimSun"/>
          <w:i/>
          <w:iCs/>
          <w:kern w:val="0"/>
          <w:sz w:val="24"/>
          <w:szCs w:val="24"/>
        </w:rPr>
        <w:t>FEBS Lett</w:t>
      </w:r>
      <w:r w:rsidRPr="00536287">
        <w:rPr>
          <w:rFonts w:ascii="Book Antiqua" w:hAnsi="Book Antiqua" w:cs="SimSun"/>
          <w:kern w:val="0"/>
          <w:sz w:val="24"/>
          <w:szCs w:val="24"/>
        </w:rPr>
        <w:t> 2005; </w:t>
      </w:r>
      <w:r w:rsidRPr="00536287">
        <w:rPr>
          <w:rFonts w:ascii="Book Antiqua" w:hAnsi="Book Antiqua" w:cs="SimSun"/>
          <w:b/>
          <w:bCs/>
          <w:kern w:val="0"/>
          <w:sz w:val="24"/>
          <w:szCs w:val="24"/>
        </w:rPr>
        <w:t>579</w:t>
      </w:r>
      <w:r w:rsidRPr="00536287">
        <w:rPr>
          <w:rFonts w:ascii="Book Antiqua" w:hAnsi="Book Antiqua" w:cs="SimSun"/>
          <w:kern w:val="0"/>
          <w:sz w:val="24"/>
          <w:szCs w:val="24"/>
        </w:rPr>
        <w:t>: 2040-2044 [PMID: 15811315 DOI: 10.1016/j.febslet</w:t>
      </w:r>
      <w:r>
        <w:rPr>
          <w:rFonts w:ascii="Book Antiqua" w:hAnsi="Book Antiqua" w:cs="SimSun"/>
          <w:kern w:val="0"/>
          <w:sz w:val="24"/>
          <w:szCs w:val="24"/>
        </w:rPr>
        <w:t>]</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31 </w:t>
      </w:r>
      <w:r w:rsidRPr="00536287">
        <w:rPr>
          <w:rFonts w:ascii="Book Antiqua" w:hAnsi="Book Antiqua" w:cs="SimSun"/>
          <w:b/>
          <w:bCs/>
          <w:kern w:val="0"/>
          <w:sz w:val="24"/>
          <w:szCs w:val="24"/>
        </w:rPr>
        <w:t>Knapp AC</w:t>
      </w:r>
      <w:r w:rsidRPr="00536287">
        <w:rPr>
          <w:rFonts w:ascii="Book Antiqua" w:hAnsi="Book Antiqua" w:cs="SimSun"/>
          <w:kern w:val="0"/>
          <w:sz w:val="24"/>
          <w:szCs w:val="24"/>
        </w:rPr>
        <w:t>, Todesco L, Torok M, Beier K, Krähenbühl S. Effect of carnitine deprivation on carnitine homeostasis and energy metabolism in mice with systemic carnitine deficiency. </w:t>
      </w:r>
      <w:r w:rsidRPr="00536287">
        <w:rPr>
          <w:rFonts w:ascii="Book Antiqua" w:hAnsi="Book Antiqua" w:cs="SimSun"/>
          <w:i/>
          <w:iCs/>
          <w:kern w:val="0"/>
          <w:sz w:val="24"/>
          <w:szCs w:val="24"/>
        </w:rPr>
        <w:t>Ann Nutr Metab</w:t>
      </w:r>
      <w:r w:rsidRPr="00536287">
        <w:rPr>
          <w:rFonts w:ascii="Book Antiqua" w:hAnsi="Book Antiqua" w:cs="SimSun"/>
          <w:kern w:val="0"/>
          <w:sz w:val="24"/>
          <w:szCs w:val="24"/>
        </w:rPr>
        <w:t> 2008; </w:t>
      </w:r>
      <w:r w:rsidRPr="00536287">
        <w:rPr>
          <w:rFonts w:ascii="Book Antiqua" w:hAnsi="Book Antiqua" w:cs="SimSun"/>
          <w:b/>
          <w:bCs/>
          <w:kern w:val="0"/>
          <w:sz w:val="24"/>
          <w:szCs w:val="24"/>
        </w:rPr>
        <w:t>52</w:t>
      </w:r>
      <w:r w:rsidRPr="00536287">
        <w:rPr>
          <w:rFonts w:ascii="Book Antiqua" w:hAnsi="Book Antiqua" w:cs="SimSun"/>
          <w:kern w:val="0"/>
          <w:sz w:val="24"/>
          <w:szCs w:val="24"/>
        </w:rPr>
        <w:t>: 136-144 [PMID: 18417958 DOI: 10.1159/</w:t>
      </w:r>
      <w:r w:rsidRPr="00705846">
        <w:rPr>
          <w:rFonts w:ascii="Book Antiqua" w:hAnsi="Book Antiqua" w:cs="Times New Roman"/>
          <w:sz w:val="24"/>
          <w:szCs w:val="24"/>
        </w:rPr>
        <w:t>000127390</w:t>
      </w:r>
      <w:r w:rsidRPr="00536287">
        <w:rPr>
          <w:rFonts w:ascii="Book Antiqua" w:hAnsi="Book Antiqua" w:cs="SimSun"/>
          <w:kern w:val="0"/>
          <w:sz w:val="24"/>
          <w:szCs w:val="24"/>
        </w:rPr>
        <w:t>]</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lastRenderedPageBreak/>
        <w:t>32 </w:t>
      </w:r>
      <w:r w:rsidRPr="00536287">
        <w:rPr>
          <w:rFonts w:ascii="Book Antiqua" w:hAnsi="Book Antiqua" w:cs="SimSun"/>
          <w:b/>
          <w:bCs/>
          <w:kern w:val="0"/>
          <w:sz w:val="24"/>
          <w:szCs w:val="24"/>
        </w:rPr>
        <w:t>Stickel F</w:t>
      </w:r>
      <w:r w:rsidRPr="00536287">
        <w:rPr>
          <w:rFonts w:ascii="Book Antiqua" w:hAnsi="Book Antiqua" w:cs="SimSun"/>
          <w:kern w:val="0"/>
          <w:sz w:val="24"/>
          <w:szCs w:val="24"/>
        </w:rPr>
        <w:t>, Hellerbrand C. Non-alcoholic fatty liver disease as a risk factor for hepatocellular carcinoma: mechanisms and implications. </w:t>
      </w:r>
      <w:r w:rsidRPr="00536287">
        <w:rPr>
          <w:rFonts w:ascii="Book Antiqua" w:hAnsi="Book Antiqua" w:cs="SimSun"/>
          <w:i/>
          <w:iCs/>
          <w:kern w:val="0"/>
          <w:sz w:val="24"/>
          <w:szCs w:val="24"/>
        </w:rPr>
        <w:t>Gut</w:t>
      </w:r>
      <w:r w:rsidRPr="00536287">
        <w:rPr>
          <w:rFonts w:ascii="Book Antiqua" w:hAnsi="Book Antiqua" w:cs="SimSun"/>
          <w:kern w:val="0"/>
          <w:sz w:val="24"/>
          <w:szCs w:val="24"/>
        </w:rPr>
        <w:t> 2010; </w:t>
      </w:r>
      <w:r w:rsidRPr="00536287">
        <w:rPr>
          <w:rFonts w:ascii="Book Antiqua" w:hAnsi="Book Antiqua" w:cs="SimSun"/>
          <w:b/>
          <w:bCs/>
          <w:kern w:val="0"/>
          <w:sz w:val="24"/>
          <w:szCs w:val="24"/>
        </w:rPr>
        <w:t>59</w:t>
      </w:r>
      <w:r w:rsidRPr="00536287">
        <w:rPr>
          <w:rFonts w:ascii="Book Antiqua" w:hAnsi="Book Antiqua" w:cs="SimSun"/>
          <w:kern w:val="0"/>
          <w:sz w:val="24"/>
          <w:szCs w:val="24"/>
        </w:rPr>
        <w:t>: 1303-1307 [PMID: 20650925 DOI: 10.1136/gut.2009.199661]</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33 </w:t>
      </w:r>
      <w:r w:rsidRPr="00536287">
        <w:rPr>
          <w:rFonts w:ascii="Book Antiqua" w:hAnsi="Book Antiqua" w:cs="SimSun"/>
          <w:b/>
          <w:bCs/>
          <w:kern w:val="0"/>
          <w:sz w:val="24"/>
          <w:szCs w:val="24"/>
        </w:rPr>
        <w:t>Asgharpour A</w:t>
      </w:r>
      <w:r w:rsidRPr="00536287">
        <w:rPr>
          <w:rFonts w:ascii="Book Antiqua" w:hAnsi="Book Antiqua" w:cs="SimSun"/>
          <w:kern w:val="0"/>
          <w:sz w:val="24"/>
          <w:szCs w:val="24"/>
        </w:rPr>
        <w:t>, Cazanave SC, Pacana T, Seneshaw M, Vincent R, Banini BA, Kumar DP, Daita K, Min HK, Mirshahi F, Bedossa P, Sun X, Hoshida Y, Koduru SV, Contaifer D, Warncke UO, Wijesinghe DS, Sanyal AJ. A diet-induced animal model of non-alcoholic fatty liver disease and hepatocellular cancer. </w:t>
      </w:r>
      <w:r w:rsidRPr="00536287">
        <w:rPr>
          <w:rFonts w:ascii="Book Antiqua" w:hAnsi="Book Antiqua" w:cs="SimSun"/>
          <w:i/>
          <w:iCs/>
          <w:kern w:val="0"/>
          <w:sz w:val="24"/>
          <w:szCs w:val="24"/>
        </w:rPr>
        <w:t>J Hepatol</w:t>
      </w:r>
      <w:r w:rsidRPr="00536287">
        <w:rPr>
          <w:rFonts w:ascii="Book Antiqua" w:hAnsi="Book Antiqua" w:cs="SimSun"/>
          <w:kern w:val="0"/>
          <w:sz w:val="24"/>
          <w:szCs w:val="24"/>
        </w:rPr>
        <w:t> 2016; </w:t>
      </w:r>
      <w:r w:rsidRPr="00536287">
        <w:rPr>
          <w:rFonts w:ascii="Book Antiqua" w:hAnsi="Book Antiqua" w:cs="SimSun"/>
          <w:b/>
          <w:bCs/>
          <w:kern w:val="0"/>
          <w:sz w:val="24"/>
          <w:szCs w:val="24"/>
        </w:rPr>
        <w:t>65</w:t>
      </w:r>
      <w:r w:rsidRPr="00536287">
        <w:rPr>
          <w:rFonts w:ascii="Book Antiqua" w:hAnsi="Book Antiqua" w:cs="SimSun"/>
          <w:kern w:val="0"/>
          <w:sz w:val="24"/>
          <w:szCs w:val="24"/>
        </w:rPr>
        <w:t>: 579-588 [PMID: 27261415 DOI: 10.1016/j.jhep.2016.05.005]</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34 </w:t>
      </w:r>
      <w:r w:rsidRPr="00536287">
        <w:rPr>
          <w:rFonts w:ascii="Book Antiqua" w:hAnsi="Book Antiqua" w:cs="SimSun"/>
          <w:b/>
          <w:bCs/>
          <w:kern w:val="0"/>
          <w:sz w:val="24"/>
          <w:szCs w:val="24"/>
        </w:rPr>
        <w:t>Berlanga A</w:t>
      </w:r>
      <w:r w:rsidRPr="00536287">
        <w:rPr>
          <w:rFonts w:ascii="Book Antiqua" w:hAnsi="Book Antiqua" w:cs="SimSun"/>
          <w:kern w:val="0"/>
          <w:sz w:val="24"/>
          <w:szCs w:val="24"/>
        </w:rPr>
        <w:t>, Guiu-Jurado E, Porras JA, Auguet T. Molecular pathways in non-alcoholic fatty liver disease. </w:t>
      </w:r>
      <w:r w:rsidRPr="00536287">
        <w:rPr>
          <w:rFonts w:ascii="Book Antiqua" w:hAnsi="Book Antiqua" w:cs="SimSun"/>
          <w:i/>
          <w:iCs/>
          <w:kern w:val="0"/>
          <w:sz w:val="24"/>
          <w:szCs w:val="24"/>
        </w:rPr>
        <w:t>Clin Exp Gastroenterol</w:t>
      </w:r>
      <w:r w:rsidRPr="00536287">
        <w:rPr>
          <w:rFonts w:ascii="Book Antiqua" w:hAnsi="Book Antiqua" w:cs="SimSun"/>
          <w:kern w:val="0"/>
          <w:sz w:val="24"/>
          <w:szCs w:val="24"/>
        </w:rPr>
        <w:t> 2014; </w:t>
      </w:r>
      <w:r w:rsidRPr="00536287">
        <w:rPr>
          <w:rFonts w:ascii="Book Antiqua" w:hAnsi="Book Antiqua" w:cs="SimSun"/>
          <w:b/>
          <w:bCs/>
          <w:kern w:val="0"/>
          <w:sz w:val="24"/>
          <w:szCs w:val="24"/>
        </w:rPr>
        <w:t>7</w:t>
      </w:r>
      <w:r w:rsidRPr="00536287">
        <w:rPr>
          <w:rFonts w:ascii="Book Antiqua" w:hAnsi="Book Antiqua" w:cs="SimSun"/>
          <w:kern w:val="0"/>
          <w:sz w:val="24"/>
          <w:szCs w:val="24"/>
        </w:rPr>
        <w:t>: 221-239 [PMID: 25045276 DOI:</w:t>
      </w:r>
      <w:r w:rsidRPr="00536287">
        <w:rPr>
          <w:rFonts w:ascii="Book Antiqua" w:hAnsi="Book Antiqua" w:cs="Times New Roman"/>
          <w:sz w:val="24"/>
          <w:szCs w:val="24"/>
        </w:rPr>
        <w:t xml:space="preserve"> </w:t>
      </w:r>
      <w:r>
        <w:rPr>
          <w:rFonts w:ascii="Book Antiqua" w:hAnsi="Book Antiqua" w:cs="Times New Roman"/>
          <w:sz w:val="24"/>
          <w:szCs w:val="24"/>
        </w:rPr>
        <w:t>10.</w:t>
      </w:r>
      <w:r w:rsidRPr="00705846">
        <w:rPr>
          <w:rFonts w:ascii="Book Antiqua" w:hAnsi="Book Antiqua" w:cs="Times New Roman"/>
          <w:sz w:val="24"/>
          <w:szCs w:val="24"/>
        </w:rPr>
        <w:t>2147/CEG.S62831</w:t>
      </w:r>
      <w:r>
        <w:rPr>
          <w:rFonts w:ascii="Book Antiqua" w:hAnsi="Book Antiqua" w:cs="SimSun"/>
          <w:kern w:val="0"/>
          <w:sz w:val="24"/>
          <w:szCs w:val="24"/>
        </w:rPr>
        <w:t>]</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35 </w:t>
      </w:r>
      <w:r w:rsidRPr="00536287">
        <w:rPr>
          <w:rFonts w:ascii="Book Antiqua" w:hAnsi="Book Antiqua" w:cs="SimSun"/>
          <w:b/>
          <w:bCs/>
          <w:kern w:val="0"/>
          <w:sz w:val="24"/>
          <w:szCs w:val="24"/>
        </w:rPr>
        <w:t>Streba LA</w:t>
      </w:r>
      <w:r w:rsidRPr="00536287">
        <w:rPr>
          <w:rFonts w:ascii="Book Antiqua" w:hAnsi="Book Antiqua" w:cs="SimSun"/>
          <w:kern w:val="0"/>
          <w:sz w:val="24"/>
          <w:szCs w:val="24"/>
        </w:rPr>
        <w:t>, Vere CC, Rogoveanu I, Streba CT. Nonalcoholic fatty liver disease, metabolic risk factors, and hepatocellular carcinoma: an open question. </w:t>
      </w:r>
      <w:r w:rsidRPr="00536287">
        <w:rPr>
          <w:rFonts w:ascii="Book Antiqua" w:hAnsi="Book Antiqua" w:cs="SimSun"/>
          <w:i/>
          <w:iCs/>
          <w:kern w:val="0"/>
          <w:sz w:val="24"/>
          <w:szCs w:val="24"/>
        </w:rPr>
        <w:t>World J Gastroenterol</w:t>
      </w:r>
      <w:r w:rsidRPr="00536287">
        <w:rPr>
          <w:rFonts w:ascii="Book Antiqua" w:hAnsi="Book Antiqua" w:cs="SimSun"/>
          <w:kern w:val="0"/>
          <w:sz w:val="24"/>
          <w:szCs w:val="24"/>
        </w:rPr>
        <w:t> 2015; </w:t>
      </w:r>
      <w:r w:rsidRPr="00536287">
        <w:rPr>
          <w:rFonts w:ascii="Book Antiqua" w:hAnsi="Book Antiqua" w:cs="SimSun"/>
          <w:b/>
          <w:bCs/>
          <w:kern w:val="0"/>
          <w:sz w:val="24"/>
          <w:szCs w:val="24"/>
        </w:rPr>
        <w:t>21</w:t>
      </w:r>
      <w:r w:rsidRPr="00536287">
        <w:rPr>
          <w:rFonts w:ascii="Book Antiqua" w:hAnsi="Book Antiqua" w:cs="SimSun"/>
          <w:kern w:val="0"/>
          <w:sz w:val="24"/>
          <w:szCs w:val="24"/>
        </w:rPr>
        <w:t>: 4103-4110 [PMID: 25892859 DOI: 10.3748/wjg.v21.i14.4103]</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36 </w:t>
      </w:r>
      <w:r w:rsidRPr="00536287">
        <w:rPr>
          <w:rFonts w:ascii="Book Antiqua" w:hAnsi="Book Antiqua" w:cs="SimSun"/>
          <w:b/>
          <w:bCs/>
          <w:kern w:val="0"/>
          <w:sz w:val="24"/>
          <w:szCs w:val="24"/>
        </w:rPr>
        <w:t>Wu XH</w:t>
      </w:r>
      <w:r w:rsidRPr="00536287">
        <w:rPr>
          <w:rFonts w:ascii="Book Antiqua" w:hAnsi="Book Antiqua" w:cs="SimSun"/>
          <w:kern w:val="0"/>
          <w:sz w:val="24"/>
          <w:szCs w:val="24"/>
        </w:rPr>
        <w:t>, Yao DF, Su XQ, Tai BJ, Huang H, Qiu LW, Wu W, Shao YX. Dynamic expression of rat heat shock protein gp96 and its gene during development of hepatocellular carcinoma. </w:t>
      </w:r>
      <w:r w:rsidRPr="00536287">
        <w:rPr>
          <w:rFonts w:ascii="Book Antiqua" w:hAnsi="Book Antiqua" w:cs="SimSun"/>
          <w:i/>
          <w:iCs/>
          <w:kern w:val="0"/>
          <w:sz w:val="24"/>
          <w:szCs w:val="24"/>
        </w:rPr>
        <w:t>Hepatobiliary Pancreat Dis Int</w:t>
      </w:r>
      <w:r w:rsidRPr="00536287">
        <w:rPr>
          <w:rFonts w:ascii="Book Antiqua" w:hAnsi="Book Antiqua" w:cs="SimSun"/>
          <w:kern w:val="0"/>
          <w:sz w:val="24"/>
          <w:szCs w:val="24"/>
        </w:rPr>
        <w:t> 2007; </w:t>
      </w:r>
      <w:r w:rsidRPr="00536287">
        <w:rPr>
          <w:rFonts w:ascii="Book Antiqua" w:hAnsi="Book Antiqua" w:cs="SimSun"/>
          <w:b/>
          <w:bCs/>
          <w:kern w:val="0"/>
          <w:sz w:val="24"/>
          <w:szCs w:val="24"/>
        </w:rPr>
        <w:t>6</w:t>
      </w:r>
      <w:r w:rsidRPr="00536287">
        <w:rPr>
          <w:rFonts w:ascii="Book Antiqua" w:hAnsi="Book Antiqua" w:cs="SimSun"/>
          <w:kern w:val="0"/>
          <w:sz w:val="24"/>
          <w:szCs w:val="24"/>
        </w:rPr>
        <w:t>: 616-621 [PMID: 18086628]</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37 </w:t>
      </w:r>
      <w:r w:rsidRPr="00536287">
        <w:rPr>
          <w:rFonts w:ascii="Book Antiqua" w:hAnsi="Book Antiqua" w:cs="SimSun"/>
          <w:b/>
          <w:bCs/>
          <w:kern w:val="0"/>
          <w:sz w:val="24"/>
          <w:szCs w:val="24"/>
        </w:rPr>
        <w:t>Jin J</w:t>
      </w:r>
      <w:r w:rsidRPr="00536287">
        <w:rPr>
          <w:rFonts w:ascii="Book Antiqua" w:hAnsi="Book Antiqua" w:cs="SimSun"/>
          <w:kern w:val="0"/>
          <w:sz w:val="24"/>
          <w:szCs w:val="24"/>
        </w:rPr>
        <w:t>, Valanejad L, Nguyen TP, Lewis K, Wright M, Cast A, Stock L, Timchenko L, Timchenko NA. Activation of CDK4 Triggers Development of Non-alcoholic Fatty Liver Disease. </w:t>
      </w:r>
      <w:r w:rsidRPr="00536287">
        <w:rPr>
          <w:rFonts w:ascii="Book Antiqua" w:hAnsi="Book Antiqua" w:cs="SimSun"/>
          <w:i/>
          <w:iCs/>
          <w:kern w:val="0"/>
          <w:sz w:val="24"/>
          <w:szCs w:val="24"/>
        </w:rPr>
        <w:t>Cell Rep</w:t>
      </w:r>
      <w:r w:rsidRPr="00536287">
        <w:rPr>
          <w:rFonts w:ascii="Book Antiqua" w:hAnsi="Book Antiqua" w:cs="SimSun"/>
          <w:kern w:val="0"/>
          <w:sz w:val="24"/>
          <w:szCs w:val="24"/>
        </w:rPr>
        <w:t> 2016; </w:t>
      </w:r>
      <w:r w:rsidRPr="00536287">
        <w:rPr>
          <w:rFonts w:ascii="Book Antiqua" w:hAnsi="Book Antiqua" w:cs="SimSun"/>
          <w:b/>
          <w:bCs/>
          <w:kern w:val="0"/>
          <w:sz w:val="24"/>
          <w:szCs w:val="24"/>
        </w:rPr>
        <w:t>16</w:t>
      </w:r>
      <w:r w:rsidRPr="00536287">
        <w:rPr>
          <w:rFonts w:ascii="Book Antiqua" w:hAnsi="Book Antiqua" w:cs="SimSun"/>
          <w:kern w:val="0"/>
          <w:sz w:val="24"/>
          <w:szCs w:val="24"/>
        </w:rPr>
        <w:t>: 744-756 [PMID: 27373160 DOI: 10.1016/j.celrep</w:t>
      </w:r>
      <w:r>
        <w:rPr>
          <w:rFonts w:ascii="Book Antiqua" w:hAnsi="Book Antiqua" w:cs="SimSun"/>
          <w:kern w:val="0"/>
          <w:sz w:val="24"/>
          <w:szCs w:val="24"/>
        </w:rPr>
        <w:t>]</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38 </w:t>
      </w:r>
      <w:r w:rsidRPr="00536287">
        <w:rPr>
          <w:rFonts w:ascii="Book Antiqua" w:hAnsi="Book Antiqua" w:cs="SimSun"/>
          <w:b/>
          <w:bCs/>
          <w:kern w:val="0"/>
          <w:sz w:val="24"/>
          <w:szCs w:val="24"/>
        </w:rPr>
        <w:t>Kolly P</w:t>
      </w:r>
      <w:r w:rsidRPr="00536287">
        <w:rPr>
          <w:rFonts w:ascii="Book Antiqua" w:hAnsi="Book Antiqua" w:cs="SimSun"/>
          <w:kern w:val="0"/>
          <w:sz w:val="24"/>
          <w:szCs w:val="24"/>
        </w:rPr>
        <w:t>, Dufour JF. Surveillance for Hepatocellular Carcinoma in Patients with NASH. </w:t>
      </w:r>
      <w:r w:rsidRPr="00536287">
        <w:rPr>
          <w:rFonts w:ascii="Book Antiqua" w:hAnsi="Book Antiqua" w:cs="SimSun"/>
          <w:i/>
          <w:iCs/>
          <w:kern w:val="0"/>
          <w:sz w:val="24"/>
          <w:szCs w:val="24"/>
        </w:rPr>
        <w:t xml:space="preserve">Diagnostics </w:t>
      </w:r>
      <w:r w:rsidRPr="00536287">
        <w:rPr>
          <w:rFonts w:ascii="Book Antiqua" w:hAnsi="Book Antiqua" w:cs="SimSun"/>
          <w:iCs/>
          <w:kern w:val="0"/>
          <w:sz w:val="24"/>
          <w:szCs w:val="24"/>
        </w:rPr>
        <w:t>(Basel)</w:t>
      </w:r>
      <w:r w:rsidRPr="00536287">
        <w:rPr>
          <w:rFonts w:ascii="Book Antiqua" w:hAnsi="Book Antiqua" w:cs="SimSun"/>
          <w:kern w:val="0"/>
          <w:sz w:val="24"/>
          <w:szCs w:val="24"/>
        </w:rPr>
        <w:t> 2016; </w:t>
      </w:r>
      <w:r w:rsidRPr="00536287">
        <w:rPr>
          <w:rFonts w:ascii="Book Antiqua" w:hAnsi="Book Antiqua" w:cs="SimSun"/>
          <w:b/>
          <w:bCs/>
          <w:kern w:val="0"/>
          <w:sz w:val="24"/>
          <w:szCs w:val="24"/>
        </w:rPr>
        <w:t>6</w:t>
      </w:r>
      <w:r w:rsidRPr="00536287">
        <w:rPr>
          <w:rFonts w:ascii="Book Antiqua" w:hAnsi="Book Antiqua" w:cs="SimSun"/>
          <w:kern w:val="0"/>
          <w:sz w:val="24"/>
          <w:szCs w:val="24"/>
        </w:rPr>
        <w:t>: [PMID: 27338480 DOI: 10.3390/diagnostics]</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39 </w:t>
      </w:r>
      <w:r w:rsidRPr="00536287">
        <w:rPr>
          <w:rFonts w:ascii="Book Antiqua" w:hAnsi="Book Antiqua" w:cs="SimSun"/>
          <w:b/>
          <w:bCs/>
          <w:kern w:val="0"/>
          <w:sz w:val="24"/>
          <w:szCs w:val="24"/>
        </w:rPr>
        <w:t>Cotrim HP</w:t>
      </w:r>
      <w:r w:rsidRPr="00536287">
        <w:rPr>
          <w:rFonts w:ascii="Book Antiqua" w:hAnsi="Book Antiqua" w:cs="SimSun"/>
          <w:kern w:val="0"/>
          <w:sz w:val="24"/>
          <w:szCs w:val="24"/>
        </w:rPr>
        <w:t xml:space="preserve">, Oliveira CP, Coelho HS, Alvares-da-Silva MR, Nabuco L, Parise ER, Ivantes C, Martinelli AL, Galizzi-Filho J, Carrilho FJ. Nonalcoholic </w:t>
      </w:r>
      <w:r w:rsidRPr="00536287">
        <w:rPr>
          <w:rFonts w:ascii="Book Antiqua" w:hAnsi="Book Antiqua" w:cs="SimSun"/>
          <w:kern w:val="0"/>
          <w:sz w:val="24"/>
          <w:szCs w:val="24"/>
        </w:rPr>
        <w:lastRenderedPageBreak/>
        <w:t>steatohepatitis and hepatocellular carcinoma: Brazilian survey. </w:t>
      </w:r>
      <w:r w:rsidRPr="00536287">
        <w:rPr>
          <w:rFonts w:ascii="Book Antiqua" w:hAnsi="Book Antiqua" w:cs="SimSun"/>
          <w:i/>
          <w:iCs/>
          <w:kern w:val="0"/>
          <w:sz w:val="24"/>
          <w:szCs w:val="24"/>
        </w:rPr>
        <w:t>Clinics (Sao Paulo)</w:t>
      </w:r>
      <w:r w:rsidRPr="00536287">
        <w:rPr>
          <w:rFonts w:ascii="Book Antiqua" w:hAnsi="Book Antiqua" w:cs="SimSun"/>
          <w:kern w:val="0"/>
          <w:sz w:val="24"/>
          <w:szCs w:val="24"/>
        </w:rPr>
        <w:t> 2016; </w:t>
      </w:r>
      <w:r w:rsidRPr="00536287">
        <w:rPr>
          <w:rFonts w:ascii="Book Antiqua" w:hAnsi="Book Antiqua" w:cs="SimSun"/>
          <w:b/>
          <w:bCs/>
          <w:kern w:val="0"/>
          <w:sz w:val="24"/>
          <w:szCs w:val="24"/>
        </w:rPr>
        <w:t>71</w:t>
      </w:r>
      <w:r w:rsidRPr="00536287">
        <w:rPr>
          <w:rFonts w:ascii="Book Antiqua" w:hAnsi="Book Antiqua" w:cs="SimSun"/>
          <w:kern w:val="0"/>
          <w:sz w:val="24"/>
          <w:szCs w:val="24"/>
        </w:rPr>
        <w:t>: 281-284 [PMID: 27276398 DOI: 10.6061/clinics/2016(05)07]</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40 </w:t>
      </w:r>
      <w:r w:rsidRPr="00536287">
        <w:rPr>
          <w:rFonts w:ascii="Book Antiqua" w:hAnsi="Book Antiqua" w:cs="SimSun"/>
          <w:b/>
          <w:bCs/>
          <w:kern w:val="0"/>
          <w:sz w:val="24"/>
          <w:szCs w:val="24"/>
        </w:rPr>
        <w:t>Raff EJ</w:t>
      </w:r>
      <w:r w:rsidRPr="00536287">
        <w:rPr>
          <w:rFonts w:ascii="Book Antiqua" w:hAnsi="Book Antiqua" w:cs="SimSun"/>
          <w:kern w:val="0"/>
          <w:sz w:val="24"/>
          <w:szCs w:val="24"/>
        </w:rPr>
        <w:t>, Kakati D, Bloomer JR, Shoreibah M, Rasheed K, Singal AK. Diabetes Mellitus Predicts Occurrence of Cirrhosis and Hepatocellular Cancer in Alcoholic Liver and Non-alcoholic Fatty Liver Diseases. </w:t>
      </w:r>
      <w:r w:rsidRPr="00536287">
        <w:rPr>
          <w:rFonts w:ascii="Book Antiqua" w:hAnsi="Book Antiqua" w:cs="SimSun"/>
          <w:i/>
          <w:iCs/>
          <w:kern w:val="0"/>
          <w:sz w:val="24"/>
          <w:szCs w:val="24"/>
        </w:rPr>
        <w:t>J Clin Transl Hepatol</w:t>
      </w:r>
      <w:r w:rsidRPr="00536287">
        <w:rPr>
          <w:rFonts w:ascii="Book Antiqua" w:hAnsi="Book Antiqua" w:cs="SimSun"/>
          <w:kern w:val="0"/>
          <w:sz w:val="24"/>
          <w:szCs w:val="24"/>
        </w:rPr>
        <w:t> 2015; </w:t>
      </w:r>
      <w:r w:rsidRPr="00536287">
        <w:rPr>
          <w:rFonts w:ascii="Book Antiqua" w:hAnsi="Book Antiqua" w:cs="SimSun"/>
          <w:b/>
          <w:bCs/>
          <w:kern w:val="0"/>
          <w:sz w:val="24"/>
          <w:szCs w:val="24"/>
        </w:rPr>
        <w:t>3</w:t>
      </w:r>
      <w:r w:rsidRPr="00536287">
        <w:rPr>
          <w:rFonts w:ascii="Book Antiqua" w:hAnsi="Book Antiqua" w:cs="SimSun"/>
          <w:kern w:val="0"/>
          <w:sz w:val="24"/>
          <w:szCs w:val="24"/>
        </w:rPr>
        <w:t>: 9-16 [PMID: 26356325 DOI: 10.14218/JCTH.2015.00001]</w:t>
      </w:r>
    </w:p>
    <w:p w:rsidR="00B33D71" w:rsidRPr="00536287"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41 </w:t>
      </w:r>
      <w:r w:rsidRPr="00536287">
        <w:rPr>
          <w:rFonts w:ascii="Book Antiqua" w:hAnsi="Book Antiqua" w:cs="SimSun"/>
          <w:b/>
          <w:bCs/>
          <w:kern w:val="0"/>
          <w:sz w:val="24"/>
          <w:szCs w:val="24"/>
        </w:rPr>
        <w:t>Font-Burgada J</w:t>
      </w:r>
      <w:r w:rsidRPr="00536287">
        <w:rPr>
          <w:rFonts w:ascii="Book Antiqua" w:hAnsi="Book Antiqua" w:cs="SimSun"/>
          <w:kern w:val="0"/>
          <w:sz w:val="24"/>
          <w:szCs w:val="24"/>
        </w:rPr>
        <w:t>, Sun B, Karin M. Obesity and Cancer: The Oil that Feeds the Flame. </w:t>
      </w:r>
      <w:r w:rsidRPr="00536287">
        <w:rPr>
          <w:rFonts w:ascii="Book Antiqua" w:hAnsi="Book Antiqua" w:cs="SimSun"/>
          <w:i/>
          <w:iCs/>
          <w:kern w:val="0"/>
          <w:sz w:val="24"/>
          <w:szCs w:val="24"/>
        </w:rPr>
        <w:t>Cell Metab</w:t>
      </w:r>
      <w:r w:rsidRPr="00536287">
        <w:rPr>
          <w:rFonts w:ascii="Book Antiqua" w:hAnsi="Book Antiqua" w:cs="SimSun"/>
          <w:kern w:val="0"/>
          <w:sz w:val="24"/>
          <w:szCs w:val="24"/>
        </w:rPr>
        <w:t> 2016; </w:t>
      </w:r>
      <w:r w:rsidRPr="00536287">
        <w:rPr>
          <w:rFonts w:ascii="Book Antiqua" w:hAnsi="Book Antiqua" w:cs="SimSun"/>
          <w:b/>
          <w:bCs/>
          <w:kern w:val="0"/>
          <w:sz w:val="24"/>
          <w:szCs w:val="24"/>
        </w:rPr>
        <w:t>23</w:t>
      </w:r>
      <w:r w:rsidRPr="00536287">
        <w:rPr>
          <w:rFonts w:ascii="Book Antiqua" w:hAnsi="Book Antiqua" w:cs="SimSun"/>
          <w:kern w:val="0"/>
          <w:sz w:val="24"/>
          <w:szCs w:val="24"/>
        </w:rPr>
        <w:t>: 48-62 [PMID: 26771116 DOI: 10.1016/j.cmet</w:t>
      </w:r>
      <w:r>
        <w:rPr>
          <w:rFonts w:ascii="Book Antiqua" w:hAnsi="Book Antiqua" w:cs="SimSun"/>
          <w:kern w:val="0"/>
          <w:sz w:val="24"/>
          <w:szCs w:val="24"/>
        </w:rPr>
        <w:t>]</w:t>
      </w:r>
    </w:p>
    <w:p w:rsidR="00341958" w:rsidRDefault="00B33D71" w:rsidP="00B33D71">
      <w:pPr>
        <w:widowControl/>
        <w:spacing w:line="360" w:lineRule="auto"/>
        <w:rPr>
          <w:rFonts w:ascii="Book Antiqua" w:hAnsi="Book Antiqua" w:cs="SimSun"/>
          <w:kern w:val="0"/>
          <w:sz w:val="24"/>
          <w:szCs w:val="24"/>
        </w:rPr>
      </w:pPr>
      <w:r w:rsidRPr="00536287">
        <w:rPr>
          <w:rFonts w:ascii="Book Antiqua" w:hAnsi="Book Antiqua" w:cs="SimSun"/>
          <w:kern w:val="0"/>
          <w:sz w:val="24"/>
          <w:szCs w:val="24"/>
        </w:rPr>
        <w:t>42 </w:t>
      </w:r>
      <w:r w:rsidRPr="00536287">
        <w:rPr>
          <w:rFonts w:ascii="Book Antiqua" w:hAnsi="Book Antiqua" w:cs="SimSun"/>
          <w:b/>
          <w:bCs/>
          <w:kern w:val="0"/>
          <w:sz w:val="24"/>
          <w:szCs w:val="24"/>
        </w:rPr>
        <w:t>Oda K</w:t>
      </w:r>
      <w:r w:rsidRPr="00536287">
        <w:rPr>
          <w:rFonts w:ascii="Book Antiqua" w:hAnsi="Book Antiqua" w:cs="SimSun"/>
          <w:kern w:val="0"/>
          <w:sz w:val="24"/>
          <w:szCs w:val="24"/>
        </w:rPr>
        <w:t>, Uto H, Mawatari S, Ido A. Clinical features of hepatocellular carcinoma associated with nonalcoholic fatty liver disease: a review of human studies. </w:t>
      </w:r>
      <w:r w:rsidRPr="00536287">
        <w:rPr>
          <w:rFonts w:ascii="Book Antiqua" w:hAnsi="Book Antiqua" w:cs="SimSun"/>
          <w:i/>
          <w:iCs/>
          <w:kern w:val="0"/>
          <w:sz w:val="24"/>
          <w:szCs w:val="24"/>
        </w:rPr>
        <w:t>Clin J Gastroenterol</w:t>
      </w:r>
      <w:r w:rsidRPr="00536287">
        <w:rPr>
          <w:rFonts w:ascii="Book Antiqua" w:hAnsi="Book Antiqua" w:cs="SimSun"/>
          <w:kern w:val="0"/>
          <w:sz w:val="24"/>
          <w:szCs w:val="24"/>
        </w:rPr>
        <w:t> 2015; </w:t>
      </w:r>
      <w:r w:rsidRPr="00536287">
        <w:rPr>
          <w:rFonts w:ascii="Book Antiqua" w:hAnsi="Book Antiqua" w:cs="SimSun"/>
          <w:b/>
          <w:bCs/>
          <w:kern w:val="0"/>
          <w:sz w:val="24"/>
          <w:szCs w:val="24"/>
        </w:rPr>
        <w:t>8</w:t>
      </w:r>
      <w:r w:rsidRPr="00536287">
        <w:rPr>
          <w:rFonts w:ascii="Book Antiqua" w:hAnsi="Book Antiqua" w:cs="SimSun"/>
          <w:kern w:val="0"/>
          <w:sz w:val="24"/>
          <w:szCs w:val="24"/>
        </w:rPr>
        <w:t>: 1-9 [PMID: 25575848 DOI: 10.1007/s12328-014-0548-5]</w:t>
      </w:r>
    </w:p>
    <w:p w:rsidR="00B33D71" w:rsidRPr="00B33D71" w:rsidRDefault="00B33D71" w:rsidP="00B33D71">
      <w:pPr>
        <w:widowControl/>
        <w:spacing w:line="360" w:lineRule="auto"/>
        <w:rPr>
          <w:rFonts w:ascii="Book Antiqua" w:hAnsi="Book Antiqua" w:cs="SimSun"/>
          <w:kern w:val="0"/>
          <w:sz w:val="24"/>
          <w:szCs w:val="24"/>
        </w:rPr>
      </w:pPr>
    </w:p>
    <w:p w:rsidR="00D1335F" w:rsidRPr="008E0A88" w:rsidRDefault="00D1335F" w:rsidP="00D1335F">
      <w:pPr>
        <w:pStyle w:val="ListParagraph"/>
        <w:spacing w:line="360" w:lineRule="auto"/>
        <w:ind w:right="120" w:firstLineChars="0" w:firstLine="0"/>
        <w:rPr>
          <w:rFonts w:ascii="Book Antiqua" w:eastAsia="SimSun" w:hAnsi="Book Antiqua"/>
          <w:b/>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hAnsi="Book Antiqua" w:cs="Arial"/>
          <w:bCs w:val="0"/>
          <w:noProof/>
          <w:color w:val="000000"/>
          <w:lang w:eastAsia="zh-CN"/>
        </w:rPr>
        <w:t>:</w:t>
      </w:r>
      <w:r w:rsidRPr="00712F63">
        <w:rPr>
          <w:rFonts w:ascii="Book Antiqua" w:hAnsi="Book Antiqua"/>
          <w:bCs/>
          <w:color w:val="000000"/>
        </w:rPr>
        <w:t xml:space="preserve"> </w:t>
      </w:r>
      <w:r w:rsidR="00B33D71">
        <w:rPr>
          <w:rFonts w:ascii="Book Antiqua" w:hAnsi="Book Antiqua"/>
          <w:bCs/>
          <w:color w:val="000000"/>
        </w:rPr>
        <w:t>Blaner</w:t>
      </w:r>
      <w:r w:rsidR="00B33D71" w:rsidRPr="00B33D71">
        <w:rPr>
          <w:rFonts w:ascii="Book Antiqua" w:hAnsi="Book Antiqua"/>
          <w:bCs/>
          <w:color w:val="000000"/>
        </w:rPr>
        <w:t xml:space="preserve"> WS</w:t>
      </w:r>
      <w:r w:rsidR="00B33D71" w:rsidRPr="0094585D">
        <w:rPr>
          <w:rFonts w:ascii="Book Antiqua" w:eastAsia="SimSun" w:hAnsi="Book Antiqua" w:hint="eastAsia"/>
          <w:bCs/>
          <w:color w:val="000000"/>
          <w:lang w:eastAsia="zh-CN"/>
        </w:rPr>
        <w:t>,</w:t>
      </w:r>
      <w:r w:rsidRPr="00712F63">
        <w:rPr>
          <w:rFonts w:ascii="Book Antiqua" w:hAnsi="Book Antiqua"/>
          <w:bCs/>
          <w:color w:val="000000"/>
        </w:rPr>
        <w:t xml:space="preserve"> </w:t>
      </w:r>
      <w:r w:rsidR="00B33D71">
        <w:rPr>
          <w:rFonts w:ascii="Book Antiqua" w:hAnsi="Book Antiqua"/>
          <w:bCs/>
          <w:color w:val="000000"/>
        </w:rPr>
        <w:t>Ramadan</w:t>
      </w:r>
      <w:r w:rsidR="00B33D71" w:rsidRPr="0094585D">
        <w:rPr>
          <w:rFonts w:ascii="Book Antiqua" w:eastAsia="SimSun" w:hAnsi="Book Antiqua" w:hint="eastAsia"/>
          <w:bCs/>
          <w:color w:val="000000"/>
          <w:lang w:eastAsia="zh-CN"/>
        </w:rPr>
        <w:t xml:space="preserve"> </w:t>
      </w:r>
      <w:r w:rsidR="00B33D71" w:rsidRPr="00B33D71">
        <w:rPr>
          <w:rFonts w:ascii="Book Antiqua" w:hAnsi="Book Antiqua"/>
          <w:bCs/>
          <w:color w:val="000000"/>
        </w:rPr>
        <w:t>RA</w:t>
      </w:r>
      <w:r w:rsidR="00B33D71" w:rsidRPr="0094585D">
        <w:rPr>
          <w:rFonts w:ascii="Book Antiqua" w:eastAsia="SimSun" w:hAnsi="Book Antiqua" w:hint="eastAsia"/>
          <w:bCs/>
          <w:color w:val="000000"/>
          <w:lang w:eastAsia="zh-CN"/>
        </w:rPr>
        <w:t>,</w:t>
      </w:r>
      <w:r w:rsidR="00B33D71" w:rsidRPr="00B33D71">
        <w:t xml:space="preserve"> </w:t>
      </w:r>
      <w:r w:rsidR="00B33D71">
        <w:rPr>
          <w:rFonts w:ascii="Book Antiqua" w:eastAsia="SimSun" w:hAnsi="Book Antiqua"/>
          <w:bCs/>
          <w:color w:val="000000"/>
          <w:lang w:eastAsia="zh-CN"/>
        </w:rPr>
        <w:t>Sarkar</w:t>
      </w:r>
      <w:r w:rsidR="00B33D71" w:rsidRPr="00B33D71">
        <w:rPr>
          <w:rFonts w:ascii="Book Antiqua" w:eastAsia="SimSun" w:hAnsi="Book Antiqua"/>
          <w:bCs/>
          <w:color w:val="000000"/>
          <w:lang w:eastAsia="zh-CN"/>
        </w:rPr>
        <w:t xml:space="preserve"> D</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rsidR="00D1335F" w:rsidRPr="008F0DB6" w:rsidRDefault="00D1335F" w:rsidP="00D1335F">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rsidR="00D1335F" w:rsidRPr="008F0DB6" w:rsidRDefault="00D1335F" w:rsidP="00D1335F">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origin: </w:t>
      </w:r>
      <w:r w:rsidR="00B33D71" w:rsidRPr="00B33D71">
        <w:rPr>
          <w:rFonts w:ascii="Book Antiqua" w:hAnsi="Book Antiqua" w:cs="Helvetica"/>
          <w:sz w:val="24"/>
        </w:rPr>
        <w:t>China</w:t>
      </w:r>
    </w:p>
    <w:p w:rsidR="00D1335F" w:rsidRPr="008F0DB6" w:rsidRDefault="00D1335F" w:rsidP="00D1335F">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rsidR="00D1335F" w:rsidRPr="008F0DB6" w:rsidRDefault="00D1335F" w:rsidP="00D1335F">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rsidR="00D1335F" w:rsidRPr="008F0DB6" w:rsidRDefault="00D1335F" w:rsidP="00D1335F">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B (Very good): </w:t>
      </w:r>
      <w:r w:rsidR="00B33D71">
        <w:rPr>
          <w:rFonts w:ascii="Book Antiqua" w:hAnsi="Book Antiqua" w:cs="Helvetica" w:hint="eastAsia"/>
          <w:sz w:val="24"/>
        </w:rPr>
        <w:t>B, B</w:t>
      </w:r>
    </w:p>
    <w:p w:rsidR="00D1335F" w:rsidRPr="008F0DB6" w:rsidRDefault="00D1335F" w:rsidP="00D1335F">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rsidR="00D1335F" w:rsidRPr="008F0DB6" w:rsidRDefault="00D1335F" w:rsidP="00D1335F">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00B33D71">
        <w:rPr>
          <w:rFonts w:ascii="Book Antiqua" w:hAnsi="Book Antiqua" w:cs="Helvetica" w:hint="eastAsia"/>
          <w:sz w:val="24"/>
        </w:rPr>
        <w:t>D</w:t>
      </w:r>
    </w:p>
    <w:p w:rsidR="00D1335F" w:rsidRPr="008F0DB6" w:rsidRDefault="00D1335F" w:rsidP="00D1335F">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D1335F" w:rsidRPr="00D1335F" w:rsidRDefault="00D1335F">
      <w:pPr>
        <w:pStyle w:val="10"/>
        <w:widowControl/>
        <w:pBdr>
          <w:bottom w:val="single" w:sz="6" w:space="1" w:color="auto"/>
        </w:pBdr>
        <w:shd w:val="clear" w:color="auto" w:fill="FFFFFF"/>
        <w:spacing w:line="360" w:lineRule="auto"/>
        <w:ind w:firstLineChars="0" w:firstLine="0"/>
        <w:rPr>
          <w:rFonts w:ascii="Book Antiqua" w:eastAsia="KaiTi_GB2312" w:hAnsi="Book Antiqua" w:cs="Times New Roman"/>
          <w:color w:val="000000"/>
          <w:sz w:val="24"/>
          <w:szCs w:val="24"/>
        </w:rPr>
      </w:pPr>
    </w:p>
    <w:p w:rsidR="00D1335F" w:rsidRPr="00705846" w:rsidRDefault="00D1335F">
      <w:pPr>
        <w:pStyle w:val="10"/>
        <w:widowControl/>
        <w:pBdr>
          <w:bottom w:val="single" w:sz="6" w:space="1" w:color="auto"/>
        </w:pBdr>
        <w:shd w:val="clear" w:color="auto" w:fill="FFFFFF"/>
        <w:spacing w:line="360" w:lineRule="auto"/>
        <w:ind w:firstLineChars="0" w:firstLine="0"/>
        <w:rPr>
          <w:rFonts w:ascii="Book Antiqua" w:eastAsia="KaiTi_GB2312" w:hAnsi="Book Antiqua" w:cs="Times New Roman"/>
          <w:color w:val="000000"/>
          <w:sz w:val="24"/>
          <w:szCs w:val="24"/>
        </w:rPr>
      </w:pPr>
    </w:p>
    <w:p w:rsidR="00341958" w:rsidRPr="00705846" w:rsidRDefault="00D1335F">
      <w:pPr>
        <w:pStyle w:val="10"/>
        <w:widowControl/>
        <w:pBdr>
          <w:bottom w:val="single" w:sz="6" w:space="1" w:color="auto"/>
        </w:pBdr>
        <w:shd w:val="clear" w:color="auto" w:fill="FFFFFF"/>
        <w:spacing w:line="360" w:lineRule="auto"/>
        <w:ind w:firstLineChars="0" w:firstLine="0"/>
        <w:rPr>
          <w:rFonts w:ascii="Book Antiqua" w:hAnsi="Book Antiqua" w:cs="Times New Roman"/>
          <w:b/>
          <w:bCs/>
          <w:sz w:val="24"/>
          <w:szCs w:val="24"/>
        </w:rPr>
      </w:pPr>
      <w:r>
        <w:rPr>
          <w:rFonts w:ascii="Book Antiqua" w:hAnsi="Book Antiqua" w:cs="Times New Roman"/>
          <w:b/>
          <w:bCs/>
          <w:sz w:val="24"/>
          <w:szCs w:val="24"/>
        </w:rPr>
        <w:br w:type="page"/>
      </w:r>
      <w:r w:rsidR="00705846" w:rsidRPr="00705846">
        <w:rPr>
          <w:rFonts w:ascii="Book Antiqua" w:hAnsi="Book Antiqua" w:cs="Times New Roman"/>
          <w:b/>
          <w:bCs/>
          <w:sz w:val="24"/>
          <w:szCs w:val="24"/>
        </w:rPr>
        <w:lastRenderedPageBreak/>
        <w:t xml:space="preserve">Table 1 </w:t>
      </w:r>
      <w:r w:rsidRPr="00705846">
        <w:rPr>
          <w:rFonts w:ascii="Book Antiqua" w:hAnsi="Book Antiqua" w:cs="Times New Roman"/>
          <w:b/>
          <w:bCs/>
          <w:sz w:val="24"/>
          <w:szCs w:val="24"/>
        </w:rPr>
        <w:t xml:space="preserve">Biochemical </w:t>
      </w:r>
      <w:r w:rsidR="00705846" w:rsidRPr="00705846">
        <w:rPr>
          <w:rFonts w:ascii="Book Antiqua" w:hAnsi="Book Antiqua" w:cs="Times New Roman"/>
          <w:b/>
          <w:bCs/>
          <w:sz w:val="24"/>
          <w:szCs w:val="24"/>
        </w:rPr>
        <w:t>alterations and liver cell injury in different rats</w:t>
      </w:r>
    </w:p>
    <w:tbl>
      <w:tblPr>
        <w:tblW w:w="8931" w:type="dxa"/>
        <w:tblInd w:w="-17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02"/>
        <w:gridCol w:w="567"/>
        <w:gridCol w:w="1559"/>
        <w:gridCol w:w="1539"/>
        <w:gridCol w:w="1721"/>
        <w:gridCol w:w="1843"/>
      </w:tblGrid>
      <w:tr w:rsidR="00341958" w:rsidRPr="00D1335F" w:rsidTr="005E3B22">
        <w:tc>
          <w:tcPr>
            <w:tcW w:w="1702" w:type="dxa"/>
            <w:vAlign w:val="center"/>
          </w:tcPr>
          <w:p w:rsidR="00341958" w:rsidRPr="00D1335F" w:rsidRDefault="00705846">
            <w:pPr>
              <w:spacing w:line="360" w:lineRule="auto"/>
              <w:rPr>
                <w:rFonts w:ascii="Book Antiqua" w:eastAsia="KaiTi_GB2312" w:hAnsi="Book Antiqua" w:cs="Times New Roman"/>
                <w:b/>
                <w:kern w:val="0"/>
                <w:sz w:val="24"/>
                <w:szCs w:val="24"/>
              </w:rPr>
            </w:pPr>
            <w:r w:rsidRPr="00D1335F">
              <w:rPr>
                <w:rFonts w:ascii="Book Antiqua" w:eastAsia="KaiTi_GB2312" w:hAnsi="Book Antiqua" w:cs="Times New Roman"/>
                <w:b/>
                <w:kern w:val="0"/>
                <w:sz w:val="24"/>
                <w:szCs w:val="24"/>
              </w:rPr>
              <w:t>Groups</w:t>
            </w:r>
          </w:p>
        </w:tc>
        <w:tc>
          <w:tcPr>
            <w:tcW w:w="567" w:type="dxa"/>
            <w:vAlign w:val="center"/>
          </w:tcPr>
          <w:p w:rsidR="00341958" w:rsidRPr="00D1335F" w:rsidRDefault="00705846">
            <w:pPr>
              <w:spacing w:line="360" w:lineRule="auto"/>
              <w:rPr>
                <w:rFonts w:ascii="Book Antiqua" w:eastAsia="KaiTi_GB2312" w:hAnsi="Book Antiqua" w:cs="Times New Roman"/>
                <w:b/>
                <w:i/>
                <w:kern w:val="0"/>
                <w:sz w:val="24"/>
                <w:szCs w:val="24"/>
              </w:rPr>
            </w:pPr>
            <w:r w:rsidRPr="00D1335F">
              <w:rPr>
                <w:rFonts w:ascii="Book Antiqua" w:eastAsia="KaiTi_GB2312" w:hAnsi="Book Antiqua" w:cs="Times New Roman"/>
                <w:b/>
                <w:i/>
                <w:kern w:val="0"/>
                <w:sz w:val="24"/>
                <w:szCs w:val="24"/>
              </w:rPr>
              <w:t>n</w:t>
            </w:r>
          </w:p>
        </w:tc>
        <w:tc>
          <w:tcPr>
            <w:tcW w:w="1559" w:type="dxa"/>
            <w:vAlign w:val="center"/>
          </w:tcPr>
          <w:p w:rsidR="00341958" w:rsidRPr="00D1335F" w:rsidRDefault="00705846">
            <w:pPr>
              <w:spacing w:line="360" w:lineRule="auto"/>
              <w:rPr>
                <w:rFonts w:ascii="Book Antiqua" w:eastAsia="KaiTi_GB2312" w:hAnsi="Book Antiqua" w:cs="Times New Roman"/>
                <w:b/>
                <w:kern w:val="0"/>
                <w:sz w:val="24"/>
                <w:szCs w:val="24"/>
              </w:rPr>
            </w:pPr>
            <w:r w:rsidRPr="00D1335F">
              <w:rPr>
                <w:rFonts w:ascii="Book Antiqua" w:eastAsia="KaiTi_GB2312" w:hAnsi="Book Antiqua" w:cs="Times New Roman"/>
                <w:b/>
                <w:kern w:val="0"/>
                <w:sz w:val="24"/>
                <w:szCs w:val="24"/>
              </w:rPr>
              <w:t>Tch</w:t>
            </w:r>
          </w:p>
          <w:p w:rsidR="00341958" w:rsidRPr="00D1335F" w:rsidRDefault="00705846">
            <w:pPr>
              <w:spacing w:line="360" w:lineRule="auto"/>
              <w:rPr>
                <w:rFonts w:ascii="Book Antiqua" w:eastAsia="KaiTi_GB2312" w:hAnsi="Book Antiqua" w:cs="Times New Roman"/>
                <w:b/>
                <w:kern w:val="0"/>
                <w:sz w:val="24"/>
                <w:szCs w:val="24"/>
              </w:rPr>
            </w:pPr>
            <w:r w:rsidRPr="00D1335F">
              <w:rPr>
                <w:rFonts w:ascii="Book Antiqua" w:eastAsia="KaiTi_GB2312" w:hAnsi="Book Antiqua" w:cs="Times New Roman"/>
                <w:b/>
                <w:kern w:val="0"/>
                <w:sz w:val="24"/>
                <w:szCs w:val="24"/>
              </w:rPr>
              <w:t>(mMol/L)</w:t>
            </w:r>
          </w:p>
        </w:tc>
        <w:tc>
          <w:tcPr>
            <w:tcW w:w="1539" w:type="dxa"/>
            <w:vAlign w:val="center"/>
          </w:tcPr>
          <w:p w:rsidR="00341958" w:rsidRPr="00D1335F" w:rsidRDefault="00705846">
            <w:pPr>
              <w:spacing w:line="360" w:lineRule="auto"/>
              <w:rPr>
                <w:rFonts w:ascii="Book Antiqua" w:eastAsia="KaiTi_GB2312" w:hAnsi="Book Antiqua" w:cs="Times New Roman"/>
                <w:b/>
                <w:kern w:val="0"/>
                <w:sz w:val="24"/>
                <w:szCs w:val="24"/>
              </w:rPr>
            </w:pPr>
            <w:r w:rsidRPr="00D1335F">
              <w:rPr>
                <w:rFonts w:ascii="Book Antiqua" w:eastAsia="KaiTi_GB2312" w:hAnsi="Book Antiqua" w:cs="Times New Roman"/>
                <w:b/>
                <w:kern w:val="0"/>
                <w:sz w:val="24"/>
                <w:szCs w:val="24"/>
              </w:rPr>
              <w:t>TG</w:t>
            </w:r>
          </w:p>
          <w:p w:rsidR="00341958" w:rsidRPr="00D1335F" w:rsidRDefault="00705846">
            <w:pPr>
              <w:spacing w:line="360" w:lineRule="auto"/>
              <w:rPr>
                <w:rFonts w:ascii="Book Antiqua" w:eastAsia="KaiTi_GB2312" w:hAnsi="Book Antiqua" w:cs="Times New Roman"/>
                <w:b/>
                <w:kern w:val="0"/>
                <w:sz w:val="24"/>
                <w:szCs w:val="24"/>
              </w:rPr>
            </w:pPr>
            <w:r w:rsidRPr="00D1335F">
              <w:rPr>
                <w:rFonts w:ascii="Book Antiqua" w:eastAsia="KaiTi_GB2312" w:hAnsi="Book Antiqua" w:cs="Times New Roman"/>
                <w:b/>
                <w:kern w:val="0"/>
                <w:sz w:val="24"/>
                <w:szCs w:val="24"/>
              </w:rPr>
              <w:t>(mMol/L)</w:t>
            </w:r>
          </w:p>
        </w:tc>
        <w:tc>
          <w:tcPr>
            <w:tcW w:w="1721" w:type="dxa"/>
            <w:vAlign w:val="center"/>
          </w:tcPr>
          <w:p w:rsidR="00341958" w:rsidRPr="00D1335F" w:rsidRDefault="00705846">
            <w:pPr>
              <w:spacing w:line="360" w:lineRule="auto"/>
              <w:rPr>
                <w:rFonts w:ascii="Book Antiqua" w:eastAsia="KaiTi_GB2312" w:hAnsi="Book Antiqua" w:cs="Times New Roman"/>
                <w:b/>
                <w:kern w:val="0"/>
                <w:sz w:val="24"/>
                <w:szCs w:val="24"/>
              </w:rPr>
            </w:pPr>
            <w:r w:rsidRPr="00D1335F">
              <w:rPr>
                <w:rFonts w:ascii="Book Antiqua" w:eastAsia="KaiTi_GB2312" w:hAnsi="Book Antiqua" w:cs="Times New Roman"/>
                <w:b/>
                <w:kern w:val="0"/>
                <w:sz w:val="24"/>
                <w:szCs w:val="24"/>
              </w:rPr>
              <w:t>ALT</w:t>
            </w:r>
          </w:p>
          <w:p w:rsidR="00341958" w:rsidRPr="00D1335F" w:rsidRDefault="00705846">
            <w:pPr>
              <w:spacing w:line="360" w:lineRule="auto"/>
              <w:rPr>
                <w:rFonts w:ascii="Book Antiqua" w:eastAsia="KaiTi_GB2312" w:hAnsi="Book Antiqua" w:cs="Times New Roman"/>
                <w:b/>
                <w:kern w:val="0"/>
                <w:sz w:val="24"/>
                <w:szCs w:val="24"/>
              </w:rPr>
            </w:pPr>
            <w:r w:rsidRPr="00D1335F">
              <w:rPr>
                <w:rFonts w:ascii="Book Antiqua" w:eastAsia="KaiTi_GB2312" w:hAnsi="Book Antiqua" w:cs="Times New Roman"/>
                <w:b/>
                <w:kern w:val="0"/>
                <w:sz w:val="24"/>
                <w:szCs w:val="24"/>
              </w:rPr>
              <w:t>(IU)</w:t>
            </w:r>
          </w:p>
        </w:tc>
        <w:tc>
          <w:tcPr>
            <w:tcW w:w="1843" w:type="dxa"/>
            <w:vAlign w:val="center"/>
          </w:tcPr>
          <w:p w:rsidR="00341958" w:rsidRPr="00D1335F" w:rsidRDefault="00705846">
            <w:pPr>
              <w:spacing w:line="360" w:lineRule="auto"/>
              <w:rPr>
                <w:rFonts w:ascii="Book Antiqua" w:eastAsia="KaiTi_GB2312" w:hAnsi="Book Antiqua" w:cs="Times New Roman"/>
                <w:b/>
                <w:kern w:val="0"/>
                <w:sz w:val="24"/>
                <w:szCs w:val="24"/>
              </w:rPr>
            </w:pPr>
            <w:r w:rsidRPr="00D1335F">
              <w:rPr>
                <w:rFonts w:ascii="Book Antiqua" w:eastAsia="KaiTi_GB2312" w:hAnsi="Book Antiqua" w:cs="Times New Roman"/>
                <w:b/>
                <w:kern w:val="0"/>
                <w:sz w:val="24"/>
                <w:szCs w:val="24"/>
              </w:rPr>
              <w:t xml:space="preserve">AST </w:t>
            </w:r>
          </w:p>
          <w:p w:rsidR="00341958" w:rsidRPr="00D1335F" w:rsidRDefault="00705846">
            <w:pPr>
              <w:spacing w:line="360" w:lineRule="auto"/>
              <w:rPr>
                <w:rFonts w:ascii="Book Antiqua" w:eastAsia="KaiTi_GB2312" w:hAnsi="Book Antiqua" w:cs="Times New Roman"/>
                <w:b/>
                <w:kern w:val="0"/>
                <w:sz w:val="24"/>
                <w:szCs w:val="24"/>
              </w:rPr>
            </w:pPr>
            <w:r w:rsidRPr="00D1335F">
              <w:rPr>
                <w:rFonts w:ascii="Book Antiqua" w:eastAsia="KaiTi_GB2312" w:hAnsi="Book Antiqua" w:cs="Times New Roman"/>
                <w:b/>
                <w:kern w:val="0"/>
                <w:sz w:val="24"/>
                <w:szCs w:val="24"/>
              </w:rPr>
              <w:t>(IU)</w:t>
            </w:r>
          </w:p>
        </w:tc>
      </w:tr>
      <w:tr w:rsidR="00341958" w:rsidRPr="00705846" w:rsidTr="005E3B22">
        <w:tc>
          <w:tcPr>
            <w:tcW w:w="1702" w:type="dxa"/>
            <w:tcBorders>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kern w:val="0"/>
                <w:sz w:val="24"/>
                <w:szCs w:val="24"/>
              </w:rPr>
              <w:t>Control</w:t>
            </w:r>
          </w:p>
        </w:tc>
        <w:tc>
          <w:tcPr>
            <w:tcW w:w="567" w:type="dxa"/>
            <w:tcBorders>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10</w:t>
            </w:r>
          </w:p>
        </w:tc>
        <w:tc>
          <w:tcPr>
            <w:tcW w:w="1559" w:type="dxa"/>
            <w:tcBorders>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1.88</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0.42</w:t>
            </w:r>
          </w:p>
        </w:tc>
        <w:tc>
          <w:tcPr>
            <w:tcW w:w="1539" w:type="dxa"/>
            <w:tcBorders>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1.09</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0.42</w:t>
            </w:r>
          </w:p>
        </w:tc>
        <w:tc>
          <w:tcPr>
            <w:tcW w:w="1721" w:type="dxa"/>
            <w:tcBorders>
              <w:bottom w:val="nil"/>
            </w:tcBorders>
          </w:tcPr>
          <w:p w:rsidR="00341958" w:rsidRPr="00705846" w:rsidRDefault="00705846">
            <w:pPr>
              <w:spacing w:line="360" w:lineRule="auto"/>
              <w:ind w:firstLineChars="50" w:firstLine="120"/>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6.26</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2.76</w:t>
            </w:r>
          </w:p>
        </w:tc>
        <w:tc>
          <w:tcPr>
            <w:tcW w:w="1843" w:type="dxa"/>
            <w:tcBorders>
              <w:bottom w:val="nil"/>
            </w:tcBorders>
          </w:tcPr>
          <w:p w:rsidR="00341958" w:rsidRPr="00705846" w:rsidRDefault="00705846">
            <w:pPr>
              <w:spacing w:line="360" w:lineRule="auto"/>
              <w:ind w:firstLineChars="50" w:firstLine="120"/>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8.15</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3.70</w:t>
            </w:r>
          </w:p>
        </w:tc>
      </w:tr>
      <w:tr w:rsidR="00341958" w:rsidRPr="00705846" w:rsidTr="005E3B22">
        <w:tc>
          <w:tcPr>
            <w:tcW w:w="1702"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kern w:val="0"/>
                <w:sz w:val="24"/>
                <w:szCs w:val="24"/>
              </w:rPr>
              <w:t>Fatty liver</w:t>
            </w:r>
          </w:p>
        </w:tc>
        <w:tc>
          <w:tcPr>
            <w:tcW w:w="567"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39</w:t>
            </w:r>
          </w:p>
        </w:tc>
        <w:tc>
          <w:tcPr>
            <w:tcW w:w="1559"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3.36</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1.43</w:t>
            </w:r>
            <w:r w:rsidR="00D1335F">
              <w:rPr>
                <w:rFonts w:ascii="Book Antiqua" w:hAnsi="Book Antiqua" w:cs="Times New Roman" w:hint="eastAsia"/>
                <w:bCs/>
                <w:sz w:val="24"/>
                <w:szCs w:val="24"/>
                <w:vertAlign w:val="superscript"/>
              </w:rPr>
              <w:t>a</w:t>
            </w:r>
          </w:p>
        </w:tc>
        <w:tc>
          <w:tcPr>
            <w:tcW w:w="1539"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1.69</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1.12</w:t>
            </w:r>
            <w:r w:rsidR="00D1335F">
              <w:rPr>
                <w:rFonts w:ascii="Book Antiqua" w:hAnsi="Book Antiqua" w:cs="Times New Roman" w:hint="eastAsia"/>
                <w:bCs/>
                <w:sz w:val="24"/>
                <w:szCs w:val="24"/>
                <w:vertAlign w:val="superscript"/>
              </w:rPr>
              <w:t>a</w:t>
            </w:r>
          </w:p>
        </w:tc>
        <w:tc>
          <w:tcPr>
            <w:tcW w:w="1721"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27.48</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21.64</w:t>
            </w:r>
            <w:r w:rsidR="00D1335F">
              <w:rPr>
                <w:rFonts w:ascii="Book Antiqua" w:hAnsi="Book Antiqua" w:cs="Times New Roman" w:hint="eastAsia"/>
                <w:bCs/>
                <w:sz w:val="24"/>
                <w:szCs w:val="24"/>
                <w:vertAlign w:val="superscript"/>
              </w:rPr>
              <w:t>a</w:t>
            </w:r>
          </w:p>
        </w:tc>
        <w:tc>
          <w:tcPr>
            <w:tcW w:w="1843"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22.87</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17.51</w:t>
            </w:r>
            <w:r w:rsidR="00D1335F">
              <w:rPr>
                <w:rFonts w:ascii="Book Antiqua" w:hAnsi="Book Antiqua" w:cs="Times New Roman" w:hint="eastAsia"/>
                <w:bCs/>
                <w:sz w:val="24"/>
                <w:szCs w:val="24"/>
                <w:vertAlign w:val="superscript"/>
              </w:rPr>
              <w:t>a</w:t>
            </w:r>
          </w:p>
        </w:tc>
      </w:tr>
      <w:tr w:rsidR="00341958" w:rsidRPr="00705846" w:rsidTr="005E3B22">
        <w:tc>
          <w:tcPr>
            <w:tcW w:w="1702"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kern w:val="0"/>
                <w:sz w:val="24"/>
                <w:szCs w:val="24"/>
              </w:rPr>
              <w:t>Degeneration</w:t>
            </w:r>
          </w:p>
        </w:tc>
        <w:tc>
          <w:tcPr>
            <w:tcW w:w="567"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17</w:t>
            </w:r>
          </w:p>
        </w:tc>
        <w:tc>
          <w:tcPr>
            <w:tcW w:w="1559"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6.26</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1.79</w:t>
            </w:r>
            <w:r w:rsidR="00D1335F">
              <w:rPr>
                <w:rFonts w:ascii="Book Antiqua" w:hAnsi="Book Antiqua" w:cs="Times New Roman" w:hint="eastAsia"/>
                <w:bCs/>
                <w:sz w:val="24"/>
                <w:szCs w:val="24"/>
                <w:vertAlign w:val="superscript"/>
              </w:rPr>
              <w:t>a</w:t>
            </w:r>
          </w:p>
        </w:tc>
        <w:tc>
          <w:tcPr>
            <w:tcW w:w="1539"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4.51</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3.10</w:t>
            </w:r>
            <w:r w:rsidR="00D1335F">
              <w:rPr>
                <w:rFonts w:ascii="Book Antiqua" w:hAnsi="Book Antiqua" w:cs="Times New Roman" w:hint="eastAsia"/>
                <w:bCs/>
                <w:sz w:val="24"/>
                <w:szCs w:val="24"/>
                <w:vertAlign w:val="superscript"/>
              </w:rPr>
              <w:t>a</w:t>
            </w:r>
          </w:p>
        </w:tc>
        <w:tc>
          <w:tcPr>
            <w:tcW w:w="1721"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54.45</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33.82</w:t>
            </w:r>
            <w:r w:rsidR="00D1335F">
              <w:rPr>
                <w:rFonts w:ascii="Book Antiqua" w:hAnsi="Book Antiqua" w:cs="Times New Roman" w:hint="eastAsia"/>
                <w:bCs/>
                <w:sz w:val="24"/>
                <w:szCs w:val="24"/>
                <w:vertAlign w:val="superscript"/>
              </w:rPr>
              <w:t>a</w:t>
            </w:r>
          </w:p>
        </w:tc>
        <w:tc>
          <w:tcPr>
            <w:tcW w:w="1843"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35.09</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14.72</w:t>
            </w:r>
            <w:r w:rsidR="00D1335F">
              <w:rPr>
                <w:rFonts w:ascii="Book Antiqua" w:hAnsi="Book Antiqua" w:cs="Times New Roman" w:hint="eastAsia"/>
                <w:bCs/>
                <w:sz w:val="24"/>
                <w:szCs w:val="24"/>
                <w:vertAlign w:val="superscript"/>
              </w:rPr>
              <w:t>a</w:t>
            </w:r>
          </w:p>
        </w:tc>
      </w:tr>
      <w:tr w:rsidR="00341958" w:rsidRPr="00705846" w:rsidTr="005E3B22">
        <w:tc>
          <w:tcPr>
            <w:tcW w:w="1702"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kern w:val="0"/>
                <w:sz w:val="24"/>
                <w:szCs w:val="24"/>
              </w:rPr>
              <w:t>Precancerous</w:t>
            </w:r>
          </w:p>
        </w:tc>
        <w:tc>
          <w:tcPr>
            <w:tcW w:w="567"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15</w:t>
            </w:r>
          </w:p>
        </w:tc>
        <w:tc>
          <w:tcPr>
            <w:tcW w:w="1559"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4.84</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1.37</w:t>
            </w:r>
            <w:r w:rsidR="00D1335F">
              <w:rPr>
                <w:rFonts w:ascii="Book Antiqua" w:hAnsi="Book Antiqua" w:cs="Times New Roman" w:hint="eastAsia"/>
                <w:bCs/>
                <w:sz w:val="24"/>
                <w:szCs w:val="24"/>
                <w:vertAlign w:val="superscript"/>
              </w:rPr>
              <w:t>a</w:t>
            </w:r>
          </w:p>
        </w:tc>
        <w:tc>
          <w:tcPr>
            <w:tcW w:w="1539"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4.68</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2.20</w:t>
            </w:r>
            <w:r w:rsidR="00D1335F">
              <w:rPr>
                <w:rFonts w:ascii="Book Antiqua" w:hAnsi="Book Antiqua" w:cs="Times New Roman" w:hint="eastAsia"/>
                <w:bCs/>
                <w:sz w:val="24"/>
                <w:szCs w:val="24"/>
                <w:vertAlign w:val="superscript"/>
              </w:rPr>
              <w:t>a</w:t>
            </w:r>
          </w:p>
        </w:tc>
        <w:tc>
          <w:tcPr>
            <w:tcW w:w="1721"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48.83</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29.30</w:t>
            </w:r>
            <w:r w:rsidR="00D1335F">
              <w:rPr>
                <w:rFonts w:ascii="Book Antiqua" w:hAnsi="Book Antiqua" w:cs="Times New Roman" w:hint="eastAsia"/>
                <w:bCs/>
                <w:sz w:val="24"/>
                <w:szCs w:val="24"/>
                <w:vertAlign w:val="superscript"/>
              </w:rPr>
              <w:t>a</w:t>
            </w:r>
          </w:p>
        </w:tc>
        <w:tc>
          <w:tcPr>
            <w:tcW w:w="1843" w:type="dxa"/>
            <w:tcBorders>
              <w:top w:val="nil"/>
              <w:bottom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50.38</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22.65</w:t>
            </w:r>
            <w:r w:rsidR="00D1335F">
              <w:rPr>
                <w:rFonts w:ascii="Book Antiqua" w:hAnsi="Book Antiqua" w:cs="Times New Roman" w:hint="eastAsia"/>
                <w:bCs/>
                <w:sz w:val="24"/>
                <w:szCs w:val="24"/>
                <w:vertAlign w:val="superscript"/>
              </w:rPr>
              <w:t>a</w:t>
            </w:r>
          </w:p>
        </w:tc>
      </w:tr>
      <w:tr w:rsidR="00341958" w:rsidRPr="00705846" w:rsidTr="005E3B22">
        <w:tc>
          <w:tcPr>
            <w:tcW w:w="1702" w:type="dxa"/>
            <w:tcBorders>
              <w:top w:val="nil"/>
            </w:tcBorders>
          </w:tcPr>
          <w:p w:rsidR="00341958" w:rsidRPr="00705846" w:rsidRDefault="00705846">
            <w:pPr>
              <w:spacing w:line="360" w:lineRule="auto"/>
              <w:rPr>
                <w:rFonts w:ascii="Book Antiqua" w:eastAsia="KaiTi_GB2312" w:hAnsi="Book Antiqua" w:cs="Times New Roman"/>
                <w:kern w:val="0"/>
                <w:sz w:val="24"/>
                <w:szCs w:val="24"/>
              </w:rPr>
            </w:pPr>
            <w:r w:rsidRPr="00705846">
              <w:rPr>
                <w:rFonts w:ascii="Book Antiqua" w:eastAsia="KaiTi_GB2312" w:hAnsi="Book Antiqua" w:cs="Times New Roman"/>
                <w:kern w:val="0"/>
                <w:sz w:val="24"/>
                <w:szCs w:val="24"/>
              </w:rPr>
              <w:t xml:space="preserve">Cancerous </w:t>
            </w:r>
          </w:p>
        </w:tc>
        <w:tc>
          <w:tcPr>
            <w:tcW w:w="567" w:type="dxa"/>
            <w:tcBorders>
              <w:top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10</w:t>
            </w:r>
          </w:p>
        </w:tc>
        <w:tc>
          <w:tcPr>
            <w:tcW w:w="1559" w:type="dxa"/>
            <w:tcBorders>
              <w:top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5.10</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1.18</w:t>
            </w:r>
            <w:r w:rsidR="00D1335F">
              <w:rPr>
                <w:rFonts w:ascii="Book Antiqua" w:hAnsi="Book Antiqua" w:cs="Times New Roman" w:hint="eastAsia"/>
                <w:bCs/>
                <w:sz w:val="24"/>
                <w:szCs w:val="24"/>
                <w:vertAlign w:val="superscript"/>
              </w:rPr>
              <w:t>a</w:t>
            </w:r>
          </w:p>
        </w:tc>
        <w:tc>
          <w:tcPr>
            <w:tcW w:w="1539" w:type="dxa"/>
            <w:tcBorders>
              <w:top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3.10</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1.76</w:t>
            </w:r>
            <w:r w:rsidR="00D1335F">
              <w:rPr>
                <w:rFonts w:ascii="Book Antiqua" w:hAnsi="Book Antiqua" w:cs="Times New Roman" w:hint="eastAsia"/>
                <w:bCs/>
                <w:sz w:val="24"/>
                <w:szCs w:val="24"/>
                <w:vertAlign w:val="superscript"/>
              </w:rPr>
              <w:t>a</w:t>
            </w:r>
          </w:p>
        </w:tc>
        <w:tc>
          <w:tcPr>
            <w:tcW w:w="1721" w:type="dxa"/>
            <w:tcBorders>
              <w:top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32.97</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21.34</w:t>
            </w:r>
            <w:r w:rsidR="00D1335F">
              <w:rPr>
                <w:rFonts w:ascii="Book Antiqua" w:hAnsi="Book Antiqua" w:cs="Times New Roman" w:hint="eastAsia"/>
                <w:bCs/>
                <w:sz w:val="24"/>
                <w:szCs w:val="24"/>
                <w:vertAlign w:val="superscript"/>
              </w:rPr>
              <w:t>a</w:t>
            </w:r>
          </w:p>
        </w:tc>
        <w:tc>
          <w:tcPr>
            <w:tcW w:w="1843" w:type="dxa"/>
            <w:tcBorders>
              <w:top w:val="nil"/>
            </w:tcBorders>
          </w:tcPr>
          <w:p w:rsidR="00341958" w:rsidRPr="00705846" w:rsidRDefault="00705846">
            <w:pPr>
              <w:spacing w:line="360" w:lineRule="auto"/>
              <w:rPr>
                <w:rFonts w:ascii="Book Antiqua" w:eastAsia="KaiTi_GB2312" w:hAnsi="Book Antiqua" w:cs="Times New Roman"/>
                <w:color w:val="000000"/>
                <w:kern w:val="0"/>
                <w:sz w:val="24"/>
                <w:szCs w:val="24"/>
              </w:rPr>
            </w:pPr>
            <w:r w:rsidRPr="00705846">
              <w:rPr>
                <w:rFonts w:ascii="Book Antiqua" w:eastAsia="KaiTi_GB2312" w:hAnsi="Book Antiqua" w:cs="Times New Roman"/>
                <w:color w:val="000000"/>
                <w:kern w:val="0"/>
                <w:sz w:val="24"/>
                <w:szCs w:val="24"/>
              </w:rPr>
              <w:t>31.41</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w:t>
            </w:r>
            <w:r w:rsidR="00D1335F">
              <w:rPr>
                <w:rFonts w:ascii="Book Antiqua" w:eastAsia="KaiTi_GB2312" w:hAnsi="Book Antiqua" w:cs="Times New Roman" w:hint="eastAsia"/>
                <w:color w:val="000000"/>
                <w:kern w:val="0"/>
                <w:sz w:val="24"/>
                <w:szCs w:val="24"/>
              </w:rPr>
              <w:t xml:space="preserve"> </w:t>
            </w:r>
            <w:r w:rsidRPr="00705846">
              <w:rPr>
                <w:rFonts w:ascii="Book Antiqua" w:eastAsia="KaiTi_GB2312" w:hAnsi="Book Antiqua" w:cs="Times New Roman"/>
                <w:color w:val="000000"/>
                <w:kern w:val="0"/>
                <w:sz w:val="24"/>
                <w:szCs w:val="24"/>
              </w:rPr>
              <w:t>16.13</w:t>
            </w:r>
            <w:r w:rsidR="00D1335F">
              <w:rPr>
                <w:rFonts w:ascii="Book Antiqua" w:hAnsi="Book Antiqua" w:cs="Times New Roman" w:hint="eastAsia"/>
                <w:bCs/>
                <w:sz w:val="24"/>
                <w:szCs w:val="24"/>
                <w:vertAlign w:val="superscript"/>
              </w:rPr>
              <w:t>a</w:t>
            </w:r>
          </w:p>
        </w:tc>
      </w:tr>
    </w:tbl>
    <w:p w:rsidR="00341958" w:rsidRPr="00705846" w:rsidRDefault="00D1335F">
      <w:pPr>
        <w:spacing w:line="360" w:lineRule="auto"/>
        <w:rPr>
          <w:rFonts w:ascii="Book Antiqua" w:hAnsi="Book Antiqua" w:cs="Times New Roman"/>
          <w:b/>
          <w:bCs/>
          <w:color w:val="000000"/>
          <w:sz w:val="24"/>
          <w:szCs w:val="24"/>
        </w:rPr>
      </w:pPr>
      <w:r>
        <w:rPr>
          <w:rFonts w:ascii="Book Antiqua" w:hAnsi="Book Antiqua" w:cs="Times New Roman" w:hint="eastAsia"/>
          <w:bCs/>
          <w:sz w:val="24"/>
          <w:szCs w:val="24"/>
          <w:vertAlign w:val="superscript"/>
        </w:rPr>
        <w:t>a</w:t>
      </w:r>
      <w:r w:rsidR="00705846" w:rsidRPr="00D1335F">
        <w:rPr>
          <w:rFonts w:ascii="Book Antiqua" w:hAnsi="Book Antiqua" w:cs="Times New Roman"/>
          <w:bCs/>
          <w:i/>
          <w:iCs/>
          <w:sz w:val="24"/>
          <w:szCs w:val="24"/>
        </w:rPr>
        <w:t xml:space="preserve">P </w:t>
      </w:r>
      <w:r w:rsidR="00705846" w:rsidRPr="00D1335F">
        <w:rPr>
          <w:rFonts w:ascii="Book Antiqua" w:hAnsi="Book Antiqua" w:cs="Times New Roman"/>
          <w:bCs/>
          <w:sz w:val="24"/>
          <w:szCs w:val="24"/>
        </w:rPr>
        <w:t>&lt; 0.05</w:t>
      </w:r>
      <w:r>
        <w:rPr>
          <w:rFonts w:ascii="Book Antiqua" w:hAnsi="Book Antiqua" w:cs="Times New Roman" w:hint="eastAsia"/>
          <w:sz w:val="24"/>
          <w:szCs w:val="24"/>
        </w:rPr>
        <w:t xml:space="preserve"> </w:t>
      </w:r>
      <w:r w:rsidRPr="00D1335F">
        <w:rPr>
          <w:rFonts w:ascii="Book Antiqua" w:hAnsi="Book Antiqua" w:cs="Times New Roman"/>
          <w:i/>
          <w:sz w:val="24"/>
          <w:szCs w:val="24"/>
        </w:rPr>
        <w:t>vs</w:t>
      </w:r>
      <w:r w:rsidRPr="00705846">
        <w:rPr>
          <w:rFonts w:ascii="Book Antiqua" w:hAnsi="Book Antiqua" w:cs="Times New Roman"/>
          <w:sz w:val="24"/>
          <w:szCs w:val="24"/>
        </w:rPr>
        <w:t xml:space="preserve"> </w:t>
      </w:r>
      <w:r w:rsidR="00705846" w:rsidRPr="00705846">
        <w:rPr>
          <w:rFonts w:ascii="Book Antiqua" w:hAnsi="Book Antiqua" w:cs="Times New Roman"/>
          <w:sz w:val="24"/>
          <w:szCs w:val="24"/>
        </w:rPr>
        <w:t>control group.</w:t>
      </w:r>
      <w:r w:rsidR="00705846" w:rsidRPr="00705846">
        <w:rPr>
          <w:rFonts w:ascii="Book Antiqua" w:hAnsi="Book Antiqua" w:cs="Times New Roman"/>
          <w:b/>
          <w:bCs/>
          <w:sz w:val="24"/>
          <w:szCs w:val="24"/>
        </w:rPr>
        <w:t xml:space="preserve"> </w:t>
      </w:r>
      <w:r w:rsidR="00705846" w:rsidRPr="00D1335F">
        <w:rPr>
          <w:rFonts w:ascii="Book Antiqua" w:hAnsi="Book Antiqua" w:cs="Times New Roman"/>
          <w:bCs/>
          <w:sz w:val="24"/>
          <w:szCs w:val="24"/>
        </w:rPr>
        <w:t>Tch</w:t>
      </w:r>
      <w:r w:rsidRPr="00D1335F">
        <w:rPr>
          <w:rFonts w:ascii="Book Antiqua" w:hAnsi="Book Antiqua" w:cs="Times New Roman" w:hint="eastAsia"/>
          <w:sz w:val="24"/>
          <w:szCs w:val="24"/>
        </w:rPr>
        <w:t>:</w:t>
      </w:r>
      <w:r w:rsidR="00705846" w:rsidRPr="00D1335F">
        <w:rPr>
          <w:rFonts w:ascii="Book Antiqua" w:hAnsi="Book Antiqua" w:cs="Times New Roman"/>
          <w:sz w:val="24"/>
          <w:szCs w:val="24"/>
        </w:rPr>
        <w:t xml:space="preserve"> </w:t>
      </w:r>
      <w:r w:rsidRPr="00D1335F">
        <w:rPr>
          <w:rFonts w:ascii="Book Antiqua" w:hAnsi="Book Antiqua" w:cs="Times New Roman"/>
          <w:sz w:val="24"/>
          <w:szCs w:val="24"/>
        </w:rPr>
        <w:t>T</w:t>
      </w:r>
      <w:r w:rsidRPr="00D1335F">
        <w:rPr>
          <w:rFonts w:ascii="Book Antiqua" w:eastAsia="KaiTi_GB2312" w:hAnsi="Book Antiqua" w:cs="Times New Roman"/>
          <w:sz w:val="24"/>
          <w:szCs w:val="24"/>
        </w:rPr>
        <w:t xml:space="preserve">otal </w:t>
      </w:r>
      <w:r w:rsidR="00705846" w:rsidRPr="00D1335F">
        <w:rPr>
          <w:rFonts w:ascii="Book Antiqua" w:eastAsia="KaiTi_GB2312" w:hAnsi="Book Antiqua" w:cs="Times New Roman"/>
          <w:sz w:val="24"/>
          <w:szCs w:val="24"/>
        </w:rPr>
        <w:t xml:space="preserve">cholesterol; </w:t>
      </w:r>
      <w:r w:rsidR="00705846" w:rsidRPr="00D1335F">
        <w:rPr>
          <w:rFonts w:ascii="Book Antiqua" w:eastAsia="KaiTi_GB2312" w:hAnsi="Book Antiqua" w:cs="Times New Roman"/>
          <w:bCs/>
          <w:sz w:val="24"/>
          <w:szCs w:val="24"/>
        </w:rPr>
        <w:t>TG</w:t>
      </w:r>
      <w:r w:rsidRPr="00D1335F">
        <w:rPr>
          <w:rFonts w:ascii="Book Antiqua" w:eastAsia="KaiTi_GB2312" w:hAnsi="Book Antiqua" w:cs="Times New Roman" w:hint="eastAsia"/>
          <w:sz w:val="24"/>
          <w:szCs w:val="24"/>
        </w:rPr>
        <w:t>:</w:t>
      </w:r>
      <w:r w:rsidR="00705846" w:rsidRPr="00D1335F">
        <w:rPr>
          <w:rFonts w:ascii="Book Antiqua" w:eastAsia="KaiTi_GB2312" w:hAnsi="Book Antiqua" w:cs="Times New Roman"/>
          <w:sz w:val="24"/>
          <w:szCs w:val="24"/>
        </w:rPr>
        <w:t xml:space="preserve"> triglyceride; </w:t>
      </w:r>
      <w:r w:rsidR="00705846" w:rsidRPr="00D1335F">
        <w:rPr>
          <w:rFonts w:ascii="Book Antiqua" w:eastAsia="KaiTi_GB2312" w:hAnsi="Book Antiqua" w:cs="Times New Roman"/>
          <w:bCs/>
          <w:sz w:val="24"/>
          <w:szCs w:val="24"/>
        </w:rPr>
        <w:t>ALT</w:t>
      </w:r>
      <w:r w:rsidRPr="00D1335F">
        <w:rPr>
          <w:rFonts w:ascii="Book Antiqua" w:eastAsia="KaiTi_GB2312" w:hAnsi="Book Antiqua" w:cs="Times New Roman" w:hint="eastAsia"/>
          <w:sz w:val="24"/>
          <w:szCs w:val="24"/>
        </w:rPr>
        <w:t>:</w:t>
      </w:r>
      <w:r w:rsidR="00705846" w:rsidRPr="00D1335F">
        <w:rPr>
          <w:rFonts w:ascii="Book Antiqua" w:eastAsia="KaiTi_GB2312" w:hAnsi="Book Antiqua" w:cs="Times New Roman"/>
          <w:sz w:val="24"/>
          <w:szCs w:val="24"/>
        </w:rPr>
        <w:t xml:space="preserve"> </w:t>
      </w:r>
      <w:r w:rsidRPr="00D1335F">
        <w:rPr>
          <w:rFonts w:ascii="Book Antiqua" w:eastAsia="KaiTi_GB2312" w:hAnsi="Book Antiqua" w:cs="Times New Roman"/>
          <w:sz w:val="24"/>
          <w:szCs w:val="24"/>
        </w:rPr>
        <w:t xml:space="preserve">Alanine </w:t>
      </w:r>
      <w:r w:rsidR="00705846" w:rsidRPr="00D1335F">
        <w:rPr>
          <w:rFonts w:ascii="Book Antiqua" w:eastAsia="KaiTi_GB2312" w:hAnsi="Book Antiqua" w:cs="Times New Roman"/>
          <w:sz w:val="24"/>
          <w:szCs w:val="24"/>
        </w:rPr>
        <w:t xml:space="preserve">aminotransferase; </w:t>
      </w:r>
      <w:r w:rsidR="00705846" w:rsidRPr="00D1335F">
        <w:rPr>
          <w:rFonts w:ascii="Book Antiqua" w:eastAsia="KaiTi_GB2312" w:hAnsi="Book Antiqua" w:cs="Times New Roman"/>
          <w:bCs/>
          <w:sz w:val="24"/>
          <w:szCs w:val="24"/>
        </w:rPr>
        <w:t>AST</w:t>
      </w:r>
      <w:r w:rsidRPr="00D1335F">
        <w:rPr>
          <w:rFonts w:ascii="Book Antiqua" w:eastAsia="KaiTi_GB2312" w:hAnsi="Book Antiqua" w:cs="Times New Roman" w:hint="eastAsia"/>
          <w:sz w:val="24"/>
          <w:szCs w:val="24"/>
        </w:rPr>
        <w:t>:</w:t>
      </w:r>
      <w:r w:rsidR="00705846" w:rsidRPr="00D1335F">
        <w:rPr>
          <w:rFonts w:ascii="Book Antiqua" w:eastAsia="KaiTi_GB2312" w:hAnsi="Book Antiqua" w:cs="Times New Roman"/>
          <w:sz w:val="24"/>
          <w:szCs w:val="24"/>
        </w:rPr>
        <w:t xml:space="preserve"> </w:t>
      </w:r>
      <w:r w:rsidRPr="00D1335F">
        <w:rPr>
          <w:rFonts w:ascii="Book Antiqua" w:eastAsia="KaiTi_GB2312" w:hAnsi="Book Antiqua" w:cs="Times New Roman"/>
          <w:sz w:val="24"/>
          <w:szCs w:val="24"/>
        </w:rPr>
        <w:t xml:space="preserve">Aspartic </w:t>
      </w:r>
      <w:r w:rsidR="00705846" w:rsidRPr="00D1335F">
        <w:rPr>
          <w:rFonts w:ascii="Book Antiqua" w:eastAsia="KaiTi_GB2312" w:hAnsi="Book Antiqua" w:cs="Times New Roman"/>
          <w:sz w:val="24"/>
          <w:szCs w:val="24"/>
        </w:rPr>
        <w:t>ainotransferase.</w:t>
      </w:r>
    </w:p>
    <w:p w:rsidR="00341958" w:rsidRPr="00D1335F" w:rsidRDefault="00341958">
      <w:pPr>
        <w:spacing w:line="360" w:lineRule="auto"/>
        <w:rPr>
          <w:rFonts w:ascii="Book Antiqua" w:hAnsi="Book Antiqua" w:cs="Times New Roman"/>
          <w:b/>
          <w:bCs/>
          <w:color w:val="000000"/>
          <w:sz w:val="24"/>
          <w:szCs w:val="24"/>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sz w:val="24"/>
          <w:szCs w:val="24"/>
          <w:lang w:val="fr-FR"/>
        </w:rPr>
      </w:pPr>
    </w:p>
    <w:p w:rsidR="00341958" w:rsidRPr="00705846" w:rsidRDefault="00341958">
      <w:pPr>
        <w:spacing w:line="360" w:lineRule="auto"/>
        <w:rPr>
          <w:rFonts w:ascii="Book Antiqua" w:hAnsi="Book Antiqua" w:cs="Times New Roman"/>
          <w:sz w:val="24"/>
          <w:szCs w:val="24"/>
          <w:lang w:val="fr-FR"/>
        </w:rPr>
      </w:pPr>
    </w:p>
    <w:p w:rsidR="00341958" w:rsidRPr="00705846" w:rsidRDefault="00341958">
      <w:pPr>
        <w:spacing w:line="360" w:lineRule="auto"/>
        <w:rPr>
          <w:rFonts w:ascii="Book Antiqua" w:hAnsi="Book Antiqua" w:cs="Times New Roman"/>
          <w:sz w:val="24"/>
          <w:szCs w:val="24"/>
          <w:lang w:val="fr-FR"/>
        </w:rPr>
      </w:pPr>
    </w:p>
    <w:p w:rsidR="00341958" w:rsidRPr="00705846" w:rsidRDefault="00341958">
      <w:pPr>
        <w:spacing w:line="360" w:lineRule="auto"/>
        <w:rPr>
          <w:rFonts w:ascii="Book Antiqua" w:hAnsi="Book Antiqua" w:cs="Times New Roman"/>
          <w:sz w:val="24"/>
          <w:szCs w:val="24"/>
          <w:lang w:val="fr-FR"/>
        </w:rPr>
      </w:pPr>
    </w:p>
    <w:p w:rsidR="00341958" w:rsidRPr="00705846" w:rsidRDefault="00341958">
      <w:pPr>
        <w:spacing w:line="360" w:lineRule="auto"/>
        <w:rPr>
          <w:rFonts w:ascii="Book Antiqua" w:hAnsi="Book Antiqua" w:cs="Times New Roman"/>
          <w:sz w:val="24"/>
          <w:szCs w:val="24"/>
          <w:lang w:val="fr-FR"/>
        </w:rPr>
      </w:pPr>
    </w:p>
    <w:p w:rsidR="00341958" w:rsidRPr="00705846" w:rsidRDefault="00784885">
      <w:pPr>
        <w:spacing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extent cx="4914900" cy="235267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2352675"/>
                    </a:xfrm>
                    <a:prstGeom prst="rect">
                      <a:avLst/>
                    </a:prstGeom>
                    <a:noFill/>
                    <a:ln>
                      <a:noFill/>
                    </a:ln>
                  </pic:spPr>
                </pic:pic>
              </a:graphicData>
            </a:graphic>
          </wp:inline>
        </w:drawing>
      </w:r>
    </w:p>
    <w:p w:rsidR="00341958" w:rsidRPr="005E3B22" w:rsidRDefault="005E3B22">
      <w:pPr>
        <w:pStyle w:val="10"/>
        <w:widowControl/>
        <w:pBdr>
          <w:bottom w:val="single" w:sz="6" w:space="1" w:color="auto"/>
        </w:pBdr>
        <w:shd w:val="clear" w:color="auto" w:fill="FFFFFF"/>
        <w:spacing w:line="360" w:lineRule="auto"/>
        <w:ind w:firstLineChars="0" w:firstLine="0"/>
        <w:rPr>
          <w:rFonts w:ascii="Book Antiqua" w:hAnsi="Book Antiqua" w:cs="Times New Roman"/>
          <w:b/>
          <w:bCs/>
          <w:sz w:val="24"/>
          <w:szCs w:val="24"/>
        </w:rPr>
      </w:pPr>
      <w:r>
        <w:rPr>
          <w:rFonts w:ascii="Book Antiqua" w:hAnsi="Book Antiqua" w:cs="Times New Roman"/>
          <w:b/>
          <w:bCs/>
          <w:sz w:val="24"/>
          <w:szCs w:val="24"/>
        </w:rPr>
        <w:t>Figure 1</w:t>
      </w:r>
      <w:r w:rsidR="00705846" w:rsidRPr="00705846">
        <w:rPr>
          <w:rFonts w:ascii="Book Antiqua" w:hAnsi="Book Antiqua" w:cs="Times New Roman"/>
          <w:b/>
          <w:bCs/>
          <w:sz w:val="24"/>
          <w:szCs w:val="24"/>
        </w:rPr>
        <w:t xml:space="preserve"> Rat liver tissues and their pathological examination</w:t>
      </w:r>
      <w:r>
        <w:rPr>
          <w:rFonts w:ascii="Book Antiqua" w:hAnsi="Book Antiqua" w:cs="Times New Roman" w:hint="eastAsia"/>
          <w:b/>
          <w:bCs/>
          <w:sz w:val="24"/>
          <w:szCs w:val="24"/>
        </w:rPr>
        <w:t xml:space="preserve">. </w:t>
      </w:r>
      <w:r w:rsidR="00705846" w:rsidRPr="00705846">
        <w:rPr>
          <w:rFonts w:ascii="Book Antiqua" w:hAnsi="Book Antiqua" w:cs="Times New Roman"/>
          <w:sz w:val="24"/>
          <w:szCs w:val="24"/>
        </w:rPr>
        <w:t>The liver alterations after the rats were sacrificed at different stages during hepatocyte malignant transformation. A</w:t>
      </w:r>
      <w:r>
        <w:rPr>
          <w:rFonts w:ascii="Book Antiqua" w:hAnsi="Book Antiqua" w:cs="Times New Roman" w:hint="eastAsia"/>
          <w:sz w:val="24"/>
          <w:szCs w:val="24"/>
        </w:rPr>
        <w:t>:</w:t>
      </w:r>
      <w:r w:rsidR="00705846" w:rsidRPr="00705846">
        <w:rPr>
          <w:rFonts w:ascii="Book Antiqua" w:hAnsi="Book Antiqua" w:cs="Times New Roman"/>
          <w:sz w:val="24"/>
          <w:szCs w:val="24"/>
        </w:rPr>
        <w:t xml:space="preserve"> </w:t>
      </w:r>
      <w:r w:rsidRPr="00705846">
        <w:rPr>
          <w:rFonts w:ascii="Book Antiqua" w:hAnsi="Book Antiqua" w:cs="Times New Roman"/>
          <w:sz w:val="24"/>
          <w:szCs w:val="24"/>
        </w:rPr>
        <w:t xml:space="preserve">The </w:t>
      </w:r>
      <w:r w:rsidR="00705846" w:rsidRPr="00705846">
        <w:rPr>
          <w:rFonts w:ascii="Book Antiqua" w:hAnsi="Book Antiqua" w:cs="Times New Roman"/>
          <w:sz w:val="24"/>
          <w:szCs w:val="24"/>
        </w:rPr>
        <w:t>general specimen in the control rats with the normal diet; B</w:t>
      </w:r>
      <w:r>
        <w:rPr>
          <w:rFonts w:ascii="Book Antiqua" w:hAnsi="Book Antiqua" w:cs="Times New Roman" w:hint="eastAsia"/>
          <w:sz w:val="24"/>
          <w:szCs w:val="24"/>
        </w:rPr>
        <w:t xml:space="preserve">: </w:t>
      </w:r>
      <w:r w:rsidRPr="00705846">
        <w:rPr>
          <w:rFonts w:ascii="Book Antiqua" w:hAnsi="Book Antiqua" w:cs="Times New Roman"/>
          <w:sz w:val="24"/>
          <w:szCs w:val="24"/>
        </w:rPr>
        <w:t xml:space="preserve">The </w:t>
      </w:r>
      <w:r w:rsidR="00705846" w:rsidRPr="00705846">
        <w:rPr>
          <w:rFonts w:ascii="Book Antiqua" w:hAnsi="Book Antiqua" w:cs="Times New Roman"/>
          <w:sz w:val="24"/>
          <w:szCs w:val="24"/>
        </w:rPr>
        <w:t>general specimen in the rats with high fat diet without 2-fluorenyl acetamide (2-FAA); C</w:t>
      </w:r>
      <w:r>
        <w:rPr>
          <w:rFonts w:ascii="Book Antiqua" w:hAnsi="Book Antiqua" w:cs="Times New Roman" w:hint="eastAsia"/>
          <w:sz w:val="24"/>
          <w:szCs w:val="24"/>
        </w:rPr>
        <w:t>:</w:t>
      </w:r>
      <w:r w:rsidR="00705846" w:rsidRPr="00705846">
        <w:rPr>
          <w:rFonts w:ascii="Book Antiqua" w:hAnsi="Book Antiqua" w:cs="Times New Roman"/>
          <w:sz w:val="24"/>
          <w:szCs w:val="24"/>
        </w:rPr>
        <w:t xml:space="preserve"> </w:t>
      </w:r>
      <w:r w:rsidRPr="00705846">
        <w:rPr>
          <w:rFonts w:ascii="Book Antiqua" w:hAnsi="Book Antiqua" w:cs="Times New Roman"/>
          <w:sz w:val="24"/>
          <w:szCs w:val="24"/>
        </w:rPr>
        <w:t xml:space="preserve">The </w:t>
      </w:r>
      <w:r w:rsidR="00705846" w:rsidRPr="00705846">
        <w:rPr>
          <w:rFonts w:ascii="Book Antiqua" w:hAnsi="Book Antiqua" w:cs="Times New Roman"/>
          <w:sz w:val="24"/>
          <w:szCs w:val="24"/>
        </w:rPr>
        <w:t>general specimen in the rats with high fat diet containing 2-FAA at early stage;</w:t>
      </w:r>
      <w:r>
        <w:rPr>
          <w:rFonts w:ascii="Book Antiqua" w:hAnsi="Book Antiqua" w:cs="Times New Roman" w:hint="eastAsia"/>
          <w:sz w:val="24"/>
          <w:szCs w:val="24"/>
        </w:rPr>
        <w:t xml:space="preserve"> </w:t>
      </w:r>
      <w:r w:rsidR="00705846" w:rsidRPr="00705846">
        <w:rPr>
          <w:rFonts w:ascii="Book Antiqua" w:hAnsi="Book Antiqua" w:cs="Times New Roman"/>
          <w:sz w:val="24"/>
          <w:szCs w:val="24"/>
        </w:rPr>
        <w:t>D</w:t>
      </w:r>
      <w:r>
        <w:rPr>
          <w:rFonts w:ascii="Book Antiqua" w:hAnsi="Book Antiqua" w:cs="Times New Roman" w:hint="eastAsia"/>
          <w:sz w:val="24"/>
          <w:szCs w:val="24"/>
        </w:rPr>
        <w:t>:</w:t>
      </w:r>
      <w:r w:rsidR="00705846" w:rsidRPr="00705846">
        <w:rPr>
          <w:rFonts w:ascii="Book Antiqua" w:hAnsi="Book Antiqua" w:cs="Times New Roman"/>
          <w:sz w:val="24"/>
          <w:szCs w:val="24"/>
        </w:rPr>
        <w:t xml:space="preserve"> </w:t>
      </w:r>
      <w:r w:rsidRPr="00705846">
        <w:rPr>
          <w:rFonts w:ascii="Book Antiqua" w:hAnsi="Book Antiqua" w:cs="Times New Roman"/>
          <w:sz w:val="24"/>
          <w:szCs w:val="24"/>
        </w:rPr>
        <w:t xml:space="preserve">The </w:t>
      </w:r>
      <w:r w:rsidR="00705846" w:rsidRPr="00705846">
        <w:rPr>
          <w:rFonts w:ascii="Book Antiqua" w:hAnsi="Book Antiqua" w:cs="Times New Roman"/>
          <w:sz w:val="24"/>
          <w:szCs w:val="24"/>
        </w:rPr>
        <w:t>general specimen in the rats with high fat diet containing 2-FAA at interim stage; and E</w:t>
      </w:r>
      <w:r>
        <w:rPr>
          <w:rFonts w:ascii="Book Antiqua" w:hAnsi="Book Antiqua" w:cs="Times New Roman" w:hint="eastAsia"/>
          <w:sz w:val="24"/>
          <w:szCs w:val="24"/>
        </w:rPr>
        <w:t>:</w:t>
      </w:r>
      <w:r w:rsidR="00705846" w:rsidRPr="00705846">
        <w:rPr>
          <w:rFonts w:ascii="Book Antiqua" w:hAnsi="Book Antiqua" w:cs="Times New Roman"/>
          <w:sz w:val="24"/>
          <w:szCs w:val="24"/>
        </w:rPr>
        <w:t xml:space="preserve"> </w:t>
      </w:r>
      <w:r w:rsidRPr="00705846">
        <w:rPr>
          <w:rFonts w:ascii="Book Antiqua" w:hAnsi="Book Antiqua" w:cs="Times New Roman"/>
          <w:sz w:val="24"/>
          <w:szCs w:val="24"/>
        </w:rPr>
        <w:t xml:space="preserve">The </w:t>
      </w:r>
      <w:r w:rsidR="00705846" w:rsidRPr="00705846">
        <w:rPr>
          <w:rFonts w:ascii="Book Antiqua" w:hAnsi="Book Antiqua" w:cs="Times New Roman"/>
          <w:sz w:val="24"/>
          <w:szCs w:val="24"/>
        </w:rPr>
        <w:t xml:space="preserve">general specimen in the rats with high fat diet containing 2-FAA at later stage. The liver sections of the corresponding rats were examined with the Hematoxylin and Eosin (H&amp;E) staining, and they were divided into the control (A1), fatty liver (B1), degeneration (C1), precancerous (D1), and cancerous (E1) groups, A1~ E1, the original magnification of the corresponding rat liver sections </w:t>
      </w:r>
      <w:r w:rsidR="00705846" w:rsidRPr="00705846">
        <w:rPr>
          <w:rFonts w:ascii="Book Antiqua" w:hAnsi="Book Antiqua" w:cs="SimSun"/>
          <w:sz w:val="24"/>
          <w:szCs w:val="24"/>
        </w:rPr>
        <w:t>×</w:t>
      </w:r>
      <w:r>
        <w:rPr>
          <w:rFonts w:ascii="Book Antiqua" w:hAnsi="Book Antiqua" w:cs="SimSun" w:hint="eastAsia"/>
          <w:sz w:val="24"/>
          <w:szCs w:val="24"/>
        </w:rPr>
        <w:t xml:space="preserve"> </w:t>
      </w:r>
      <w:r w:rsidR="00705846" w:rsidRPr="00705846">
        <w:rPr>
          <w:rFonts w:ascii="Book Antiqua" w:hAnsi="Book Antiqua" w:cs="Times New Roman"/>
          <w:sz w:val="24"/>
          <w:szCs w:val="24"/>
        </w:rPr>
        <w:t>200.</w:t>
      </w:r>
    </w:p>
    <w:p w:rsidR="00341958" w:rsidRPr="00705846" w:rsidRDefault="00341958">
      <w:pPr>
        <w:pStyle w:val="10"/>
        <w:widowControl/>
        <w:pBdr>
          <w:bottom w:val="single" w:sz="6" w:space="1" w:color="auto"/>
        </w:pBdr>
        <w:shd w:val="clear" w:color="auto" w:fill="FFFFFF"/>
        <w:spacing w:line="360" w:lineRule="auto"/>
        <w:ind w:firstLineChars="0" w:firstLine="0"/>
        <w:rPr>
          <w:rFonts w:ascii="Book Antiqua" w:hAnsi="Book Antiqua" w:cs="Times New Roman"/>
          <w:sz w:val="24"/>
          <w:szCs w:val="24"/>
        </w:rPr>
      </w:pPr>
    </w:p>
    <w:p w:rsidR="00341958" w:rsidRPr="00705846" w:rsidRDefault="00341958">
      <w:pPr>
        <w:pStyle w:val="10"/>
        <w:widowControl/>
        <w:pBdr>
          <w:bottom w:val="single" w:sz="6" w:space="1" w:color="auto"/>
        </w:pBdr>
        <w:shd w:val="clear" w:color="auto" w:fill="FFFFFF"/>
        <w:spacing w:line="360" w:lineRule="auto"/>
        <w:ind w:firstLineChars="0" w:firstLine="0"/>
        <w:rPr>
          <w:rFonts w:ascii="Book Antiqua" w:hAnsi="Book Antiqua" w:cs="Times New Roman"/>
          <w:sz w:val="24"/>
          <w:szCs w:val="24"/>
        </w:rPr>
      </w:pPr>
    </w:p>
    <w:p w:rsidR="00341958" w:rsidRPr="00705846" w:rsidRDefault="00341958">
      <w:pPr>
        <w:pStyle w:val="10"/>
        <w:widowControl/>
        <w:pBdr>
          <w:bottom w:val="single" w:sz="6" w:space="1" w:color="auto"/>
        </w:pBdr>
        <w:shd w:val="clear" w:color="auto" w:fill="FFFFFF"/>
        <w:spacing w:line="360" w:lineRule="auto"/>
        <w:ind w:firstLineChars="0" w:firstLine="0"/>
        <w:rPr>
          <w:rFonts w:ascii="Book Antiqua" w:hAnsi="Book Antiqua" w:cs="Times New Roman"/>
          <w:sz w:val="24"/>
          <w:szCs w:val="24"/>
        </w:rPr>
      </w:pPr>
    </w:p>
    <w:p w:rsidR="00341958" w:rsidRPr="00705846" w:rsidRDefault="00341958">
      <w:pPr>
        <w:spacing w:line="360" w:lineRule="auto"/>
        <w:rPr>
          <w:rFonts w:ascii="Book Antiqua" w:hAnsi="Book Antiqua" w:cs="Times New Roman"/>
          <w:sz w:val="24"/>
          <w:szCs w:val="24"/>
          <w:lang w:val="fr-FR"/>
        </w:rPr>
      </w:pPr>
    </w:p>
    <w:p w:rsidR="00341958" w:rsidRPr="00705846" w:rsidRDefault="00784885">
      <w:pPr>
        <w:spacing w:line="360" w:lineRule="auto"/>
        <w:jc w:val="center"/>
        <w:rPr>
          <w:rFonts w:ascii="Book Antiqua" w:hAnsi="Book Antiqua" w:cs="Times New Roman"/>
          <w:b/>
          <w:bCs/>
          <w:color w:val="000000"/>
          <w:sz w:val="24"/>
          <w:szCs w:val="24"/>
        </w:rPr>
      </w:pPr>
      <w:r>
        <w:rPr>
          <w:rFonts w:ascii="Book Antiqua" w:hAnsi="Book Antiqua" w:cs="Times New Roman"/>
          <w:b/>
          <w:bCs/>
          <w:noProof/>
          <w:color w:val="000000"/>
          <w:sz w:val="24"/>
          <w:szCs w:val="24"/>
        </w:rPr>
        <w:lastRenderedPageBreak/>
        <w:drawing>
          <wp:inline distT="0" distB="0" distL="0" distR="0">
            <wp:extent cx="5362575" cy="4229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2575" cy="4229100"/>
                    </a:xfrm>
                    <a:prstGeom prst="rect">
                      <a:avLst/>
                    </a:prstGeom>
                    <a:noFill/>
                    <a:ln>
                      <a:noFill/>
                    </a:ln>
                  </pic:spPr>
                </pic:pic>
              </a:graphicData>
            </a:graphic>
          </wp:inline>
        </w:drawing>
      </w:r>
    </w:p>
    <w:p w:rsidR="00341958" w:rsidRPr="005E3B22" w:rsidRDefault="00705846">
      <w:pPr>
        <w:pStyle w:val="10"/>
        <w:widowControl/>
        <w:pBdr>
          <w:bottom w:val="single" w:sz="6" w:space="1" w:color="auto"/>
        </w:pBdr>
        <w:shd w:val="clear" w:color="auto" w:fill="FFFFFF"/>
        <w:spacing w:line="360" w:lineRule="auto"/>
        <w:ind w:firstLineChars="0" w:firstLine="0"/>
        <w:rPr>
          <w:rFonts w:ascii="Book Antiqua" w:hAnsi="Book Antiqua" w:cs="Times New Roman"/>
          <w:b/>
          <w:bCs/>
          <w:sz w:val="24"/>
          <w:szCs w:val="24"/>
        </w:rPr>
      </w:pPr>
      <w:r w:rsidRPr="00705846">
        <w:rPr>
          <w:rFonts w:ascii="Book Antiqua" w:hAnsi="Book Antiqua" w:cs="Times New Roman"/>
          <w:b/>
          <w:bCs/>
          <w:sz w:val="24"/>
          <w:szCs w:val="24"/>
        </w:rPr>
        <w:t>Figure 2</w:t>
      </w:r>
      <w:r w:rsidR="005E3B22">
        <w:rPr>
          <w:rFonts w:ascii="Book Antiqua" w:hAnsi="Book Antiqua" w:cs="Times New Roman" w:hint="eastAsia"/>
          <w:b/>
          <w:bCs/>
          <w:sz w:val="24"/>
          <w:szCs w:val="24"/>
        </w:rPr>
        <w:t xml:space="preserve"> </w:t>
      </w:r>
      <w:r w:rsidR="005E3B22" w:rsidRPr="00705846">
        <w:rPr>
          <w:rFonts w:ascii="Book Antiqua" w:hAnsi="Book Antiqua" w:cs="Times New Roman"/>
          <w:b/>
          <w:bCs/>
          <w:sz w:val="24"/>
          <w:szCs w:val="24"/>
        </w:rPr>
        <w:t xml:space="preserve">Rat </w:t>
      </w:r>
      <w:r w:rsidRPr="00705846">
        <w:rPr>
          <w:rFonts w:ascii="Book Antiqua" w:hAnsi="Book Antiqua" w:cs="Times New Roman"/>
          <w:b/>
          <w:bCs/>
          <w:sz w:val="24"/>
          <w:szCs w:val="24"/>
        </w:rPr>
        <w:t>hepatic lipid accumulation in the different groups after their liver section with the Oil red O staining</w:t>
      </w:r>
      <w:r w:rsidR="005E3B22">
        <w:rPr>
          <w:rFonts w:ascii="Book Antiqua" w:hAnsi="Book Antiqua" w:cs="Times New Roman" w:hint="eastAsia"/>
          <w:b/>
          <w:bCs/>
          <w:sz w:val="24"/>
          <w:szCs w:val="24"/>
        </w:rPr>
        <w:t xml:space="preserve">. </w:t>
      </w:r>
      <w:r w:rsidRPr="00705846">
        <w:rPr>
          <w:rFonts w:ascii="Book Antiqua" w:hAnsi="Book Antiqua" w:cs="Times New Roman"/>
          <w:sz w:val="24"/>
          <w:szCs w:val="24"/>
        </w:rPr>
        <w:t>The statues of hepatic lipid accumulation in the different rat groups were analyzed after their liver section staining with the Oil red O method. A</w:t>
      </w:r>
      <w:r w:rsidR="005E3B22">
        <w:rPr>
          <w:rFonts w:ascii="Book Antiqua" w:hAnsi="Book Antiqua" w:cs="Times New Roman" w:hint="eastAsia"/>
          <w:sz w:val="24"/>
          <w:szCs w:val="24"/>
        </w:rPr>
        <w:t xml:space="preserve">: </w:t>
      </w:r>
      <w:r w:rsidR="005E3B22" w:rsidRPr="00705846">
        <w:rPr>
          <w:rFonts w:ascii="Book Antiqua" w:hAnsi="Book Antiqua" w:cs="Times New Roman"/>
          <w:sz w:val="24"/>
          <w:szCs w:val="24"/>
        </w:rPr>
        <w:t xml:space="preserve">The </w:t>
      </w:r>
      <w:r w:rsidRPr="00705846">
        <w:rPr>
          <w:rFonts w:ascii="Book Antiqua" w:hAnsi="Book Antiqua" w:cs="Times New Roman"/>
          <w:sz w:val="24"/>
          <w:szCs w:val="24"/>
        </w:rPr>
        <w:t>liver sections of control rats with the normal diet; B</w:t>
      </w:r>
      <w:r w:rsidR="005E3B22">
        <w:rPr>
          <w:rFonts w:ascii="Book Antiqua" w:hAnsi="Book Antiqua" w:cs="Times New Roman" w:hint="eastAsia"/>
          <w:sz w:val="24"/>
          <w:szCs w:val="24"/>
        </w:rPr>
        <w:t xml:space="preserve">: </w:t>
      </w:r>
      <w:r w:rsidR="005E3B22" w:rsidRPr="00705846">
        <w:rPr>
          <w:rFonts w:ascii="Book Antiqua" w:hAnsi="Book Antiqua" w:cs="Times New Roman"/>
          <w:sz w:val="24"/>
          <w:szCs w:val="24"/>
        </w:rPr>
        <w:t xml:space="preserve">The </w:t>
      </w:r>
      <w:r w:rsidRPr="00705846">
        <w:rPr>
          <w:rFonts w:ascii="Book Antiqua" w:hAnsi="Book Antiqua" w:cs="Times New Roman"/>
          <w:sz w:val="24"/>
          <w:szCs w:val="24"/>
        </w:rPr>
        <w:t>liver sections of the fatty liver rats with high fat diet without 2-fluorenylacetamide(2-FAA); C</w:t>
      </w:r>
      <w:r w:rsidR="005E3B22">
        <w:rPr>
          <w:rFonts w:ascii="Book Antiqua" w:hAnsi="Book Antiqua" w:cs="Times New Roman" w:hint="eastAsia"/>
          <w:sz w:val="24"/>
          <w:szCs w:val="24"/>
        </w:rPr>
        <w:t xml:space="preserve">: </w:t>
      </w:r>
      <w:r w:rsidR="005E3B22" w:rsidRPr="00705846">
        <w:rPr>
          <w:rFonts w:ascii="Book Antiqua" w:hAnsi="Book Antiqua" w:cs="Times New Roman"/>
          <w:sz w:val="24"/>
          <w:szCs w:val="24"/>
        </w:rPr>
        <w:t xml:space="preserve">The </w:t>
      </w:r>
      <w:r w:rsidRPr="00705846">
        <w:rPr>
          <w:rFonts w:ascii="Book Antiqua" w:hAnsi="Book Antiqua" w:cs="Times New Roman"/>
          <w:sz w:val="24"/>
          <w:szCs w:val="24"/>
        </w:rPr>
        <w:t>liver sections of the regeneration rats with high fat diet containing 2-FAA at early stage; D</w:t>
      </w:r>
      <w:r w:rsidR="005E3B22">
        <w:rPr>
          <w:rFonts w:ascii="Book Antiqua" w:hAnsi="Book Antiqua" w:cs="Times New Roman" w:hint="eastAsia"/>
          <w:sz w:val="24"/>
          <w:szCs w:val="24"/>
        </w:rPr>
        <w:t xml:space="preserve">: </w:t>
      </w:r>
      <w:r w:rsidR="005E3B22" w:rsidRPr="00705846">
        <w:rPr>
          <w:rFonts w:ascii="Book Antiqua" w:hAnsi="Book Antiqua" w:cs="Times New Roman"/>
          <w:sz w:val="24"/>
          <w:szCs w:val="24"/>
        </w:rPr>
        <w:t>T</w:t>
      </w:r>
      <w:r w:rsidRPr="00705846">
        <w:rPr>
          <w:rFonts w:ascii="Book Antiqua" w:hAnsi="Book Antiqua" w:cs="Times New Roman"/>
          <w:sz w:val="24"/>
          <w:szCs w:val="24"/>
        </w:rPr>
        <w:t>he liver sections of precancerous rats with high fat diet containing 2-FAA at interim stage; and E</w:t>
      </w:r>
      <w:r w:rsidR="005E3B22">
        <w:rPr>
          <w:rFonts w:ascii="Book Antiqua" w:hAnsi="Book Antiqua" w:cs="Times New Roman" w:hint="eastAsia"/>
          <w:sz w:val="24"/>
          <w:szCs w:val="24"/>
        </w:rPr>
        <w:t>:</w:t>
      </w:r>
      <w:r w:rsidRPr="00705846">
        <w:rPr>
          <w:rFonts w:ascii="Book Antiqua" w:hAnsi="Book Antiqua" w:cs="Times New Roman"/>
          <w:sz w:val="24"/>
          <w:szCs w:val="24"/>
        </w:rPr>
        <w:t xml:space="preserve"> </w:t>
      </w:r>
      <w:r w:rsidR="005E3B22" w:rsidRPr="00705846">
        <w:rPr>
          <w:rFonts w:ascii="Book Antiqua" w:hAnsi="Book Antiqua" w:cs="Times New Roman"/>
          <w:sz w:val="24"/>
          <w:szCs w:val="24"/>
        </w:rPr>
        <w:t xml:space="preserve">The </w:t>
      </w:r>
      <w:r w:rsidRPr="00705846">
        <w:rPr>
          <w:rFonts w:ascii="Book Antiqua" w:hAnsi="Book Antiqua" w:cs="Times New Roman"/>
          <w:sz w:val="24"/>
          <w:szCs w:val="24"/>
        </w:rPr>
        <w:t>liver sections of cancerous rats with high fat diet containing 2-FAA at later stage.F, therelative quantitative analysis on fats in the liver tissue; A ~ E, the original magnification</w:t>
      </w:r>
      <w:r w:rsidRPr="00705846">
        <w:rPr>
          <w:rFonts w:ascii="Book Antiqua" w:hAnsi="Book Antiqua" w:cs="SimSun"/>
          <w:sz w:val="24"/>
          <w:szCs w:val="24"/>
        </w:rPr>
        <w:t>×</w:t>
      </w:r>
      <w:r w:rsidRPr="00705846">
        <w:rPr>
          <w:rFonts w:ascii="Book Antiqua" w:hAnsi="Book Antiqua" w:cs="Times New Roman"/>
          <w:sz w:val="24"/>
          <w:szCs w:val="24"/>
        </w:rPr>
        <w:t xml:space="preserve"> 200; A1~ E1, the original magnification</w:t>
      </w:r>
      <w:r w:rsidRPr="00705846">
        <w:rPr>
          <w:rFonts w:ascii="Book Antiqua" w:hAnsi="Book Antiqua" w:cs="SimSun"/>
          <w:sz w:val="24"/>
          <w:szCs w:val="24"/>
        </w:rPr>
        <w:t>×</w:t>
      </w:r>
      <w:r w:rsidRPr="00705846">
        <w:rPr>
          <w:rFonts w:ascii="Book Antiqua" w:hAnsi="Book Antiqua" w:cs="Times New Roman"/>
          <w:sz w:val="24"/>
          <w:szCs w:val="24"/>
        </w:rPr>
        <w:t xml:space="preserve"> 400. </w:t>
      </w:r>
      <w:r w:rsidR="005E3B22">
        <w:rPr>
          <w:rFonts w:ascii="Book Antiqua" w:hAnsi="Book Antiqua" w:cs="Times New Roman" w:hint="eastAsia"/>
          <w:sz w:val="24"/>
          <w:szCs w:val="24"/>
          <w:vertAlign w:val="superscript"/>
        </w:rPr>
        <w:t>a</w:t>
      </w:r>
      <w:r w:rsidRPr="005E3B22">
        <w:rPr>
          <w:rFonts w:ascii="Book Antiqua" w:hAnsi="Book Antiqua" w:cs="Times New Roman"/>
          <w:i/>
          <w:sz w:val="24"/>
          <w:szCs w:val="24"/>
        </w:rPr>
        <w:t>P</w:t>
      </w:r>
      <w:r w:rsidR="005E3B22">
        <w:rPr>
          <w:rFonts w:ascii="Book Antiqua" w:hAnsi="Book Antiqua" w:cs="Times New Roman"/>
          <w:sz w:val="24"/>
          <w:szCs w:val="24"/>
        </w:rPr>
        <w:t xml:space="preserve"> &lt; 0.05</w:t>
      </w:r>
      <w:r w:rsidRPr="00705846">
        <w:rPr>
          <w:rFonts w:ascii="Book Antiqua" w:hAnsi="Book Antiqua" w:cs="Times New Roman"/>
          <w:sz w:val="24"/>
          <w:szCs w:val="24"/>
        </w:rPr>
        <w:t>.</w:t>
      </w:r>
    </w:p>
    <w:p w:rsidR="00341958" w:rsidRPr="00705846" w:rsidRDefault="00341958">
      <w:pPr>
        <w:pStyle w:val="10"/>
        <w:widowControl/>
        <w:pBdr>
          <w:bottom w:val="single" w:sz="6" w:space="1" w:color="auto"/>
        </w:pBdr>
        <w:shd w:val="clear" w:color="auto" w:fill="FFFFFF"/>
        <w:spacing w:line="360" w:lineRule="auto"/>
        <w:ind w:firstLineChars="0" w:firstLine="0"/>
        <w:rPr>
          <w:rFonts w:ascii="Book Antiqua" w:hAnsi="Book Antiqua" w:cs="Times New Roman"/>
          <w:sz w:val="24"/>
          <w:szCs w:val="24"/>
        </w:rPr>
      </w:pPr>
    </w:p>
    <w:p w:rsidR="00341958" w:rsidRPr="00705846" w:rsidRDefault="00341958">
      <w:pPr>
        <w:spacing w:line="360" w:lineRule="auto"/>
        <w:rPr>
          <w:rFonts w:ascii="Book Antiqua" w:hAnsi="Book Antiqua" w:cs="Times New Roman"/>
          <w:sz w:val="24"/>
          <w:szCs w:val="24"/>
          <w:lang w:val="fr-FR"/>
        </w:rPr>
      </w:pPr>
    </w:p>
    <w:p w:rsidR="00341958" w:rsidRPr="00705846" w:rsidRDefault="00341958">
      <w:pPr>
        <w:spacing w:line="360" w:lineRule="auto"/>
        <w:rPr>
          <w:rFonts w:ascii="Book Antiqua" w:hAnsi="Book Antiqua" w:cs="Times New Roman"/>
          <w:sz w:val="24"/>
          <w:szCs w:val="24"/>
          <w:lang w:val="fr-FR"/>
        </w:rPr>
      </w:pPr>
    </w:p>
    <w:p w:rsidR="00341958" w:rsidRPr="00705846" w:rsidRDefault="00341958">
      <w:pPr>
        <w:spacing w:line="360" w:lineRule="auto"/>
        <w:rPr>
          <w:rFonts w:ascii="Book Antiqua" w:hAnsi="Book Antiqua" w:cs="Times New Roman"/>
          <w:sz w:val="24"/>
          <w:szCs w:val="24"/>
          <w:lang w:val="fr-FR"/>
        </w:rPr>
      </w:pPr>
    </w:p>
    <w:p w:rsidR="00341958" w:rsidRPr="00705846" w:rsidRDefault="00341958">
      <w:pPr>
        <w:spacing w:line="360" w:lineRule="auto"/>
        <w:rPr>
          <w:rFonts w:ascii="Book Antiqua" w:hAnsi="Book Antiqua" w:cs="Times New Roman"/>
          <w:sz w:val="24"/>
          <w:szCs w:val="24"/>
          <w:lang w:val="fr-FR"/>
        </w:rPr>
      </w:pPr>
    </w:p>
    <w:p w:rsidR="00341958" w:rsidRPr="00705846" w:rsidRDefault="00341958">
      <w:pPr>
        <w:spacing w:line="360" w:lineRule="auto"/>
        <w:rPr>
          <w:rFonts w:ascii="Book Antiqua" w:hAnsi="Book Antiqua" w:cs="Times New Roman"/>
          <w:sz w:val="24"/>
          <w:szCs w:val="24"/>
          <w:lang w:val="fr-FR"/>
        </w:rPr>
      </w:pPr>
    </w:p>
    <w:p w:rsidR="00341958" w:rsidRPr="00705846" w:rsidRDefault="00784885">
      <w:pPr>
        <w:spacing w:line="360" w:lineRule="auto"/>
        <w:jc w:val="center"/>
        <w:rPr>
          <w:rFonts w:ascii="Book Antiqua" w:hAnsi="Book Antiqua" w:cs="Times New Roman"/>
          <w:sz w:val="24"/>
          <w:szCs w:val="24"/>
          <w:lang w:val="fr-FR"/>
        </w:rPr>
      </w:pPr>
      <w:r>
        <w:rPr>
          <w:rFonts w:ascii="Book Antiqua" w:hAnsi="Book Antiqua" w:cs="Times New Roman"/>
          <w:noProof/>
          <w:sz w:val="24"/>
          <w:szCs w:val="24"/>
        </w:rPr>
        <w:drawing>
          <wp:inline distT="0" distB="0" distL="0" distR="0">
            <wp:extent cx="5372100" cy="3152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3152775"/>
                    </a:xfrm>
                    <a:prstGeom prst="rect">
                      <a:avLst/>
                    </a:prstGeom>
                    <a:noFill/>
                    <a:ln>
                      <a:noFill/>
                    </a:ln>
                  </pic:spPr>
                </pic:pic>
              </a:graphicData>
            </a:graphic>
          </wp:inline>
        </w:drawing>
      </w:r>
    </w:p>
    <w:p w:rsidR="00341958" w:rsidRPr="005E3B22" w:rsidRDefault="00705846">
      <w:pPr>
        <w:pStyle w:val="10"/>
        <w:widowControl/>
        <w:pBdr>
          <w:bottom w:val="single" w:sz="6" w:space="1" w:color="auto"/>
        </w:pBdr>
        <w:shd w:val="clear" w:color="auto" w:fill="FFFFFF"/>
        <w:spacing w:line="360" w:lineRule="auto"/>
        <w:ind w:firstLineChars="0" w:firstLine="0"/>
        <w:rPr>
          <w:rFonts w:ascii="Book Antiqua" w:hAnsi="Book Antiqua" w:cs="Times New Roman"/>
          <w:b/>
          <w:bCs/>
          <w:sz w:val="24"/>
          <w:szCs w:val="24"/>
        </w:rPr>
      </w:pPr>
      <w:r w:rsidRPr="00705846">
        <w:rPr>
          <w:rFonts w:ascii="Book Antiqua" w:hAnsi="Book Antiqua" w:cs="Times New Roman"/>
          <w:b/>
          <w:bCs/>
          <w:sz w:val="24"/>
          <w:szCs w:val="24"/>
        </w:rPr>
        <w:t xml:space="preserve">Figure 3 Dynamic alteration of </w:t>
      </w:r>
      <w:r w:rsidR="00572FF7" w:rsidRPr="00572FF7">
        <w:rPr>
          <w:rFonts w:ascii="Book Antiqua" w:hAnsi="Book Antiqua" w:cs="Times New Roman"/>
          <w:b/>
          <w:bCs/>
          <w:sz w:val="24"/>
          <w:szCs w:val="24"/>
        </w:rPr>
        <w:t>carnitine palmitoyl transferase II</w:t>
      </w:r>
      <w:r w:rsidRPr="00705846">
        <w:rPr>
          <w:rFonts w:ascii="Book Antiqua" w:hAnsi="Book Antiqua" w:cs="Times New Roman"/>
          <w:b/>
          <w:bCs/>
          <w:sz w:val="24"/>
          <w:szCs w:val="24"/>
        </w:rPr>
        <w:t xml:space="preserve"> expression in rat livers</w:t>
      </w:r>
      <w:r w:rsidR="005E3B22">
        <w:rPr>
          <w:rFonts w:ascii="Book Antiqua" w:hAnsi="Book Antiqua" w:cs="Times New Roman" w:hint="eastAsia"/>
          <w:b/>
          <w:bCs/>
          <w:sz w:val="24"/>
          <w:szCs w:val="24"/>
        </w:rPr>
        <w:t xml:space="preserve">. </w:t>
      </w:r>
      <w:r w:rsidRPr="00705846">
        <w:rPr>
          <w:rFonts w:ascii="Book Antiqua" w:hAnsi="Book Antiqua" w:cs="Times New Roman"/>
          <w:sz w:val="24"/>
          <w:szCs w:val="24"/>
        </w:rPr>
        <w:t xml:space="preserve">The </w:t>
      </w:r>
      <w:r w:rsidR="00572FF7" w:rsidRPr="00572FF7">
        <w:rPr>
          <w:rFonts w:ascii="Book Antiqua" w:hAnsi="Book Antiqua" w:cs="Times New Roman"/>
          <w:sz w:val="24"/>
          <w:szCs w:val="24"/>
        </w:rPr>
        <w:t xml:space="preserve">carnitine palmitoyl transferase II </w:t>
      </w:r>
      <w:r w:rsidR="00572FF7">
        <w:rPr>
          <w:rFonts w:ascii="Book Antiqua" w:hAnsi="Book Antiqua" w:cs="Times New Roman" w:hint="eastAsia"/>
          <w:sz w:val="24"/>
          <w:szCs w:val="24"/>
        </w:rPr>
        <w:t>(</w:t>
      </w:r>
      <w:r w:rsidRPr="00705846">
        <w:rPr>
          <w:rFonts w:ascii="Book Antiqua" w:hAnsi="Book Antiqua" w:cs="Times New Roman"/>
          <w:sz w:val="24"/>
          <w:szCs w:val="24"/>
        </w:rPr>
        <w:t>CPT-II</w:t>
      </w:r>
      <w:r w:rsidR="00572FF7">
        <w:rPr>
          <w:rFonts w:ascii="Book Antiqua" w:hAnsi="Book Antiqua" w:cs="Times New Roman" w:hint="eastAsia"/>
          <w:sz w:val="24"/>
          <w:szCs w:val="24"/>
        </w:rPr>
        <w:t>)</w:t>
      </w:r>
      <w:r w:rsidRPr="00705846">
        <w:rPr>
          <w:rFonts w:ascii="Book Antiqua" w:hAnsi="Book Antiqua" w:cs="Times New Roman"/>
          <w:sz w:val="24"/>
          <w:szCs w:val="24"/>
        </w:rPr>
        <w:t xml:space="preserve"> contents of rat hepatic tissues in the different rat groups were analyzed during hepatocyte malignant transformation. A</w:t>
      </w:r>
      <w:r w:rsidR="005E3B22">
        <w:rPr>
          <w:rFonts w:ascii="Book Antiqua" w:hAnsi="Book Antiqua" w:cs="Times New Roman" w:hint="eastAsia"/>
          <w:sz w:val="24"/>
          <w:szCs w:val="24"/>
        </w:rPr>
        <w:t>:</w:t>
      </w:r>
      <w:r w:rsidRPr="00705846">
        <w:rPr>
          <w:rFonts w:ascii="Book Antiqua" w:hAnsi="Book Antiqua" w:cs="Times New Roman"/>
          <w:sz w:val="24"/>
          <w:szCs w:val="24"/>
        </w:rPr>
        <w:t xml:space="preserve"> </w:t>
      </w:r>
      <w:r w:rsidR="005E3B22" w:rsidRPr="00705846">
        <w:rPr>
          <w:rFonts w:ascii="Book Antiqua" w:hAnsi="Book Antiqua" w:cs="Times New Roman"/>
          <w:sz w:val="24"/>
          <w:szCs w:val="24"/>
        </w:rPr>
        <w:t xml:space="preserve">The </w:t>
      </w:r>
      <w:r w:rsidRPr="00705846">
        <w:rPr>
          <w:rFonts w:ascii="Book Antiqua" w:hAnsi="Book Antiqua" w:cs="Times New Roman"/>
          <w:sz w:val="24"/>
          <w:szCs w:val="24"/>
        </w:rPr>
        <w:t>liver sections of control rats with the normal diet; B</w:t>
      </w:r>
      <w:r w:rsidR="005E3B22">
        <w:rPr>
          <w:rFonts w:ascii="Book Antiqua" w:hAnsi="Book Antiqua" w:cs="Times New Roman" w:hint="eastAsia"/>
          <w:sz w:val="24"/>
          <w:szCs w:val="24"/>
        </w:rPr>
        <w:t>:</w:t>
      </w:r>
      <w:r w:rsidRPr="00705846">
        <w:rPr>
          <w:rFonts w:ascii="Book Antiqua" w:hAnsi="Book Antiqua" w:cs="Times New Roman"/>
          <w:sz w:val="24"/>
          <w:szCs w:val="24"/>
        </w:rPr>
        <w:t xml:space="preserve"> </w:t>
      </w:r>
      <w:r w:rsidR="005E3B22" w:rsidRPr="00705846">
        <w:rPr>
          <w:rFonts w:ascii="Book Antiqua" w:hAnsi="Book Antiqua" w:cs="Times New Roman"/>
          <w:sz w:val="24"/>
          <w:szCs w:val="24"/>
        </w:rPr>
        <w:t xml:space="preserve">The </w:t>
      </w:r>
      <w:r w:rsidRPr="00705846">
        <w:rPr>
          <w:rFonts w:ascii="Book Antiqua" w:hAnsi="Book Antiqua" w:cs="Times New Roman"/>
          <w:sz w:val="24"/>
          <w:szCs w:val="24"/>
        </w:rPr>
        <w:t>liver sections of the fatty liver rats with high fat diet without 2-fluorenylacetamide (2-FAA); C</w:t>
      </w:r>
      <w:r w:rsidR="005E3B22">
        <w:rPr>
          <w:rFonts w:ascii="Book Antiqua" w:hAnsi="Book Antiqua" w:cs="Times New Roman" w:hint="eastAsia"/>
          <w:sz w:val="24"/>
          <w:szCs w:val="24"/>
        </w:rPr>
        <w:t xml:space="preserve">: </w:t>
      </w:r>
      <w:r w:rsidR="005E3B22" w:rsidRPr="00705846">
        <w:rPr>
          <w:rFonts w:ascii="Book Antiqua" w:hAnsi="Book Antiqua" w:cs="Times New Roman"/>
          <w:sz w:val="24"/>
          <w:szCs w:val="24"/>
        </w:rPr>
        <w:t xml:space="preserve">The </w:t>
      </w:r>
      <w:r w:rsidRPr="00705846">
        <w:rPr>
          <w:rFonts w:ascii="Book Antiqua" w:hAnsi="Book Antiqua" w:cs="Times New Roman"/>
          <w:sz w:val="24"/>
          <w:szCs w:val="24"/>
        </w:rPr>
        <w:t>liver sections of the regeneration rats with high fat diet containing 2-FAA at early stage; D</w:t>
      </w:r>
      <w:r w:rsidR="005E3B22">
        <w:rPr>
          <w:rFonts w:ascii="Book Antiqua" w:hAnsi="Book Antiqua" w:cs="Times New Roman" w:hint="eastAsia"/>
          <w:sz w:val="24"/>
          <w:szCs w:val="24"/>
        </w:rPr>
        <w:t>:</w:t>
      </w:r>
      <w:r w:rsidRPr="00705846">
        <w:rPr>
          <w:rFonts w:ascii="Book Antiqua" w:hAnsi="Book Antiqua" w:cs="Times New Roman"/>
          <w:sz w:val="24"/>
          <w:szCs w:val="24"/>
        </w:rPr>
        <w:t xml:space="preserve"> </w:t>
      </w:r>
      <w:r w:rsidR="005E3B22" w:rsidRPr="00705846">
        <w:rPr>
          <w:rFonts w:ascii="Book Antiqua" w:hAnsi="Book Antiqua" w:cs="Times New Roman"/>
          <w:sz w:val="24"/>
          <w:szCs w:val="24"/>
        </w:rPr>
        <w:t xml:space="preserve">The </w:t>
      </w:r>
      <w:r w:rsidRPr="00705846">
        <w:rPr>
          <w:rFonts w:ascii="Book Antiqua" w:hAnsi="Book Antiqua" w:cs="Times New Roman"/>
          <w:sz w:val="24"/>
          <w:szCs w:val="24"/>
        </w:rPr>
        <w:t>liver sections of precancerous rats with high fat diet containing 2-FAA at interim stage; and E, the liver sections of cancerous rats with high fat diet co</w:t>
      </w:r>
      <w:r w:rsidR="005E3B22">
        <w:rPr>
          <w:rFonts w:ascii="Book Antiqua" w:hAnsi="Book Antiqua" w:cs="Times New Roman"/>
          <w:sz w:val="24"/>
          <w:szCs w:val="24"/>
        </w:rPr>
        <w:t xml:space="preserve">ntaining 2-FAA at later stage. </w:t>
      </w:r>
      <w:r w:rsidR="005E3B22">
        <w:rPr>
          <w:rFonts w:ascii="Book Antiqua" w:hAnsi="Book Antiqua" w:cs="Times New Roman" w:hint="eastAsia"/>
          <w:sz w:val="24"/>
          <w:szCs w:val="24"/>
          <w:vertAlign w:val="superscript"/>
        </w:rPr>
        <w:t>a</w:t>
      </w:r>
      <w:r w:rsidRPr="005E3B22">
        <w:rPr>
          <w:rFonts w:ascii="Book Antiqua" w:hAnsi="Book Antiqua" w:cs="Times New Roman"/>
          <w:i/>
          <w:sz w:val="24"/>
          <w:szCs w:val="24"/>
        </w:rPr>
        <w:t>P</w:t>
      </w:r>
      <w:r w:rsidR="005E3B22">
        <w:rPr>
          <w:rFonts w:ascii="Book Antiqua" w:hAnsi="Book Antiqua" w:cs="Times New Roman"/>
          <w:sz w:val="24"/>
          <w:szCs w:val="24"/>
        </w:rPr>
        <w:t xml:space="preserve"> &lt; 0.05</w:t>
      </w:r>
      <w:r w:rsidRPr="00705846">
        <w:rPr>
          <w:rFonts w:ascii="Book Antiqua" w:hAnsi="Book Antiqua" w:cs="Times New Roman"/>
          <w:sz w:val="24"/>
          <w:szCs w:val="24"/>
        </w:rPr>
        <w:t>.</w:t>
      </w:r>
    </w:p>
    <w:p w:rsidR="00341958" w:rsidRPr="00705846" w:rsidRDefault="00341958">
      <w:pPr>
        <w:pStyle w:val="10"/>
        <w:widowControl/>
        <w:pBdr>
          <w:bottom w:val="single" w:sz="6" w:space="1" w:color="auto"/>
        </w:pBdr>
        <w:shd w:val="clear" w:color="auto" w:fill="FFFFFF"/>
        <w:spacing w:line="360" w:lineRule="auto"/>
        <w:ind w:firstLineChars="0" w:firstLine="0"/>
        <w:rPr>
          <w:rFonts w:ascii="Book Antiqua" w:hAnsi="Book Antiqua" w:cs="Times New Roman"/>
          <w:sz w:val="24"/>
          <w:szCs w:val="24"/>
        </w:rPr>
      </w:pPr>
    </w:p>
    <w:p w:rsidR="00341958" w:rsidRPr="00705846" w:rsidRDefault="00341958">
      <w:pPr>
        <w:pStyle w:val="10"/>
        <w:widowControl/>
        <w:pBdr>
          <w:bottom w:val="single" w:sz="6" w:space="1" w:color="auto"/>
        </w:pBdr>
        <w:shd w:val="clear" w:color="auto" w:fill="FFFFFF"/>
        <w:spacing w:line="360" w:lineRule="auto"/>
        <w:ind w:firstLineChars="0" w:firstLine="0"/>
        <w:rPr>
          <w:rFonts w:ascii="Book Antiqua" w:hAnsi="Book Antiqua" w:cs="Times New Roman"/>
          <w:sz w:val="24"/>
          <w:szCs w:val="24"/>
        </w:rPr>
      </w:pPr>
    </w:p>
    <w:p w:rsidR="00341958" w:rsidRPr="00705846" w:rsidRDefault="00341958">
      <w:pPr>
        <w:pStyle w:val="10"/>
        <w:widowControl/>
        <w:pBdr>
          <w:bottom w:val="single" w:sz="6" w:space="1" w:color="auto"/>
        </w:pBdr>
        <w:shd w:val="clear" w:color="auto" w:fill="FFFFFF"/>
        <w:spacing w:line="360" w:lineRule="auto"/>
        <w:ind w:firstLineChars="0" w:firstLine="0"/>
        <w:rPr>
          <w:rFonts w:ascii="Book Antiqua" w:hAnsi="Book Antiqua" w:cs="Times New Roman"/>
          <w:sz w:val="24"/>
          <w:szCs w:val="24"/>
        </w:rPr>
      </w:pPr>
    </w:p>
    <w:p w:rsidR="00341958" w:rsidRPr="00705846" w:rsidRDefault="00341958">
      <w:pPr>
        <w:pStyle w:val="10"/>
        <w:widowControl/>
        <w:pBdr>
          <w:bottom w:val="single" w:sz="6" w:space="1" w:color="auto"/>
        </w:pBdr>
        <w:shd w:val="clear" w:color="auto" w:fill="FFFFFF"/>
        <w:spacing w:line="360" w:lineRule="auto"/>
        <w:ind w:firstLineChars="0" w:firstLine="0"/>
        <w:rPr>
          <w:rFonts w:ascii="Book Antiqua" w:hAnsi="Book Antiqua" w:cs="Times New Roman"/>
          <w:sz w:val="24"/>
          <w:szCs w:val="24"/>
        </w:rPr>
      </w:pPr>
    </w:p>
    <w:p w:rsidR="00341958" w:rsidRPr="00705846" w:rsidRDefault="00341958">
      <w:pPr>
        <w:pStyle w:val="10"/>
        <w:widowControl/>
        <w:pBdr>
          <w:bottom w:val="single" w:sz="6" w:space="1" w:color="auto"/>
        </w:pBdr>
        <w:shd w:val="clear" w:color="auto" w:fill="FFFFFF"/>
        <w:spacing w:line="360" w:lineRule="auto"/>
        <w:ind w:firstLineChars="0" w:firstLine="0"/>
        <w:rPr>
          <w:rFonts w:ascii="Book Antiqua" w:hAnsi="Book Antiqua" w:cs="Times New Roman"/>
          <w:sz w:val="24"/>
          <w:szCs w:val="24"/>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b/>
          <w:bCs/>
          <w:color w:val="000000"/>
          <w:sz w:val="24"/>
          <w:szCs w:val="24"/>
          <w:lang w:val="fr-FR"/>
        </w:rPr>
      </w:pPr>
    </w:p>
    <w:p w:rsidR="00341958" w:rsidRPr="00705846" w:rsidRDefault="00341958">
      <w:pPr>
        <w:spacing w:line="360" w:lineRule="auto"/>
        <w:rPr>
          <w:rFonts w:ascii="Book Antiqua" w:hAnsi="Book Antiqua" w:cs="Times New Roman"/>
          <w:sz w:val="24"/>
          <w:szCs w:val="24"/>
        </w:rPr>
      </w:pPr>
    </w:p>
    <w:p w:rsidR="00341958" w:rsidRPr="00705846" w:rsidRDefault="00784885">
      <w:pPr>
        <w:spacing w:line="360" w:lineRule="auto"/>
        <w:jc w:val="center"/>
        <w:rPr>
          <w:rFonts w:ascii="Book Antiqua" w:hAnsi="Book Antiqua"/>
          <w:sz w:val="24"/>
          <w:szCs w:val="24"/>
        </w:rPr>
      </w:pPr>
      <w:r>
        <w:rPr>
          <w:rFonts w:ascii="Book Antiqua" w:hAnsi="Book Antiqua"/>
          <w:noProof/>
          <w:sz w:val="24"/>
          <w:szCs w:val="24"/>
        </w:rPr>
        <w:drawing>
          <wp:inline distT="0" distB="0" distL="0" distR="0">
            <wp:extent cx="5372100" cy="3724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3724275"/>
                    </a:xfrm>
                    <a:prstGeom prst="rect">
                      <a:avLst/>
                    </a:prstGeom>
                    <a:noFill/>
                    <a:ln>
                      <a:noFill/>
                    </a:ln>
                  </pic:spPr>
                </pic:pic>
              </a:graphicData>
            </a:graphic>
          </wp:inline>
        </w:drawing>
      </w:r>
    </w:p>
    <w:p w:rsidR="00341958" w:rsidRPr="005E3B22" w:rsidRDefault="00705846">
      <w:pPr>
        <w:pStyle w:val="10"/>
        <w:widowControl/>
        <w:pBdr>
          <w:bottom w:val="single" w:sz="6" w:space="1" w:color="auto"/>
        </w:pBdr>
        <w:shd w:val="clear" w:color="auto" w:fill="FFFFFF"/>
        <w:spacing w:line="360" w:lineRule="auto"/>
        <w:ind w:firstLineChars="0" w:firstLine="0"/>
        <w:rPr>
          <w:rFonts w:ascii="Book Antiqua" w:hAnsi="Book Antiqua" w:cs="Times New Roman"/>
          <w:b/>
          <w:bCs/>
          <w:sz w:val="24"/>
          <w:szCs w:val="24"/>
        </w:rPr>
      </w:pPr>
      <w:r w:rsidRPr="00705846">
        <w:rPr>
          <w:rFonts w:ascii="Book Antiqua" w:hAnsi="Book Antiqua" w:cs="Times New Roman"/>
          <w:b/>
          <w:bCs/>
          <w:sz w:val="24"/>
          <w:szCs w:val="24"/>
        </w:rPr>
        <w:t xml:space="preserve">Figure 4 Immunohistochemical analysis of </w:t>
      </w:r>
      <w:r w:rsidR="00572FF7" w:rsidRPr="00572FF7">
        <w:rPr>
          <w:rFonts w:ascii="Book Antiqua" w:hAnsi="Book Antiqua" w:cs="Times New Roman"/>
          <w:b/>
          <w:bCs/>
          <w:sz w:val="24"/>
          <w:szCs w:val="24"/>
        </w:rPr>
        <w:t>carnitine palmitoyl transferase II</w:t>
      </w:r>
      <w:r w:rsidRPr="00705846">
        <w:rPr>
          <w:rFonts w:ascii="Book Antiqua" w:hAnsi="Book Antiqua" w:cs="Times New Roman"/>
          <w:b/>
          <w:bCs/>
          <w:sz w:val="24"/>
          <w:szCs w:val="24"/>
        </w:rPr>
        <w:t xml:space="preserve"> expression</w:t>
      </w:r>
      <w:r w:rsidR="005E3B22">
        <w:rPr>
          <w:rFonts w:ascii="Book Antiqua" w:hAnsi="Book Antiqua" w:cs="Times New Roman" w:hint="eastAsia"/>
          <w:b/>
          <w:bCs/>
          <w:sz w:val="24"/>
          <w:szCs w:val="24"/>
        </w:rPr>
        <w:t xml:space="preserve">. </w:t>
      </w:r>
      <w:r w:rsidRPr="00705846">
        <w:rPr>
          <w:rFonts w:ascii="Book Antiqua" w:hAnsi="Book Antiqua" w:cs="Times New Roman"/>
          <w:color w:val="000000"/>
          <w:sz w:val="24"/>
          <w:szCs w:val="24"/>
        </w:rPr>
        <w:t xml:space="preserve">The </w:t>
      </w:r>
      <w:r w:rsidR="00572FF7" w:rsidRPr="00572FF7">
        <w:rPr>
          <w:rFonts w:ascii="Book Antiqua" w:hAnsi="Book Antiqua" w:cs="Times New Roman"/>
          <w:sz w:val="24"/>
          <w:szCs w:val="24"/>
        </w:rPr>
        <w:t xml:space="preserve">carnitine palmitoyl transferase II </w:t>
      </w:r>
      <w:r w:rsidR="00572FF7">
        <w:rPr>
          <w:rFonts w:ascii="Book Antiqua" w:hAnsi="Book Antiqua" w:cs="Times New Roman" w:hint="eastAsia"/>
          <w:sz w:val="24"/>
          <w:szCs w:val="24"/>
        </w:rPr>
        <w:t>(</w:t>
      </w:r>
      <w:r w:rsidR="00572FF7" w:rsidRPr="00705846">
        <w:rPr>
          <w:rFonts w:ascii="Book Antiqua" w:hAnsi="Book Antiqua" w:cs="Times New Roman"/>
          <w:sz w:val="24"/>
          <w:szCs w:val="24"/>
        </w:rPr>
        <w:t>CPT-II</w:t>
      </w:r>
      <w:r w:rsidR="00572FF7">
        <w:rPr>
          <w:rFonts w:ascii="Book Antiqua" w:hAnsi="Book Antiqua" w:cs="Times New Roman" w:hint="eastAsia"/>
          <w:sz w:val="24"/>
          <w:szCs w:val="24"/>
        </w:rPr>
        <w:t>)</w:t>
      </w:r>
      <w:r w:rsidRPr="00705846">
        <w:rPr>
          <w:rFonts w:ascii="Book Antiqua" w:hAnsi="Book Antiqua"/>
          <w:color w:val="000000"/>
          <w:sz w:val="24"/>
          <w:szCs w:val="24"/>
        </w:rPr>
        <w:t xml:space="preserve"> </w:t>
      </w:r>
      <w:r w:rsidRPr="00705846">
        <w:rPr>
          <w:rFonts w:ascii="Book Antiqua" w:hAnsi="Book Antiqua" w:cs="Times New Roman"/>
          <w:color w:val="000000"/>
          <w:sz w:val="24"/>
          <w:szCs w:val="24"/>
        </w:rPr>
        <w:t>contents of rat hepatic tissues in the different rat groups were analyzed by immunohistochemistr</w:t>
      </w:r>
      <w:r w:rsidRPr="005E3B22">
        <w:rPr>
          <w:rFonts w:ascii="Book Antiqua" w:hAnsi="Book Antiqua" w:cs="Times New Roman"/>
          <w:color w:val="000000"/>
          <w:sz w:val="24"/>
          <w:szCs w:val="24"/>
        </w:rPr>
        <w:t xml:space="preserve">y. </w:t>
      </w:r>
      <w:r w:rsidRPr="005E3B22">
        <w:rPr>
          <w:rFonts w:ascii="Book Antiqua" w:hAnsi="Book Antiqua" w:cs="Times New Roman"/>
          <w:bCs/>
          <w:color w:val="000000"/>
          <w:sz w:val="24"/>
          <w:szCs w:val="24"/>
        </w:rPr>
        <w:t>A</w:t>
      </w:r>
      <w:r w:rsidR="005E3B22" w:rsidRPr="005E3B22">
        <w:rPr>
          <w:rFonts w:ascii="Book Antiqua" w:hAnsi="Book Antiqua" w:cs="Times New Roman" w:hint="eastAsia"/>
          <w:bCs/>
          <w:color w:val="000000"/>
          <w:sz w:val="24"/>
          <w:szCs w:val="24"/>
        </w:rPr>
        <w:t xml:space="preserve">: </w:t>
      </w:r>
      <w:r w:rsidRPr="005E3B22">
        <w:rPr>
          <w:rFonts w:ascii="Book Antiqua" w:hAnsi="Book Antiqua" w:cs="Times New Roman"/>
          <w:color w:val="000000"/>
          <w:sz w:val="24"/>
          <w:szCs w:val="24"/>
        </w:rPr>
        <w:t xml:space="preserve">the liver sections of control rats with the normal diet; </w:t>
      </w:r>
      <w:r w:rsidRPr="005E3B22">
        <w:rPr>
          <w:rFonts w:ascii="Book Antiqua" w:hAnsi="Book Antiqua" w:cs="Times New Roman"/>
          <w:bCs/>
          <w:color w:val="000000"/>
          <w:sz w:val="24"/>
          <w:szCs w:val="24"/>
        </w:rPr>
        <w:t>B</w:t>
      </w:r>
      <w:r w:rsidR="005E3B22" w:rsidRPr="005E3B22">
        <w:rPr>
          <w:rFonts w:ascii="Book Antiqua" w:hAnsi="Book Antiqua" w:cs="Times New Roman" w:hint="eastAsia"/>
          <w:bCs/>
          <w:color w:val="000000"/>
          <w:sz w:val="24"/>
          <w:szCs w:val="24"/>
        </w:rPr>
        <w:t xml:space="preserve">: </w:t>
      </w:r>
      <w:r w:rsidRPr="005E3B22">
        <w:rPr>
          <w:rFonts w:ascii="Book Antiqua" w:hAnsi="Book Antiqua" w:cs="Times New Roman"/>
          <w:color w:val="000000"/>
          <w:sz w:val="24"/>
          <w:szCs w:val="24"/>
        </w:rPr>
        <w:t xml:space="preserve">the liver sections of the fatty liver rats with high fat diet without </w:t>
      </w:r>
      <w:r w:rsidRPr="005E3B22">
        <w:rPr>
          <w:rFonts w:ascii="Book Antiqua" w:eastAsia="KaiTi_GB2312" w:hAnsi="Book Antiqua" w:cs="Times New Roman"/>
          <w:color w:val="000000"/>
          <w:sz w:val="24"/>
          <w:szCs w:val="24"/>
        </w:rPr>
        <w:t xml:space="preserve">2-fluorenyl acetamide </w:t>
      </w:r>
      <w:r w:rsidRPr="005E3B22">
        <w:rPr>
          <w:rFonts w:ascii="Book Antiqua" w:hAnsi="Book Antiqua" w:cs="Times New Roman"/>
          <w:color w:val="000000"/>
          <w:sz w:val="24"/>
          <w:szCs w:val="24"/>
        </w:rPr>
        <w:t xml:space="preserve">(2-FAA); </w:t>
      </w:r>
      <w:r w:rsidRPr="005E3B22">
        <w:rPr>
          <w:rFonts w:ascii="Book Antiqua" w:hAnsi="Book Antiqua" w:cs="Times New Roman"/>
          <w:bCs/>
          <w:color w:val="000000"/>
          <w:sz w:val="24"/>
          <w:szCs w:val="24"/>
        </w:rPr>
        <w:t>C</w:t>
      </w:r>
      <w:r w:rsidR="005E3B22" w:rsidRPr="005E3B22">
        <w:rPr>
          <w:rFonts w:ascii="Book Antiqua" w:hAnsi="Book Antiqua" w:cs="Times New Roman" w:hint="eastAsia"/>
          <w:bCs/>
          <w:color w:val="000000"/>
          <w:sz w:val="24"/>
          <w:szCs w:val="24"/>
        </w:rPr>
        <w:t xml:space="preserve">: </w:t>
      </w:r>
      <w:r w:rsidRPr="005E3B22">
        <w:rPr>
          <w:rFonts w:ascii="Book Antiqua" w:hAnsi="Book Antiqua" w:cs="Times New Roman"/>
          <w:color w:val="000000"/>
          <w:sz w:val="24"/>
          <w:szCs w:val="24"/>
        </w:rPr>
        <w:t xml:space="preserve">the liver sections of the regeneration rats with high fat diet containing 2-FAA at early stage; </w:t>
      </w:r>
      <w:r w:rsidRPr="005E3B22">
        <w:rPr>
          <w:rFonts w:ascii="Book Antiqua" w:hAnsi="Book Antiqua" w:cs="Times New Roman"/>
          <w:bCs/>
          <w:color w:val="000000"/>
          <w:sz w:val="24"/>
          <w:szCs w:val="24"/>
        </w:rPr>
        <w:t>D</w:t>
      </w:r>
      <w:r w:rsidR="005E3B22" w:rsidRPr="005E3B22">
        <w:rPr>
          <w:rFonts w:ascii="Book Antiqua" w:hAnsi="Book Antiqua" w:cs="Times New Roman" w:hint="eastAsia"/>
          <w:bCs/>
          <w:color w:val="000000"/>
          <w:sz w:val="24"/>
          <w:szCs w:val="24"/>
        </w:rPr>
        <w:t>:</w:t>
      </w:r>
      <w:r w:rsidRPr="005E3B22">
        <w:rPr>
          <w:rFonts w:ascii="Book Antiqua" w:hAnsi="Book Antiqua" w:cs="Times New Roman"/>
          <w:bCs/>
          <w:color w:val="000000"/>
          <w:sz w:val="24"/>
          <w:szCs w:val="24"/>
        </w:rPr>
        <w:t xml:space="preserve"> </w:t>
      </w:r>
      <w:r w:rsidRPr="005E3B22">
        <w:rPr>
          <w:rFonts w:ascii="Book Antiqua" w:hAnsi="Book Antiqua" w:cs="Times New Roman"/>
          <w:color w:val="000000"/>
          <w:sz w:val="24"/>
          <w:szCs w:val="24"/>
        </w:rPr>
        <w:t xml:space="preserve">the liver sections of precancerous rats with high fat diet containing 2-FAA at interim stage; and </w:t>
      </w:r>
      <w:r w:rsidRPr="005E3B22">
        <w:rPr>
          <w:rFonts w:ascii="Book Antiqua" w:hAnsi="Book Antiqua" w:cs="Times New Roman"/>
          <w:bCs/>
          <w:color w:val="000000"/>
          <w:sz w:val="24"/>
          <w:szCs w:val="24"/>
        </w:rPr>
        <w:t>E</w:t>
      </w:r>
      <w:r w:rsidR="005E3B22" w:rsidRPr="005E3B22">
        <w:rPr>
          <w:rFonts w:ascii="Book Antiqua" w:hAnsi="Book Antiqua" w:cs="Times New Roman" w:hint="eastAsia"/>
          <w:bCs/>
          <w:color w:val="000000"/>
          <w:sz w:val="24"/>
          <w:szCs w:val="24"/>
        </w:rPr>
        <w:t>:</w:t>
      </w:r>
      <w:r w:rsidRPr="005E3B22">
        <w:rPr>
          <w:rFonts w:ascii="Book Antiqua" w:hAnsi="Book Antiqua" w:cs="Times New Roman"/>
          <w:bCs/>
          <w:color w:val="000000"/>
          <w:sz w:val="24"/>
          <w:szCs w:val="24"/>
        </w:rPr>
        <w:t xml:space="preserve"> </w:t>
      </w:r>
      <w:r w:rsidRPr="005E3B22">
        <w:rPr>
          <w:rFonts w:ascii="Book Antiqua" w:hAnsi="Book Antiqua" w:cs="Times New Roman"/>
          <w:color w:val="000000"/>
          <w:sz w:val="24"/>
          <w:szCs w:val="24"/>
        </w:rPr>
        <w:t xml:space="preserve">the liver sections of cancerous rats with high fat diet containing 2-FAA at later stage. F, the </w:t>
      </w:r>
      <w:r w:rsidRPr="005E3B22">
        <w:rPr>
          <w:rFonts w:ascii="Book Antiqua" w:eastAsia="KaiTi_GB2312" w:hAnsi="Book Antiqua" w:cs="Times New Roman"/>
          <w:color w:val="000000"/>
          <w:sz w:val="24"/>
          <w:szCs w:val="24"/>
        </w:rPr>
        <w:t>relative quantitative analysis on CPT-II in the liver tissue</w:t>
      </w:r>
      <w:r w:rsidRPr="005E3B22">
        <w:rPr>
          <w:rFonts w:ascii="Book Antiqua" w:hAnsi="Book Antiqua" w:cs="Times New Roman"/>
          <w:color w:val="000000"/>
          <w:sz w:val="24"/>
          <w:szCs w:val="24"/>
        </w:rPr>
        <w:t>;</w:t>
      </w:r>
      <w:r w:rsidRPr="005E3B22">
        <w:rPr>
          <w:rFonts w:ascii="Book Antiqua" w:hAnsi="Book Antiqua" w:cs="Times New Roman"/>
          <w:bCs/>
          <w:color w:val="000000"/>
          <w:sz w:val="24"/>
          <w:szCs w:val="24"/>
        </w:rPr>
        <w:t xml:space="preserve"> A </w:t>
      </w:r>
      <w:r w:rsidR="005E3B22" w:rsidRPr="005E3B22">
        <w:rPr>
          <w:rFonts w:ascii="Book Antiqua" w:hAnsi="Book Antiqua" w:cs="Times New Roman"/>
          <w:bCs/>
          <w:color w:val="000000"/>
          <w:sz w:val="24"/>
          <w:szCs w:val="24"/>
        </w:rPr>
        <w:t>–</w:t>
      </w:r>
      <w:r w:rsidR="005E3B22" w:rsidRPr="005E3B22">
        <w:rPr>
          <w:rFonts w:ascii="Book Antiqua" w:hAnsi="Book Antiqua" w:cs="Times New Roman" w:hint="eastAsia"/>
          <w:bCs/>
          <w:color w:val="000000"/>
          <w:sz w:val="24"/>
          <w:szCs w:val="24"/>
        </w:rPr>
        <w:t xml:space="preserve"> </w:t>
      </w:r>
      <w:r w:rsidRPr="005E3B22">
        <w:rPr>
          <w:rFonts w:ascii="Book Antiqua" w:hAnsi="Book Antiqua" w:cs="Times New Roman"/>
          <w:bCs/>
          <w:color w:val="000000"/>
          <w:sz w:val="24"/>
          <w:szCs w:val="24"/>
        </w:rPr>
        <w:t>E</w:t>
      </w:r>
      <w:r w:rsidR="005E3B22" w:rsidRPr="005E3B22">
        <w:rPr>
          <w:rFonts w:ascii="Book Antiqua" w:hAnsi="Book Antiqua" w:cs="Times New Roman" w:hint="eastAsia"/>
          <w:color w:val="000000"/>
          <w:sz w:val="24"/>
          <w:szCs w:val="24"/>
        </w:rPr>
        <w:t>:</w:t>
      </w:r>
      <w:r w:rsidRPr="005E3B22">
        <w:rPr>
          <w:rFonts w:ascii="Book Antiqua" w:hAnsi="Book Antiqua" w:cs="Times New Roman"/>
          <w:color w:val="000000"/>
          <w:sz w:val="24"/>
          <w:szCs w:val="24"/>
        </w:rPr>
        <w:t xml:space="preserve"> the original magnification× 200;</w:t>
      </w:r>
      <w:r w:rsidRPr="005E3B22">
        <w:rPr>
          <w:rFonts w:ascii="Book Antiqua" w:hAnsi="Book Antiqua" w:cs="Times New Roman"/>
          <w:bCs/>
          <w:color w:val="000000"/>
          <w:sz w:val="24"/>
          <w:szCs w:val="24"/>
        </w:rPr>
        <w:t xml:space="preserve"> A</w:t>
      </w:r>
      <w:r w:rsidRPr="005E3B22">
        <w:rPr>
          <w:rFonts w:ascii="Book Antiqua" w:hAnsi="Book Antiqua" w:cs="Times New Roman"/>
          <w:bCs/>
          <w:color w:val="000000"/>
          <w:sz w:val="24"/>
          <w:szCs w:val="24"/>
          <w:vertAlign w:val="subscript"/>
        </w:rPr>
        <w:t>1</w:t>
      </w:r>
      <w:r w:rsidR="005E3B22" w:rsidRPr="005E3B22">
        <w:rPr>
          <w:rFonts w:ascii="Book Antiqua" w:hAnsi="Book Antiqua" w:cs="Times New Roman" w:hint="eastAsia"/>
          <w:bCs/>
          <w:color w:val="000000"/>
          <w:sz w:val="24"/>
          <w:szCs w:val="24"/>
          <w:vertAlign w:val="subscript"/>
        </w:rPr>
        <w:t xml:space="preserve"> </w:t>
      </w:r>
      <w:r w:rsidR="005E3B22" w:rsidRPr="005E3B22">
        <w:rPr>
          <w:rFonts w:ascii="Book Antiqua" w:hAnsi="Book Antiqua" w:cs="Times New Roman" w:hint="eastAsia"/>
          <w:bCs/>
          <w:color w:val="000000"/>
          <w:sz w:val="24"/>
          <w:szCs w:val="24"/>
        </w:rPr>
        <w:t>-</w:t>
      </w:r>
      <w:r w:rsidRPr="005E3B22">
        <w:rPr>
          <w:rFonts w:ascii="Book Antiqua" w:hAnsi="Book Antiqua" w:cs="Times New Roman"/>
          <w:bCs/>
          <w:color w:val="000000"/>
          <w:sz w:val="24"/>
          <w:szCs w:val="24"/>
        </w:rPr>
        <w:t xml:space="preserve"> E</w:t>
      </w:r>
      <w:r w:rsidRPr="005E3B22">
        <w:rPr>
          <w:rFonts w:ascii="Book Antiqua" w:hAnsi="Book Antiqua" w:cs="Times New Roman"/>
          <w:bCs/>
          <w:color w:val="000000"/>
          <w:sz w:val="24"/>
          <w:szCs w:val="24"/>
          <w:vertAlign w:val="subscript"/>
        </w:rPr>
        <w:t>1</w:t>
      </w:r>
      <w:r w:rsidR="005E3B22" w:rsidRPr="005E3B22">
        <w:rPr>
          <w:rFonts w:ascii="Book Antiqua" w:hAnsi="Book Antiqua" w:cs="Times New Roman" w:hint="eastAsia"/>
          <w:color w:val="000000"/>
          <w:sz w:val="24"/>
          <w:szCs w:val="24"/>
        </w:rPr>
        <w:t xml:space="preserve">: </w:t>
      </w:r>
      <w:r w:rsidRPr="005E3B22">
        <w:rPr>
          <w:rFonts w:ascii="Book Antiqua" w:hAnsi="Book Antiqua" w:cs="Times New Roman"/>
          <w:color w:val="000000"/>
          <w:sz w:val="24"/>
          <w:szCs w:val="24"/>
        </w:rPr>
        <w:t>t</w:t>
      </w:r>
      <w:r w:rsidRPr="00705846">
        <w:rPr>
          <w:rFonts w:ascii="Book Antiqua" w:hAnsi="Book Antiqua" w:cs="Times New Roman"/>
          <w:color w:val="000000"/>
          <w:sz w:val="24"/>
          <w:szCs w:val="24"/>
        </w:rPr>
        <w:t>he original magnification× 400.</w:t>
      </w:r>
      <w:r w:rsidR="005E3B22">
        <w:rPr>
          <w:rFonts w:ascii="Book Antiqua" w:eastAsia="KaiTi_GB2312" w:hAnsi="Book Antiqua" w:cs="Times New Roman"/>
          <w:color w:val="000000"/>
          <w:sz w:val="24"/>
          <w:szCs w:val="24"/>
        </w:rPr>
        <w:t xml:space="preserve"> </w:t>
      </w:r>
      <w:r w:rsidR="005E3B22">
        <w:rPr>
          <w:rFonts w:ascii="Book Antiqua" w:eastAsia="KaiTi_GB2312" w:hAnsi="Book Antiqua" w:cs="Times New Roman" w:hint="eastAsia"/>
          <w:color w:val="000000"/>
          <w:sz w:val="24"/>
          <w:szCs w:val="24"/>
          <w:vertAlign w:val="superscript"/>
        </w:rPr>
        <w:t>a</w:t>
      </w:r>
      <w:r w:rsidRPr="00705846">
        <w:rPr>
          <w:rFonts w:ascii="Book Antiqua" w:eastAsia="KaiTi_GB2312" w:hAnsi="Book Antiqua" w:cs="Times New Roman"/>
          <w:i/>
          <w:iCs/>
          <w:color w:val="000000"/>
          <w:sz w:val="24"/>
          <w:szCs w:val="24"/>
        </w:rPr>
        <w:t>P</w:t>
      </w:r>
      <w:r w:rsidR="005E3B22">
        <w:rPr>
          <w:rFonts w:ascii="Book Antiqua" w:eastAsia="KaiTi_GB2312" w:hAnsi="Book Antiqua" w:cs="Times New Roman"/>
          <w:color w:val="000000"/>
          <w:sz w:val="24"/>
          <w:szCs w:val="24"/>
        </w:rPr>
        <w:t xml:space="preserve"> &lt; 0.05</w:t>
      </w:r>
      <w:r w:rsidRPr="00705846">
        <w:rPr>
          <w:rFonts w:ascii="Book Antiqua" w:eastAsia="KaiTi_GB2312" w:hAnsi="Book Antiqua" w:cs="Times New Roman"/>
          <w:color w:val="000000"/>
          <w:sz w:val="24"/>
          <w:szCs w:val="24"/>
        </w:rPr>
        <w:t>.</w:t>
      </w:r>
    </w:p>
    <w:sectPr w:rsidR="00341958" w:rsidRPr="005E3B22">
      <w:footerReference w:type="default" r:id="rId34"/>
      <w:pgSz w:w="11906" w:h="16838"/>
      <w:pgMar w:top="1440" w:right="1646"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535" w:rsidRDefault="00522535">
      <w:r>
        <w:separator/>
      </w:r>
    </w:p>
  </w:endnote>
  <w:endnote w:type="continuationSeparator" w:id="0">
    <w:p w:rsidR="00522535" w:rsidRDefault="0052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KaiTi_GB2312">
    <w:altName w:val="楷体_GB2312"/>
    <w:panose1 w:val="02010609060101010101"/>
    <w:charset w:val="86"/>
    <w:family w:val="modern"/>
    <w:pitch w:val="fixed"/>
    <w:sig w:usb0="800002BF" w:usb1="38CF7CFA" w:usb2="00000016" w:usb3="00000000" w:csb0="00040001" w:csb1="00000000"/>
  </w:font>
  <w:font w:name="楷体">
    <w:altName w:val="Arial Unicode MS"/>
    <w:charset w:val="86"/>
    <w:family w:val="modern"/>
    <w:pitch w:val="fixed"/>
    <w:sig w:usb0="00000000" w:usb1="38CF7CFA" w:usb2="00000016" w:usb3="00000000" w:csb0="00040001" w:csb1="00000000"/>
  </w:font>
  <w:font w:name="AdvTimes">
    <w:altName w:val="SimHei"/>
    <w:charset w:val="86"/>
    <w:family w:val="auto"/>
    <w:pitch w:val="default"/>
    <w:sig w:usb0="00000000" w:usb1="0000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inion">
    <w:altName w:val="SimSun"/>
    <w:charset w:val="86"/>
    <w:family w:val="roman"/>
    <w:pitch w:val="default"/>
    <w:sig w:usb0="00000000" w:usb1="00000000" w:usb2="00000010" w:usb3="00000000" w:csb0="00040000" w:csb1="00000000"/>
  </w:font>
  <w:font w:name="STKaiti">
    <w:altName w:val="Arial Unicode MS"/>
    <w:charset w:val="86"/>
    <w:family w:val="auto"/>
    <w:pitch w:val="variable"/>
    <w:sig w:usb0="00000000" w:usb1="080F0000" w:usb2="00000010" w:usb3="00000000" w:csb0="0004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D71" w:rsidRDefault="00784885">
    <w:pPr>
      <w:pStyle w:val="Footer"/>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13665"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1" w:rsidRDefault="00B33D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84885">
                            <w:rPr>
                              <w:noProof/>
                              <w:sz w:val="18"/>
                            </w:rPr>
                            <w:t>28</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8.95pt;height:11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" filled="f" stroked="f">
              <v:textbox style="mso-fit-shape-to-text:t" inset="0,0,0,0">
                <w:txbxContent>
                  <w:p w:rsidR="00B33D71" w:rsidRDefault="00B33D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84885">
                      <w:rPr>
                        <w:noProof/>
                        <w:sz w:val="18"/>
                      </w:rPr>
                      <w:t>28</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535" w:rsidRDefault="00522535">
      <w:r>
        <w:separator/>
      </w:r>
    </w:p>
  </w:footnote>
  <w:footnote w:type="continuationSeparator" w:id="0">
    <w:p w:rsidR="00522535" w:rsidRDefault="005225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E76841"/>
    <w:multiLevelType w:val="multilevel"/>
    <w:tmpl w:val="66E7684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7AC"/>
    <w:rsid w:val="000050DC"/>
    <w:rsid w:val="00005F71"/>
    <w:rsid w:val="000411E3"/>
    <w:rsid w:val="000617B4"/>
    <w:rsid w:val="000632EF"/>
    <w:rsid w:val="00083CAB"/>
    <w:rsid w:val="00085230"/>
    <w:rsid w:val="00091141"/>
    <w:rsid w:val="000B023D"/>
    <w:rsid w:val="000B195E"/>
    <w:rsid w:val="000B474B"/>
    <w:rsid w:val="00172068"/>
    <w:rsid w:val="00193170"/>
    <w:rsid w:val="00195EE2"/>
    <w:rsid w:val="001A09F5"/>
    <w:rsid w:val="001D109B"/>
    <w:rsid w:val="001D6FBB"/>
    <w:rsid w:val="001E4C47"/>
    <w:rsid w:val="0021198B"/>
    <w:rsid w:val="0021253D"/>
    <w:rsid w:val="00287066"/>
    <w:rsid w:val="002A5898"/>
    <w:rsid w:val="002C05CD"/>
    <w:rsid w:val="002C7DCB"/>
    <w:rsid w:val="002D77FE"/>
    <w:rsid w:val="002E2359"/>
    <w:rsid w:val="00301C0F"/>
    <w:rsid w:val="00341958"/>
    <w:rsid w:val="00391C7B"/>
    <w:rsid w:val="0040196B"/>
    <w:rsid w:val="00430FFA"/>
    <w:rsid w:val="00436B4B"/>
    <w:rsid w:val="00456666"/>
    <w:rsid w:val="00492D53"/>
    <w:rsid w:val="004B6B72"/>
    <w:rsid w:val="004C5789"/>
    <w:rsid w:val="004F1DB6"/>
    <w:rsid w:val="00501C90"/>
    <w:rsid w:val="0051484E"/>
    <w:rsid w:val="00522535"/>
    <w:rsid w:val="00555256"/>
    <w:rsid w:val="00565601"/>
    <w:rsid w:val="00572FF7"/>
    <w:rsid w:val="00590BE2"/>
    <w:rsid w:val="005C0438"/>
    <w:rsid w:val="005C33AE"/>
    <w:rsid w:val="005D0326"/>
    <w:rsid w:val="005D7D5F"/>
    <w:rsid w:val="005E3B22"/>
    <w:rsid w:val="005F03B4"/>
    <w:rsid w:val="006125C2"/>
    <w:rsid w:val="0061562E"/>
    <w:rsid w:val="0062719D"/>
    <w:rsid w:val="0063382A"/>
    <w:rsid w:val="006365DD"/>
    <w:rsid w:val="0067606A"/>
    <w:rsid w:val="006A0E8E"/>
    <w:rsid w:val="006E577A"/>
    <w:rsid w:val="006E6EFE"/>
    <w:rsid w:val="006F122D"/>
    <w:rsid w:val="006F6809"/>
    <w:rsid w:val="00705846"/>
    <w:rsid w:val="00715572"/>
    <w:rsid w:val="0075287E"/>
    <w:rsid w:val="007724DF"/>
    <w:rsid w:val="00784885"/>
    <w:rsid w:val="007A27AC"/>
    <w:rsid w:val="007D0E72"/>
    <w:rsid w:val="007F2F31"/>
    <w:rsid w:val="0084279D"/>
    <w:rsid w:val="00845BCB"/>
    <w:rsid w:val="0084661A"/>
    <w:rsid w:val="00877663"/>
    <w:rsid w:val="00885A2D"/>
    <w:rsid w:val="008A468E"/>
    <w:rsid w:val="008A4E74"/>
    <w:rsid w:val="008B47D5"/>
    <w:rsid w:val="009141B9"/>
    <w:rsid w:val="00920DD1"/>
    <w:rsid w:val="009451B5"/>
    <w:rsid w:val="0094585D"/>
    <w:rsid w:val="009578BA"/>
    <w:rsid w:val="00975D64"/>
    <w:rsid w:val="009934C2"/>
    <w:rsid w:val="0099676A"/>
    <w:rsid w:val="009D0D0A"/>
    <w:rsid w:val="009D2E1D"/>
    <w:rsid w:val="00A103CA"/>
    <w:rsid w:val="00A3487F"/>
    <w:rsid w:val="00A37C3C"/>
    <w:rsid w:val="00A4152F"/>
    <w:rsid w:val="00A44A73"/>
    <w:rsid w:val="00A51928"/>
    <w:rsid w:val="00A52000"/>
    <w:rsid w:val="00A657E7"/>
    <w:rsid w:val="00A909A0"/>
    <w:rsid w:val="00A92EFA"/>
    <w:rsid w:val="00AA0107"/>
    <w:rsid w:val="00AC1B14"/>
    <w:rsid w:val="00AC7FE2"/>
    <w:rsid w:val="00B1066E"/>
    <w:rsid w:val="00B12C3D"/>
    <w:rsid w:val="00B23A23"/>
    <w:rsid w:val="00B26E20"/>
    <w:rsid w:val="00B33013"/>
    <w:rsid w:val="00B33D71"/>
    <w:rsid w:val="00B5109C"/>
    <w:rsid w:val="00B70952"/>
    <w:rsid w:val="00B8382A"/>
    <w:rsid w:val="00BA161B"/>
    <w:rsid w:val="00C06FBC"/>
    <w:rsid w:val="00C200C5"/>
    <w:rsid w:val="00C4254C"/>
    <w:rsid w:val="00C60047"/>
    <w:rsid w:val="00CB1439"/>
    <w:rsid w:val="00CF4F26"/>
    <w:rsid w:val="00D1335F"/>
    <w:rsid w:val="00D13C15"/>
    <w:rsid w:val="00D335BA"/>
    <w:rsid w:val="00D37B1E"/>
    <w:rsid w:val="00D50E47"/>
    <w:rsid w:val="00D85001"/>
    <w:rsid w:val="00D87347"/>
    <w:rsid w:val="00DC578C"/>
    <w:rsid w:val="00DE39F0"/>
    <w:rsid w:val="00DE7333"/>
    <w:rsid w:val="00DF6957"/>
    <w:rsid w:val="00E25DD5"/>
    <w:rsid w:val="00E271A3"/>
    <w:rsid w:val="00E408CB"/>
    <w:rsid w:val="00E6587E"/>
    <w:rsid w:val="00EA246D"/>
    <w:rsid w:val="00EC5106"/>
    <w:rsid w:val="00ED6219"/>
    <w:rsid w:val="00EE12EE"/>
    <w:rsid w:val="00F025EA"/>
    <w:rsid w:val="00F070E3"/>
    <w:rsid w:val="00F25A1E"/>
    <w:rsid w:val="00F75842"/>
    <w:rsid w:val="00F82B48"/>
    <w:rsid w:val="00F927F6"/>
    <w:rsid w:val="00F9597C"/>
    <w:rsid w:val="00FC043D"/>
    <w:rsid w:val="00FC1FF5"/>
    <w:rsid w:val="00FE378F"/>
    <w:rsid w:val="00FF1964"/>
    <w:rsid w:val="010F2E30"/>
    <w:rsid w:val="016E18EB"/>
    <w:rsid w:val="022C5F41"/>
    <w:rsid w:val="02545FE7"/>
    <w:rsid w:val="03A40820"/>
    <w:rsid w:val="03B81173"/>
    <w:rsid w:val="03E17042"/>
    <w:rsid w:val="04860B85"/>
    <w:rsid w:val="04C45080"/>
    <w:rsid w:val="04EE3218"/>
    <w:rsid w:val="052866C4"/>
    <w:rsid w:val="05600FC4"/>
    <w:rsid w:val="05850440"/>
    <w:rsid w:val="05B33AB5"/>
    <w:rsid w:val="05D22431"/>
    <w:rsid w:val="06401554"/>
    <w:rsid w:val="06515C59"/>
    <w:rsid w:val="065D7D3C"/>
    <w:rsid w:val="06F47663"/>
    <w:rsid w:val="079F3934"/>
    <w:rsid w:val="080B474B"/>
    <w:rsid w:val="082108DF"/>
    <w:rsid w:val="08395E18"/>
    <w:rsid w:val="08EA1F0E"/>
    <w:rsid w:val="08F41C96"/>
    <w:rsid w:val="08F65D82"/>
    <w:rsid w:val="09D663A4"/>
    <w:rsid w:val="0A1E614D"/>
    <w:rsid w:val="0AA646E1"/>
    <w:rsid w:val="0C04695C"/>
    <w:rsid w:val="0C3306DE"/>
    <w:rsid w:val="0C5C6AAB"/>
    <w:rsid w:val="0CE77312"/>
    <w:rsid w:val="0E955B7A"/>
    <w:rsid w:val="0EDE5A85"/>
    <w:rsid w:val="0F093D67"/>
    <w:rsid w:val="0FF339DF"/>
    <w:rsid w:val="109D32E6"/>
    <w:rsid w:val="117B6D84"/>
    <w:rsid w:val="11C6071D"/>
    <w:rsid w:val="11EA13EE"/>
    <w:rsid w:val="120C1014"/>
    <w:rsid w:val="12677452"/>
    <w:rsid w:val="12DA1C5F"/>
    <w:rsid w:val="1346635C"/>
    <w:rsid w:val="144E1D0F"/>
    <w:rsid w:val="153F751E"/>
    <w:rsid w:val="16B32AA4"/>
    <w:rsid w:val="179F1D27"/>
    <w:rsid w:val="182E42C7"/>
    <w:rsid w:val="191101E4"/>
    <w:rsid w:val="19131278"/>
    <w:rsid w:val="194C7871"/>
    <w:rsid w:val="19F02442"/>
    <w:rsid w:val="1A3023B4"/>
    <w:rsid w:val="1A4F1910"/>
    <w:rsid w:val="1A6B50EF"/>
    <w:rsid w:val="1A9E487C"/>
    <w:rsid w:val="1B0D51EE"/>
    <w:rsid w:val="1BC07341"/>
    <w:rsid w:val="1CB84B69"/>
    <w:rsid w:val="1D08775A"/>
    <w:rsid w:val="1DE10B06"/>
    <w:rsid w:val="1E3253BB"/>
    <w:rsid w:val="1E5E643F"/>
    <w:rsid w:val="1F4845B7"/>
    <w:rsid w:val="1FBB67AE"/>
    <w:rsid w:val="1FBB685F"/>
    <w:rsid w:val="203D1BA6"/>
    <w:rsid w:val="211B76AB"/>
    <w:rsid w:val="217D4C8F"/>
    <w:rsid w:val="21A85CA6"/>
    <w:rsid w:val="21E80E1E"/>
    <w:rsid w:val="221D7D12"/>
    <w:rsid w:val="22AE2565"/>
    <w:rsid w:val="22E53D7B"/>
    <w:rsid w:val="231452DC"/>
    <w:rsid w:val="244C1C9C"/>
    <w:rsid w:val="24572631"/>
    <w:rsid w:val="24A904C0"/>
    <w:rsid w:val="25A56065"/>
    <w:rsid w:val="261C1EB3"/>
    <w:rsid w:val="26C12141"/>
    <w:rsid w:val="2836045C"/>
    <w:rsid w:val="2879682A"/>
    <w:rsid w:val="28A84FF2"/>
    <w:rsid w:val="29271B56"/>
    <w:rsid w:val="29C300DB"/>
    <w:rsid w:val="2AC20FFA"/>
    <w:rsid w:val="2AD40FC0"/>
    <w:rsid w:val="2B3913EF"/>
    <w:rsid w:val="2B956A34"/>
    <w:rsid w:val="2BE97FE8"/>
    <w:rsid w:val="2C773CA1"/>
    <w:rsid w:val="2C9512D3"/>
    <w:rsid w:val="2D12332B"/>
    <w:rsid w:val="2D480AC6"/>
    <w:rsid w:val="2DD77AE5"/>
    <w:rsid w:val="2DEE6F84"/>
    <w:rsid w:val="2F26139E"/>
    <w:rsid w:val="2FF8522A"/>
    <w:rsid w:val="303A5D2C"/>
    <w:rsid w:val="318A0AEA"/>
    <w:rsid w:val="31C57956"/>
    <w:rsid w:val="31EF3A1E"/>
    <w:rsid w:val="324029E2"/>
    <w:rsid w:val="32F9266F"/>
    <w:rsid w:val="33383AEC"/>
    <w:rsid w:val="335362A5"/>
    <w:rsid w:val="346F216F"/>
    <w:rsid w:val="34C97BE3"/>
    <w:rsid w:val="354430E2"/>
    <w:rsid w:val="37532DA6"/>
    <w:rsid w:val="3779180B"/>
    <w:rsid w:val="3818272A"/>
    <w:rsid w:val="38921D18"/>
    <w:rsid w:val="3906579F"/>
    <w:rsid w:val="397C57AA"/>
    <w:rsid w:val="39CF58DC"/>
    <w:rsid w:val="3A1E020A"/>
    <w:rsid w:val="3AA33D04"/>
    <w:rsid w:val="3AB925AA"/>
    <w:rsid w:val="3C4A4527"/>
    <w:rsid w:val="3CB33216"/>
    <w:rsid w:val="3CE95290"/>
    <w:rsid w:val="3D5F16C1"/>
    <w:rsid w:val="3DAF4C6C"/>
    <w:rsid w:val="3DE163E4"/>
    <w:rsid w:val="3EE322BC"/>
    <w:rsid w:val="3F526528"/>
    <w:rsid w:val="3FE9720D"/>
    <w:rsid w:val="419B60D0"/>
    <w:rsid w:val="421174BF"/>
    <w:rsid w:val="42A23D26"/>
    <w:rsid w:val="42C04272"/>
    <w:rsid w:val="434F3262"/>
    <w:rsid w:val="439B757F"/>
    <w:rsid w:val="44B75FD4"/>
    <w:rsid w:val="4598250E"/>
    <w:rsid w:val="45A97777"/>
    <w:rsid w:val="468445AB"/>
    <w:rsid w:val="46D07DEC"/>
    <w:rsid w:val="472F47F5"/>
    <w:rsid w:val="49847A65"/>
    <w:rsid w:val="498C36CE"/>
    <w:rsid w:val="49A66965"/>
    <w:rsid w:val="49D201A1"/>
    <w:rsid w:val="4A82773E"/>
    <w:rsid w:val="4ADD08CC"/>
    <w:rsid w:val="4B1C4501"/>
    <w:rsid w:val="4C3A41A7"/>
    <w:rsid w:val="4CA34C70"/>
    <w:rsid w:val="4CAF2804"/>
    <w:rsid w:val="4EC85565"/>
    <w:rsid w:val="4EE64878"/>
    <w:rsid w:val="4EF0734A"/>
    <w:rsid w:val="501F2345"/>
    <w:rsid w:val="50246480"/>
    <w:rsid w:val="50255F38"/>
    <w:rsid w:val="50403C72"/>
    <w:rsid w:val="5081245E"/>
    <w:rsid w:val="50C876A6"/>
    <w:rsid w:val="50FA681D"/>
    <w:rsid w:val="525659FF"/>
    <w:rsid w:val="52C31021"/>
    <w:rsid w:val="533154E2"/>
    <w:rsid w:val="537C61F3"/>
    <w:rsid w:val="53B34E17"/>
    <w:rsid w:val="53F704BB"/>
    <w:rsid w:val="545A518F"/>
    <w:rsid w:val="548B73CE"/>
    <w:rsid w:val="54D71668"/>
    <w:rsid w:val="54E85D4B"/>
    <w:rsid w:val="55236AFE"/>
    <w:rsid w:val="553579EA"/>
    <w:rsid w:val="554D5E7F"/>
    <w:rsid w:val="55EC02D0"/>
    <w:rsid w:val="55EC3FC8"/>
    <w:rsid w:val="56E17837"/>
    <w:rsid w:val="56E501D1"/>
    <w:rsid w:val="572C36E9"/>
    <w:rsid w:val="57DD55D7"/>
    <w:rsid w:val="58215C18"/>
    <w:rsid w:val="58DE0DFA"/>
    <w:rsid w:val="58FB7068"/>
    <w:rsid w:val="590B6A76"/>
    <w:rsid w:val="59FE04A6"/>
    <w:rsid w:val="5A3641AE"/>
    <w:rsid w:val="5B8F2A97"/>
    <w:rsid w:val="5BEA46E4"/>
    <w:rsid w:val="5C7622CA"/>
    <w:rsid w:val="5C9E498B"/>
    <w:rsid w:val="5CDB0EEA"/>
    <w:rsid w:val="5D183E85"/>
    <w:rsid w:val="5DB1298E"/>
    <w:rsid w:val="5E222538"/>
    <w:rsid w:val="5E7D1EB9"/>
    <w:rsid w:val="5EA52B61"/>
    <w:rsid w:val="5EA84B94"/>
    <w:rsid w:val="5F73164E"/>
    <w:rsid w:val="5FF16755"/>
    <w:rsid w:val="609F0986"/>
    <w:rsid w:val="60BD513E"/>
    <w:rsid w:val="60BF7019"/>
    <w:rsid w:val="6133572E"/>
    <w:rsid w:val="61A034C6"/>
    <w:rsid w:val="61DC66B3"/>
    <w:rsid w:val="62E802EA"/>
    <w:rsid w:val="632159FC"/>
    <w:rsid w:val="63617EF8"/>
    <w:rsid w:val="63C30AEF"/>
    <w:rsid w:val="64003A4C"/>
    <w:rsid w:val="64CF0498"/>
    <w:rsid w:val="65315ACE"/>
    <w:rsid w:val="65441C9D"/>
    <w:rsid w:val="6569724A"/>
    <w:rsid w:val="66B43DF6"/>
    <w:rsid w:val="66BA4AB9"/>
    <w:rsid w:val="673A76E1"/>
    <w:rsid w:val="67AB7C31"/>
    <w:rsid w:val="67D81560"/>
    <w:rsid w:val="67E307F0"/>
    <w:rsid w:val="683C07CC"/>
    <w:rsid w:val="68402252"/>
    <w:rsid w:val="68BC3634"/>
    <w:rsid w:val="693C254A"/>
    <w:rsid w:val="6A6F6E71"/>
    <w:rsid w:val="6B5809F7"/>
    <w:rsid w:val="6B595E6F"/>
    <w:rsid w:val="6B92180E"/>
    <w:rsid w:val="6C15735D"/>
    <w:rsid w:val="6C346732"/>
    <w:rsid w:val="6C784226"/>
    <w:rsid w:val="6CAE0998"/>
    <w:rsid w:val="6D9F11F0"/>
    <w:rsid w:val="6DBD30B0"/>
    <w:rsid w:val="6DE21CC9"/>
    <w:rsid w:val="6DF846C3"/>
    <w:rsid w:val="6EC92F29"/>
    <w:rsid w:val="6F0C0CCB"/>
    <w:rsid w:val="70013DBE"/>
    <w:rsid w:val="70080365"/>
    <w:rsid w:val="70502425"/>
    <w:rsid w:val="70CD041A"/>
    <w:rsid w:val="714B0C2F"/>
    <w:rsid w:val="715B0DA9"/>
    <w:rsid w:val="71767027"/>
    <w:rsid w:val="7243051A"/>
    <w:rsid w:val="72DB6F0A"/>
    <w:rsid w:val="72DF0688"/>
    <w:rsid w:val="735978E8"/>
    <w:rsid w:val="73993EF4"/>
    <w:rsid w:val="746071C7"/>
    <w:rsid w:val="7467674E"/>
    <w:rsid w:val="74FA1FFC"/>
    <w:rsid w:val="750301CC"/>
    <w:rsid w:val="75914EB2"/>
    <w:rsid w:val="768D431E"/>
    <w:rsid w:val="76F66C9F"/>
    <w:rsid w:val="76FC258C"/>
    <w:rsid w:val="7751099A"/>
    <w:rsid w:val="780553AD"/>
    <w:rsid w:val="780E37B8"/>
    <w:rsid w:val="79456CC8"/>
    <w:rsid w:val="79744980"/>
    <w:rsid w:val="7A497273"/>
    <w:rsid w:val="7A705943"/>
    <w:rsid w:val="7B5D12A6"/>
    <w:rsid w:val="7B652380"/>
    <w:rsid w:val="7B9E7186"/>
    <w:rsid w:val="7CE15603"/>
    <w:rsid w:val="7D4E6B4A"/>
    <w:rsid w:val="7DA87C36"/>
    <w:rsid w:val="7DB94BA8"/>
    <w:rsid w:val="7DD96048"/>
    <w:rsid w:val="7E9A51EF"/>
    <w:rsid w:val="7EE16C79"/>
    <w:rsid w:val="7EF76F8A"/>
    <w:rsid w:val="7F3C727D"/>
    <w:rsid w:val="7FD75E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4CF760F-A752-4F90-A8E2-BD32FAD5B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qFormat="1"/>
    <w:lsdException w:name="HTML Code" w:semiHidden="1" w:unhideWhenUsed="1"/>
    <w:lsdException w:name="HTML Definition"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Calibri" w:hAnsi="Calibri" w:cs="Calibri"/>
      <w:kern w:val="2"/>
      <w:sz w:val="21"/>
      <w:szCs w:val="21"/>
    </w:rPr>
  </w:style>
  <w:style w:type="paragraph" w:styleId="Heading1">
    <w:name w:val="heading 1"/>
    <w:basedOn w:val="Normal"/>
    <w:next w:val="Normal"/>
    <w:link w:val="Heading1Char"/>
    <w:uiPriority w:val="99"/>
    <w:qFormat/>
    <w:pPr>
      <w:keepNext/>
      <w:keepLines/>
      <w:spacing w:before="340" w:after="330" w:line="578" w:lineRule="auto"/>
      <w:outlineLvl w:val="0"/>
    </w:pPr>
    <w:rPr>
      <w:rFonts w:ascii="Times New Roman" w:hAnsi="Times New Roman" w:cs="Times New Roman"/>
      <w:b/>
      <w:bCs/>
      <w:kern w:val="44"/>
      <w:sz w:val="44"/>
      <w:szCs w:val="44"/>
    </w:rPr>
  </w:style>
  <w:style w:type="paragraph" w:styleId="Heading2">
    <w:name w:val="heading 2"/>
    <w:basedOn w:val="Normal"/>
    <w:next w:val="Normal"/>
    <w:link w:val="Heading2Char"/>
    <w:uiPriority w:val="99"/>
    <w:qFormat/>
    <w:pPr>
      <w:keepNext/>
      <w:keepLines/>
      <w:spacing w:before="260" w:after="260" w:line="416" w:lineRule="auto"/>
      <w:outlineLvl w:val="1"/>
    </w:pPr>
    <w:rPr>
      <w:rFonts w:ascii="Cambria" w:hAnsi="Cambria" w:cs="Times New Roman"/>
      <w:b/>
      <w:bCs/>
      <w:kern w:val="0"/>
      <w:sz w:val="32"/>
      <w:szCs w:val="32"/>
    </w:rPr>
  </w:style>
  <w:style w:type="paragraph" w:styleId="Heading3">
    <w:name w:val="heading 3"/>
    <w:basedOn w:val="Normal"/>
    <w:next w:val="Normal"/>
    <w:link w:val="Heading3Char"/>
    <w:uiPriority w:val="99"/>
    <w:qFormat/>
    <w:pPr>
      <w:keepNext/>
      <w:keepLines/>
      <w:spacing w:before="260" w:after="260" w:line="416" w:lineRule="auto"/>
      <w:outlineLvl w:val="2"/>
    </w:pPr>
    <w:rPr>
      <w:rFonts w:ascii="Times New Roman" w:hAnsi="Times New Roman" w:cs="Times New Roman"/>
      <w:b/>
      <w:bCs/>
      <w:kern w:val="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pPr>
      <w:widowControl w:val="0"/>
    </w:pPr>
    <w:rPr>
      <w:rFonts w:ascii="Calibri" w:hAnsi="Calibri"/>
      <w:b/>
      <w:bCs/>
      <w:kern w:val="2"/>
      <w:sz w:val="21"/>
      <w:szCs w:val="21"/>
    </w:rPr>
  </w:style>
  <w:style w:type="paragraph" w:styleId="CommentText">
    <w:name w:val="annotation text"/>
    <w:basedOn w:val="Normal"/>
    <w:link w:val="CommentTextChar"/>
    <w:qFormat/>
    <w:pPr>
      <w:widowControl/>
      <w:jc w:val="left"/>
    </w:pPr>
    <w:rPr>
      <w:rFonts w:ascii="Times New Roman" w:hAnsi="Times New Roman" w:cs="Times New Roman"/>
      <w:kern w:val="0"/>
      <w:sz w:val="24"/>
      <w:szCs w:val="24"/>
      <w:lang w:eastAsia="en-US"/>
    </w:rPr>
  </w:style>
  <w:style w:type="paragraph" w:styleId="BalloonText">
    <w:name w:val="Balloon Text"/>
    <w:basedOn w:val="Normal"/>
    <w:link w:val="BalloonTextChar"/>
    <w:uiPriority w:val="99"/>
    <w:semiHidden/>
    <w:qFormat/>
    <w:rPr>
      <w:rFonts w:ascii="Times New Roman" w:hAnsi="Times New Roman" w:cs="Times New Roman"/>
      <w:kern w:val="0"/>
      <w:sz w:val="18"/>
      <w:szCs w:val="18"/>
    </w:rPr>
  </w:style>
  <w:style w:type="paragraph" w:styleId="Footer">
    <w:name w:val="footer"/>
    <w:basedOn w:val="Normal"/>
    <w:uiPriority w:val="99"/>
    <w:unhideWhenUsed/>
    <w:qFormat/>
    <w:pPr>
      <w:tabs>
        <w:tab w:val="center" w:pos="4153"/>
        <w:tab w:val="right" w:pos="8306"/>
      </w:tabs>
      <w:snapToGrid w:val="0"/>
      <w:jc w:val="left"/>
    </w:pPr>
    <w:rPr>
      <w:sz w:val="18"/>
    </w:rPr>
  </w:style>
  <w:style w:type="paragraph" w:styleId="Header">
    <w:name w:val="header"/>
    <w:basedOn w:val="Normal"/>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uiPriority w:val="99"/>
    <w:qFormat/>
    <w:pPr>
      <w:spacing w:beforeAutospacing="1" w:afterAutospacing="1"/>
      <w:jc w:val="left"/>
    </w:pPr>
    <w:rPr>
      <w:kern w:val="0"/>
      <w:sz w:val="24"/>
      <w:szCs w:val="24"/>
    </w:rPr>
  </w:style>
  <w:style w:type="character" w:styleId="Strong">
    <w:name w:val="Strong"/>
    <w:uiPriority w:val="22"/>
    <w:qFormat/>
    <w:locked/>
    <w:rPr>
      <w:b/>
      <w:bCs/>
    </w:rPr>
  </w:style>
  <w:style w:type="character" w:styleId="HTMLDefinition">
    <w:name w:val="HTML Definition"/>
    <w:uiPriority w:val="99"/>
    <w:qFormat/>
    <w:rPr>
      <w:i/>
      <w:iCs/>
    </w:rPr>
  </w:style>
  <w:style w:type="character" w:styleId="Hyperlink">
    <w:name w:val="Hyperlink"/>
    <w:uiPriority w:val="99"/>
    <w:qFormat/>
    <w:rPr>
      <w:color w:val="053602"/>
      <w:u w:val="none"/>
    </w:rPr>
  </w:style>
  <w:style w:type="character" w:styleId="CommentReference">
    <w:name w:val="annotation reference"/>
    <w:qFormat/>
    <w:rPr>
      <w:rFonts w:cs="Times New Roman"/>
      <w:sz w:val="21"/>
      <w:szCs w:val="21"/>
    </w:rPr>
  </w:style>
  <w:style w:type="character" w:styleId="HTMLCite">
    <w:name w:val="HTML Cite"/>
    <w:uiPriority w:val="99"/>
    <w:qFormat/>
    <w:rPr>
      <w:i/>
      <w:iCs/>
    </w:rPr>
  </w:style>
  <w:style w:type="table" w:styleId="TableGrid">
    <w:name w:val="Table Grid"/>
    <w:basedOn w:val="TableNormal"/>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9"/>
    <w:qFormat/>
    <w:locked/>
    <w:rPr>
      <w:b/>
      <w:bCs/>
      <w:kern w:val="44"/>
      <w:sz w:val="44"/>
      <w:szCs w:val="44"/>
    </w:rPr>
  </w:style>
  <w:style w:type="character" w:customStyle="1" w:styleId="Heading2Char">
    <w:name w:val="Heading 2 Char"/>
    <w:link w:val="Heading2"/>
    <w:uiPriority w:val="99"/>
    <w:qFormat/>
    <w:locked/>
    <w:rPr>
      <w:rFonts w:ascii="Cambria" w:eastAsia="SimSun" w:hAnsi="Cambria" w:cs="Cambria"/>
      <w:b/>
      <w:bCs/>
      <w:sz w:val="32"/>
      <w:szCs w:val="32"/>
    </w:rPr>
  </w:style>
  <w:style w:type="character" w:customStyle="1" w:styleId="Heading3Char">
    <w:name w:val="Heading 3 Char"/>
    <w:link w:val="Heading3"/>
    <w:uiPriority w:val="99"/>
    <w:qFormat/>
    <w:locked/>
    <w:rPr>
      <w:b/>
      <w:bCs/>
      <w:sz w:val="32"/>
      <w:szCs w:val="32"/>
    </w:rPr>
  </w:style>
  <w:style w:type="character" w:customStyle="1" w:styleId="BalloonTextChar">
    <w:name w:val="Balloon Text Char"/>
    <w:link w:val="BalloonText"/>
    <w:uiPriority w:val="99"/>
    <w:semiHidden/>
    <w:qFormat/>
    <w:locked/>
    <w:rPr>
      <w:sz w:val="18"/>
      <w:szCs w:val="18"/>
    </w:rPr>
  </w:style>
  <w:style w:type="paragraph" w:customStyle="1" w:styleId="1">
    <w:name w:val="无间隔1"/>
    <w:uiPriority w:val="99"/>
    <w:qFormat/>
    <w:pPr>
      <w:widowControl w:val="0"/>
      <w:jc w:val="both"/>
    </w:pPr>
    <w:rPr>
      <w:rFonts w:ascii="Calibri" w:hAnsi="Calibri" w:cs="Calibri"/>
      <w:kern w:val="2"/>
      <w:sz w:val="21"/>
      <w:szCs w:val="21"/>
    </w:rPr>
  </w:style>
  <w:style w:type="paragraph" w:customStyle="1" w:styleId="10">
    <w:name w:val="列出段落1"/>
    <w:basedOn w:val="Normal"/>
    <w:uiPriority w:val="99"/>
    <w:qFormat/>
    <w:pPr>
      <w:ind w:firstLineChars="200" w:firstLine="420"/>
    </w:pPr>
  </w:style>
  <w:style w:type="character" w:customStyle="1" w:styleId="A2">
    <w:name w:val="A2"/>
    <w:uiPriority w:val="99"/>
    <w:rPr>
      <w:color w:val="000000"/>
      <w:sz w:val="19"/>
      <w:szCs w:val="19"/>
    </w:rPr>
  </w:style>
  <w:style w:type="character" w:customStyle="1" w:styleId="highlight2">
    <w:name w:val="highlight2"/>
    <w:basedOn w:val="DefaultParagraphFont"/>
    <w:uiPriority w:val="99"/>
    <w:qFormat/>
  </w:style>
  <w:style w:type="paragraph" w:customStyle="1" w:styleId="ListParagraph1">
    <w:name w:val="List Paragraph1"/>
    <w:basedOn w:val="Normal"/>
    <w:uiPriority w:val="99"/>
    <w:qFormat/>
    <w:pPr>
      <w:ind w:firstLineChars="200" w:firstLine="420"/>
    </w:pPr>
  </w:style>
  <w:style w:type="character" w:customStyle="1" w:styleId="reference">
    <w:name w:val="reference"/>
    <w:uiPriority w:val="99"/>
    <w:qFormat/>
    <w:rPr>
      <w:sz w:val="19"/>
      <w:szCs w:val="19"/>
    </w:rPr>
  </w:style>
  <w:style w:type="character" w:customStyle="1" w:styleId="updatedmarker">
    <w:name w:val="updatedmarker"/>
    <w:uiPriority w:val="99"/>
    <w:qFormat/>
    <w:rPr>
      <w:color w:val="auto"/>
    </w:rPr>
  </w:style>
  <w:style w:type="character" w:customStyle="1" w:styleId="texhtml">
    <w:name w:val="texhtml"/>
    <w:uiPriority w:val="99"/>
    <w:qFormat/>
    <w:rPr>
      <w:sz w:val="24"/>
      <w:szCs w:val="24"/>
    </w:rPr>
  </w:style>
  <w:style w:type="character" w:customStyle="1" w:styleId="brokenref">
    <w:name w:val="brokenref"/>
    <w:uiPriority w:val="99"/>
    <w:qFormat/>
    <w:rPr>
      <w:vanish/>
    </w:rPr>
  </w:style>
  <w:style w:type="character" w:customStyle="1" w:styleId="mwe-math-mathml-inline">
    <w:name w:val="mwe-math-mathml-inline"/>
    <w:uiPriority w:val="99"/>
    <w:qFormat/>
    <w:rPr>
      <w:sz w:val="28"/>
      <w:szCs w:val="28"/>
    </w:rPr>
  </w:style>
  <w:style w:type="paragraph" w:customStyle="1" w:styleId="details">
    <w:name w:val="details"/>
    <w:basedOn w:val="Normal"/>
    <w:uiPriority w:val="99"/>
    <w:qFormat/>
    <w:pPr>
      <w:widowControl/>
      <w:spacing w:before="100" w:beforeAutospacing="1" w:after="100" w:afterAutospacing="1"/>
      <w:jc w:val="left"/>
    </w:pPr>
    <w:rPr>
      <w:rFonts w:ascii="SimSun" w:hAnsi="SimSun" w:cs="SimSun"/>
      <w:kern w:val="0"/>
      <w:sz w:val="24"/>
      <w:szCs w:val="24"/>
    </w:rPr>
  </w:style>
  <w:style w:type="character" w:customStyle="1" w:styleId="apple-converted-space">
    <w:name w:val="apple-converted-space"/>
    <w:basedOn w:val="DefaultParagraphFont"/>
    <w:uiPriority w:val="99"/>
    <w:qFormat/>
  </w:style>
  <w:style w:type="character" w:customStyle="1" w:styleId="CommentTextChar">
    <w:name w:val="Comment Text Char"/>
    <w:link w:val="CommentText"/>
    <w:qFormat/>
    <w:rPr>
      <w:sz w:val="24"/>
      <w:szCs w:val="24"/>
      <w:lang w:eastAsia="en-US"/>
    </w:rPr>
  </w:style>
  <w:style w:type="character" w:customStyle="1" w:styleId="CommentSubjectChar">
    <w:name w:val="Comment Subject Char"/>
    <w:link w:val="CommentSubject"/>
    <w:uiPriority w:val="99"/>
    <w:semiHidden/>
    <w:qFormat/>
    <w:rPr>
      <w:rFonts w:ascii="Calibri" w:hAnsi="Calibri" w:cs="Calibri"/>
      <w:b/>
      <w:bCs/>
      <w:kern w:val="2"/>
      <w:sz w:val="21"/>
      <w:szCs w:val="21"/>
      <w:lang w:eastAsia="en-US"/>
    </w:rPr>
  </w:style>
  <w:style w:type="paragraph" w:styleId="ListParagraph">
    <w:name w:val="List Paragraph"/>
    <w:basedOn w:val="Normal"/>
    <w:uiPriority w:val="34"/>
    <w:qFormat/>
    <w:rsid w:val="00D1335F"/>
    <w:pPr>
      <w:widowControl/>
      <w:suppressAutoHyphens/>
      <w:ind w:firstLineChars="200" w:firstLine="420"/>
      <w:jc w:val="left"/>
    </w:pPr>
    <w:rPr>
      <w:rFonts w:ascii="Times New Roman" w:eastAsia="Lucida Sans Unicode" w:hAnsi="Times New Roman" w:cs="Mangal"/>
      <w:kern w:val="1"/>
      <w:sz w:val="24"/>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F:/Program%20Files/Youdao/Dict/6.3.69.5012/resultui/frame/javascript:void(0);" TargetMode="External"/><Relationship Id="rId13" Type="http://schemas.openxmlformats.org/officeDocument/2006/relationships/hyperlink" Target="https://en.wikipedia.org/wiki/Fatty_acid" TargetMode="External"/><Relationship Id="rId18" Type="http://schemas.openxmlformats.org/officeDocument/2006/relationships/hyperlink" Target="https://en.wikipedia.org/wiki/Mitochondria" TargetMode="External"/><Relationship Id="rId26" Type="http://schemas.openxmlformats.org/officeDocument/2006/relationships/hyperlink" Target="F:/Program%20Files/Youdao/Dict/6.3.69.5012/resultui/frame/javascript:void(0);" TargetMode="External"/><Relationship Id="rId3" Type="http://schemas.openxmlformats.org/officeDocument/2006/relationships/styles" Target="styles.xml"/><Relationship Id="rId21" Type="http://schemas.openxmlformats.org/officeDocument/2006/relationships/hyperlink" Target="F:/Program%20Files/Youdao/Dict/6.3.69.5012/resultui/frame/javascript:void(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Program%20Files/Youdao/Dict/6.3.69.5012/resultui/frame/javascript:void(0);" TargetMode="External"/><Relationship Id="rId17" Type="http://schemas.openxmlformats.org/officeDocument/2006/relationships/hyperlink" Target="https://en.wikipedia.org/wiki/%CE%92-oxidation" TargetMode="External"/><Relationship Id="rId25" Type="http://schemas.openxmlformats.org/officeDocument/2006/relationships/hyperlink" Target="F:/Program%20Files/Youdao/Dict/6.3.69.5012/resultui/frame/javascript:void(0);"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en.wikipedia.org/wiki/Adenosine_triphosphate" TargetMode="External"/><Relationship Id="rId20" Type="http://schemas.openxmlformats.org/officeDocument/2006/relationships/hyperlink" Target="F:/Program%20Files/Youdao/Dict/6.3.69.5012/resultui/frame/javascript:void(0);" TargetMode="External"/><Relationship Id="rId29" Type="http://schemas.openxmlformats.org/officeDocument/2006/relationships/hyperlink" Target="F:/Program%20Files/Youdao/Dict/6.3.69.5012/resultui/frame/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Program%20Files/Youdao/Dict/6.3.69.5012/resultui/frame/javascript:void(0);" TargetMode="External"/><Relationship Id="rId24" Type="http://schemas.openxmlformats.org/officeDocument/2006/relationships/hyperlink" Target="F:/Program%20Files/Youdao/Dict/6.3.69.5012/resultui/frame/javascript:void(0);" TargetMode="External"/><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n.wikipedia.org/wiki/Macronutrient" TargetMode="External"/><Relationship Id="rId23" Type="http://schemas.openxmlformats.org/officeDocument/2006/relationships/hyperlink" Target="F:/Program%20Files/Youdao/Dict/6.3.69.5012/resultui/frame/javascript:void(0);" TargetMode="External"/><Relationship Id="rId28" Type="http://schemas.openxmlformats.org/officeDocument/2006/relationships/hyperlink" Target="F:/Program%20Files/Youdao/Dict/6.3.69.5012/resultui/frame/javascript:void(0);" TargetMode="External"/><Relationship Id="rId36" Type="http://schemas.openxmlformats.org/officeDocument/2006/relationships/theme" Target="theme/theme1.xml"/><Relationship Id="rId10" Type="http://schemas.openxmlformats.org/officeDocument/2006/relationships/hyperlink" Target="mailto:yaodf@ahnmc.com" TargetMode="External"/><Relationship Id="rId19" Type="http://schemas.openxmlformats.org/officeDocument/2006/relationships/hyperlink" Target="https://en.wikipedia.org/wiki/Citric_acid_cycle"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hyperlink" Target="https://en.wikipedia.org/wiki/Lipid" TargetMode="External"/><Relationship Id="rId22" Type="http://schemas.openxmlformats.org/officeDocument/2006/relationships/hyperlink" Target="F:/Program%20Files/Youdao/Dict/6.3.69.5012/resultui/frame/javascript:void(0);" TargetMode="External"/><Relationship Id="rId27" Type="http://schemas.openxmlformats.org/officeDocument/2006/relationships/hyperlink" Target="F:/Program%20Files/Youdao/Dict/6.3.69.5012/resultui/frame/javascript:void(0);" TargetMode="External"/><Relationship Id="rId30" Type="http://schemas.openxmlformats.org/officeDocument/2006/relationships/image" Target="media/image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6690</Words>
  <Characters>38137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Mitochondrial Carnitine Palmitoyl Transferase-II Inactivity Aggravates Lipid Accumulation in Rat Hepatocarcinogenesis</vt:lpstr>
    </vt:vector>
  </TitlesOfParts>
  <Company>微软中国</Company>
  <LinksUpToDate>false</LinksUpToDate>
  <CharactersWithSpaces>44738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Mitochondrial Carnitine Palmitoyl Transferase-II Inactivity Aggravates Lipid Accumulation in Rat Hepatocarcinogenesis</dc:title>
  <dc:creator>微软用户</dc:creator>
  <cp:lastModifiedBy>LS Ma</cp:lastModifiedBy>
  <cp:revision>2</cp:revision>
  <dcterms:created xsi:type="dcterms:W3CDTF">2016-10-30T02:37:00Z</dcterms:created>
  <dcterms:modified xsi:type="dcterms:W3CDTF">2016-10-30T02:37:00Z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