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23" w:rsidRDefault="00C30E23">
      <w:pPr>
        <w:spacing w:line="360" w:lineRule="auto"/>
        <w:jc w:val="both"/>
        <w:rPr>
          <w:rFonts w:ascii="Book Antiqua" w:eastAsia="Book Antiqua" w:hAnsi="Book Antiqua" w:cs="Book Antiqua"/>
          <w:b/>
          <w:bCs/>
          <w:i/>
          <w:iCs/>
        </w:rPr>
      </w:pPr>
      <w:bookmarkStart w:id="0" w:name="OLE_LINK545"/>
      <w:r>
        <w:rPr>
          <w:rFonts w:ascii="Book Antiqua" w:hAnsi="Book Antiqua"/>
          <w:b/>
          <w:bCs/>
        </w:rPr>
        <w:t>Name of journal:</w:t>
      </w:r>
      <w:bookmarkEnd w:id="0"/>
      <w:r>
        <w:rPr>
          <w:rFonts w:ascii="Book Antiqua" w:hAnsi="Book Antiqua"/>
          <w:b/>
          <w:bCs/>
        </w:rPr>
        <w:t xml:space="preserve"> </w:t>
      </w:r>
      <w:bookmarkStart w:id="1" w:name="OLE_LINK1068"/>
      <w:r>
        <w:rPr>
          <w:rFonts w:ascii="Book Antiqua" w:hAnsi="Book Antiqua"/>
          <w:b/>
          <w:bCs/>
          <w:i/>
          <w:iCs/>
        </w:rPr>
        <w:t>World Journal of</w:t>
      </w:r>
      <w:bookmarkEnd w:id="1"/>
      <w:r>
        <w:rPr>
          <w:rFonts w:ascii="Book Antiqua" w:hAnsi="Book Antiqua"/>
          <w:b/>
          <w:bCs/>
          <w:i/>
          <w:iCs/>
        </w:rPr>
        <w:t xml:space="preserve"> </w:t>
      </w:r>
      <w:bookmarkStart w:id="2" w:name="OLE_LINK1222"/>
      <w:r>
        <w:rPr>
          <w:rFonts w:ascii="Book Antiqua" w:hAnsi="Book Antiqua"/>
          <w:b/>
          <w:bCs/>
          <w:i/>
          <w:iCs/>
        </w:rPr>
        <w:t>Gastroenterology</w:t>
      </w:r>
      <w:bookmarkEnd w:id="2"/>
    </w:p>
    <w:p w:rsidR="00343223" w:rsidRDefault="00C30E23">
      <w:pPr>
        <w:spacing w:line="360" w:lineRule="auto"/>
        <w:jc w:val="both"/>
        <w:rPr>
          <w:rFonts w:ascii="Book Antiqua" w:eastAsia="Book Antiqua" w:hAnsi="Book Antiqua" w:cs="Book Antiqua"/>
        </w:rPr>
      </w:pPr>
      <w:r>
        <w:rPr>
          <w:rFonts w:ascii="Book Antiqua" w:hAnsi="Book Antiqua"/>
          <w:b/>
          <w:bCs/>
        </w:rPr>
        <w:t>ESPS Manuscript NO: 29738</w:t>
      </w:r>
    </w:p>
    <w:p w:rsidR="00343223" w:rsidRDefault="00C30E23">
      <w:pPr>
        <w:spacing w:line="360" w:lineRule="auto"/>
        <w:jc w:val="both"/>
        <w:rPr>
          <w:rFonts w:ascii="Book Antiqua" w:eastAsia="Book Antiqua" w:hAnsi="Book Antiqua" w:cs="Book Antiqua"/>
          <w:b/>
          <w:bCs/>
        </w:rPr>
      </w:pPr>
      <w:r>
        <w:rPr>
          <w:rFonts w:ascii="Book Antiqua" w:hAnsi="Book Antiqua"/>
          <w:b/>
          <w:bCs/>
        </w:rPr>
        <w:t>Manuscript Type: ORIGINAL ARTICLE</w:t>
      </w:r>
    </w:p>
    <w:p w:rsidR="00343223" w:rsidRDefault="00343223">
      <w:pPr>
        <w:spacing w:line="360" w:lineRule="auto"/>
        <w:jc w:val="both"/>
        <w:rPr>
          <w:rFonts w:ascii="Book Antiqua" w:eastAsia="Book Antiqua" w:hAnsi="Book Antiqua" w:cs="Book Antiqua"/>
          <w:b/>
          <w:bCs/>
        </w:rPr>
      </w:pPr>
    </w:p>
    <w:p w:rsidR="00343223" w:rsidRPr="00B33045" w:rsidRDefault="00C30E23">
      <w:pPr>
        <w:spacing w:line="360" w:lineRule="auto"/>
        <w:jc w:val="both"/>
        <w:rPr>
          <w:rFonts w:ascii="Book Antiqua" w:eastAsia="Book Antiqua" w:hAnsi="Book Antiqua" w:cs="Book Antiqua"/>
          <w:b/>
          <w:bCs/>
          <w:i/>
        </w:rPr>
      </w:pPr>
      <w:r w:rsidRPr="00B33045">
        <w:rPr>
          <w:rFonts w:ascii="Book Antiqua" w:hAnsi="Book Antiqua"/>
          <w:b/>
          <w:bCs/>
          <w:i/>
        </w:rPr>
        <w:t>Retrospective Cohort Study</w:t>
      </w:r>
    </w:p>
    <w:p w:rsidR="00343223" w:rsidRDefault="00343223">
      <w:pPr>
        <w:spacing w:line="360" w:lineRule="auto"/>
        <w:jc w:val="both"/>
        <w:rPr>
          <w:rFonts w:ascii="Book Antiqua" w:eastAsia="Book Antiqua" w:hAnsi="Book Antiqua" w:cs="Book Antiqua"/>
          <w:b/>
          <w:bCs/>
        </w:rPr>
      </w:pPr>
    </w:p>
    <w:p w:rsidR="00343223" w:rsidRPr="000B6ECF"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b/>
          <w:sz w:val="24"/>
          <w:szCs w:val="24"/>
        </w:rPr>
      </w:pPr>
      <w:r w:rsidRPr="000B6ECF">
        <w:rPr>
          <w:rFonts w:ascii="Book Antiqua" w:hAnsi="Book Antiqua"/>
          <w:b/>
          <w:sz w:val="24"/>
          <w:szCs w:val="24"/>
        </w:rPr>
        <w:t xml:space="preserve">Levothyroxine therapy and impaired clearance are the strongest contributors to small intestinal </w:t>
      </w:r>
      <w:r w:rsidRPr="000B6ECF">
        <w:rPr>
          <w:rFonts w:ascii="Book Antiqua" w:hAnsi="Book Antiqua"/>
          <w:b/>
          <w:sz w:val="24"/>
          <w:szCs w:val="24"/>
          <w:lang w:val="de-DE"/>
        </w:rPr>
        <w:t xml:space="preserve">bacterial </w:t>
      </w:r>
      <w:r w:rsidRPr="000B6ECF">
        <w:rPr>
          <w:rFonts w:ascii="Book Antiqua" w:hAnsi="Book Antiqua"/>
          <w:b/>
          <w:sz w:val="24"/>
          <w:szCs w:val="24"/>
        </w:rPr>
        <w:t>overgrowth: Results of a retrospective cohort study</w:t>
      </w:r>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roofErr w:type="spellStart"/>
      <w:r>
        <w:rPr>
          <w:rFonts w:ascii="Book Antiqua" w:hAnsi="Book Antiqua"/>
          <w:sz w:val="24"/>
          <w:szCs w:val="24"/>
        </w:rPr>
        <w:t>Brechmann</w:t>
      </w:r>
      <w:proofErr w:type="spellEnd"/>
      <w:r>
        <w:rPr>
          <w:rFonts w:ascii="Book Antiqua" w:hAnsi="Book Antiqua"/>
          <w:sz w:val="24"/>
          <w:szCs w:val="24"/>
        </w:rPr>
        <w:t xml:space="preserve"> T</w:t>
      </w:r>
      <w:r>
        <w:rPr>
          <w:rFonts w:ascii="Book Antiqua" w:hAnsi="Book Antiqua"/>
          <w:i/>
          <w:iCs/>
          <w:sz w:val="24"/>
          <w:szCs w:val="24"/>
        </w:rPr>
        <w:t xml:space="preserve"> et al.</w:t>
      </w:r>
      <w:r>
        <w:rPr>
          <w:rFonts w:ascii="Book Antiqua" w:hAnsi="Book Antiqua"/>
          <w:sz w:val="24"/>
          <w:szCs w:val="24"/>
        </w:rPr>
        <w:t xml:space="preserve"> Main contributors of SIBO</w:t>
      </w:r>
    </w:p>
    <w:p w:rsidR="00343223" w:rsidRDefault="003432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r>
        <w:rPr>
          <w:rFonts w:ascii="Book Antiqua" w:hAnsi="Book Antiqua"/>
          <w:sz w:val="24"/>
          <w:szCs w:val="24"/>
        </w:rPr>
        <w:t xml:space="preserve">Thorsten </w:t>
      </w:r>
      <w:proofErr w:type="spellStart"/>
      <w:r>
        <w:rPr>
          <w:rFonts w:ascii="Book Antiqua" w:hAnsi="Book Antiqua"/>
          <w:sz w:val="24"/>
          <w:szCs w:val="24"/>
        </w:rPr>
        <w:t>Brechmann</w:t>
      </w:r>
      <w:proofErr w:type="spellEnd"/>
      <w:r>
        <w:rPr>
          <w:rFonts w:ascii="Book Antiqua" w:hAnsi="Book Antiqua"/>
          <w:sz w:val="24"/>
          <w:szCs w:val="24"/>
        </w:rPr>
        <w:t xml:space="preserve">, Andre </w:t>
      </w:r>
      <w:proofErr w:type="spellStart"/>
      <w:r>
        <w:rPr>
          <w:rFonts w:ascii="Book Antiqua" w:hAnsi="Book Antiqua"/>
          <w:sz w:val="24"/>
          <w:szCs w:val="24"/>
        </w:rPr>
        <w:t>Sperlbaum</w:t>
      </w:r>
      <w:proofErr w:type="spellEnd"/>
      <w:r>
        <w:rPr>
          <w:rFonts w:ascii="Book Antiqua" w:hAnsi="Book Antiqua"/>
          <w:sz w:val="24"/>
          <w:szCs w:val="24"/>
        </w:rPr>
        <w:t xml:space="preserve">, Wolff </w:t>
      </w:r>
      <w:proofErr w:type="spellStart"/>
      <w:r>
        <w:rPr>
          <w:rFonts w:ascii="Book Antiqua" w:hAnsi="Book Antiqua"/>
          <w:sz w:val="24"/>
          <w:szCs w:val="24"/>
        </w:rPr>
        <w:t>Schmiegel</w:t>
      </w:r>
      <w:proofErr w:type="spellEnd"/>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b/>
          <w:bCs/>
          <w:sz w:val="24"/>
          <w:szCs w:val="24"/>
          <w:vertAlign w:val="superscript"/>
        </w:rPr>
      </w:pPr>
    </w:p>
    <w:p w:rsidR="00343223" w:rsidRDefault="00C30E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r>
        <w:rPr>
          <w:rFonts w:ascii="Book Antiqua" w:hAnsi="Book Antiqua"/>
          <w:b/>
          <w:bCs/>
          <w:sz w:val="24"/>
          <w:szCs w:val="24"/>
        </w:rPr>
        <w:t xml:space="preserve">Thorsten </w:t>
      </w:r>
      <w:proofErr w:type="spellStart"/>
      <w:r>
        <w:rPr>
          <w:rFonts w:ascii="Book Antiqua" w:hAnsi="Book Antiqua"/>
          <w:b/>
          <w:bCs/>
          <w:sz w:val="24"/>
          <w:szCs w:val="24"/>
        </w:rPr>
        <w:t>Brechmann</w:t>
      </w:r>
      <w:proofErr w:type="spellEnd"/>
      <w:r>
        <w:rPr>
          <w:rFonts w:ascii="Book Antiqua" w:hAnsi="Book Antiqua"/>
          <w:b/>
          <w:bCs/>
          <w:sz w:val="24"/>
          <w:szCs w:val="24"/>
        </w:rPr>
        <w:t xml:space="preserve">, Andre </w:t>
      </w:r>
      <w:proofErr w:type="spellStart"/>
      <w:r>
        <w:rPr>
          <w:rFonts w:ascii="Book Antiqua" w:hAnsi="Book Antiqua"/>
          <w:b/>
          <w:bCs/>
          <w:sz w:val="24"/>
          <w:szCs w:val="24"/>
        </w:rPr>
        <w:t>Sperlbaum</w:t>
      </w:r>
      <w:proofErr w:type="spellEnd"/>
      <w:r>
        <w:rPr>
          <w:rFonts w:ascii="Book Antiqua" w:hAnsi="Book Antiqua"/>
          <w:b/>
          <w:bCs/>
          <w:sz w:val="24"/>
          <w:szCs w:val="24"/>
        </w:rPr>
        <w:t xml:space="preserve">, Wolff </w:t>
      </w:r>
      <w:proofErr w:type="spellStart"/>
      <w:r>
        <w:rPr>
          <w:rFonts w:ascii="Book Antiqua" w:hAnsi="Book Antiqua"/>
          <w:b/>
          <w:bCs/>
          <w:sz w:val="24"/>
          <w:szCs w:val="24"/>
        </w:rPr>
        <w:t>Schmiegel</w:t>
      </w:r>
      <w:proofErr w:type="spellEnd"/>
      <w:r>
        <w:rPr>
          <w:rFonts w:ascii="Book Antiqua" w:hAnsi="Book Antiqua"/>
          <w:b/>
          <w:bCs/>
          <w:sz w:val="24"/>
          <w:szCs w:val="24"/>
        </w:rPr>
        <w:t xml:space="preserve">, </w:t>
      </w:r>
      <w:r>
        <w:rPr>
          <w:rFonts w:ascii="Book Antiqua" w:hAnsi="Book Antiqua"/>
          <w:sz w:val="24"/>
          <w:szCs w:val="24"/>
        </w:rPr>
        <w:t xml:space="preserve">Department of Gastroenterology and </w:t>
      </w:r>
      <w:proofErr w:type="spellStart"/>
      <w:r>
        <w:rPr>
          <w:rFonts w:ascii="Book Antiqua" w:hAnsi="Book Antiqua"/>
          <w:sz w:val="24"/>
          <w:szCs w:val="24"/>
        </w:rPr>
        <w:t>Hepatology</w:t>
      </w:r>
      <w:proofErr w:type="spellEnd"/>
      <w:r>
        <w:rPr>
          <w:rFonts w:ascii="Book Antiqua" w:hAnsi="Book Antiqua"/>
          <w:sz w:val="24"/>
          <w:szCs w:val="24"/>
        </w:rPr>
        <w:t xml:space="preserve">, </w:t>
      </w:r>
      <w:proofErr w:type="spellStart"/>
      <w:r>
        <w:rPr>
          <w:rFonts w:ascii="Book Antiqua" w:hAnsi="Book Antiqua"/>
          <w:sz w:val="24"/>
          <w:szCs w:val="24"/>
        </w:rPr>
        <w:t>Berufsgenossenschaftliches</w:t>
      </w:r>
      <w:proofErr w:type="spellEnd"/>
      <w:r>
        <w:rPr>
          <w:rFonts w:ascii="Book Antiqua" w:hAnsi="Book Antiqua"/>
          <w:sz w:val="24"/>
          <w:szCs w:val="24"/>
        </w:rPr>
        <w:t xml:space="preserve"> </w:t>
      </w:r>
      <w:proofErr w:type="spellStart"/>
      <w:r>
        <w:rPr>
          <w:rFonts w:ascii="Book Antiqua" w:hAnsi="Book Antiqua"/>
          <w:sz w:val="24"/>
          <w:szCs w:val="24"/>
        </w:rPr>
        <w:t>Universitätsklinikum</w:t>
      </w:r>
      <w:proofErr w:type="spellEnd"/>
      <w:r>
        <w:rPr>
          <w:rFonts w:ascii="Book Antiqua" w:hAnsi="Book Antiqua"/>
          <w:sz w:val="24"/>
          <w:szCs w:val="24"/>
        </w:rPr>
        <w:t xml:space="preserve"> </w:t>
      </w:r>
      <w:proofErr w:type="spellStart"/>
      <w:r>
        <w:rPr>
          <w:rFonts w:ascii="Book Antiqua" w:hAnsi="Book Antiqua"/>
          <w:sz w:val="24"/>
          <w:szCs w:val="24"/>
        </w:rPr>
        <w:t>Bergmannsheil</w:t>
      </w:r>
      <w:proofErr w:type="spellEnd"/>
      <w:r>
        <w:rPr>
          <w:rFonts w:ascii="Book Antiqua" w:hAnsi="Book Antiqua"/>
          <w:sz w:val="24"/>
          <w:szCs w:val="24"/>
        </w:rPr>
        <w:t xml:space="preserve"> GmbH, Ruhr-University Bochum, 44789 Bochum, Germany</w:t>
      </w:r>
    </w:p>
    <w:p w:rsidR="00343223" w:rsidRDefault="003432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r>
        <w:rPr>
          <w:rFonts w:ascii="Book Antiqua" w:hAnsi="Book Antiqua"/>
          <w:b/>
          <w:bCs/>
          <w:sz w:val="24"/>
          <w:szCs w:val="24"/>
        </w:rPr>
        <w:t>Author contributions:</w:t>
      </w:r>
      <w:r>
        <w:rPr>
          <w:rFonts w:ascii="Book Antiqua" w:hAnsi="Book Antiqua"/>
          <w:sz w:val="24"/>
          <w:szCs w:val="24"/>
        </w:rPr>
        <w:t xml:space="preserve"> </w:t>
      </w:r>
      <w:proofErr w:type="spellStart"/>
      <w:r>
        <w:rPr>
          <w:rFonts w:ascii="Book Antiqua" w:hAnsi="Book Antiqua"/>
          <w:sz w:val="24"/>
          <w:szCs w:val="24"/>
        </w:rPr>
        <w:t>Brechmann</w:t>
      </w:r>
      <w:proofErr w:type="spellEnd"/>
      <w:r>
        <w:rPr>
          <w:rFonts w:ascii="Book Antiqua" w:hAnsi="Book Antiqua"/>
          <w:sz w:val="24"/>
          <w:szCs w:val="24"/>
        </w:rPr>
        <w:t xml:space="preserve"> T guarantor of the article</w:t>
      </w:r>
      <w:r w:rsidR="000B6ECF">
        <w:rPr>
          <w:rFonts w:ascii="Book Antiqua" w:eastAsiaTheme="minorEastAsia" w:hAnsi="Book Antiqua" w:hint="eastAsia"/>
          <w:sz w:val="24"/>
          <w:szCs w:val="24"/>
        </w:rPr>
        <w:t>;</w:t>
      </w:r>
      <w:r>
        <w:rPr>
          <w:rFonts w:ascii="Book Antiqua" w:hAnsi="Book Antiqua"/>
          <w:sz w:val="24"/>
          <w:szCs w:val="24"/>
        </w:rPr>
        <w:t xml:space="preserve"> Conception and design of the study, data analysis and interpretation, supervision, drafting the manuscript; Thorsten </w:t>
      </w:r>
      <w:proofErr w:type="spellStart"/>
      <w:r>
        <w:rPr>
          <w:rFonts w:ascii="Book Antiqua" w:hAnsi="Book Antiqua"/>
          <w:sz w:val="24"/>
          <w:szCs w:val="24"/>
        </w:rPr>
        <w:t>Brechmann</w:t>
      </w:r>
      <w:proofErr w:type="spellEnd"/>
      <w:r>
        <w:rPr>
          <w:rFonts w:ascii="Book Antiqua" w:hAnsi="Book Antiqua"/>
          <w:sz w:val="24"/>
          <w:szCs w:val="24"/>
        </w:rPr>
        <w:t xml:space="preserve"> approved the final manuscript; </w:t>
      </w:r>
      <w:proofErr w:type="spellStart"/>
      <w:r>
        <w:rPr>
          <w:rFonts w:ascii="Book Antiqua" w:hAnsi="Book Antiqua"/>
          <w:sz w:val="24"/>
          <w:szCs w:val="24"/>
        </w:rPr>
        <w:t>Sperlbaum</w:t>
      </w:r>
      <w:proofErr w:type="spellEnd"/>
      <w:r>
        <w:rPr>
          <w:rFonts w:ascii="Book Antiqua" w:hAnsi="Book Antiqua"/>
          <w:sz w:val="24"/>
          <w:szCs w:val="24"/>
        </w:rPr>
        <w:t xml:space="preserve"> A Conducting the study, acquisition of data, analysis and interpretation; Andre </w:t>
      </w:r>
      <w:proofErr w:type="spellStart"/>
      <w:r>
        <w:rPr>
          <w:rFonts w:ascii="Book Antiqua" w:hAnsi="Book Antiqua"/>
          <w:sz w:val="24"/>
          <w:szCs w:val="24"/>
        </w:rPr>
        <w:t>Sperlbaum</w:t>
      </w:r>
      <w:proofErr w:type="spellEnd"/>
      <w:r>
        <w:rPr>
          <w:rFonts w:ascii="Book Antiqua" w:hAnsi="Book Antiqua"/>
          <w:sz w:val="24"/>
          <w:szCs w:val="24"/>
        </w:rPr>
        <w:t xml:space="preserve"> approved the final manuscript; </w:t>
      </w:r>
      <w:proofErr w:type="spellStart"/>
      <w:r>
        <w:rPr>
          <w:rFonts w:ascii="Book Antiqua" w:hAnsi="Book Antiqua"/>
          <w:sz w:val="24"/>
          <w:szCs w:val="24"/>
        </w:rPr>
        <w:t>Schmiegel</w:t>
      </w:r>
      <w:proofErr w:type="spellEnd"/>
      <w:r>
        <w:rPr>
          <w:rFonts w:ascii="Book Antiqua" w:hAnsi="Book Antiqua"/>
          <w:sz w:val="24"/>
          <w:szCs w:val="24"/>
        </w:rPr>
        <w:t xml:space="preserve"> W supervision, revision of the manuscript, support in terms of gastroenterology, </w:t>
      </w:r>
      <w:proofErr w:type="spellStart"/>
      <w:r>
        <w:rPr>
          <w:rFonts w:ascii="Book Antiqua" w:hAnsi="Book Antiqua"/>
          <w:sz w:val="24"/>
          <w:szCs w:val="24"/>
        </w:rPr>
        <w:t>Schmiegel</w:t>
      </w:r>
      <w:proofErr w:type="spellEnd"/>
      <w:r>
        <w:rPr>
          <w:rFonts w:ascii="Book Antiqua" w:hAnsi="Book Antiqua"/>
          <w:sz w:val="24"/>
          <w:szCs w:val="24"/>
        </w:rPr>
        <w:t xml:space="preserve"> W approved the final manuscript.</w:t>
      </w:r>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b/>
          <w:bCs/>
          <w:sz w:val="24"/>
          <w:szCs w:val="24"/>
        </w:rPr>
      </w:pPr>
      <w:r>
        <w:rPr>
          <w:rFonts w:ascii="Book Antiqua" w:hAnsi="Book Antiqua"/>
          <w:b/>
          <w:bCs/>
          <w:sz w:val="24"/>
          <w:szCs w:val="24"/>
        </w:rPr>
        <w:t xml:space="preserve">Institutional review board statement: </w:t>
      </w:r>
      <w:r>
        <w:rPr>
          <w:rFonts w:ascii="Book Antiqua" w:hAnsi="Book Antiqua"/>
          <w:sz w:val="24"/>
          <w:szCs w:val="24"/>
        </w:rPr>
        <w:t>The study was reviewed and approved by the Institutional Review Board of the Ruhr-University Bochum (Registration number: 4864-13).</w:t>
      </w:r>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b/>
          <w:bCs/>
          <w:sz w:val="24"/>
          <w:szCs w:val="24"/>
        </w:rPr>
      </w:pP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r>
        <w:rPr>
          <w:rFonts w:ascii="Book Antiqua" w:hAnsi="Book Antiqua"/>
          <w:b/>
          <w:bCs/>
          <w:sz w:val="24"/>
          <w:szCs w:val="24"/>
        </w:rPr>
        <w:t xml:space="preserve">Conflict-of-interest statement: </w:t>
      </w:r>
      <w:r>
        <w:rPr>
          <w:rFonts w:ascii="Book Antiqua" w:hAnsi="Book Antiqua"/>
          <w:sz w:val="24"/>
          <w:szCs w:val="24"/>
        </w:rPr>
        <w:t>The authors declare that there is no actual or potential conflict of interest related to the work.</w:t>
      </w:r>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b/>
          <w:bCs/>
          <w:sz w:val="24"/>
          <w:szCs w:val="24"/>
        </w:rPr>
      </w:pPr>
    </w:p>
    <w:p w:rsidR="00343223" w:rsidRDefault="00C30E23">
      <w:pPr>
        <w:spacing w:line="360" w:lineRule="auto"/>
        <w:jc w:val="both"/>
        <w:rPr>
          <w:rFonts w:ascii="Book Antiqua" w:eastAsia="Book Antiqua" w:hAnsi="Book Antiqua" w:cs="Book Antiqua"/>
          <w:b/>
          <w:bCs/>
        </w:rPr>
      </w:pPr>
      <w:bookmarkStart w:id="3" w:name="OLE_LINK155"/>
      <w:r>
        <w:rPr>
          <w:rFonts w:ascii="Book Antiqua" w:hAnsi="Book Antiqua"/>
          <w:b/>
          <w:bCs/>
        </w:rPr>
        <w:lastRenderedPageBreak/>
        <w:t xml:space="preserve">Open-Access: </w:t>
      </w:r>
      <w:r>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p>
    <w:p w:rsidR="00343223" w:rsidRDefault="00343223">
      <w:pPr>
        <w:spacing w:line="360" w:lineRule="auto"/>
        <w:jc w:val="both"/>
        <w:rPr>
          <w:rFonts w:ascii="Book Antiqua" w:eastAsia="Book Antiqua" w:hAnsi="Book Antiqua" w:cs="Book Antiqua"/>
        </w:rPr>
      </w:pPr>
    </w:p>
    <w:p w:rsidR="00343223" w:rsidRDefault="00C30E23">
      <w:pPr>
        <w:spacing w:line="360" w:lineRule="auto"/>
        <w:jc w:val="both"/>
        <w:rPr>
          <w:rFonts w:ascii="Book Antiqua" w:eastAsia="Book Antiqua" w:hAnsi="Book Antiqua" w:cs="Book Antiqua"/>
        </w:rPr>
      </w:pPr>
      <w:r>
        <w:rPr>
          <w:rFonts w:ascii="Book Antiqua" w:hAnsi="Book Antiqua"/>
          <w:b/>
          <w:bCs/>
        </w:rPr>
        <w:t xml:space="preserve">Manuscript source: </w:t>
      </w:r>
      <w:r>
        <w:rPr>
          <w:rFonts w:ascii="Book Antiqua" w:hAnsi="Book Antiqua"/>
        </w:rPr>
        <w:t>Unsolicited manuscript</w:t>
      </w:r>
    </w:p>
    <w:p w:rsidR="00343223" w:rsidRDefault="00343223">
      <w:pPr>
        <w:spacing w:line="360" w:lineRule="auto"/>
        <w:jc w:val="both"/>
        <w:rPr>
          <w:rFonts w:ascii="Book Antiqua" w:eastAsia="Book Antiqua" w:hAnsi="Book Antiqua" w:cs="Book Antiqua"/>
        </w:rPr>
      </w:pP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Fonts w:ascii="Book Antiqua" w:hAnsi="Book Antiqua"/>
          <w:b/>
          <w:bCs/>
          <w:sz w:val="24"/>
          <w:szCs w:val="24"/>
        </w:rPr>
        <w:t xml:space="preserve">Correspondence to: Thorsten </w:t>
      </w:r>
      <w:proofErr w:type="spellStart"/>
      <w:r>
        <w:rPr>
          <w:rFonts w:ascii="Book Antiqua" w:hAnsi="Book Antiqua"/>
          <w:b/>
          <w:bCs/>
          <w:sz w:val="24"/>
          <w:szCs w:val="24"/>
        </w:rPr>
        <w:t>Brechmann</w:t>
      </w:r>
      <w:proofErr w:type="spellEnd"/>
      <w:r>
        <w:rPr>
          <w:rFonts w:ascii="Book Antiqua" w:hAnsi="Book Antiqua"/>
          <w:b/>
          <w:bCs/>
          <w:sz w:val="24"/>
          <w:szCs w:val="24"/>
        </w:rPr>
        <w:t xml:space="preserve">, MD, </w:t>
      </w:r>
      <w:proofErr w:type="spellStart"/>
      <w:r>
        <w:rPr>
          <w:rFonts w:ascii="Book Antiqua" w:hAnsi="Book Antiqua"/>
          <w:sz w:val="24"/>
          <w:szCs w:val="24"/>
        </w:rPr>
        <w:t>Berufsgenossenschaftliches</w:t>
      </w:r>
      <w:proofErr w:type="spellEnd"/>
      <w:r>
        <w:rPr>
          <w:rFonts w:ascii="Book Antiqua" w:hAnsi="Book Antiqua"/>
          <w:sz w:val="24"/>
          <w:szCs w:val="24"/>
        </w:rPr>
        <w:t xml:space="preserve"> </w:t>
      </w:r>
      <w:proofErr w:type="spellStart"/>
      <w:r>
        <w:rPr>
          <w:rFonts w:ascii="Book Antiqua" w:hAnsi="Book Antiqua"/>
          <w:sz w:val="24"/>
          <w:szCs w:val="24"/>
        </w:rPr>
        <w:t>Universitätsklinikum</w:t>
      </w:r>
      <w:proofErr w:type="spellEnd"/>
      <w:r>
        <w:rPr>
          <w:rFonts w:ascii="Book Antiqua" w:hAnsi="Book Antiqua"/>
          <w:sz w:val="24"/>
          <w:szCs w:val="24"/>
        </w:rPr>
        <w:t xml:space="preserve"> </w:t>
      </w:r>
      <w:proofErr w:type="spellStart"/>
      <w:r>
        <w:rPr>
          <w:rFonts w:ascii="Book Antiqua" w:hAnsi="Book Antiqua"/>
          <w:sz w:val="24"/>
          <w:szCs w:val="24"/>
        </w:rPr>
        <w:t>Bergmannsheil</w:t>
      </w:r>
      <w:proofErr w:type="spellEnd"/>
      <w:r>
        <w:rPr>
          <w:rFonts w:ascii="Book Antiqua" w:hAnsi="Book Antiqua"/>
          <w:sz w:val="24"/>
          <w:szCs w:val="24"/>
        </w:rPr>
        <w:t xml:space="preserve"> GmbH, Ruhr-University Bochum, Department of Gastroenterology and </w:t>
      </w:r>
      <w:proofErr w:type="spellStart"/>
      <w:r>
        <w:rPr>
          <w:rFonts w:ascii="Book Antiqua" w:hAnsi="Book Antiqua"/>
          <w:sz w:val="24"/>
          <w:szCs w:val="24"/>
        </w:rPr>
        <w:t>Hepatology</w:t>
      </w:r>
      <w:proofErr w:type="spellEnd"/>
      <w:r>
        <w:rPr>
          <w:rFonts w:ascii="Book Antiqua" w:hAnsi="Book Antiqua"/>
          <w:sz w:val="24"/>
          <w:szCs w:val="24"/>
        </w:rPr>
        <w:t xml:space="preserve">, </w:t>
      </w:r>
      <w:proofErr w:type="spellStart"/>
      <w:r>
        <w:rPr>
          <w:rFonts w:ascii="Book Antiqua" w:hAnsi="Book Antiqua"/>
          <w:sz w:val="24"/>
          <w:szCs w:val="24"/>
        </w:rPr>
        <w:t>Bürkle</w:t>
      </w:r>
      <w:proofErr w:type="spellEnd"/>
      <w:r>
        <w:rPr>
          <w:rFonts w:ascii="Book Antiqua" w:hAnsi="Book Antiqua"/>
          <w:sz w:val="24"/>
          <w:szCs w:val="24"/>
        </w:rPr>
        <w:t>-de-la-Camp-</w:t>
      </w:r>
      <w:proofErr w:type="spellStart"/>
      <w:r>
        <w:rPr>
          <w:rFonts w:ascii="Book Antiqua" w:hAnsi="Book Antiqua"/>
          <w:sz w:val="24"/>
          <w:szCs w:val="24"/>
        </w:rPr>
        <w:t>Platz</w:t>
      </w:r>
      <w:proofErr w:type="spellEnd"/>
      <w:r>
        <w:rPr>
          <w:rFonts w:ascii="Book Antiqua" w:hAnsi="Book Antiqua"/>
          <w:sz w:val="24"/>
          <w:szCs w:val="24"/>
        </w:rPr>
        <w:t xml:space="preserve"> 1, 44789 Bochum, Germany. </w:t>
      </w:r>
      <w:hyperlink r:id="rId7" w:history="1">
        <w:r>
          <w:rPr>
            <w:rStyle w:val="Hyperlink0"/>
          </w:rPr>
          <w:t>thorsten.brechmann@rub.de</w:t>
        </w:r>
      </w:hyperlink>
      <w:r>
        <w:rPr>
          <w:rStyle w:val="Ohne"/>
          <w:rFonts w:ascii="Book Antiqua" w:hAnsi="Book Antiqua"/>
          <w:sz w:val="24"/>
          <w:szCs w:val="24"/>
        </w:rPr>
        <w:t xml:space="preserve"> </w:t>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b/>
          <w:bCs/>
          <w:sz w:val="24"/>
          <w:szCs w:val="24"/>
        </w:rPr>
        <w:t>Telephone</w:t>
      </w:r>
      <w:r>
        <w:rPr>
          <w:rStyle w:val="Ohne"/>
          <w:rFonts w:ascii="Book Antiqua" w:hAnsi="Book Antiqua"/>
          <w:sz w:val="24"/>
          <w:szCs w:val="24"/>
        </w:rPr>
        <w:t>: +49-234-3023411</w:t>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b/>
          <w:bCs/>
          <w:sz w:val="24"/>
          <w:szCs w:val="24"/>
        </w:rPr>
        <w:t>Fax</w:t>
      </w:r>
      <w:r>
        <w:rPr>
          <w:rStyle w:val="Ohne"/>
          <w:rFonts w:ascii="Book Antiqua" w:hAnsi="Book Antiqua"/>
          <w:sz w:val="24"/>
          <w:szCs w:val="24"/>
        </w:rPr>
        <w:t>: +49-234-3026707</w:t>
      </w:r>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spacing w:line="360" w:lineRule="auto"/>
        <w:jc w:val="both"/>
        <w:rPr>
          <w:rStyle w:val="Ohne"/>
          <w:rFonts w:ascii="宋体" w:eastAsia="宋体" w:hAnsi="宋体" w:cs="宋体"/>
        </w:rPr>
      </w:pPr>
      <w:bookmarkStart w:id="4" w:name="OLE_LINK117"/>
      <w:r>
        <w:rPr>
          <w:rStyle w:val="Ohne"/>
          <w:rFonts w:ascii="Book Antiqua" w:hAnsi="Book Antiqua"/>
          <w:b/>
          <w:bCs/>
        </w:rPr>
        <w:t xml:space="preserve">Received: </w:t>
      </w:r>
      <w:r>
        <w:rPr>
          <w:rStyle w:val="Ohne"/>
          <w:rFonts w:ascii="Book Antiqua" w:hAnsi="Book Antiqua"/>
        </w:rPr>
        <w:t>August 26, 2016</w:t>
      </w:r>
    </w:p>
    <w:p w:rsidR="00343223" w:rsidRDefault="00C30E23">
      <w:pPr>
        <w:spacing w:line="360" w:lineRule="auto"/>
        <w:jc w:val="both"/>
        <w:rPr>
          <w:rStyle w:val="Ohne"/>
          <w:rFonts w:ascii="宋体" w:eastAsia="宋体" w:hAnsi="宋体" w:cs="宋体"/>
        </w:rPr>
      </w:pPr>
      <w:r>
        <w:rPr>
          <w:rStyle w:val="Ohne"/>
          <w:rFonts w:ascii="Book Antiqua" w:hAnsi="Book Antiqua"/>
          <w:b/>
          <w:bCs/>
        </w:rPr>
        <w:t>Peer-review started:</w:t>
      </w:r>
      <w:r>
        <w:rPr>
          <w:rStyle w:val="Ohne"/>
          <w:rFonts w:ascii="Book Antiqua" w:hAnsi="Book Antiqua"/>
        </w:rPr>
        <w:t xml:space="preserve"> August 28, 2016</w:t>
      </w:r>
    </w:p>
    <w:p w:rsidR="00343223" w:rsidRDefault="00C30E23">
      <w:pPr>
        <w:spacing w:line="360" w:lineRule="auto"/>
        <w:jc w:val="both"/>
        <w:rPr>
          <w:rStyle w:val="Ohne"/>
          <w:rFonts w:ascii="宋体" w:eastAsia="宋体" w:hAnsi="宋体" w:cs="宋体"/>
        </w:rPr>
      </w:pPr>
      <w:r>
        <w:rPr>
          <w:rStyle w:val="Ohne"/>
          <w:rFonts w:ascii="Book Antiqua" w:hAnsi="Book Antiqua"/>
          <w:b/>
          <w:bCs/>
        </w:rPr>
        <w:t xml:space="preserve">First decision: </w:t>
      </w:r>
      <w:r>
        <w:rPr>
          <w:rStyle w:val="Ohne"/>
          <w:rFonts w:ascii="Book Antiqua" w:hAnsi="Book Antiqua"/>
        </w:rPr>
        <w:t>October 20, 2016</w:t>
      </w:r>
    </w:p>
    <w:p w:rsidR="00343223" w:rsidRDefault="00C30E23">
      <w:pPr>
        <w:spacing w:line="360" w:lineRule="auto"/>
        <w:jc w:val="both"/>
        <w:rPr>
          <w:rStyle w:val="Ohne"/>
          <w:rFonts w:ascii="宋体" w:eastAsia="宋体" w:hAnsi="宋体" w:cs="宋体"/>
        </w:rPr>
      </w:pPr>
      <w:r>
        <w:rPr>
          <w:rStyle w:val="Ohne"/>
          <w:rFonts w:ascii="Book Antiqua" w:hAnsi="Book Antiqua"/>
          <w:b/>
          <w:bCs/>
        </w:rPr>
        <w:t xml:space="preserve">Revised: </w:t>
      </w:r>
      <w:r>
        <w:rPr>
          <w:rStyle w:val="Ohne"/>
          <w:rFonts w:ascii="Book Antiqua" w:hAnsi="Book Antiqua"/>
        </w:rPr>
        <w:t>October 22, 2016</w:t>
      </w:r>
    </w:p>
    <w:p w:rsidR="00343223" w:rsidRPr="00B726AC" w:rsidRDefault="00B726AC" w:rsidP="00B726AC">
      <w:pPr>
        <w:rPr>
          <w:rStyle w:val="Ohne"/>
          <w:rFonts w:ascii="Book Antiqua" w:hAnsi="Book Antiqua"/>
          <w:iCs/>
        </w:rPr>
      </w:pPr>
      <w:r>
        <w:rPr>
          <w:rStyle w:val="Ohne"/>
          <w:rFonts w:ascii="Book Antiqua" w:hAnsi="Book Antiqua"/>
          <w:b/>
          <w:bCs/>
        </w:rPr>
        <w:t>Accepted:</w:t>
      </w:r>
      <w:r w:rsidR="00C30E23">
        <w:rPr>
          <w:rStyle w:val="Ohne"/>
          <w:rFonts w:ascii="Book Antiqua" w:hAnsi="Book Antiqua"/>
          <w:b/>
          <w:bCs/>
        </w:rPr>
        <w:t xml:space="preserve"> </w:t>
      </w:r>
      <w:r>
        <w:rPr>
          <w:rStyle w:val="a7"/>
        </w:rPr>
        <w:t>November</w:t>
      </w:r>
      <w:r>
        <w:rPr>
          <w:rStyle w:val="a7"/>
          <w:rFonts w:ascii="宋体" w:hAnsi="宋体" w:cs="宋体" w:hint="eastAsia"/>
        </w:rPr>
        <w:t xml:space="preserve"> 15</w:t>
      </w:r>
      <w:r w:rsidRPr="00235CD4">
        <w:rPr>
          <w:rStyle w:val="a7"/>
        </w:rPr>
        <w:t>,</w:t>
      </w:r>
      <w:r>
        <w:rPr>
          <w:rStyle w:val="a7"/>
        </w:rPr>
        <w:t xml:space="preserve"> 2016</w:t>
      </w:r>
    </w:p>
    <w:p w:rsidR="00343223" w:rsidRDefault="00C30E23">
      <w:pPr>
        <w:spacing w:line="360" w:lineRule="auto"/>
        <w:jc w:val="both"/>
        <w:rPr>
          <w:rStyle w:val="Ohne"/>
          <w:rFonts w:ascii="Book Antiqua" w:eastAsia="Book Antiqua" w:hAnsi="Book Antiqua" w:cs="Book Antiqua"/>
          <w:b/>
          <w:bCs/>
        </w:rPr>
      </w:pPr>
      <w:r>
        <w:rPr>
          <w:rStyle w:val="Ohne"/>
          <w:rFonts w:ascii="Book Antiqua" w:hAnsi="Book Antiqua"/>
          <w:b/>
          <w:bCs/>
        </w:rPr>
        <w:t>Article in press:</w:t>
      </w:r>
    </w:p>
    <w:p w:rsidR="00343223" w:rsidRDefault="00C30E23">
      <w:pPr>
        <w:spacing w:line="360" w:lineRule="auto"/>
        <w:jc w:val="both"/>
        <w:rPr>
          <w:rStyle w:val="Ohne"/>
          <w:rFonts w:ascii="Book Antiqua" w:eastAsia="Book Antiqua" w:hAnsi="Book Antiqua" w:cs="Book Antiqua"/>
          <w:b/>
          <w:bCs/>
        </w:rPr>
      </w:pPr>
      <w:r>
        <w:rPr>
          <w:rStyle w:val="Ohne"/>
          <w:rFonts w:ascii="Book Antiqua" w:hAnsi="Book Antiqua"/>
          <w:b/>
          <w:bCs/>
        </w:rPr>
        <w:t>Published online:</w:t>
      </w:r>
      <w:bookmarkEnd w:id="4"/>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b/>
          <w:bCs/>
          <w:sz w:val="24"/>
          <w:szCs w:val="24"/>
        </w:rPr>
      </w:pP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Arial Unicode MS" w:hAnsi="Arial Unicode MS"/>
          <w:sz w:val="24"/>
          <w:szCs w:val="24"/>
        </w:rPr>
        <w:br w:type="page"/>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lastRenderedPageBreak/>
        <w:t>Abstract</w:t>
      </w:r>
    </w:p>
    <w:p w:rsidR="00343223" w:rsidRDefault="00C30E23">
      <w:pPr>
        <w:pStyle w:val="TextA"/>
        <w:tabs>
          <w:tab w:val="left" w:pos="1416"/>
          <w:tab w:val="left" w:pos="1890"/>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AIM</w:t>
      </w:r>
      <w:r>
        <w:rPr>
          <w:rStyle w:val="Ohne"/>
          <w:rFonts w:ascii="Book Antiqua" w:hAnsi="Book Antiqua"/>
          <w:b/>
          <w:bCs/>
          <w:i/>
          <w:iCs/>
          <w:sz w:val="24"/>
          <w:szCs w:val="24"/>
        </w:rPr>
        <w:tab/>
      </w:r>
      <w:r>
        <w:rPr>
          <w:rStyle w:val="Ohne"/>
          <w:rFonts w:ascii="Book Antiqua" w:hAnsi="Book Antiqua"/>
          <w:b/>
          <w:bCs/>
          <w:i/>
          <w:iCs/>
          <w:sz w:val="24"/>
          <w:szCs w:val="24"/>
        </w:rPr>
        <w:tab/>
      </w:r>
    </w:p>
    <w:p w:rsidR="00343223" w:rsidRDefault="00C30E23">
      <w:pPr>
        <w:pStyle w:val="TextA"/>
        <w:tabs>
          <w:tab w:val="left" w:pos="708"/>
          <w:tab w:val="left" w:pos="1416"/>
          <w:tab w:val="left" w:pos="1890"/>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proofErr w:type="gramStart"/>
      <w:r>
        <w:rPr>
          <w:rStyle w:val="Ohne"/>
          <w:rFonts w:ascii="Book Antiqua" w:hAnsi="Book Antiqua"/>
          <w:sz w:val="24"/>
          <w:szCs w:val="24"/>
        </w:rPr>
        <w:t>To identify a set of contributors, and weight and rank them on a pathophysiological basis.</w:t>
      </w:r>
      <w:proofErr w:type="gramEnd"/>
    </w:p>
    <w:p w:rsidR="00343223" w:rsidRDefault="00343223">
      <w:pPr>
        <w:pStyle w:val="TextA"/>
        <w:tabs>
          <w:tab w:val="left" w:pos="708"/>
          <w:tab w:val="left" w:pos="1416"/>
          <w:tab w:val="left" w:pos="1890"/>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tabs>
          <w:tab w:val="left" w:pos="708"/>
          <w:tab w:val="left" w:pos="1890"/>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METHODS</w:t>
      </w:r>
      <w:r>
        <w:rPr>
          <w:rStyle w:val="Ohne"/>
          <w:rFonts w:ascii="Book Antiqua" w:hAnsi="Book Antiqua"/>
          <w:b/>
          <w:bCs/>
          <w:i/>
          <w:iCs/>
          <w:sz w:val="24"/>
          <w:szCs w:val="24"/>
        </w:rPr>
        <w:tab/>
      </w:r>
    </w:p>
    <w:p w:rsidR="00343223" w:rsidRDefault="00C30E23">
      <w:pPr>
        <w:pStyle w:val="TextA"/>
        <w:tabs>
          <w:tab w:val="left" w:pos="708"/>
          <w:tab w:val="left" w:pos="1416"/>
          <w:tab w:val="left" w:pos="1890"/>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Patients who have undergone a lactulose or glucose hydrogen breath test to rule out </w:t>
      </w:r>
      <w:r w:rsidR="000B6ECF" w:rsidRPr="000B6ECF">
        <w:rPr>
          <w:rStyle w:val="Ohne"/>
          <w:rFonts w:ascii="Book Antiqua" w:hAnsi="Book Antiqua"/>
          <w:sz w:val="24"/>
          <w:szCs w:val="24"/>
        </w:rPr>
        <w:t xml:space="preserve">small intestinal bacterial overgrowth </w:t>
      </w:r>
      <w:r w:rsidR="000B6ECF">
        <w:rPr>
          <w:rStyle w:val="Ohne"/>
          <w:rFonts w:ascii="Book Antiqua" w:hAnsi="Book Antiqua" w:hint="eastAsia"/>
          <w:sz w:val="24"/>
          <w:szCs w:val="24"/>
        </w:rPr>
        <w:t>(</w:t>
      </w:r>
      <w:r>
        <w:rPr>
          <w:rStyle w:val="Ohne"/>
          <w:rFonts w:ascii="Book Antiqua" w:hAnsi="Book Antiqua"/>
          <w:sz w:val="24"/>
          <w:szCs w:val="24"/>
        </w:rPr>
        <w:t>SIBO</w:t>
      </w:r>
      <w:r w:rsidR="000B6ECF">
        <w:rPr>
          <w:rStyle w:val="Ohne"/>
          <w:rFonts w:ascii="Book Antiqua" w:hAnsi="Book Antiqua" w:hint="eastAsia"/>
          <w:sz w:val="24"/>
          <w:szCs w:val="24"/>
        </w:rPr>
        <w:t>)</w:t>
      </w:r>
      <w:r>
        <w:rPr>
          <w:rStyle w:val="Ohne"/>
          <w:rFonts w:ascii="Book Antiqua" w:hAnsi="Book Antiqua"/>
          <w:sz w:val="24"/>
          <w:szCs w:val="24"/>
        </w:rPr>
        <w:t xml:space="preserve"> for various clinical symptoms, including </w:t>
      </w:r>
      <w:proofErr w:type="spellStart"/>
      <w:r>
        <w:rPr>
          <w:rStyle w:val="Ohne"/>
          <w:rFonts w:ascii="Book Antiqua" w:hAnsi="Book Antiqua"/>
          <w:sz w:val="24"/>
          <w:szCs w:val="24"/>
        </w:rPr>
        <w:t>diarrhoea</w:t>
      </w:r>
      <w:proofErr w:type="spellEnd"/>
      <w:r>
        <w:rPr>
          <w:rStyle w:val="Ohne"/>
          <w:rFonts w:ascii="Book Antiqua" w:hAnsi="Book Antiqua"/>
          <w:sz w:val="24"/>
          <w:szCs w:val="24"/>
        </w:rPr>
        <w:t>, weight loss, abdominal pain, cramping or bloating, were seen as eligible for inclusion in a retrospective single-</w:t>
      </w:r>
      <w:proofErr w:type="spellStart"/>
      <w:r>
        <w:rPr>
          <w:rStyle w:val="Ohne"/>
          <w:rFonts w:ascii="Book Antiqua" w:hAnsi="Book Antiqua"/>
          <w:sz w:val="24"/>
          <w:szCs w:val="24"/>
        </w:rPr>
        <w:t>centre</w:t>
      </w:r>
      <w:proofErr w:type="spellEnd"/>
      <w:r>
        <w:rPr>
          <w:rStyle w:val="Ohne"/>
          <w:rFonts w:ascii="Book Antiqua" w:hAnsi="Book Antiqua"/>
          <w:sz w:val="24"/>
          <w:szCs w:val="24"/>
        </w:rPr>
        <w:t xml:space="preserve"> study. Clinical data such as co-morbidities, medication, laboratory parameters and other possible risk factors have been identified from the electronic data system. Cases lacking or with substantially incomplete clinical data were excluded from the analysis. Suspected contributors were </w:t>
      </w:r>
      <w:proofErr w:type="spellStart"/>
      <w:r>
        <w:rPr>
          <w:rStyle w:val="Ohne"/>
          <w:rFonts w:ascii="Book Antiqua" w:hAnsi="Book Antiqua"/>
          <w:sz w:val="24"/>
          <w:szCs w:val="24"/>
        </w:rPr>
        <w:t>summarised</w:t>
      </w:r>
      <w:proofErr w:type="spellEnd"/>
      <w:r>
        <w:rPr>
          <w:rStyle w:val="Ohne"/>
          <w:rFonts w:ascii="Book Antiqua" w:hAnsi="Book Antiqua"/>
          <w:sz w:val="24"/>
          <w:szCs w:val="24"/>
        </w:rPr>
        <w:t xml:space="preserve"> under four different pathophysiological pathways (impaired gastric acid barrier, impaired intestinal clearance, immunosuppression and miscellaneous factors including thyroid gland variables) and investigated using the</w:t>
      </w:r>
      <w:r w:rsidRPr="000B6ECF">
        <w:rPr>
          <w:rStyle w:val="Ohne"/>
          <w:rFonts w:ascii="Book Antiqua" w:hAnsi="Book Antiqua"/>
          <w:i/>
          <w:iCs/>
          <w:sz w:val="24"/>
          <w:szCs w:val="24"/>
        </w:rPr>
        <w:t xml:space="preserve"> </w:t>
      </w:r>
      <w:r w:rsidR="000B6ECF">
        <w:rPr>
          <w:rStyle w:val="Ohne"/>
          <w:rFonts w:ascii="Arial Unicode MS" w:hAnsi="Arial Unicode MS"/>
          <w:i/>
          <w:sz w:val="24"/>
          <w:szCs w:val="24"/>
        </w:rPr>
        <w:sym w:font="Symbol" w:char="F063"/>
      </w:r>
      <w:r>
        <w:rPr>
          <w:rStyle w:val="Ohne"/>
          <w:rFonts w:ascii="Book Antiqua" w:hAnsi="Book Antiqua"/>
          <w:sz w:val="24"/>
          <w:szCs w:val="24"/>
          <w:vertAlign w:val="superscript"/>
        </w:rPr>
        <w:t>2</w:t>
      </w:r>
      <w:r>
        <w:rPr>
          <w:rStyle w:val="Ohne"/>
          <w:rFonts w:ascii="Book Antiqua" w:hAnsi="Book Antiqua"/>
          <w:sz w:val="24"/>
          <w:szCs w:val="24"/>
        </w:rPr>
        <w:t xml:space="preserve"> test, Student’s </w:t>
      </w:r>
      <w:r>
        <w:rPr>
          <w:rStyle w:val="Ohne"/>
          <w:rFonts w:ascii="Book Antiqua" w:hAnsi="Book Antiqua"/>
          <w:i/>
          <w:iCs/>
          <w:sz w:val="24"/>
          <w:szCs w:val="24"/>
        </w:rPr>
        <w:t>t</w:t>
      </w:r>
      <w:r>
        <w:rPr>
          <w:rStyle w:val="Ohne"/>
          <w:rFonts w:ascii="Book Antiqua" w:hAnsi="Book Antiqua"/>
          <w:sz w:val="24"/>
          <w:szCs w:val="24"/>
        </w:rPr>
        <w:t>-test and logistic regression models.</w:t>
      </w:r>
    </w:p>
    <w:p w:rsidR="00343223" w:rsidRDefault="00343223">
      <w:pPr>
        <w:pStyle w:val="TextA"/>
        <w:tabs>
          <w:tab w:val="left" w:pos="708"/>
          <w:tab w:val="left" w:pos="1416"/>
          <w:tab w:val="left" w:pos="1890"/>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RESULTS</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A total of 1809 patients who had undergone hydrogen breath testing were </w:t>
      </w:r>
      <w:proofErr w:type="spellStart"/>
      <w:r>
        <w:rPr>
          <w:rStyle w:val="Ohne"/>
          <w:rFonts w:ascii="Book Antiqua" w:hAnsi="Book Antiqua"/>
          <w:sz w:val="24"/>
          <w:szCs w:val="24"/>
        </w:rPr>
        <w:t>analysed</w:t>
      </w:r>
      <w:proofErr w:type="spellEnd"/>
      <w:r>
        <w:rPr>
          <w:rStyle w:val="Ohne"/>
          <w:rFonts w:ascii="Book Antiqua" w:hAnsi="Book Antiqua"/>
          <w:sz w:val="24"/>
          <w:szCs w:val="24"/>
        </w:rPr>
        <w:t xml:space="preserve">. Impairment of the gastric acid barrier (gastrectomy, odds ratio: OR = 3.5, PPI therapy OR = 1.4), impairment of intestinal clearance (any resecting gastric surgery OR </w:t>
      </w:r>
      <w:r w:rsidR="000B6ECF">
        <w:rPr>
          <w:rStyle w:val="Ohne"/>
          <w:rFonts w:ascii="Book Antiqua" w:eastAsiaTheme="minorEastAsia" w:hAnsi="Book Antiqua" w:hint="eastAsia"/>
          <w:sz w:val="24"/>
          <w:szCs w:val="24"/>
        </w:rPr>
        <w:t xml:space="preserve">= </w:t>
      </w:r>
      <w:r>
        <w:rPr>
          <w:rStyle w:val="Ohne"/>
          <w:rFonts w:ascii="Book Antiqua" w:hAnsi="Book Antiqua"/>
          <w:sz w:val="24"/>
          <w:szCs w:val="24"/>
        </w:rPr>
        <w:t xml:space="preserve">2.6, any colonic resection OR = 1.9, stenosis OR = 3.4, gastroparesis OR = 3.4, neuropathy 2.2), immunological factors (any drug-induced immunosuppression OR = 1.8), altered thyroid gland metabolism (hypothyroidism OR = 2.6, levothyroxine therapy OR = 3.0) and diabetes mellitus (OR = 1.9) were associated significantly to SIBO. Any abdominal surgery, </w:t>
      </w:r>
      <w:proofErr w:type="spellStart"/>
      <w:r>
        <w:rPr>
          <w:rStyle w:val="Ohne"/>
          <w:rFonts w:ascii="Book Antiqua" w:hAnsi="Book Antiqua"/>
          <w:sz w:val="24"/>
          <w:szCs w:val="24"/>
        </w:rPr>
        <w:t>ileocecal</w:t>
      </w:r>
      <w:proofErr w:type="spellEnd"/>
      <w:r>
        <w:rPr>
          <w:rStyle w:val="Ohne"/>
          <w:rFonts w:ascii="Book Antiqua" w:hAnsi="Book Antiqua"/>
          <w:sz w:val="24"/>
          <w:szCs w:val="24"/>
        </w:rPr>
        <w:t xml:space="preserve"> resection, </w:t>
      </w:r>
      <w:proofErr w:type="spellStart"/>
      <w:r>
        <w:rPr>
          <w:rStyle w:val="Ohne"/>
          <w:rFonts w:ascii="Book Antiqua" w:hAnsi="Book Antiqua"/>
          <w:sz w:val="24"/>
          <w:szCs w:val="24"/>
        </w:rPr>
        <w:t>vagotomy</w:t>
      </w:r>
      <w:proofErr w:type="spellEnd"/>
      <w:r>
        <w:rPr>
          <w:rStyle w:val="Ohne"/>
          <w:rFonts w:ascii="Book Antiqua" w:hAnsi="Book Antiqua"/>
          <w:sz w:val="24"/>
          <w:szCs w:val="24"/>
        </w:rPr>
        <w:t xml:space="preserve"> or IgA-deficiency did not have any influence, and a history of appendectomy decreased the risk of SIBO. Multivariate analysis revealed gastric surgery, </w:t>
      </w:r>
      <w:proofErr w:type="spellStart"/>
      <w:r>
        <w:rPr>
          <w:rStyle w:val="Ohne"/>
          <w:rFonts w:ascii="Book Antiqua" w:hAnsi="Book Antiqua"/>
          <w:sz w:val="24"/>
          <w:szCs w:val="24"/>
        </w:rPr>
        <w:t>stenoses</w:t>
      </w:r>
      <w:proofErr w:type="spellEnd"/>
      <w:r>
        <w:rPr>
          <w:rStyle w:val="Ohne"/>
          <w:rFonts w:ascii="Book Antiqua" w:hAnsi="Book Antiqua"/>
          <w:sz w:val="24"/>
          <w:szCs w:val="24"/>
        </w:rPr>
        <w:t>, medical immunosuppression and levothyroxine to be the strongest predictors. Levothyroxine therapy was the strongest contributor in a simplified model (OR = 3.0).</w:t>
      </w:r>
    </w:p>
    <w:p w:rsidR="00343223" w:rsidRDefault="003432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lastRenderedPageBreak/>
        <w:t>CONCLUSION</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The most important contributors for the development of SIBO in ascending order are immunosuppression, impairment of intestinal clearance and levothyroxine use, but they do not sufficiently explain its emergence.</w:t>
      </w:r>
    </w:p>
    <w:p w:rsidR="00343223" w:rsidRDefault="003432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b/>
          <w:bCs/>
          <w:sz w:val="24"/>
          <w:szCs w:val="24"/>
        </w:rPr>
        <w:t>Key words</w:t>
      </w:r>
      <w:r>
        <w:rPr>
          <w:rStyle w:val="Ohne"/>
          <w:rFonts w:ascii="Book Antiqua" w:hAnsi="Book Antiqua"/>
          <w:sz w:val="24"/>
          <w:szCs w:val="24"/>
        </w:rPr>
        <w:t xml:space="preserve">: </w:t>
      </w:r>
      <w:bookmarkStart w:id="5" w:name="_GoBack"/>
      <w:r>
        <w:rPr>
          <w:rStyle w:val="Ohne"/>
          <w:rFonts w:ascii="Book Antiqua" w:hAnsi="Book Antiqua"/>
          <w:sz w:val="24"/>
          <w:szCs w:val="24"/>
        </w:rPr>
        <w:t>Bacterial overgrowth syndrome; Hydrogen breath tests; Hypothyroidism; Intestinal m</w:t>
      </w:r>
      <w:r w:rsidR="001C369B">
        <w:rPr>
          <w:rStyle w:val="Ohne"/>
          <w:rFonts w:ascii="Book Antiqua" w:hAnsi="Book Antiqua"/>
          <w:sz w:val="24"/>
          <w:szCs w:val="24"/>
        </w:rPr>
        <w:t>otility; Immunosuppression</w:t>
      </w:r>
      <w:bookmarkEnd w:id="5"/>
    </w:p>
    <w:p w:rsidR="00343223" w:rsidRDefault="003432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spacing w:line="360" w:lineRule="auto"/>
        <w:jc w:val="both"/>
        <w:rPr>
          <w:rStyle w:val="Ohne"/>
          <w:rFonts w:ascii="Book Antiqua" w:eastAsia="Book Antiqua" w:hAnsi="Book Antiqua" w:cs="Book Antiqua"/>
        </w:rPr>
      </w:pPr>
      <w:bookmarkStart w:id="6" w:name="OLE_LINK55"/>
      <w:proofErr w:type="gramStart"/>
      <w:r>
        <w:rPr>
          <w:rStyle w:val="Ohne"/>
          <w:rFonts w:ascii="Book Antiqua" w:hAnsi="Book Antiqua"/>
          <w:b/>
          <w:bCs/>
        </w:rPr>
        <w:t>©</w:t>
      </w:r>
      <w:bookmarkStart w:id="7" w:name="OLE_LINK105"/>
      <w:bookmarkEnd w:id="6"/>
      <w:r>
        <w:rPr>
          <w:rStyle w:val="Ohne"/>
          <w:rFonts w:ascii="Book Antiqua" w:hAnsi="Book Antiqua"/>
          <w:b/>
          <w:bCs/>
        </w:rPr>
        <w:t xml:space="preserve"> The Author(s) 2016.</w:t>
      </w:r>
      <w:proofErr w:type="gramEnd"/>
      <w:r>
        <w:rPr>
          <w:rStyle w:val="Ohne"/>
          <w:rFonts w:ascii="Book Antiqua" w:hAnsi="Book Antiqua"/>
          <w:b/>
          <w:bCs/>
        </w:rPr>
        <w:t xml:space="preserve"> </w:t>
      </w:r>
      <w:proofErr w:type="gramStart"/>
      <w:r>
        <w:rPr>
          <w:rStyle w:val="Ohne"/>
          <w:rFonts w:ascii="Book Antiqua" w:hAnsi="Book Antiqua"/>
        </w:rPr>
        <w:t xml:space="preserve">Published by </w:t>
      </w:r>
      <w:proofErr w:type="spellStart"/>
      <w:r>
        <w:rPr>
          <w:rStyle w:val="Ohne"/>
          <w:rFonts w:ascii="Book Antiqua" w:hAnsi="Book Antiqua"/>
        </w:rPr>
        <w:t>Baishideng</w:t>
      </w:r>
      <w:proofErr w:type="spellEnd"/>
      <w:r>
        <w:rPr>
          <w:rStyle w:val="Ohne"/>
          <w:rFonts w:ascii="Book Antiqua" w:hAnsi="Book Antiqua"/>
        </w:rPr>
        <w:t xml:space="preserve"> Publishing Group Inc.</w:t>
      </w:r>
      <w:proofErr w:type="gramEnd"/>
      <w:r>
        <w:rPr>
          <w:rStyle w:val="Ohne"/>
          <w:rFonts w:ascii="Book Antiqua" w:hAnsi="Book Antiqua"/>
        </w:rPr>
        <w:t xml:space="preserve"> All rights reserved.</w:t>
      </w:r>
      <w:bookmarkEnd w:id="7"/>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b/>
          <w:bCs/>
          <w:sz w:val="24"/>
          <w:szCs w:val="24"/>
        </w:rPr>
        <w:t xml:space="preserve">Core tip: </w:t>
      </w:r>
      <w:r>
        <w:rPr>
          <w:rStyle w:val="Ohne"/>
          <w:rFonts w:ascii="Book Antiqua" w:hAnsi="Book Antiqua"/>
          <w:sz w:val="24"/>
          <w:szCs w:val="24"/>
        </w:rPr>
        <w:t xml:space="preserve">Several contributors to small intestinal overgrowth have been described, but the impact of particular risk factors is poorly understood. We aimed to determine the influence of several </w:t>
      </w:r>
      <w:proofErr w:type="spellStart"/>
      <w:r>
        <w:rPr>
          <w:rStyle w:val="Ohne"/>
          <w:rFonts w:ascii="Book Antiqua" w:hAnsi="Book Antiqua"/>
          <w:sz w:val="24"/>
          <w:szCs w:val="24"/>
        </w:rPr>
        <w:t>pathomechanisms</w:t>
      </w:r>
      <w:proofErr w:type="spellEnd"/>
      <w:r>
        <w:rPr>
          <w:rStyle w:val="Ohne"/>
          <w:rFonts w:ascii="Book Antiqua" w:hAnsi="Book Antiqua"/>
          <w:sz w:val="24"/>
          <w:szCs w:val="24"/>
        </w:rPr>
        <w:t xml:space="preserve">, such as impaired gastric acid barrier function, impaired intestinal clearance, impairment of defence mechanisms and miscellaneous factors, as well as to weight and rank a large set of potential contributors by means of a retrospective cohort study of 1809 consecutive patients who had undergone a hydrogen breath test to rule out </w:t>
      </w:r>
      <w:r w:rsidR="000B6ECF" w:rsidRPr="000B6ECF">
        <w:rPr>
          <w:rStyle w:val="Ohne"/>
          <w:rFonts w:ascii="Book Antiqua" w:hAnsi="Book Antiqua"/>
          <w:sz w:val="24"/>
          <w:szCs w:val="24"/>
        </w:rPr>
        <w:t>small intestinal bacterial overgrowth</w:t>
      </w:r>
      <w:r>
        <w:rPr>
          <w:rStyle w:val="Ohne"/>
          <w:rFonts w:ascii="Book Antiqua" w:hAnsi="Book Antiqua"/>
          <w:sz w:val="24"/>
          <w:szCs w:val="24"/>
        </w:rPr>
        <w:t>. Overall, levothyroxine therapy, impaired intestinal clearance and immunosuppression are the strongest contributors, while an impaired gastric acid barrier only plays a minor role.</w:t>
      </w:r>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b/>
          <w:bCs/>
          <w:sz w:val="24"/>
          <w:szCs w:val="24"/>
        </w:rPr>
      </w:pPr>
    </w:p>
    <w:p w:rsidR="00343223" w:rsidRDefault="00C30E23">
      <w:pPr>
        <w:spacing w:line="360" w:lineRule="auto"/>
        <w:jc w:val="both"/>
        <w:rPr>
          <w:rStyle w:val="Ohne"/>
          <w:rFonts w:ascii="Book Antiqua" w:eastAsia="Book Antiqua" w:hAnsi="Book Antiqua" w:cs="Book Antiqua"/>
        </w:rPr>
      </w:pPr>
      <w:proofErr w:type="spellStart"/>
      <w:r>
        <w:rPr>
          <w:rStyle w:val="Ohne"/>
          <w:rFonts w:ascii="Book Antiqua" w:hAnsi="Book Antiqua"/>
        </w:rPr>
        <w:t>Brechmann</w:t>
      </w:r>
      <w:proofErr w:type="spellEnd"/>
      <w:r>
        <w:rPr>
          <w:rStyle w:val="Ohne"/>
          <w:rFonts w:ascii="Book Antiqua" w:hAnsi="Book Antiqua"/>
        </w:rPr>
        <w:t xml:space="preserve"> T, </w:t>
      </w:r>
      <w:proofErr w:type="spellStart"/>
      <w:r>
        <w:rPr>
          <w:rStyle w:val="Ohne"/>
          <w:rFonts w:ascii="Book Antiqua" w:hAnsi="Book Antiqua"/>
        </w:rPr>
        <w:t>Sperlbaum</w:t>
      </w:r>
      <w:proofErr w:type="spellEnd"/>
      <w:r>
        <w:rPr>
          <w:rStyle w:val="Ohne"/>
          <w:rFonts w:ascii="Book Antiqua" w:hAnsi="Book Antiqua"/>
        </w:rPr>
        <w:t xml:space="preserve"> A, Wolff </w:t>
      </w:r>
      <w:proofErr w:type="spellStart"/>
      <w:r>
        <w:rPr>
          <w:rStyle w:val="Ohne"/>
          <w:rFonts w:ascii="Book Antiqua" w:hAnsi="Book Antiqua"/>
        </w:rPr>
        <w:t>Schmiegel</w:t>
      </w:r>
      <w:proofErr w:type="spellEnd"/>
      <w:r>
        <w:rPr>
          <w:rStyle w:val="Ohne"/>
          <w:rFonts w:ascii="Book Antiqua" w:hAnsi="Book Antiqua"/>
        </w:rPr>
        <w:t xml:space="preserve"> W. Levothyroxine therapy and impaired clearance are the strongest contributors to small intestinal overgrowth: results of a retrospective cohort study.</w:t>
      </w:r>
      <w:bookmarkStart w:id="8" w:name="OLE_LINK424"/>
      <w:r>
        <w:rPr>
          <w:rStyle w:val="Ohne"/>
          <w:rFonts w:ascii="Book Antiqua" w:hAnsi="Book Antiqua"/>
          <w:i/>
          <w:iCs/>
        </w:rPr>
        <w:t xml:space="preserve"> World J </w:t>
      </w:r>
      <w:proofErr w:type="spellStart"/>
      <w:r>
        <w:rPr>
          <w:rStyle w:val="Ohne"/>
          <w:rFonts w:ascii="Book Antiqua" w:hAnsi="Book Antiqua"/>
          <w:i/>
          <w:iCs/>
        </w:rPr>
        <w:t>Gastroenterol</w:t>
      </w:r>
      <w:proofErr w:type="spellEnd"/>
      <w:r>
        <w:rPr>
          <w:rStyle w:val="Ohne"/>
          <w:rFonts w:ascii="Book Antiqua" w:hAnsi="Book Antiqua"/>
        </w:rPr>
        <w:t xml:space="preserve"> 2016;</w:t>
      </w:r>
      <w:bookmarkEnd w:id="8"/>
      <w:r>
        <w:rPr>
          <w:rStyle w:val="Ohne"/>
          <w:rFonts w:ascii="Book Antiqua" w:hAnsi="Book Antiqua"/>
        </w:rPr>
        <w:t xml:space="preserve"> </w:t>
      </w:r>
      <w:bookmarkStart w:id="9" w:name="OLE_LINK1297"/>
      <w:proofErr w:type="gramStart"/>
      <w:r>
        <w:rPr>
          <w:rStyle w:val="Ohne"/>
          <w:rFonts w:ascii="Book Antiqua" w:hAnsi="Book Antiqua"/>
        </w:rPr>
        <w:t>In</w:t>
      </w:r>
      <w:proofErr w:type="gramEnd"/>
      <w:r>
        <w:rPr>
          <w:rStyle w:val="Ohne"/>
          <w:rFonts w:ascii="Book Antiqua" w:hAnsi="Book Antiqua"/>
        </w:rPr>
        <w:t xml:space="preserve"> press</w:t>
      </w:r>
      <w:bookmarkEnd w:id="9"/>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Arial Unicode MS" w:hAnsi="Arial Unicode MS"/>
          <w:sz w:val="24"/>
          <w:szCs w:val="24"/>
        </w:rPr>
        <w:br w:type="page"/>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lastRenderedPageBreak/>
        <w:t>INTRODUCTION</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Small intestinal bacterial overgrowth (SIBO) is defined as an increase in the number of bacteria in the upper gastrointestinal tract. The aetiology and pathogenesis of SIBO are incompletely understood. It is believed that endogenous defence mechanisms prevent abundant microbia</w:t>
      </w:r>
      <w:r w:rsidR="000B6ECF">
        <w:rPr>
          <w:rStyle w:val="Ohne"/>
          <w:rFonts w:ascii="Book Antiqua" w:hAnsi="Book Antiqua"/>
          <w:sz w:val="24"/>
          <w:szCs w:val="24"/>
        </w:rPr>
        <w:t xml:space="preserve">l growth in the small </w:t>
      </w:r>
      <w:proofErr w:type="gramStart"/>
      <w:r w:rsidR="000B6ECF">
        <w:rPr>
          <w:rStyle w:val="Ohne"/>
          <w:rFonts w:ascii="Book Antiqua" w:hAnsi="Book Antiqua"/>
          <w:sz w:val="24"/>
          <w:szCs w:val="24"/>
        </w:rPr>
        <w:t>intestine</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w:t>
      </w:r>
      <w:r>
        <w:rPr>
          <w:rStyle w:val="Ohne"/>
          <w:rFonts w:ascii="Book Antiqua" w:hAnsi="Book Antiqua"/>
          <w:sz w:val="24"/>
          <w:szCs w:val="24"/>
          <w:vertAlign w:val="superscript"/>
          <w:lang w:val="de-DE"/>
        </w:rPr>
        <w:t>]</w:t>
      </w:r>
      <w:r>
        <w:rPr>
          <w:rStyle w:val="Ohne"/>
          <w:rFonts w:ascii="Book Antiqua" w:hAnsi="Book Antiqua"/>
          <w:sz w:val="24"/>
          <w:szCs w:val="24"/>
        </w:rPr>
        <w:t xml:space="preserve"> under physiological conditions, so that the development of SIBO is usually seen to be associated with disorders of protective antimicrobial mechanisms, anatomical abnormalities or motility disorders. High recurrence rates after successful antibiotic treatment emphasise the need to identify aetiological factors in order to potentially remedy the </w:t>
      </w:r>
      <w:proofErr w:type="gramStart"/>
      <w:r>
        <w:rPr>
          <w:rStyle w:val="Ohne"/>
          <w:rFonts w:ascii="Book Antiqua" w:hAnsi="Book Antiqua"/>
          <w:sz w:val="24"/>
          <w:szCs w:val="24"/>
        </w:rPr>
        <w:t>situation</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2</w:t>
      </w:r>
      <w:r>
        <w:rPr>
          <w:rStyle w:val="Ohne"/>
          <w:rFonts w:ascii="Book Antiqua" w:hAnsi="Book Antiqua"/>
          <w:sz w:val="24"/>
          <w:szCs w:val="24"/>
          <w:vertAlign w:val="superscript"/>
          <w:lang w:val="de-DE"/>
        </w:rPr>
        <w:t>]</w:t>
      </w:r>
      <w:r>
        <w:rPr>
          <w:rStyle w:val="Ohne"/>
          <w:rFonts w:ascii="Book Antiqua" w:hAnsi="Book Antiqua"/>
          <w:sz w:val="24"/>
          <w:szCs w:val="24"/>
        </w:rPr>
        <w:t>.</w:t>
      </w:r>
    </w:p>
    <w:p w:rsidR="00343223" w:rsidRDefault="003432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Impairment of the gastric acid barrier function</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Gastric acidity constitutes an effective barrier against the invasion of ingested microorganisms. Although the data is weak and contradictory, reduction of the acid barrier function, as suspected for atrophic gastritis</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3,4</w:t>
      </w:r>
      <w:r>
        <w:rPr>
          <w:rStyle w:val="Ohne"/>
          <w:rFonts w:ascii="Book Antiqua" w:hAnsi="Book Antiqua"/>
          <w:sz w:val="24"/>
          <w:szCs w:val="24"/>
          <w:vertAlign w:val="superscript"/>
          <w:lang w:val="de-DE"/>
        </w:rPr>
        <w:t>]</w:t>
      </w:r>
      <w:r>
        <w:rPr>
          <w:rStyle w:val="Ohne"/>
          <w:rFonts w:ascii="Book Antiqua" w:hAnsi="Book Antiqua"/>
          <w:sz w:val="24"/>
          <w:szCs w:val="24"/>
        </w:rPr>
        <w:t>, use of proton pump inhibitors</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5</w:t>
      </w:r>
      <w:r>
        <w:rPr>
          <w:rStyle w:val="Ohne"/>
          <w:rFonts w:ascii="Book Antiqua" w:hAnsi="Book Antiqua"/>
          <w:sz w:val="24"/>
          <w:szCs w:val="24"/>
          <w:vertAlign w:val="superscript"/>
          <w:lang w:val="de-DE"/>
        </w:rPr>
        <w:t>]</w:t>
      </w:r>
      <w:r>
        <w:rPr>
          <w:rStyle w:val="Ohne"/>
          <w:rFonts w:ascii="Book Antiqua" w:hAnsi="Book Antiqua"/>
          <w:sz w:val="24"/>
          <w:szCs w:val="24"/>
        </w:rPr>
        <w:t xml:space="preserve"> and gastrectomy</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6,7</w:t>
      </w:r>
      <w:r>
        <w:rPr>
          <w:rStyle w:val="Ohne"/>
          <w:rFonts w:ascii="Book Antiqua" w:hAnsi="Book Antiqua"/>
          <w:sz w:val="24"/>
          <w:szCs w:val="24"/>
          <w:vertAlign w:val="superscript"/>
          <w:lang w:val="de-DE"/>
        </w:rPr>
        <w:t>]</w:t>
      </w:r>
      <w:r>
        <w:rPr>
          <w:rStyle w:val="Ohne"/>
          <w:rFonts w:ascii="Book Antiqua" w:hAnsi="Book Antiqua"/>
          <w:sz w:val="24"/>
          <w:szCs w:val="24"/>
        </w:rPr>
        <w:t>, is thought to lead to higher microbial loads in the small intestine.</w:t>
      </w:r>
    </w:p>
    <w:p w:rsidR="00343223" w:rsidRDefault="003432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Impaired intestinal clearance</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Although several reviews highlight anatomic pathologies associated with small intestinal obstruction and stagnation, for example, strictures, adhesions, </w:t>
      </w:r>
      <w:proofErr w:type="spellStart"/>
      <w:r>
        <w:rPr>
          <w:rStyle w:val="Ohne"/>
          <w:rFonts w:ascii="Book Antiqua" w:hAnsi="Book Antiqua"/>
          <w:sz w:val="24"/>
          <w:szCs w:val="24"/>
        </w:rPr>
        <w:t>tumours</w:t>
      </w:r>
      <w:proofErr w:type="spellEnd"/>
      <w:r>
        <w:rPr>
          <w:rStyle w:val="Ohne"/>
          <w:rFonts w:ascii="Book Antiqua" w:hAnsi="Book Antiqua"/>
          <w:sz w:val="24"/>
          <w:szCs w:val="24"/>
        </w:rPr>
        <w:t xml:space="preserve"> of the small bowel, duodenal and </w:t>
      </w:r>
      <w:proofErr w:type="spellStart"/>
      <w:r>
        <w:rPr>
          <w:rStyle w:val="Ohne"/>
          <w:rFonts w:ascii="Book Antiqua" w:hAnsi="Book Antiqua"/>
          <w:sz w:val="24"/>
          <w:szCs w:val="24"/>
        </w:rPr>
        <w:t>jejunal</w:t>
      </w:r>
      <w:proofErr w:type="spellEnd"/>
      <w:r>
        <w:rPr>
          <w:rStyle w:val="Ohne"/>
          <w:rFonts w:ascii="Book Antiqua" w:hAnsi="Book Antiqua"/>
          <w:sz w:val="24"/>
          <w:szCs w:val="24"/>
        </w:rPr>
        <w:t xml:space="preserve"> diverticula, previous abdominal surgery such as blind loop syndrome after </w:t>
      </w:r>
      <w:proofErr w:type="spellStart"/>
      <w:r>
        <w:rPr>
          <w:rStyle w:val="Ohne"/>
          <w:rFonts w:ascii="Book Antiqua" w:hAnsi="Book Antiqua"/>
          <w:sz w:val="24"/>
          <w:szCs w:val="24"/>
        </w:rPr>
        <w:t>Billroth</w:t>
      </w:r>
      <w:proofErr w:type="spellEnd"/>
      <w:r>
        <w:rPr>
          <w:rStyle w:val="Ohne"/>
          <w:rFonts w:ascii="Book Antiqua" w:hAnsi="Book Antiqua"/>
          <w:sz w:val="24"/>
          <w:szCs w:val="24"/>
        </w:rPr>
        <w:t xml:space="preserve">-II or Roux-en-Y procedure, or bariatric bypass surgery, to be associated with SIBO, only very few or no data at all support these hypotheses. Overall abdominal surgery was not associated with SIBO in a small retrospective </w:t>
      </w:r>
      <w:proofErr w:type="gramStart"/>
      <w:r>
        <w:rPr>
          <w:rStyle w:val="Ohne"/>
          <w:rFonts w:ascii="Book Antiqua" w:hAnsi="Book Antiqua"/>
          <w:sz w:val="24"/>
          <w:szCs w:val="24"/>
        </w:rPr>
        <w:t>study</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8</w:t>
      </w:r>
      <w:r>
        <w:rPr>
          <w:rStyle w:val="Ohne"/>
          <w:rFonts w:ascii="Book Antiqua" w:hAnsi="Book Antiqua"/>
          <w:sz w:val="24"/>
          <w:szCs w:val="24"/>
          <w:vertAlign w:val="superscript"/>
          <w:lang w:val="de-DE"/>
        </w:rPr>
        <w:t>]</w:t>
      </w:r>
      <w:r>
        <w:rPr>
          <w:rStyle w:val="Ohne"/>
          <w:rFonts w:ascii="Book Antiqua" w:hAnsi="Book Antiqua"/>
          <w:sz w:val="24"/>
          <w:szCs w:val="24"/>
        </w:rPr>
        <w:t xml:space="preserve">. However, gastrectomy and bariatric surgery in morbid obese patients often leads to the development of </w:t>
      </w:r>
      <w:proofErr w:type="gramStart"/>
      <w:r>
        <w:rPr>
          <w:rStyle w:val="Ohne"/>
          <w:rFonts w:ascii="Book Antiqua" w:hAnsi="Book Antiqua"/>
          <w:sz w:val="24"/>
          <w:szCs w:val="24"/>
        </w:rPr>
        <w:t>SIBO</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6,7,9</w:t>
      </w:r>
      <w:r>
        <w:rPr>
          <w:rStyle w:val="Ohne"/>
          <w:rFonts w:ascii="Book Antiqua" w:hAnsi="Book Antiqua"/>
          <w:sz w:val="24"/>
          <w:szCs w:val="24"/>
          <w:vertAlign w:val="superscript"/>
          <w:lang w:val="de-DE"/>
        </w:rPr>
        <w:t>]</w:t>
      </w:r>
      <w:r>
        <w:rPr>
          <w:rStyle w:val="Ohne"/>
          <w:rFonts w:ascii="Book Antiqua" w:hAnsi="Book Antiqua"/>
          <w:sz w:val="24"/>
          <w:szCs w:val="24"/>
        </w:rPr>
        <w:t xml:space="preserve">; the existence of blind loops might be the common mechanism. Additionally, conditions that predispose stool reflux, such as ileocecal resection or low ileocecal valve pressure, are discussed as SIBO predisposing </w:t>
      </w:r>
      <w:proofErr w:type="gramStart"/>
      <w:r>
        <w:rPr>
          <w:rStyle w:val="Ohne"/>
          <w:rFonts w:ascii="Book Antiqua" w:hAnsi="Book Antiqua"/>
          <w:sz w:val="24"/>
          <w:szCs w:val="24"/>
        </w:rPr>
        <w:t>factors</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10</w:t>
      </w:r>
      <w:r>
        <w:rPr>
          <w:rStyle w:val="Ohne"/>
          <w:rFonts w:ascii="Book Antiqua" w:hAnsi="Book Antiqua"/>
          <w:sz w:val="24"/>
          <w:szCs w:val="24"/>
          <w:vertAlign w:val="superscript"/>
          <w:lang w:val="de-DE"/>
        </w:rPr>
        <w:t>]</w:t>
      </w:r>
      <w:r>
        <w:rPr>
          <w:rStyle w:val="Ohne"/>
          <w:rFonts w:ascii="Book Antiqua" w:hAnsi="Book Antiqua"/>
          <w:sz w:val="24"/>
          <w:szCs w:val="24"/>
        </w:rPr>
        <w:t>.</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240"/>
        <w:jc w:val="both"/>
        <w:rPr>
          <w:rStyle w:val="Ohne"/>
          <w:rFonts w:ascii="Book Antiqua" w:eastAsia="Book Antiqua" w:hAnsi="Book Antiqua" w:cs="Book Antiqua"/>
          <w:sz w:val="24"/>
          <w:szCs w:val="24"/>
        </w:rPr>
      </w:pPr>
      <w:r>
        <w:rPr>
          <w:rStyle w:val="Ohne"/>
          <w:rFonts w:ascii="Book Antiqua" w:hAnsi="Book Antiqua"/>
          <w:sz w:val="24"/>
          <w:szCs w:val="24"/>
        </w:rPr>
        <w:t xml:space="preserve">More evidence exists concerning impaired motility, such as small intestinal pseudo-obstruction and several neurological diseases or </w:t>
      </w:r>
      <w:proofErr w:type="gramStart"/>
      <w:r>
        <w:rPr>
          <w:rStyle w:val="Ohne"/>
          <w:rFonts w:ascii="Book Antiqua" w:hAnsi="Book Antiqua"/>
          <w:sz w:val="24"/>
          <w:szCs w:val="24"/>
        </w:rPr>
        <w:t>diabetes</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1,11</w:t>
      </w:r>
      <w:r>
        <w:rPr>
          <w:rStyle w:val="Ohne"/>
          <w:rFonts w:ascii="Book Antiqua" w:hAnsi="Book Antiqua"/>
          <w:sz w:val="24"/>
          <w:szCs w:val="24"/>
          <w:vertAlign w:val="superscript"/>
          <w:lang w:val="de-DE"/>
        </w:rPr>
        <w:t>]</w:t>
      </w:r>
      <w:r>
        <w:rPr>
          <w:rStyle w:val="Ohne"/>
          <w:rFonts w:ascii="Book Antiqua" w:hAnsi="Book Antiqua"/>
          <w:sz w:val="24"/>
          <w:szCs w:val="24"/>
        </w:rPr>
        <w:t xml:space="preserve">. It has been </w:t>
      </w:r>
      <w:r>
        <w:rPr>
          <w:rStyle w:val="Ohne"/>
          <w:rFonts w:ascii="Book Antiqua" w:hAnsi="Book Antiqua"/>
          <w:sz w:val="24"/>
          <w:szCs w:val="24"/>
        </w:rPr>
        <w:lastRenderedPageBreak/>
        <w:t xml:space="preserve">demonstrated for a long time that a subset of patients with SIBO show reduced </w:t>
      </w:r>
      <w:proofErr w:type="gramStart"/>
      <w:r>
        <w:rPr>
          <w:rStyle w:val="Ohne"/>
          <w:rFonts w:ascii="Book Antiqua" w:hAnsi="Book Antiqua"/>
          <w:sz w:val="24"/>
          <w:szCs w:val="24"/>
        </w:rPr>
        <w:t>motility</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12</w:t>
      </w:r>
      <w:r>
        <w:rPr>
          <w:rStyle w:val="Ohne"/>
          <w:rFonts w:ascii="Book Antiqua" w:hAnsi="Book Antiqua"/>
          <w:sz w:val="24"/>
          <w:szCs w:val="24"/>
          <w:vertAlign w:val="superscript"/>
          <w:lang w:val="de-DE"/>
        </w:rPr>
        <w:t>]</w:t>
      </w:r>
      <w:r>
        <w:rPr>
          <w:rStyle w:val="Ohne"/>
          <w:rFonts w:ascii="Book Antiqua" w:hAnsi="Book Antiqua"/>
          <w:sz w:val="24"/>
          <w:szCs w:val="24"/>
        </w:rPr>
        <w:t xml:space="preserve"> with fewer phase III contractions of the migrating motor complexes and a mutual influence since eradication of bacterial overgrowth improved motility</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13</w:t>
      </w:r>
      <w:r>
        <w:rPr>
          <w:rStyle w:val="Ohne"/>
          <w:rFonts w:ascii="Book Antiqua" w:hAnsi="Book Antiqua"/>
          <w:sz w:val="24"/>
          <w:szCs w:val="24"/>
          <w:vertAlign w:val="superscript"/>
          <w:lang w:val="de-DE"/>
        </w:rPr>
        <w:t>]</w:t>
      </w:r>
      <w:r>
        <w:rPr>
          <w:rStyle w:val="Ohne"/>
          <w:rFonts w:ascii="Book Antiqua" w:hAnsi="Book Antiqua"/>
          <w:sz w:val="24"/>
          <w:szCs w:val="24"/>
        </w:rPr>
        <w:t xml:space="preserve">. Gastroparesis, which has been shown to be associated with </w:t>
      </w:r>
      <w:proofErr w:type="gramStart"/>
      <w:r>
        <w:rPr>
          <w:rStyle w:val="Ohne"/>
          <w:rFonts w:ascii="Book Antiqua" w:hAnsi="Book Antiqua"/>
          <w:sz w:val="24"/>
          <w:szCs w:val="24"/>
        </w:rPr>
        <w:t>SIBO</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14,15</w:t>
      </w:r>
      <w:r>
        <w:rPr>
          <w:rStyle w:val="Ohne"/>
          <w:rFonts w:ascii="Book Antiqua" w:hAnsi="Book Antiqua"/>
          <w:sz w:val="24"/>
          <w:szCs w:val="24"/>
          <w:vertAlign w:val="superscript"/>
          <w:lang w:val="de-DE"/>
        </w:rPr>
        <w:t>]</w:t>
      </w:r>
      <w:r>
        <w:rPr>
          <w:rStyle w:val="Ohne"/>
          <w:rFonts w:ascii="Book Antiqua" w:hAnsi="Book Antiqua"/>
          <w:sz w:val="24"/>
          <w:szCs w:val="24"/>
        </w:rPr>
        <w:t xml:space="preserve">, might indicate gastrointestinal autonomous neuropathy. Otherwise, little is known about the effect of drugs used to deteriorate intestinal motility, even though “narcotics” have been identified as contributing towards </w:t>
      </w:r>
      <w:proofErr w:type="gramStart"/>
      <w:r>
        <w:rPr>
          <w:rStyle w:val="Ohne"/>
          <w:rFonts w:ascii="Book Antiqua" w:hAnsi="Book Antiqua"/>
          <w:sz w:val="24"/>
          <w:szCs w:val="24"/>
        </w:rPr>
        <w:t>SIBO</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16</w:t>
      </w:r>
      <w:r>
        <w:rPr>
          <w:rStyle w:val="Ohne"/>
          <w:rFonts w:ascii="Book Antiqua" w:hAnsi="Book Antiqua"/>
          <w:sz w:val="24"/>
          <w:szCs w:val="24"/>
          <w:vertAlign w:val="superscript"/>
          <w:lang w:val="de-DE"/>
        </w:rPr>
        <w:t>]</w:t>
      </w:r>
      <w:r>
        <w:rPr>
          <w:rStyle w:val="Ohne"/>
          <w:rFonts w:ascii="Book Antiqua" w:hAnsi="Book Antiqua"/>
          <w:sz w:val="24"/>
          <w:szCs w:val="24"/>
        </w:rPr>
        <w:t>.</w:t>
      </w:r>
    </w:p>
    <w:p w:rsidR="00343223" w:rsidRDefault="003432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i/>
          <w:iCs/>
          <w:sz w:val="24"/>
          <w:szCs w:val="24"/>
        </w:rPr>
      </w:pP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Impairment of immunological mechanisms</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Data about the role of the immune system are also scarce and contradictory. A higher bacterial load of </w:t>
      </w:r>
      <w:proofErr w:type="spellStart"/>
      <w:r>
        <w:rPr>
          <w:rStyle w:val="Ohne"/>
          <w:rFonts w:ascii="Book Antiqua" w:hAnsi="Book Antiqua"/>
          <w:sz w:val="24"/>
          <w:szCs w:val="24"/>
        </w:rPr>
        <w:t>jejunal</w:t>
      </w:r>
      <w:proofErr w:type="spellEnd"/>
      <w:r>
        <w:rPr>
          <w:rStyle w:val="Ohne"/>
          <w:rFonts w:ascii="Book Antiqua" w:hAnsi="Book Antiqua"/>
          <w:sz w:val="24"/>
          <w:szCs w:val="24"/>
        </w:rPr>
        <w:t xml:space="preserve"> aspirates have been shown in ten </w:t>
      </w:r>
      <w:proofErr w:type="spellStart"/>
      <w:r>
        <w:rPr>
          <w:rStyle w:val="Ohne"/>
          <w:rFonts w:ascii="Book Antiqua" w:hAnsi="Book Antiqua"/>
          <w:sz w:val="24"/>
          <w:szCs w:val="24"/>
        </w:rPr>
        <w:t>paediatric</w:t>
      </w:r>
      <w:proofErr w:type="spellEnd"/>
      <w:r>
        <w:rPr>
          <w:rStyle w:val="Ohne"/>
          <w:rFonts w:ascii="Book Antiqua" w:hAnsi="Book Antiqua"/>
          <w:sz w:val="24"/>
          <w:szCs w:val="24"/>
        </w:rPr>
        <w:t xml:space="preserve"> patients with IgA deficiency and seven with other immune syndromes</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17</w:t>
      </w:r>
      <w:r>
        <w:rPr>
          <w:rStyle w:val="Ohne"/>
          <w:rFonts w:ascii="Book Antiqua" w:hAnsi="Book Antiqua"/>
          <w:sz w:val="24"/>
          <w:szCs w:val="24"/>
          <w:vertAlign w:val="superscript"/>
          <w:lang w:val="de-DE"/>
        </w:rPr>
        <w:t>]</w:t>
      </w:r>
      <w:r>
        <w:rPr>
          <w:rStyle w:val="Ohne"/>
          <w:rFonts w:ascii="Book Antiqua" w:hAnsi="Book Antiqua"/>
          <w:sz w:val="24"/>
          <w:szCs w:val="24"/>
        </w:rPr>
        <w:t>, while data concerning adult patients are lacking. In fact, medical therapy is the most common reason for immunosuppression in adults, though SIBO was not shown to be associated with immunosuppressive medication i</w:t>
      </w:r>
      <w:r w:rsidR="000B6ECF">
        <w:rPr>
          <w:rStyle w:val="Ohne"/>
          <w:rFonts w:ascii="Book Antiqua" w:hAnsi="Book Antiqua"/>
          <w:sz w:val="24"/>
          <w:szCs w:val="24"/>
        </w:rPr>
        <w:t xml:space="preserve">n patients with Crohn’s </w:t>
      </w:r>
      <w:proofErr w:type="gramStart"/>
      <w:r w:rsidR="000B6ECF">
        <w:rPr>
          <w:rStyle w:val="Ohne"/>
          <w:rFonts w:ascii="Book Antiqua" w:hAnsi="Book Antiqua"/>
          <w:sz w:val="24"/>
          <w:szCs w:val="24"/>
        </w:rPr>
        <w:t>disease</w:t>
      </w:r>
      <w:r>
        <w:rPr>
          <w:rStyle w:val="Ohne"/>
          <w:rFonts w:ascii="Book Antiqua" w:hAnsi="Book Antiqua"/>
          <w:sz w:val="24"/>
          <w:szCs w:val="24"/>
          <w:vertAlign w:val="superscript"/>
          <w:lang w:val="de-DE"/>
        </w:rPr>
        <w:t>[</w:t>
      </w:r>
      <w:proofErr w:type="gramEnd"/>
      <w:r w:rsidR="000B6ECF">
        <w:rPr>
          <w:rStyle w:val="Ohne"/>
          <w:rFonts w:ascii="Book Antiqua" w:hAnsi="Book Antiqua"/>
          <w:sz w:val="24"/>
          <w:szCs w:val="24"/>
          <w:vertAlign w:val="superscript"/>
        </w:rPr>
        <w:t>18,</w:t>
      </w:r>
      <w:r>
        <w:rPr>
          <w:rStyle w:val="Ohne"/>
          <w:rFonts w:ascii="Book Antiqua" w:hAnsi="Book Antiqua"/>
          <w:sz w:val="24"/>
          <w:szCs w:val="24"/>
          <w:vertAlign w:val="superscript"/>
        </w:rPr>
        <w:t>19</w:t>
      </w:r>
      <w:r>
        <w:rPr>
          <w:rStyle w:val="Ohne"/>
          <w:rFonts w:ascii="Book Antiqua" w:hAnsi="Book Antiqua"/>
          <w:sz w:val="24"/>
          <w:szCs w:val="24"/>
          <w:vertAlign w:val="superscript"/>
          <w:lang w:val="de-DE"/>
        </w:rPr>
        <w:t>]</w:t>
      </w:r>
      <w:r>
        <w:rPr>
          <w:rStyle w:val="Ohne"/>
          <w:rFonts w:ascii="Book Antiqua" w:hAnsi="Book Antiqua"/>
          <w:sz w:val="24"/>
          <w:szCs w:val="24"/>
        </w:rPr>
        <w:t>, while steroids predisposed to SIBO in a more unselected cohort</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20</w:t>
      </w:r>
      <w:r>
        <w:rPr>
          <w:rStyle w:val="Ohne"/>
          <w:rFonts w:ascii="Book Antiqua" w:hAnsi="Book Antiqua"/>
          <w:sz w:val="24"/>
          <w:szCs w:val="24"/>
          <w:vertAlign w:val="superscript"/>
          <w:lang w:val="de-DE"/>
        </w:rPr>
        <w:t>]</w:t>
      </w:r>
      <w:r>
        <w:rPr>
          <w:rStyle w:val="Ohne"/>
          <w:rFonts w:ascii="Book Antiqua" w:hAnsi="Book Antiqua"/>
          <w:sz w:val="24"/>
          <w:szCs w:val="24"/>
        </w:rPr>
        <w:t>.</w:t>
      </w:r>
    </w:p>
    <w:p w:rsidR="00343223" w:rsidRDefault="003432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Miscellaneous factors</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Various other diseases and disorders have been described as being associated with or complicated by SIBO, such as alcohol consumption</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21</w:t>
      </w:r>
      <w:r>
        <w:rPr>
          <w:rStyle w:val="Ohne"/>
          <w:rFonts w:ascii="Book Antiqua" w:hAnsi="Book Antiqua"/>
          <w:sz w:val="24"/>
          <w:szCs w:val="24"/>
          <w:vertAlign w:val="superscript"/>
          <w:lang w:val="de-DE"/>
        </w:rPr>
        <w:t>]</w:t>
      </w:r>
      <w:r>
        <w:rPr>
          <w:rStyle w:val="Ohne"/>
          <w:rFonts w:ascii="Book Antiqua" w:hAnsi="Book Antiqua"/>
          <w:sz w:val="24"/>
          <w:szCs w:val="24"/>
        </w:rPr>
        <w:t>, liver cirrhosis</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22,23,24,24</w:t>
      </w:r>
      <w:r>
        <w:rPr>
          <w:rStyle w:val="Ohne"/>
          <w:rFonts w:ascii="Book Antiqua" w:hAnsi="Book Antiqua"/>
          <w:sz w:val="24"/>
          <w:szCs w:val="24"/>
          <w:vertAlign w:val="superscript"/>
          <w:lang w:val="de-DE"/>
        </w:rPr>
        <w:t>]</w:t>
      </w:r>
      <w:r>
        <w:rPr>
          <w:rStyle w:val="Ohne"/>
          <w:rFonts w:ascii="Book Antiqua" w:hAnsi="Book Antiqua"/>
          <w:sz w:val="24"/>
          <w:szCs w:val="24"/>
        </w:rPr>
        <w:t>, non-alcoholic steatohepatitis</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26</w:t>
      </w:r>
      <w:r>
        <w:rPr>
          <w:rStyle w:val="Ohne"/>
          <w:rFonts w:ascii="Book Antiqua" w:hAnsi="Book Antiqua"/>
          <w:sz w:val="24"/>
          <w:szCs w:val="24"/>
          <w:vertAlign w:val="superscript"/>
          <w:lang w:val="de-DE"/>
        </w:rPr>
        <w:t>]</w:t>
      </w:r>
      <w:r>
        <w:rPr>
          <w:rStyle w:val="Ohne"/>
          <w:rFonts w:ascii="Book Antiqua" w:hAnsi="Book Antiqua"/>
          <w:sz w:val="24"/>
          <w:szCs w:val="24"/>
        </w:rPr>
        <w:t>, hypothyroidism</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27</w:t>
      </w:r>
      <w:r>
        <w:rPr>
          <w:rStyle w:val="Ohne"/>
          <w:rFonts w:ascii="Book Antiqua" w:hAnsi="Book Antiqua"/>
          <w:sz w:val="24"/>
          <w:szCs w:val="24"/>
          <w:vertAlign w:val="superscript"/>
          <w:lang w:val="de-DE"/>
        </w:rPr>
        <w:t>]</w:t>
      </w:r>
      <w:r>
        <w:rPr>
          <w:rStyle w:val="Ohne"/>
          <w:rFonts w:ascii="Book Antiqua" w:hAnsi="Book Antiqua"/>
          <w:sz w:val="24"/>
          <w:szCs w:val="24"/>
        </w:rPr>
        <w:t xml:space="preserve"> or chronic pancreatitis</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28</w:t>
      </w:r>
      <w:r>
        <w:rPr>
          <w:rStyle w:val="Ohne"/>
          <w:rFonts w:ascii="Book Antiqua" w:hAnsi="Book Antiqua"/>
          <w:sz w:val="24"/>
          <w:szCs w:val="24"/>
          <w:vertAlign w:val="superscript"/>
          <w:lang w:val="de-DE"/>
        </w:rPr>
        <w:t>]</w:t>
      </w:r>
      <w:r>
        <w:rPr>
          <w:rStyle w:val="Ohne"/>
          <w:rFonts w:ascii="Book Antiqua" w:hAnsi="Book Antiqua"/>
          <w:sz w:val="24"/>
          <w:szCs w:val="24"/>
        </w:rPr>
        <w:t>.</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240"/>
        <w:jc w:val="both"/>
      </w:pPr>
      <w:r>
        <w:rPr>
          <w:rStyle w:val="Ohne"/>
          <w:rFonts w:ascii="Book Antiqua" w:hAnsi="Book Antiqua"/>
          <w:sz w:val="24"/>
          <w:szCs w:val="24"/>
        </w:rPr>
        <w:t xml:space="preserve">In summary, several contributors to the development of SIBO have been proposed, but only a few have been proven in clinical studies, which often refer to small and selected cohorts. Additionally, it is uncertain which </w:t>
      </w:r>
      <w:proofErr w:type="spellStart"/>
      <w:r>
        <w:rPr>
          <w:rStyle w:val="Ohne"/>
          <w:rFonts w:ascii="Book Antiqua" w:hAnsi="Book Antiqua"/>
          <w:sz w:val="24"/>
          <w:szCs w:val="24"/>
        </w:rPr>
        <w:t>pathomechanisms</w:t>
      </w:r>
      <w:proofErr w:type="spellEnd"/>
      <w:r>
        <w:rPr>
          <w:rStyle w:val="Ohne"/>
          <w:rFonts w:ascii="Book Antiqua" w:hAnsi="Book Antiqua"/>
          <w:sz w:val="24"/>
          <w:szCs w:val="24"/>
        </w:rPr>
        <w:t xml:space="preserve"> are more and which are less important contributors. We aimed, therefore, to (1) evaluate a larger set of potential risk factors; (2) arrange them in a </w:t>
      </w:r>
      <w:proofErr w:type="spellStart"/>
      <w:r>
        <w:rPr>
          <w:rStyle w:val="Ohne"/>
          <w:rFonts w:ascii="Book Antiqua" w:hAnsi="Book Antiqua"/>
          <w:sz w:val="24"/>
          <w:szCs w:val="24"/>
        </w:rPr>
        <w:t>pathogenetic</w:t>
      </w:r>
      <w:proofErr w:type="spellEnd"/>
      <w:r>
        <w:rPr>
          <w:rStyle w:val="Ohne"/>
          <w:rFonts w:ascii="Book Antiqua" w:hAnsi="Book Antiqua"/>
          <w:sz w:val="24"/>
          <w:szCs w:val="24"/>
        </w:rPr>
        <w:t xml:space="preserve"> model; and (3) rank the contributors referring to their particular weight in a largely unselected cohort of SIBO and non-SIBO patients in an extensive retrospective cohort study.</w:t>
      </w:r>
      <w:r>
        <w:rPr>
          <w:rStyle w:val="Ohne"/>
          <w:rFonts w:ascii="Arial Unicode MS" w:hAnsi="Arial Unicode MS"/>
          <w:sz w:val="24"/>
          <w:szCs w:val="24"/>
        </w:rPr>
        <w:br w:type="page"/>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b/>
          <w:bCs/>
          <w:sz w:val="24"/>
          <w:szCs w:val="24"/>
        </w:rPr>
        <w:lastRenderedPageBreak/>
        <w:t>MATERIALS AND METHODS</w:t>
      </w:r>
    </w:p>
    <w:p w:rsidR="00343223" w:rsidRDefault="00C30E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Study population</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We conducted a retrospective single-</w:t>
      </w:r>
      <w:proofErr w:type="spellStart"/>
      <w:r>
        <w:rPr>
          <w:rStyle w:val="Ohne"/>
          <w:rFonts w:ascii="Book Antiqua" w:hAnsi="Book Antiqua"/>
          <w:sz w:val="24"/>
          <w:szCs w:val="24"/>
        </w:rPr>
        <w:t>centre</w:t>
      </w:r>
      <w:proofErr w:type="spellEnd"/>
      <w:r>
        <w:rPr>
          <w:rStyle w:val="Ohne"/>
          <w:rFonts w:ascii="Book Antiqua" w:hAnsi="Book Antiqua"/>
          <w:sz w:val="24"/>
          <w:szCs w:val="24"/>
        </w:rPr>
        <w:t xml:space="preserve"> study of patients undergoing lactulose or glucose hydrogen breath testing between 1995 and 2010, who were referred to the Department of Gastroenterology at the University Hospital </w:t>
      </w:r>
      <w:proofErr w:type="spellStart"/>
      <w:r>
        <w:rPr>
          <w:rStyle w:val="Ohne"/>
          <w:rFonts w:ascii="Book Antiqua" w:hAnsi="Book Antiqua"/>
          <w:sz w:val="24"/>
          <w:szCs w:val="24"/>
        </w:rPr>
        <w:t>Bergmannsheil</w:t>
      </w:r>
      <w:proofErr w:type="spellEnd"/>
      <w:r>
        <w:rPr>
          <w:rStyle w:val="Ohne"/>
          <w:rFonts w:ascii="Book Antiqua" w:hAnsi="Book Antiqua"/>
          <w:sz w:val="24"/>
          <w:szCs w:val="24"/>
        </w:rPr>
        <w:t xml:space="preserve"> Bochum, Germany. Patients underwent breath tests to rule out SIBO for various clinical symptoms, including </w:t>
      </w:r>
      <w:proofErr w:type="spellStart"/>
      <w:r>
        <w:rPr>
          <w:rStyle w:val="Ohne"/>
          <w:rFonts w:ascii="Book Antiqua" w:hAnsi="Book Antiqua"/>
          <w:sz w:val="24"/>
          <w:szCs w:val="24"/>
        </w:rPr>
        <w:t>diarrhoea</w:t>
      </w:r>
      <w:proofErr w:type="spellEnd"/>
      <w:r>
        <w:rPr>
          <w:rStyle w:val="Ohne"/>
          <w:rFonts w:ascii="Book Antiqua" w:hAnsi="Book Antiqua"/>
          <w:sz w:val="24"/>
          <w:szCs w:val="24"/>
        </w:rPr>
        <w:t xml:space="preserve">, weight loss, abdominal pain, cramping or bloating. All cases with an original examination report available were considered eligible for the study. Patients with </w:t>
      </w:r>
      <w:proofErr w:type="gramStart"/>
      <w:r>
        <w:rPr>
          <w:rStyle w:val="Ohne"/>
          <w:rFonts w:ascii="Book Antiqua" w:hAnsi="Book Antiqua"/>
          <w:sz w:val="24"/>
          <w:szCs w:val="24"/>
        </w:rPr>
        <w:t>both missing or incomplete clinical data, or</w:t>
      </w:r>
      <w:proofErr w:type="gramEnd"/>
      <w:r>
        <w:rPr>
          <w:rStyle w:val="Ohne"/>
          <w:rFonts w:ascii="Book Antiqua" w:hAnsi="Book Antiqua"/>
          <w:sz w:val="24"/>
          <w:szCs w:val="24"/>
        </w:rPr>
        <w:t xml:space="preserve"> incomplete or aborted examination were excluded (Table 1). Patients with multiple hydrogen breath tests within the study period were considered only once.</w:t>
      </w:r>
    </w:p>
    <w:p w:rsidR="00343223" w:rsidRDefault="003432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Clinical work-up and reference standard</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All patients underwent a hydrogen breath test with lactulose, glucose or both in combination. Additionally, patients underwent a routine diagnostic work-up following a clinical algorithm by a symptom-based diagnostic approach including clinical evaluation (history, symptomatology, clinical examination, complaints, clinical course), laboratory including stool testing, and endoscopy (</w:t>
      </w:r>
      <w:proofErr w:type="spellStart"/>
      <w:r>
        <w:rPr>
          <w:rStyle w:val="Ohne"/>
          <w:rFonts w:ascii="Book Antiqua" w:hAnsi="Book Antiqua"/>
          <w:sz w:val="24"/>
          <w:szCs w:val="24"/>
        </w:rPr>
        <w:t>ileocolonoscopy</w:t>
      </w:r>
      <w:proofErr w:type="spellEnd"/>
      <w:r>
        <w:rPr>
          <w:rStyle w:val="Ohne"/>
          <w:rFonts w:ascii="Book Antiqua" w:hAnsi="Book Antiqua"/>
          <w:sz w:val="24"/>
          <w:szCs w:val="24"/>
        </w:rPr>
        <w:t>, esophagogastroduodenoscopy) including histopathology and transabdominal ultrasound. Further diagnostic tools may have been used, for example, small bowel magnetic resonance imaging, endoscopic ultrasound, small bowel endoscopy, manometry or extended function testing.</w:t>
      </w:r>
    </w:p>
    <w:p w:rsidR="00343223" w:rsidRDefault="00343223">
      <w:pPr>
        <w:pStyle w:val="berschriftA"/>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before="0" w:after="0" w:line="360" w:lineRule="auto"/>
        <w:jc w:val="both"/>
        <w:rPr>
          <w:rFonts w:ascii="Book Antiqua" w:eastAsia="Book Antiqua" w:hAnsi="Book Antiqua" w:cs="Book Antiqua"/>
          <w:b w:val="0"/>
          <w:bCs w:val="0"/>
          <w:sz w:val="24"/>
          <w:szCs w:val="24"/>
        </w:rPr>
      </w:pPr>
    </w:p>
    <w:p w:rsidR="00343223" w:rsidRDefault="00C30E23">
      <w:pPr>
        <w:pStyle w:val="berschriftA"/>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before="0" w:after="0" w:line="360" w:lineRule="auto"/>
        <w:jc w:val="both"/>
        <w:rPr>
          <w:rStyle w:val="Ohne"/>
          <w:rFonts w:ascii="Book Antiqua" w:eastAsia="Book Antiqua" w:hAnsi="Book Antiqua" w:cs="Book Antiqua"/>
          <w:i/>
          <w:iCs/>
          <w:sz w:val="24"/>
          <w:szCs w:val="24"/>
        </w:rPr>
      </w:pPr>
      <w:r>
        <w:rPr>
          <w:rStyle w:val="Ohne"/>
          <w:rFonts w:ascii="Book Antiqua" w:hAnsi="Book Antiqua"/>
          <w:i/>
          <w:iCs/>
          <w:sz w:val="24"/>
          <w:szCs w:val="24"/>
        </w:rPr>
        <w:t>Hydrogen breath test</w:t>
      </w:r>
    </w:p>
    <w:p w:rsidR="00343223" w:rsidRDefault="00C30E2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line="360" w:lineRule="auto"/>
        <w:jc w:val="both"/>
        <w:rPr>
          <w:rStyle w:val="Ohne"/>
          <w:rFonts w:ascii="Book Antiqua" w:eastAsia="Book Antiqua" w:hAnsi="Book Antiqua" w:cs="Book Antiqua"/>
          <w:lang w:val="en-US"/>
        </w:rPr>
      </w:pPr>
      <w:r>
        <w:rPr>
          <w:rStyle w:val="Ohne"/>
          <w:rFonts w:ascii="Book Antiqua" w:hAnsi="Book Antiqua"/>
          <w:lang w:val="en-US"/>
        </w:rPr>
        <w:t xml:space="preserve">Breath tests were performed according to a </w:t>
      </w:r>
      <w:proofErr w:type="spellStart"/>
      <w:r>
        <w:rPr>
          <w:rStyle w:val="Ohne"/>
          <w:rFonts w:ascii="Book Antiqua" w:hAnsi="Book Antiqua"/>
          <w:lang w:val="en-US"/>
        </w:rPr>
        <w:t>standardised</w:t>
      </w:r>
      <w:proofErr w:type="spellEnd"/>
      <w:r>
        <w:rPr>
          <w:rStyle w:val="Ohne"/>
          <w:rFonts w:ascii="Book Antiqua" w:hAnsi="Book Antiqua"/>
          <w:lang w:val="en-US"/>
        </w:rPr>
        <w:t xml:space="preserve"> protocol with either 25 g lactulose or 75 g glucose in 300 m</w:t>
      </w:r>
      <w:r w:rsidR="000B6ECF">
        <w:rPr>
          <w:rStyle w:val="Ohne"/>
          <w:rFonts w:ascii="Book Antiqua" w:hAnsi="Book Antiqua"/>
          <w:lang w:val="en-US"/>
        </w:rPr>
        <w:t>L</w:t>
      </w:r>
      <w:r>
        <w:rPr>
          <w:rStyle w:val="Ohne"/>
          <w:rFonts w:ascii="Book Antiqua" w:hAnsi="Book Antiqua"/>
          <w:lang w:val="en-US"/>
        </w:rPr>
        <w:t xml:space="preserve"> water, respectively. Only one test was performed per day. Breath samples were collected using an </w:t>
      </w:r>
      <w:proofErr w:type="spellStart"/>
      <w:r>
        <w:rPr>
          <w:rStyle w:val="Ohne"/>
          <w:rFonts w:ascii="Book Antiqua" w:hAnsi="Book Antiqua"/>
          <w:lang w:val="en-US"/>
        </w:rPr>
        <w:t>AlveoSampler</w:t>
      </w:r>
      <w:r>
        <w:rPr>
          <w:rStyle w:val="Ohne"/>
          <w:rFonts w:ascii="Book Antiqua" w:hAnsi="Book Antiqua"/>
          <w:vertAlign w:val="superscript"/>
          <w:lang w:val="en-US"/>
        </w:rPr>
        <w:t>TM</w:t>
      </w:r>
      <w:proofErr w:type="spellEnd"/>
      <w:r>
        <w:rPr>
          <w:rStyle w:val="Ohne"/>
          <w:rFonts w:ascii="Book Antiqua" w:hAnsi="Book Antiqua"/>
          <w:vertAlign w:val="superscript"/>
          <w:lang w:val="en-US"/>
        </w:rPr>
        <w:t xml:space="preserve"> </w:t>
      </w:r>
      <w:r>
        <w:rPr>
          <w:rStyle w:val="Ohne"/>
          <w:rFonts w:ascii="Book Antiqua" w:hAnsi="Book Antiqua"/>
          <w:lang w:val="en-US"/>
        </w:rPr>
        <w:t>(</w:t>
      </w:r>
      <w:proofErr w:type="spellStart"/>
      <w:r>
        <w:rPr>
          <w:rStyle w:val="Ohne"/>
          <w:rFonts w:ascii="Book Antiqua" w:hAnsi="Book Antiqua"/>
          <w:lang w:val="en-US"/>
        </w:rPr>
        <w:t>Campro</w:t>
      </w:r>
      <w:proofErr w:type="spellEnd"/>
      <w:r>
        <w:rPr>
          <w:rStyle w:val="Ohne"/>
          <w:rFonts w:ascii="Book Antiqua" w:hAnsi="Book Antiqua"/>
          <w:lang w:val="en-US"/>
        </w:rPr>
        <w:t xml:space="preserve"> Scientific GmbH, Germany) every 10 min over a period of 2 h. In cases of failed hydrogen exhalation during a lactulose breath test, collecting periods were extended up to 180 min.</w:t>
      </w:r>
    </w:p>
    <w:p w:rsidR="00343223" w:rsidRDefault="0034322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line="360" w:lineRule="auto"/>
        <w:jc w:val="both"/>
        <w:rPr>
          <w:rFonts w:ascii="Book Antiqua" w:eastAsia="Book Antiqua" w:hAnsi="Book Antiqua" w:cs="Book Antiqua"/>
          <w:lang w:val="en-US"/>
        </w:rPr>
      </w:pPr>
    </w:p>
    <w:p w:rsidR="00343223" w:rsidRDefault="00C30E2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line="360" w:lineRule="auto"/>
        <w:jc w:val="both"/>
        <w:rPr>
          <w:rStyle w:val="Ohne"/>
          <w:rFonts w:ascii="Book Antiqua" w:eastAsia="Book Antiqua" w:hAnsi="Book Antiqua" w:cs="Book Antiqua"/>
          <w:b/>
          <w:bCs/>
          <w:i/>
          <w:iCs/>
          <w:lang w:val="en-US"/>
        </w:rPr>
      </w:pPr>
      <w:r>
        <w:rPr>
          <w:rStyle w:val="Ohne"/>
          <w:rFonts w:ascii="Book Antiqua" w:hAnsi="Book Antiqua"/>
          <w:b/>
          <w:bCs/>
          <w:i/>
          <w:iCs/>
          <w:lang w:val="en-US"/>
        </w:rPr>
        <w:t>Analysis of breath test examinations</w:t>
      </w:r>
    </w:p>
    <w:p w:rsidR="00343223" w:rsidRDefault="00C30E2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line="360" w:lineRule="auto"/>
        <w:jc w:val="both"/>
        <w:rPr>
          <w:rStyle w:val="Ohne"/>
          <w:rFonts w:ascii="Book Antiqua" w:eastAsia="Book Antiqua" w:hAnsi="Book Antiqua" w:cs="Book Antiqua"/>
          <w:lang w:val="en-US"/>
        </w:rPr>
      </w:pPr>
      <w:r>
        <w:rPr>
          <w:rStyle w:val="Ohne"/>
          <w:rFonts w:ascii="Book Antiqua" w:hAnsi="Book Antiqua"/>
          <w:lang w:val="en-US"/>
        </w:rPr>
        <w:lastRenderedPageBreak/>
        <w:t>An increase in hydrogen of at least 20 ppm was considered positive; for a lactulose breath test, this increase had to have occurred at least 15 min before a sustained rise in hydrogen exhalation indicating colonic lactulose metabolism.</w:t>
      </w:r>
    </w:p>
    <w:p w:rsidR="00343223" w:rsidRDefault="0034322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line="360" w:lineRule="auto"/>
        <w:jc w:val="both"/>
        <w:rPr>
          <w:rFonts w:ascii="Book Antiqua" w:eastAsia="Book Antiqua" w:hAnsi="Book Antiqua" w:cs="Book Antiqua"/>
          <w:lang w:val="en-US"/>
        </w:rPr>
      </w:pPr>
    </w:p>
    <w:p w:rsidR="00343223" w:rsidRDefault="00C30E23">
      <w:pPr>
        <w:pStyle w:val="berschriftA"/>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before="0" w:after="0" w:line="360" w:lineRule="auto"/>
        <w:jc w:val="both"/>
        <w:rPr>
          <w:rStyle w:val="Ohne"/>
          <w:rFonts w:ascii="Book Antiqua" w:eastAsia="Book Antiqua" w:hAnsi="Book Antiqua" w:cs="Book Antiqua"/>
          <w:b w:val="0"/>
          <w:bCs w:val="0"/>
          <w:i/>
          <w:iCs/>
          <w:sz w:val="24"/>
          <w:szCs w:val="24"/>
        </w:rPr>
      </w:pPr>
      <w:r>
        <w:rPr>
          <w:rStyle w:val="Ohne"/>
          <w:rFonts w:ascii="Book Antiqua" w:hAnsi="Book Antiqua"/>
          <w:i/>
          <w:iCs/>
          <w:sz w:val="24"/>
          <w:szCs w:val="24"/>
        </w:rPr>
        <w:t>Clinical data acquisition</w:t>
      </w:r>
    </w:p>
    <w:p w:rsidR="00343223" w:rsidRDefault="00C30E23">
      <w:pPr>
        <w:pStyle w:val="berschriftA"/>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before="0" w:after="0" w:line="360" w:lineRule="auto"/>
        <w:jc w:val="both"/>
        <w:rPr>
          <w:rStyle w:val="Ohne"/>
          <w:rFonts w:ascii="Book Antiqua" w:eastAsia="Book Antiqua" w:hAnsi="Book Antiqua" w:cs="Book Antiqua"/>
          <w:sz w:val="24"/>
          <w:szCs w:val="24"/>
        </w:rPr>
      </w:pPr>
      <w:r>
        <w:rPr>
          <w:rStyle w:val="Ohne"/>
          <w:rFonts w:ascii="Book Antiqua" w:hAnsi="Book Antiqua"/>
          <w:b w:val="0"/>
          <w:bCs w:val="0"/>
          <w:sz w:val="24"/>
          <w:szCs w:val="24"/>
        </w:rPr>
        <w:t>Additional clinical data was collected from the electronic database. Cases lacking or with substantially incomplete clinical data were excluded from the analysis.</w:t>
      </w:r>
    </w:p>
    <w:p w:rsidR="00343223" w:rsidRDefault="00343223">
      <w:pPr>
        <w:pStyle w:val="berschriftA"/>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before="0" w:after="0" w:line="360" w:lineRule="auto"/>
        <w:jc w:val="both"/>
        <w:rPr>
          <w:rFonts w:ascii="Book Antiqua" w:eastAsia="Book Antiqua" w:hAnsi="Book Antiqua" w:cs="Book Antiqua"/>
          <w:sz w:val="24"/>
          <w:szCs w:val="24"/>
        </w:rPr>
      </w:pPr>
    </w:p>
    <w:p w:rsidR="00343223" w:rsidRDefault="00C30E23">
      <w:pPr>
        <w:pStyle w:val="berschriftA"/>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before="0" w:after="0" w:line="360" w:lineRule="auto"/>
        <w:jc w:val="both"/>
        <w:rPr>
          <w:rStyle w:val="Ohne"/>
          <w:rFonts w:ascii="Book Antiqua" w:eastAsia="Book Antiqua" w:hAnsi="Book Antiqua" w:cs="Book Antiqua"/>
          <w:i/>
          <w:iCs/>
          <w:sz w:val="24"/>
          <w:szCs w:val="24"/>
        </w:rPr>
      </w:pPr>
      <w:r>
        <w:rPr>
          <w:rStyle w:val="Ohne"/>
          <w:rFonts w:ascii="Book Antiqua" w:hAnsi="Book Antiqua"/>
          <w:i/>
          <w:iCs/>
          <w:sz w:val="24"/>
          <w:szCs w:val="24"/>
        </w:rPr>
        <w:t xml:space="preserve">Statistical analysis </w:t>
      </w:r>
    </w:p>
    <w:p w:rsidR="00343223" w:rsidRDefault="00C30E23">
      <w:pPr>
        <w:pStyle w:val="berschriftA"/>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before="0" w:after="0" w:line="360" w:lineRule="auto"/>
        <w:jc w:val="both"/>
        <w:rPr>
          <w:rStyle w:val="Ohne"/>
          <w:rFonts w:ascii="Book Antiqua" w:eastAsia="Book Antiqua" w:hAnsi="Book Antiqua" w:cs="Book Antiqua"/>
          <w:b w:val="0"/>
          <w:bCs w:val="0"/>
          <w:sz w:val="24"/>
          <w:szCs w:val="24"/>
        </w:rPr>
      </w:pPr>
      <w:r>
        <w:rPr>
          <w:rStyle w:val="Ohne"/>
          <w:rFonts w:ascii="Book Antiqua" w:hAnsi="Book Antiqua"/>
          <w:b w:val="0"/>
          <w:bCs w:val="0"/>
          <w:sz w:val="24"/>
          <w:szCs w:val="24"/>
        </w:rPr>
        <w:t xml:space="preserve">Statistical analysis was performed with SPSS 23 (IBM, Armonk, United states). The </w:t>
      </w:r>
      <w:r w:rsidR="000B6ECF">
        <w:rPr>
          <w:rStyle w:val="Ohne"/>
          <w:rFonts w:ascii="Arial Unicode MS" w:eastAsia="Arial Unicode MS" w:hAnsi="Arial Unicode MS" w:cs="Arial Unicode MS"/>
          <w:b w:val="0"/>
          <w:bCs w:val="0"/>
          <w:sz w:val="24"/>
          <w:szCs w:val="24"/>
        </w:rPr>
        <w:sym w:font="Symbol" w:char="F063"/>
      </w:r>
      <w:r>
        <w:rPr>
          <w:rStyle w:val="Ohne"/>
          <w:rFonts w:ascii="Book Antiqua" w:hAnsi="Book Antiqua"/>
          <w:b w:val="0"/>
          <w:bCs w:val="0"/>
          <w:sz w:val="24"/>
          <w:szCs w:val="24"/>
          <w:vertAlign w:val="superscript"/>
        </w:rPr>
        <w:t>2</w:t>
      </w:r>
      <w:r>
        <w:rPr>
          <w:rStyle w:val="Ohne"/>
          <w:rFonts w:ascii="Book Antiqua" w:hAnsi="Book Antiqua"/>
          <w:b w:val="0"/>
          <w:bCs w:val="0"/>
          <w:sz w:val="24"/>
          <w:szCs w:val="24"/>
        </w:rPr>
        <w:t xml:space="preserve"> test was used to determine statistical significance with </w:t>
      </w:r>
      <w:proofErr w:type="spellStart"/>
      <w:r>
        <w:rPr>
          <w:rStyle w:val="Ohne"/>
          <w:rFonts w:ascii="Book Antiqua" w:hAnsi="Book Antiqua"/>
          <w:b w:val="0"/>
          <w:bCs w:val="0"/>
          <w:sz w:val="24"/>
          <w:szCs w:val="24"/>
        </w:rPr>
        <w:t>categorial</w:t>
      </w:r>
      <w:proofErr w:type="spellEnd"/>
      <w:r>
        <w:rPr>
          <w:rStyle w:val="Ohne"/>
          <w:rFonts w:ascii="Book Antiqua" w:hAnsi="Book Antiqua"/>
          <w:b w:val="0"/>
          <w:bCs w:val="0"/>
          <w:sz w:val="24"/>
          <w:szCs w:val="24"/>
        </w:rPr>
        <w:t xml:space="preserve"> variables, and the Student’s </w:t>
      </w:r>
      <w:r>
        <w:rPr>
          <w:rStyle w:val="Ohne"/>
          <w:rFonts w:ascii="Book Antiqua" w:hAnsi="Book Antiqua"/>
          <w:b w:val="0"/>
          <w:bCs w:val="0"/>
          <w:i/>
          <w:iCs/>
          <w:sz w:val="24"/>
          <w:szCs w:val="24"/>
        </w:rPr>
        <w:t>t</w:t>
      </w:r>
      <w:r>
        <w:rPr>
          <w:rStyle w:val="Ohne"/>
          <w:rFonts w:ascii="Book Antiqua" w:hAnsi="Book Antiqua"/>
          <w:b w:val="0"/>
          <w:bCs w:val="0"/>
          <w:sz w:val="24"/>
          <w:szCs w:val="24"/>
        </w:rPr>
        <w:t>-test for metric variables. Regarding the multivariate analysis, binary logistic regression was performed in each pathophysiological pathway suspected separately (hypo-/</w:t>
      </w:r>
      <w:proofErr w:type="spellStart"/>
      <w:r>
        <w:rPr>
          <w:rStyle w:val="Ohne"/>
          <w:rFonts w:ascii="Book Antiqua" w:hAnsi="Book Antiqua"/>
          <w:b w:val="0"/>
          <w:bCs w:val="0"/>
          <w:sz w:val="24"/>
          <w:szCs w:val="24"/>
        </w:rPr>
        <w:t>achlorhydria</w:t>
      </w:r>
      <w:proofErr w:type="spellEnd"/>
      <w:r>
        <w:rPr>
          <w:rStyle w:val="Ohne"/>
          <w:rFonts w:ascii="Book Antiqua" w:hAnsi="Book Antiqua"/>
          <w:b w:val="0"/>
          <w:bCs w:val="0"/>
          <w:sz w:val="24"/>
          <w:szCs w:val="24"/>
        </w:rPr>
        <w:t xml:space="preserve">, impaired clearance, immunosuppression, thyroid gland variables and miscellaneous factors) and with statistically significant variables in a </w:t>
      </w:r>
      <w:proofErr w:type="spellStart"/>
      <w:r>
        <w:rPr>
          <w:rStyle w:val="Ohne"/>
          <w:rFonts w:ascii="Book Antiqua" w:hAnsi="Book Antiqua"/>
          <w:b w:val="0"/>
          <w:bCs w:val="0"/>
          <w:sz w:val="24"/>
          <w:szCs w:val="24"/>
        </w:rPr>
        <w:t>summarising</w:t>
      </w:r>
      <w:proofErr w:type="spellEnd"/>
      <w:r>
        <w:rPr>
          <w:rStyle w:val="Ohne"/>
          <w:rFonts w:ascii="Book Antiqua" w:hAnsi="Book Antiqua"/>
          <w:b w:val="0"/>
          <w:bCs w:val="0"/>
          <w:sz w:val="24"/>
          <w:szCs w:val="24"/>
        </w:rPr>
        <w:t xml:space="preserve"> model. Finally, the highest ranked parameter of each particular section was chosen to calculate a simplified ranking model. The odds ratios (OR) and 95% confidence intervals were estimated for specific clinical factors using logistic regression models. Analysis was considered significant with a </w:t>
      </w:r>
      <w:r>
        <w:rPr>
          <w:rStyle w:val="Ohne"/>
          <w:rFonts w:ascii="Book Antiqua" w:hAnsi="Book Antiqua"/>
          <w:b w:val="0"/>
          <w:bCs w:val="0"/>
          <w:i/>
          <w:iCs/>
          <w:sz w:val="24"/>
          <w:szCs w:val="24"/>
        </w:rPr>
        <w:t>P</w:t>
      </w:r>
      <w:r>
        <w:rPr>
          <w:rStyle w:val="Ohne"/>
          <w:rFonts w:ascii="Book Antiqua" w:hAnsi="Book Antiqua"/>
          <w:b w:val="0"/>
          <w:bCs w:val="0"/>
          <w:sz w:val="24"/>
          <w:szCs w:val="24"/>
        </w:rPr>
        <w:t xml:space="preserve"> value ≤ 0.05.</w:t>
      </w:r>
    </w:p>
    <w:p w:rsidR="00343223" w:rsidRDefault="00343223">
      <w:pPr>
        <w:pStyle w:val="berschriftA"/>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before="0" w:after="0" w:line="360" w:lineRule="auto"/>
        <w:jc w:val="both"/>
        <w:rPr>
          <w:rFonts w:ascii="Book Antiqua" w:eastAsia="Book Antiqua" w:hAnsi="Book Antiqua" w:cs="Book Antiqua"/>
          <w:sz w:val="24"/>
          <w:szCs w:val="24"/>
        </w:rPr>
      </w:pPr>
    </w:p>
    <w:p w:rsidR="00343223" w:rsidRDefault="00C30E23">
      <w:pPr>
        <w:pStyle w:val="berschriftA"/>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before="0" w:after="0" w:line="360" w:lineRule="auto"/>
        <w:jc w:val="both"/>
        <w:rPr>
          <w:rStyle w:val="Ohne"/>
          <w:rFonts w:ascii="Book Antiqua" w:eastAsia="Book Antiqua" w:hAnsi="Book Antiqua" w:cs="Book Antiqua"/>
          <w:i/>
          <w:iCs/>
          <w:sz w:val="24"/>
          <w:szCs w:val="24"/>
        </w:rPr>
      </w:pPr>
      <w:r>
        <w:rPr>
          <w:rStyle w:val="Ohne"/>
          <w:rFonts w:ascii="Book Antiqua" w:hAnsi="Book Antiqua"/>
          <w:i/>
          <w:iCs/>
          <w:sz w:val="24"/>
          <w:szCs w:val="24"/>
        </w:rPr>
        <w:t>Ethical considerations</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sz w:val="24"/>
          <w:szCs w:val="24"/>
        </w:rPr>
        <w:t xml:space="preserve">The study was approved by the institutional review board (registration number 4864-13). Informed consent was obtained from the patients before particular examinations.                                   </w:t>
      </w:r>
    </w:p>
    <w:p w:rsidR="000B6ECF" w:rsidRDefault="000B6ECF" w:rsidP="000B6ECF">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Arial Unicode MS" w:hAnsi="Arial Unicode MS"/>
          <w:sz w:val="24"/>
          <w:szCs w:val="24"/>
        </w:rPr>
      </w:pPr>
    </w:p>
    <w:p w:rsidR="00343223" w:rsidRDefault="00C30E23" w:rsidP="000B6ECF">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t>RESULTS</w:t>
      </w: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 xml:space="preserve">Basic characteristics </w:t>
      </w: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A total of 3715 hydrogen breath test examinations was considered eligible, 1586 of these were excluded due to missing or insufficient clinical information, and 320 records were excluded due to repetitive examinations of the same subject (Figure 1), therefore, our study population in summary contained a total of 1809 patients, with a slight, but not significant excess of women (Table 1). The age did not differ </w:t>
      </w:r>
      <w:r>
        <w:rPr>
          <w:rStyle w:val="Ohne"/>
          <w:rFonts w:ascii="Book Antiqua" w:hAnsi="Book Antiqua"/>
          <w:sz w:val="24"/>
          <w:szCs w:val="24"/>
        </w:rPr>
        <w:lastRenderedPageBreak/>
        <w:t xml:space="preserve">significantly between the gender groups. The overall basic characteristics of the patients were equally distributed as displayed, but patients with SIBO took slightly more drugs (1.32% </w:t>
      </w:r>
      <w:proofErr w:type="spellStart"/>
      <w:r>
        <w:rPr>
          <w:rStyle w:val="Ohne"/>
          <w:rFonts w:ascii="Book Antiqua" w:hAnsi="Book Antiqua"/>
          <w:i/>
          <w:iCs/>
          <w:sz w:val="24"/>
          <w:szCs w:val="24"/>
        </w:rPr>
        <w:t>vs</w:t>
      </w:r>
      <w:proofErr w:type="spellEnd"/>
      <w:r>
        <w:rPr>
          <w:rStyle w:val="Ohne"/>
          <w:rFonts w:ascii="Book Antiqua" w:hAnsi="Book Antiqua"/>
          <w:sz w:val="24"/>
          <w:szCs w:val="24"/>
        </w:rPr>
        <w:t xml:space="preserve"> 1.61%), especially </w:t>
      </w:r>
      <w:proofErr w:type="spellStart"/>
      <w:r>
        <w:rPr>
          <w:rStyle w:val="Ohne"/>
          <w:rFonts w:ascii="Book Antiqua" w:hAnsi="Book Antiqua"/>
          <w:sz w:val="24"/>
          <w:szCs w:val="24"/>
        </w:rPr>
        <w:t>spasmolytics</w:t>
      </w:r>
      <w:proofErr w:type="spellEnd"/>
      <w:r>
        <w:rPr>
          <w:rStyle w:val="Ohne"/>
          <w:rFonts w:ascii="Book Antiqua" w:hAnsi="Book Antiqua"/>
          <w:sz w:val="24"/>
          <w:szCs w:val="24"/>
        </w:rPr>
        <w:t xml:space="preserve"> and </w:t>
      </w:r>
      <w:proofErr w:type="spellStart"/>
      <w:r>
        <w:rPr>
          <w:rStyle w:val="Ohne"/>
          <w:rFonts w:ascii="Book Antiqua" w:hAnsi="Book Antiqua"/>
          <w:sz w:val="24"/>
          <w:szCs w:val="24"/>
        </w:rPr>
        <w:t>antiemetics</w:t>
      </w:r>
      <w:proofErr w:type="spellEnd"/>
      <w:r>
        <w:rPr>
          <w:rStyle w:val="Ohne"/>
          <w:rFonts w:ascii="Book Antiqua" w:hAnsi="Book Antiqua"/>
          <w:sz w:val="24"/>
          <w:szCs w:val="24"/>
        </w:rPr>
        <w:t xml:space="preserve"> (4.1% </w:t>
      </w:r>
      <w:r>
        <w:rPr>
          <w:rStyle w:val="Ohne"/>
          <w:rFonts w:ascii="Book Antiqua" w:hAnsi="Book Antiqua"/>
          <w:i/>
          <w:iCs/>
          <w:sz w:val="24"/>
          <w:szCs w:val="24"/>
        </w:rPr>
        <w:t>vs</w:t>
      </w:r>
      <w:r>
        <w:rPr>
          <w:rStyle w:val="Ohne"/>
          <w:rFonts w:ascii="Book Antiqua" w:hAnsi="Book Antiqua"/>
          <w:sz w:val="24"/>
          <w:szCs w:val="24"/>
        </w:rPr>
        <w:t xml:space="preserve"> 14.9% and 8.8% </w:t>
      </w:r>
      <w:r>
        <w:rPr>
          <w:rStyle w:val="Ohne"/>
          <w:rFonts w:ascii="Book Antiqua" w:hAnsi="Book Antiqua"/>
          <w:i/>
          <w:iCs/>
          <w:sz w:val="24"/>
          <w:szCs w:val="24"/>
        </w:rPr>
        <w:t>vs</w:t>
      </w:r>
      <w:r>
        <w:rPr>
          <w:rStyle w:val="Ohne"/>
          <w:rFonts w:ascii="Book Antiqua" w:hAnsi="Book Antiqua"/>
          <w:sz w:val="24"/>
          <w:szCs w:val="24"/>
        </w:rPr>
        <w:t xml:space="preserve"> 11.6%, respectively). Supplementation of iron and cobalamin was more common in SIBO patients.</w:t>
      </w: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Book Antiqua" w:eastAsia="Book Antiqua" w:hAnsi="Book Antiqua" w:cs="Book Antiqua"/>
          <w:sz w:val="24"/>
          <w:szCs w:val="24"/>
        </w:rPr>
      </w:pPr>
      <w:r>
        <w:rPr>
          <w:rStyle w:val="Ohne"/>
          <w:rFonts w:ascii="Book Antiqua" w:hAnsi="Book Antiqua"/>
          <w:sz w:val="24"/>
          <w:szCs w:val="24"/>
        </w:rPr>
        <w:t xml:space="preserve">The SIBO patients were more likely to undergo small bowel </w:t>
      </w:r>
      <w:proofErr w:type="spellStart"/>
      <w:r>
        <w:rPr>
          <w:rStyle w:val="Ohne"/>
          <w:rFonts w:ascii="Book Antiqua" w:hAnsi="Book Antiqua"/>
          <w:sz w:val="24"/>
          <w:szCs w:val="24"/>
        </w:rPr>
        <w:t>visualisation</w:t>
      </w:r>
      <w:proofErr w:type="spellEnd"/>
      <w:r>
        <w:rPr>
          <w:rStyle w:val="Ohne"/>
          <w:rFonts w:ascii="Book Antiqua" w:hAnsi="Book Antiqua"/>
          <w:sz w:val="24"/>
          <w:szCs w:val="24"/>
        </w:rPr>
        <w:t xml:space="preserve"> (video capsule endoscopy 4.0% </w:t>
      </w:r>
      <w:r>
        <w:rPr>
          <w:rStyle w:val="Ohne"/>
          <w:rFonts w:ascii="Book Antiqua" w:hAnsi="Book Antiqua"/>
          <w:i/>
          <w:iCs/>
          <w:sz w:val="24"/>
          <w:szCs w:val="24"/>
        </w:rPr>
        <w:t>vs</w:t>
      </w:r>
      <w:r>
        <w:rPr>
          <w:rStyle w:val="Ohne"/>
          <w:rFonts w:ascii="Book Antiqua" w:hAnsi="Book Antiqua"/>
          <w:sz w:val="24"/>
          <w:szCs w:val="24"/>
        </w:rPr>
        <w:t xml:space="preserve"> 1.2%) while colonoscopy was performed more often in the non-SIBO group (57.1% </w:t>
      </w:r>
      <w:r>
        <w:rPr>
          <w:rStyle w:val="Ohne"/>
          <w:rFonts w:ascii="Book Antiqua" w:hAnsi="Book Antiqua"/>
          <w:i/>
          <w:iCs/>
          <w:sz w:val="24"/>
          <w:szCs w:val="24"/>
        </w:rPr>
        <w:t>vs</w:t>
      </w:r>
      <w:r>
        <w:rPr>
          <w:rStyle w:val="Ohne"/>
          <w:rFonts w:ascii="Book Antiqua" w:hAnsi="Book Antiqua"/>
          <w:sz w:val="24"/>
          <w:szCs w:val="24"/>
        </w:rPr>
        <w:t xml:space="preserve"> 65.4%).</w:t>
      </w:r>
    </w:p>
    <w:p w:rsidR="00343223" w:rsidRDefault="00343223" w:rsidP="000B6ECF">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Suspected risk factor analysis</w:t>
      </w: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t>Hypo-/</w:t>
      </w:r>
      <w:proofErr w:type="spellStart"/>
      <w:r>
        <w:rPr>
          <w:rStyle w:val="Ohne"/>
          <w:rFonts w:ascii="Book Antiqua" w:hAnsi="Book Antiqua"/>
          <w:b/>
          <w:bCs/>
          <w:sz w:val="24"/>
          <w:szCs w:val="24"/>
        </w:rPr>
        <w:t>Achlorhydria</w:t>
      </w:r>
      <w:proofErr w:type="spellEnd"/>
      <w:r>
        <w:rPr>
          <w:rStyle w:val="Ohne"/>
          <w:rFonts w:ascii="Book Antiqua" w:hAnsi="Book Antiqua"/>
          <w:b/>
          <w:bCs/>
          <w:sz w:val="24"/>
          <w:szCs w:val="24"/>
        </w:rPr>
        <w:t xml:space="preserve">: </w:t>
      </w:r>
      <w:r>
        <w:rPr>
          <w:rStyle w:val="Ohne"/>
          <w:rFonts w:ascii="Book Antiqua" w:hAnsi="Book Antiqua"/>
          <w:sz w:val="24"/>
          <w:szCs w:val="24"/>
        </w:rPr>
        <w:t xml:space="preserve">Patients with a history of total gastrectomy were more likely to develop SIBO (2.3% </w:t>
      </w:r>
      <w:r>
        <w:rPr>
          <w:rStyle w:val="Ohne"/>
          <w:rFonts w:ascii="Book Antiqua" w:hAnsi="Book Antiqua"/>
          <w:i/>
          <w:iCs/>
          <w:sz w:val="24"/>
          <w:szCs w:val="24"/>
        </w:rPr>
        <w:t>vs</w:t>
      </w:r>
      <w:r>
        <w:rPr>
          <w:rStyle w:val="Ohne"/>
          <w:rFonts w:ascii="Book Antiqua" w:hAnsi="Book Antiqua"/>
          <w:sz w:val="24"/>
          <w:szCs w:val="24"/>
        </w:rPr>
        <w:t xml:space="preserve"> 0.7%). The OR was 3.45 (Table 2). Current PPI therapy led to a higher SIBO rate (40.0% </w:t>
      </w:r>
      <w:r>
        <w:rPr>
          <w:rStyle w:val="Ohne"/>
          <w:rFonts w:ascii="Book Antiqua" w:hAnsi="Book Antiqua"/>
          <w:i/>
          <w:iCs/>
          <w:sz w:val="24"/>
          <w:szCs w:val="24"/>
        </w:rPr>
        <w:t>vs</w:t>
      </w:r>
      <w:r>
        <w:rPr>
          <w:rStyle w:val="Ohne"/>
          <w:rFonts w:ascii="Book Antiqua" w:hAnsi="Book Antiqua"/>
          <w:sz w:val="24"/>
          <w:szCs w:val="24"/>
        </w:rPr>
        <w:t xml:space="preserve"> 31.8%), although the effect was small (OR </w:t>
      </w:r>
      <w:r w:rsidR="000B6ECF">
        <w:rPr>
          <w:rStyle w:val="Ohne"/>
          <w:rFonts w:ascii="Book Antiqua" w:hAnsi="Book Antiqua" w:hint="eastAsia"/>
          <w:sz w:val="24"/>
          <w:szCs w:val="24"/>
        </w:rPr>
        <w:t xml:space="preserve">= </w:t>
      </w:r>
      <w:r>
        <w:rPr>
          <w:rStyle w:val="Ohne"/>
          <w:rFonts w:ascii="Book Antiqua" w:hAnsi="Book Antiqua"/>
          <w:sz w:val="24"/>
          <w:szCs w:val="24"/>
        </w:rPr>
        <w:t>1.43).</w:t>
      </w:r>
    </w:p>
    <w:p w:rsidR="00343223" w:rsidRDefault="003432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b/>
          <w:bCs/>
          <w:sz w:val="24"/>
          <w:szCs w:val="24"/>
        </w:rPr>
      </w:pP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t xml:space="preserve">Impaired bowel clearance – anatomical alterations and surgery: </w:t>
      </w:r>
      <w:r>
        <w:rPr>
          <w:rStyle w:val="Ohne"/>
          <w:rFonts w:ascii="Book Antiqua" w:hAnsi="Book Antiqua"/>
          <w:sz w:val="24"/>
          <w:szCs w:val="24"/>
        </w:rPr>
        <w:t xml:space="preserve">Overall abdominal surgery was not associated with a higher risk of SIBO (Table 3). Patients after gastrectomy and patients with a history of any resecting gastric surgery had a higher prevalence of SIBO (6.9% </w:t>
      </w:r>
      <w:r>
        <w:rPr>
          <w:rStyle w:val="Ohne"/>
          <w:rFonts w:ascii="Book Antiqua" w:hAnsi="Book Antiqua"/>
          <w:i/>
          <w:iCs/>
          <w:sz w:val="24"/>
          <w:szCs w:val="24"/>
        </w:rPr>
        <w:t>vs</w:t>
      </w:r>
      <w:r>
        <w:rPr>
          <w:rStyle w:val="Ohne"/>
          <w:rFonts w:ascii="Book Antiqua" w:hAnsi="Book Antiqua"/>
          <w:sz w:val="24"/>
          <w:szCs w:val="24"/>
        </w:rPr>
        <w:t xml:space="preserve"> 2.8%, OR = 2.60). By contrast, neither </w:t>
      </w:r>
      <w:proofErr w:type="spellStart"/>
      <w:r>
        <w:rPr>
          <w:rStyle w:val="Ohne"/>
          <w:rFonts w:ascii="Book Antiqua" w:hAnsi="Book Antiqua"/>
          <w:sz w:val="24"/>
          <w:szCs w:val="24"/>
        </w:rPr>
        <w:t>Bilroth</w:t>
      </w:r>
      <w:proofErr w:type="spellEnd"/>
      <w:r>
        <w:rPr>
          <w:rStyle w:val="Ohne"/>
          <w:rFonts w:ascii="Book Antiqua" w:hAnsi="Book Antiqua"/>
          <w:sz w:val="24"/>
          <w:szCs w:val="24"/>
        </w:rPr>
        <w:t xml:space="preserve">-II resection nor the existence of blind intestinal loops exhibited a higher prevalence of SIBO, although the latter group showed a tendency (4.6% </w:t>
      </w:r>
      <w:r>
        <w:rPr>
          <w:rStyle w:val="Ohne"/>
          <w:rFonts w:ascii="Book Antiqua" w:hAnsi="Book Antiqua"/>
          <w:i/>
          <w:iCs/>
          <w:sz w:val="24"/>
          <w:szCs w:val="24"/>
        </w:rPr>
        <w:t>vs</w:t>
      </w:r>
      <w:r>
        <w:rPr>
          <w:rStyle w:val="Ohne"/>
          <w:rFonts w:ascii="Book Antiqua" w:hAnsi="Book Antiqua"/>
          <w:sz w:val="24"/>
          <w:szCs w:val="24"/>
        </w:rPr>
        <w:t xml:space="preserve"> 2.5%). Loss of the ileocecal valve did not increase risk, while a history of appendectomy occurred more often in non-SIBO patients (8.2%</w:t>
      </w:r>
      <w:r>
        <w:rPr>
          <w:rStyle w:val="Ohne"/>
          <w:rFonts w:ascii="Book Antiqua" w:hAnsi="Book Antiqua"/>
          <w:i/>
          <w:iCs/>
          <w:sz w:val="24"/>
          <w:szCs w:val="24"/>
        </w:rPr>
        <w:t xml:space="preserve"> vs</w:t>
      </w:r>
      <w:r>
        <w:rPr>
          <w:rStyle w:val="Ohne"/>
          <w:rFonts w:ascii="Book Antiqua" w:hAnsi="Book Antiqua"/>
          <w:sz w:val="24"/>
          <w:szCs w:val="24"/>
        </w:rPr>
        <w:t xml:space="preserve"> 4.6%), indicating a protective factor with an OR of 0.46. On the other hand, functional appendectomy (including those patients with ileocecal resection) did not show such an effect. Obstetric surgery, sigmoid and small intestinal resection did not affect development of SIBO, while any colonic resection was associated with an OR of 1.93 (10.9% </w:t>
      </w:r>
      <w:r>
        <w:rPr>
          <w:rStyle w:val="Ohne"/>
          <w:rFonts w:ascii="Book Antiqua" w:hAnsi="Book Antiqua"/>
          <w:i/>
          <w:iCs/>
          <w:sz w:val="24"/>
          <w:szCs w:val="24"/>
        </w:rPr>
        <w:t>vs</w:t>
      </w:r>
      <w:r>
        <w:rPr>
          <w:rStyle w:val="Ohne"/>
          <w:rFonts w:ascii="Book Antiqua" w:hAnsi="Book Antiqua"/>
          <w:sz w:val="24"/>
          <w:szCs w:val="24"/>
        </w:rPr>
        <w:t xml:space="preserve"> 5.9%). Cholecystectomy tended to be protective (4.6% </w:t>
      </w:r>
      <w:r>
        <w:rPr>
          <w:rStyle w:val="Ohne"/>
          <w:rFonts w:ascii="Book Antiqua" w:hAnsi="Book Antiqua"/>
          <w:i/>
          <w:iCs/>
          <w:sz w:val="24"/>
          <w:szCs w:val="24"/>
        </w:rPr>
        <w:t>vs</w:t>
      </w:r>
      <w:r>
        <w:rPr>
          <w:rStyle w:val="Ohne"/>
          <w:rFonts w:ascii="Book Antiqua" w:hAnsi="Book Antiqua"/>
          <w:sz w:val="24"/>
          <w:szCs w:val="24"/>
        </w:rPr>
        <w:t xml:space="preserve"> 7.8%). </w:t>
      </w:r>
      <w:proofErr w:type="spellStart"/>
      <w:r>
        <w:rPr>
          <w:rStyle w:val="Ohne"/>
          <w:rFonts w:ascii="Book Antiqua" w:hAnsi="Book Antiqua"/>
          <w:sz w:val="24"/>
          <w:szCs w:val="24"/>
        </w:rPr>
        <w:t>Stenoses</w:t>
      </w:r>
      <w:proofErr w:type="spellEnd"/>
      <w:r>
        <w:rPr>
          <w:rStyle w:val="Ohne"/>
          <w:rFonts w:ascii="Book Antiqua" w:hAnsi="Book Antiqua"/>
          <w:sz w:val="24"/>
          <w:szCs w:val="24"/>
        </w:rPr>
        <w:t xml:space="preserve"> of the intestinal tract were associated with SIBO (5.7%</w:t>
      </w:r>
      <w:r>
        <w:rPr>
          <w:rStyle w:val="Ohne"/>
          <w:rFonts w:ascii="Book Antiqua" w:hAnsi="Book Antiqua"/>
          <w:i/>
          <w:iCs/>
          <w:sz w:val="24"/>
          <w:szCs w:val="24"/>
        </w:rPr>
        <w:t xml:space="preserve"> vs</w:t>
      </w:r>
      <w:r>
        <w:rPr>
          <w:rStyle w:val="Ohne"/>
          <w:rFonts w:ascii="Book Antiqua" w:hAnsi="Book Antiqua"/>
          <w:sz w:val="24"/>
          <w:szCs w:val="24"/>
        </w:rPr>
        <w:t xml:space="preserve"> 1.8%) with an OR of 3.36.</w:t>
      </w:r>
    </w:p>
    <w:p w:rsidR="00343223" w:rsidRDefault="00343223" w:rsidP="000B6ECF">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t xml:space="preserve">Impaired bowel clearance – functionally impaired clearance: </w:t>
      </w:r>
      <w:r>
        <w:rPr>
          <w:rStyle w:val="Ohne"/>
          <w:rFonts w:ascii="Book Antiqua" w:hAnsi="Book Antiqua"/>
          <w:sz w:val="24"/>
          <w:szCs w:val="24"/>
        </w:rPr>
        <w:t xml:space="preserve">Impaired motility (9.7% </w:t>
      </w:r>
      <w:r>
        <w:rPr>
          <w:rStyle w:val="Ohne"/>
          <w:rFonts w:ascii="Book Antiqua" w:hAnsi="Book Antiqua"/>
          <w:i/>
          <w:iCs/>
          <w:sz w:val="24"/>
          <w:szCs w:val="24"/>
        </w:rPr>
        <w:t>vs</w:t>
      </w:r>
      <w:r>
        <w:rPr>
          <w:rStyle w:val="Ohne"/>
          <w:rFonts w:ascii="Book Antiqua" w:hAnsi="Book Antiqua"/>
          <w:sz w:val="24"/>
          <w:szCs w:val="24"/>
        </w:rPr>
        <w:t xml:space="preserve"> 0.6%), gastroparesis (2.9% </w:t>
      </w:r>
      <w:r>
        <w:rPr>
          <w:rStyle w:val="Ohne"/>
          <w:rFonts w:ascii="Book Antiqua" w:hAnsi="Book Antiqua"/>
          <w:i/>
          <w:iCs/>
          <w:sz w:val="24"/>
          <w:szCs w:val="24"/>
        </w:rPr>
        <w:t>vs</w:t>
      </w:r>
      <w:r>
        <w:rPr>
          <w:rStyle w:val="Ohne"/>
          <w:rFonts w:ascii="Book Antiqua" w:hAnsi="Book Antiqua"/>
          <w:sz w:val="24"/>
          <w:szCs w:val="24"/>
        </w:rPr>
        <w:t xml:space="preserve"> 1.5%) and neuropathy (5.1% </w:t>
      </w:r>
      <w:r>
        <w:rPr>
          <w:rStyle w:val="Ohne"/>
          <w:rFonts w:ascii="Book Antiqua" w:hAnsi="Book Antiqua"/>
          <w:i/>
          <w:iCs/>
          <w:sz w:val="24"/>
          <w:szCs w:val="24"/>
        </w:rPr>
        <w:t>vs</w:t>
      </w:r>
      <w:r>
        <w:rPr>
          <w:rStyle w:val="Ohne"/>
          <w:rFonts w:ascii="Book Antiqua" w:hAnsi="Book Antiqua"/>
          <w:sz w:val="24"/>
          <w:szCs w:val="24"/>
        </w:rPr>
        <w:t xml:space="preserve"> 2.4%), but not </w:t>
      </w:r>
      <w:proofErr w:type="spellStart"/>
      <w:r>
        <w:rPr>
          <w:rStyle w:val="Ohne"/>
          <w:rFonts w:ascii="Book Antiqua" w:hAnsi="Book Antiqua"/>
          <w:sz w:val="24"/>
          <w:szCs w:val="24"/>
        </w:rPr>
        <w:t>vagotomy</w:t>
      </w:r>
      <w:proofErr w:type="spellEnd"/>
      <w:r>
        <w:rPr>
          <w:rStyle w:val="Ohne"/>
          <w:rFonts w:ascii="Book Antiqua" w:hAnsi="Book Antiqua"/>
          <w:sz w:val="24"/>
          <w:szCs w:val="24"/>
        </w:rPr>
        <w:t xml:space="preserve"> were associated with higher risks of SIBO; referring to Table 3, the ORs </w:t>
      </w:r>
      <w:r>
        <w:rPr>
          <w:rStyle w:val="Ohne"/>
          <w:rFonts w:ascii="Book Antiqua" w:hAnsi="Book Antiqua"/>
          <w:sz w:val="24"/>
          <w:szCs w:val="24"/>
        </w:rPr>
        <w:lastRenderedPageBreak/>
        <w:t xml:space="preserve">were 5.16, 3.40 and 2.22, respectively. Prevalence of SIBO tended to be higher under opioid medication, but did not achieve statistical significance (5.7% </w:t>
      </w:r>
      <w:r>
        <w:rPr>
          <w:rStyle w:val="Ohne"/>
          <w:rFonts w:ascii="Book Antiqua" w:hAnsi="Book Antiqua"/>
          <w:i/>
          <w:iCs/>
          <w:sz w:val="24"/>
          <w:szCs w:val="24"/>
        </w:rPr>
        <w:t>vs</w:t>
      </w:r>
      <w:r>
        <w:rPr>
          <w:rStyle w:val="Ohne"/>
          <w:rFonts w:ascii="Book Antiqua" w:hAnsi="Book Antiqua"/>
          <w:sz w:val="24"/>
          <w:szCs w:val="24"/>
        </w:rPr>
        <w:t xml:space="preserve"> 3.4%).</w:t>
      </w:r>
    </w:p>
    <w:p w:rsidR="00343223" w:rsidRDefault="003432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b/>
          <w:bCs/>
          <w:sz w:val="24"/>
          <w:szCs w:val="24"/>
        </w:rPr>
      </w:pP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t xml:space="preserve">Immunological factors: </w:t>
      </w:r>
      <w:r>
        <w:rPr>
          <w:rStyle w:val="Ohne"/>
          <w:rFonts w:ascii="Book Antiqua" w:hAnsi="Book Antiqua"/>
          <w:sz w:val="24"/>
          <w:szCs w:val="24"/>
        </w:rPr>
        <w:t xml:space="preserve">Immunoglobulin deficiency did not change the risk of developing SIBO (Table 4), while the use of steroids (20.6% </w:t>
      </w:r>
      <w:r>
        <w:rPr>
          <w:rStyle w:val="Ohne"/>
          <w:rFonts w:ascii="Book Antiqua" w:hAnsi="Book Antiqua"/>
          <w:i/>
          <w:iCs/>
          <w:sz w:val="24"/>
          <w:szCs w:val="24"/>
        </w:rPr>
        <w:t>vs</w:t>
      </w:r>
      <w:r>
        <w:rPr>
          <w:rStyle w:val="Ohne"/>
          <w:rFonts w:ascii="Book Antiqua" w:hAnsi="Book Antiqua"/>
          <w:sz w:val="24"/>
          <w:szCs w:val="24"/>
        </w:rPr>
        <w:t xml:space="preserve"> 13.6%) or classical </w:t>
      </w:r>
      <w:proofErr w:type="spellStart"/>
      <w:r>
        <w:rPr>
          <w:rStyle w:val="Ohne"/>
          <w:rFonts w:ascii="Book Antiqua" w:hAnsi="Book Antiqua"/>
          <w:sz w:val="24"/>
          <w:szCs w:val="24"/>
        </w:rPr>
        <w:t>immunosuppressants</w:t>
      </w:r>
      <w:proofErr w:type="spellEnd"/>
      <w:r>
        <w:rPr>
          <w:rStyle w:val="Ohne"/>
          <w:rFonts w:ascii="Book Antiqua" w:hAnsi="Book Antiqua"/>
          <w:sz w:val="24"/>
          <w:szCs w:val="24"/>
        </w:rPr>
        <w:t xml:space="preserve"> (4.6% </w:t>
      </w:r>
      <w:proofErr w:type="spellStart"/>
      <w:r>
        <w:rPr>
          <w:rStyle w:val="Ohne"/>
          <w:rFonts w:ascii="Book Antiqua" w:hAnsi="Book Antiqua"/>
          <w:i/>
          <w:iCs/>
          <w:sz w:val="24"/>
          <w:szCs w:val="24"/>
        </w:rPr>
        <w:t>vs</w:t>
      </w:r>
      <w:proofErr w:type="spellEnd"/>
      <w:r>
        <w:rPr>
          <w:rStyle w:val="Ohne"/>
          <w:rFonts w:ascii="Book Antiqua" w:hAnsi="Book Antiqua"/>
          <w:sz w:val="24"/>
          <w:szCs w:val="24"/>
        </w:rPr>
        <w:t xml:space="preserve"> 1.9%), any immunosuppressive therapy (22.3% </w:t>
      </w:r>
      <w:r>
        <w:rPr>
          <w:rStyle w:val="Ohne"/>
          <w:rFonts w:ascii="Book Antiqua" w:hAnsi="Book Antiqua"/>
          <w:i/>
          <w:iCs/>
          <w:sz w:val="24"/>
          <w:szCs w:val="24"/>
        </w:rPr>
        <w:t>vs</w:t>
      </w:r>
      <w:r>
        <w:rPr>
          <w:rStyle w:val="Ohne"/>
          <w:rFonts w:ascii="Book Antiqua" w:hAnsi="Book Antiqua"/>
          <w:sz w:val="24"/>
          <w:szCs w:val="24"/>
        </w:rPr>
        <w:t xml:space="preserve"> 14.1%) and the combination of steroids and </w:t>
      </w:r>
      <w:proofErr w:type="spellStart"/>
      <w:r>
        <w:rPr>
          <w:rStyle w:val="Ohne"/>
          <w:rFonts w:ascii="Book Antiqua" w:hAnsi="Book Antiqua"/>
          <w:sz w:val="24"/>
          <w:szCs w:val="24"/>
        </w:rPr>
        <w:t>immunosuppressants</w:t>
      </w:r>
      <w:proofErr w:type="spellEnd"/>
      <w:r>
        <w:rPr>
          <w:rStyle w:val="Ohne"/>
          <w:rFonts w:ascii="Book Antiqua" w:hAnsi="Book Antiqua"/>
          <w:sz w:val="24"/>
          <w:szCs w:val="24"/>
        </w:rPr>
        <w:t xml:space="preserve"> led to a higher risk of SIBO (4.0% </w:t>
      </w:r>
      <w:r>
        <w:rPr>
          <w:rStyle w:val="Ohne"/>
          <w:rFonts w:ascii="Book Antiqua" w:hAnsi="Book Antiqua"/>
          <w:i/>
          <w:iCs/>
          <w:sz w:val="24"/>
          <w:szCs w:val="24"/>
        </w:rPr>
        <w:t>vs</w:t>
      </w:r>
      <w:r>
        <w:rPr>
          <w:rStyle w:val="Ohne"/>
          <w:rFonts w:ascii="Book Antiqua" w:hAnsi="Book Antiqua"/>
          <w:sz w:val="24"/>
          <w:szCs w:val="24"/>
        </w:rPr>
        <w:t xml:space="preserve"> 1.4%). The OR was highest in the combination group (steroid plus immunosuppressant: OR = 2.92).</w:t>
      </w:r>
    </w:p>
    <w:p w:rsidR="00343223" w:rsidRDefault="003432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Other factors</w:t>
      </w: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t xml:space="preserve">Thyroid gland metabolism: </w:t>
      </w:r>
      <w:r>
        <w:rPr>
          <w:rStyle w:val="Ohne"/>
          <w:rFonts w:ascii="Book Antiqua" w:hAnsi="Book Antiqua"/>
          <w:sz w:val="24"/>
          <w:szCs w:val="24"/>
        </w:rPr>
        <w:t xml:space="preserve">As referred to in Table 5, patients with hypothyroidism and patients with levothyroxine therapy showed a higher prevalence of SIBO (9.7% </w:t>
      </w:r>
      <w:r>
        <w:rPr>
          <w:rStyle w:val="Ohne"/>
          <w:rFonts w:ascii="Book Antiqua" w:hAnsi="Book Antiqua"/>
          <w:i/>
          <w:iCs/>
          <w:sz w:val="24"/>
          <w:szCs w:val="24"/>
        </w:rPr>
        <w:t>vs</w:t>
      </w:r>
      <w:r>
        <w:rPr>
          <w:rStyle w:val="Ohne"/>
          <w:rFonts w:ascii="Book Antiqua" w:hAnsi="Book Antiqua"/>
          <w:sz w:val="24"/>
          <w:szCs w:val="24"/>
        </w:rPr>
        <w:t xml:space="preserve"> 4.0% and 17.1% </w:t>
      </w:r>
      <w:r>
        <w:rPr>
          <w:rStyle w:val="Ohne"/>
          <w:rFonts w:ascii="Book Antiqua" w:hAnsi="Book Antiqua"/>
          <w:i/>
          <w:iCs/>
          <w:sz w:val="24"/>
          <w:szCs w:val="24"/>
        </w:rPr>
        <w:t>vs</w:t>
      </w:r>
      <w:r>
        <w:rPr>
          <w:rStyle w:val="Ohne"/>
          <w:rFonts w:ascii="Book Antiqua" w:hAnsi="Book Antiqua"/>
          <w:sz w:val="24"/>
          <w:szCs w:val="24"/>
        </w:rPr>
        <w:t xml:space="preserve"> 6.5%, respectively) while a history of thyroidectomy slightly failed to.</w:t>
      </w:r>
    </w:p>
    <w:p w:rsidR="00343223" w:rsidRDefault="003432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t xml:space="preserve">Miscellaneous: </w:t>
      </w:r>
      <w:r>
        <w:rPr>
          <w:rStyle w:val="Ohne"/>
          <w:rFonts w:ascii="Book Antiqua" w:hAnsi="Book Antiqua"/>
          <w:sz w:val="24"/>
          <w:szCs w:val="24"/>
        </w:rPr>
        <w:t xml:space="preserve">Diabetes mellitus was associated with a 1.90-fold increased risk of developing SIBO (14.3% </w:t>
      </w:r>
      <w:r>
        <w:rPr>
          <w:rStyle w:val="Ohne"/>
          <w:rFonts w:ascii="Book Antiqua" w:hAnsi="Book Antiqua"/>
          <w:i/>
          <w:iCs/>
          <w:sz w:val="24"/>
          <w:szCs w:val="24"/>
        </w:rPr>
        <w:t>vs</w:t>
      </w:r>
      <w:r>
        <w:rPr>
          <w:rStyle w:val="Ohne"/>
          <w:rFonts w:ascii="Book Antiqua" w:hAnsi="Book Antiqua"/>
          <w:sz w:val="24"/>
          <w:szCs w:val="24"/>
        </w:rPr>
        <w:t xml:space="preserve"> 8.1%; Table 5). Sigmoid, but not colonic diverticulosis was associated with a lower prevalence of SIBO (4.6% </w:t>
      </w:r>
      <w:r>
        <w:rPr>
          <w:rStyle w:val="Ohne"/>
          <w:rFonts w:ascii="Book Antiqua" w:hAnsi="Book Antiqua"/>
          <w:i/>
          <w:iCs/>
          <w:sz w:val="24"/>
          <w:szCs w:val="24"/>
        </w:rPr>
        <w:t>vs</w:t>
      </w:r>
      <w:r>
        <w:rPr>
          <w:rStyle w:val="Ohne"/>
          <w:rFonts w:ascii="Book Antiqua" w:hAnsi="Book Antiqua"/>
          <w:sz w:val="24"/>
          <w:szCs w:val="24"/>
        </w:rPr>
        <w:t xml:space="preserve"> 9.2%).</w:t>
      </w:r>
    </w:p>
    <w:p w:rsidR="00343223" w:rsidRDefault="003432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t xml:space="preserve">Multivariate analysis: </w:t>
      </w:r>
      <w:r>
        <w:rPr>
          <w:rStyle w:val="Ohne"/>
          <w:rFonts w:ascii="Book Antiqua" w:hAnsi="Book Antiqua"/>
          <w:sz w:val="24"/>
          <w:szCs w:val="24"/>
        </w:rPr>
        <w:t xml:space="preserve">The different </w:t>
      </w:r>
      <w:proofErr w:type="spellStart"/>
      <w:r>
        <w:rPr>
          <w:rStyle w:val="Ohne"/>
          <w:rFonts w:ascii="Book Antiqua" w:hAnsi="Book Antiqua"/>
          <w:sz w:val="24"/>
          <w:szCs w:val="24"/>
        </w:rPr>
        <w:t>pathomechanistic</w:t>
      </w:r>
      <w:proofErr w:type="spellEnd"/>
      <w:r>
        <w:rPr>
          <w:rStyle w:val="Ohne"/>
          <w:rFonts w:ascii="Book Antiqua" w:hAnsi="Book Antiqua"/>
          <w:sz w:val="24"/>
          <w:szCs w:val="24"/>
        </w:rPr>
        <w:t xml:space="preserve"> pathways were tested in a binary logistic regression analysis. The strongest particular independent variables were PPI therapy and gastrectomy for hypo- or </w:t>
      </w:r>
      <w:proofErr w:type="spellStart"/>
      <w:r>
        <w:rPr>
          <w:rStyle w:val="Ohne"/>
          <w:rFonts w:ascii="Book Antiqua" w:hAnsi="Book Antiqua"/>
          <w:sz w:val="24"/>
          <w:szCs w:val="24"/>
        </w:rPr>
        <w:t>achlorhydria</w:t>
      </w:r>
      <w:proofErr w:type="spellEnd"/>
      <w:r>
        <w:rPr>
          <w:rStyle w:val="Ohne"/>
          <w:rFonts w:ascii="Book Antiqua" w:hAnsi="Book Antiqua"/>
          <w:sz w:val="24"/>
          <w:szCs w:val="24"/>
        </w:rPr>
        <w:t>. Both showed statistical significance with an OR of 1.45 and 3.64, respectively.</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All variables which potentially impair intestinal clearance were studied in a further model. Any resecting gastric surgery, </w:t>
      </w:r>
      <w:proofErr w:type="spellStart"/>
      <w:r>
        <w:rPr>
          <w:rStyle w:val="Ohne"/>
          <w:rFonts w:ascii="Book Antiqua" w:hAnsi="Book Antiqua"/>
          <w:sz w:val="24"/>
          <w:szCs w:val="24"/>
        </w:rPr>
        <w:t>stenoses</w:t>
      </w:r>
      <w:proofErr w:type="spellEnd"/>
      <w:r>
        <w:rPr>
          <w:rStyle w:val="Ohne"/>
          <w:rFonts w:ascii="Book Antiqua" w:hAnsi="Book Antiqua"/>
          <w:sz w:val="24"/>
          <w:szCs w:val="24"/>
        </w:rPr>
        <w:t xml:space="preserve">, </w:t>
      </w:r>
      <w:proofErr w:type="spellStart"/>
      <w:r>
        <w:rPr>
          <w:rStyle w:val="Ohne"/>
          <w:rFonts w:ascii="Book Antiqua" w:hAnsi="Book Antiqua"/>
          <w:sz w:val="24"/>
          <w:szCs w:val="24"/>
        </w:rPr>
        <w:t>gastroparesis</w:t>
      </w:r>
      <w:proofErr w:type="spellEnd"/>
      <w:r>
        <w:rPr>
          <w:rStyle w:val="Ohne"/>
          <w:rFonts w:ascii="Book Antiqua" w:hAnsi="Book Antiqua"/>
          <w:sz w:val="24"/>
          <w:szCs w:val="24"/>
        </w:rPr>
        <w:t xml:space="preserve"> and any colonic resection were significantly associated with the presence of SIBO (</w:t>
      </w:r>
      <w:r>
        <w:rPr>
          <w:rStyle w:val="Ohne"/>
          <w:rFonts w:ascii="Book Antiqua" w:hAnsi="Book Antiqua"/>
          <w:i/>
          <w:iCs/>
          <w:sz w:val="24"/>
          <w:szCs w:val="24"/>
        </w:rPr>
        <w:t xml:space="preserve">P </w:t>
      </w:r>
      <w:r>
        <w:rPr>
          <w:rStyle w:val="Ohne"/>
          <w:rFonts w:ascii="Book Antiqua" w:hAnsi="Book Antiqua"/>
          <w:sz w:val="24"/>
          <w:szCs w:val="24"/>
        </w:rPr>
        <w:t>&lt; 0.05): the ORs were 6.49, 3.19, 3.25 and 1.85, respectively, while gastrectomy, neuropathy, existence of blind loops, appendectomy and cholecystectomy were not.</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Book Antiqua" w:eastAsia="Book Antiqua" w:hAnsi="Book Antiqua" w:cs="Book Antiqua"/>
          <w:sz w:val="24"/>
          <w:szCs w:val="24"/>
        </w:rPr>
      </w:pPr>
      <w:r>
        <w:rPr>
          <w:rStyle w:val="Ohne"/>
          <w:rFonts w:ascii="Book Antiqua" w:hAnsi="Book Antiqua"/>
          <w:sz w:val="24"/>
          <w:szCs w:val="24"/>
        </w:rPr>
        <w:t xml:space="preserve">The model for immunosuppression did not show any significant parameters. Binary logistic regression for thyroid gland variables proved statistically significant for levothyroxine use with an OR of 2.8, while thyroidectomy and hypothyroidism </w:t>
      </w:r>
      <w:r>
        <w:rPr>
          <w:rStyle w:val="Ohne"/>
          <w:rFonts w:ascii="Book Antiqua" w:hAnsi="Book Antiqua"/>
          <w:sz w:val="24"/>
          <w:szCs w:val="24"/>
        </w:rPr>
        <w:lastRenderedPageBreak/>
        <w:t>did not. The only significant parameter in the model of miscellaneous variables was sigmoid diverticulosis with an OR of 0.453; the other factors were opioid use, smoking, diabetes and ulcerative colitis.</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Book Antiqua" w:eastAsia="Book Antiqua" w:hAnsi="Book Antiqua" w:cs="Book Antiqua"/>
          <w:sz w:val="24"/>
          <w:szCs w:val="24"/>
        </w:rPr>
      </w:pPr>
      <w:r>
        <w:rPr>
          <w:rStyle w:val="Ohne"/>
          <w:rFonts w:ascii="Book Antiqua" w:hAnsi="Book Antiqua"/>
          <w:sz w:val="24"/>
          <w:szCs w:val="24"/>
        </w:rPr>
        <w:t xml:space="preserve">Finally, the variables PPI therapy, history of gastrectomy, history of any resecting gastric surgery, presence of </w:t>
      </w:r>
      <w:proofErr w:type="spellStart"/>
      <w:r>
        <w:rPr>
          <w:rStyle w:val="Ohne"/>
          <w:rFonts w:ascii="Book Antiqua" w:hAnsi="Book Antiqua"/>
          <w:sz w:val="24"/>
          <w:szCs w:val="24"/>
        </w:rPr>
        <w:t>stenoses</w:t>
      </w:r>
      <w:proofErr w:type="spellEnd"/>
      <w:r>
        <w:rPr>
          <w:rStyle w:val="Ohne"/>
          <w:rFonts w:ascii="Book Antiqua" w:hAnsi="Book Antiqua"/>
          <w:sz w:val="24"/>
          <w:szCs w:val="24"/>
        </w:rPr>
        <w:t xml:space="preserve">, use of levothyroxine, presence of diabetes, neuropathy or gastroparesis, medical immunosuppression and therapy with opioids have been included in a </w:t>
      </w:r>
      <w:proofErr w:type="spellStart"/>
      <w:r>
        <w:rPr>
          <w:rStyle w:val="Ohne"/>
          <w:rFonts w:ascii="Book Antiqua" w:hAnsi="Book Antiqua"/>
          <w:sz w:val="24"/>
          <w:szCs w:val="24"/>
        </w:rPr>
        <w:t>summarising</w:t>
      </w:r>
      <w:proofErr w:type="spellEnd"/>
      <w:r>
        <w:rPr>
          <w:rStyle w:val="Ohne"/>
          <w:rFonts w:ascii="Book Antiqua" w:hAnsi="Book Antiqua"/>
          <w:sz w:val="24"/>
          <w:szCs w:val="24"/>
        </w:rPr>
        <w:t xml:space="preserve"> model (Table 6). The Omnibus test results are highly significant (</w:t>
      </w:r>
      <w:r>
        <w:rPr>
          <w:rStyle w:val="Ohne"/>
          <w:rFonts w:ascii="Book Antiqua" w:hAnsi="Book Antiqua"/>
          <w:i/>
          <w:iCs/>
          <w:sz w:val="24"/>
          <w:szCs w:val="24"/>
        </w:rPr>
        <w:t xml:space="preserve">P </w:t>
      </w:r>
      <w:r>
        <w:rPr>
          <w:rStyle w:val="Ohne"/>
          <w:rFonts w:ascii="Book Antiqua" w:hAnsi="Book Antiqua"/>
          <w:sz w:val="24"/>
          <w:szCs w:val="24"/>
        </w:rPr>
        <w:t xml:space="preserve">&lt; 0.001). The </w:t>
      </w:r>
      <w:proofErr w:type="spellStart"/>
      <w:r>
        <w:rPr>
          <w:rStyle w:val="Ohne"/>
          <w:rFonts w:ascii="Book Antiqua" w:hAnsi="Book Antiqua"/>
          <w:sz w:val="24"/>
          <w:szCs w:val="24"/>
        </w:rPr>
        <w:t>Hosmer-Lemeshow</w:t>
      </w:r>
      <w:proofErr w:type="spellEnd"/>
      <w:r>
        <w:rPr>
          <w:rStyle w:val="Ohne"/>
          <w:rFonts w:ascii="Book Antiqua" w:hAnsi="Book Antiqua"/>
          <w:sz w:val="24"/>
          <w:szCs w:val="24"/>
        </w:rPr>
        <w:t xml:space="preserve"> test (</w:t>
      </w:r>
      <w:r>
        <w:rPr>
          <w:rStyle w:val="Ohne"/>
          <w:rFonts w:ascii="Book Antiqua" w:hAnsi="Book Antiqua"/>
          <w:i/>
          <w:iCs/>
          <w:sz w:val="24"/>
          <w:szCs w:val="24"/>
        </w:rPr>
        <w:t>P</w:t>
      </w:r>
      <w:r>
        <w:rPr>
          <w:rStyle w:val="Ohne"/>
          <w:rFonts w:ascii="Book Antiqua" w:hAnsi="Book Antiqua"/>
          <w:sz w:val="24"/>
          <w:szCs w:val="24"/>
        </w:rPr>
        <w:t xml:space="preserve"> = 0.500) indicates that the independent variables form a good model to predict SIBO (54 cases observed, 56 cases expected); </w:t>
      </w:r>
      <w:proofErr w:type="spellStart"/>
      <w:r>
        <w:rPr>
          <w:rStyle w:val="Ohne"/>
          <w:rFonts w:ascii="Book Antiqua" w:hAnsi="Book Antiqua"/>
          <w:sz w:val="24"/>
          <w:szCs w:val="24"/>
        </w:rPr>
        <w:t>Nagelkerke’s</w:t>
      </w:r>
      <w:proofErr w:type="spellEnd"/>
      <w:r>
        <w:rPr>
          <w:rStyle w:val="Ohne"/>
          <w:rFonts w:ascii="Book Antiqua" w:hAnsi="Book Antiqua"/>
          <w:sz w:val="24"/>
          <w:szCs w:val="24"/>
        </w:rPr>
        <w:t xml:space="preserve"> R</w:t>
      </w:r>
      <w:r>
        <w:rPr>
          <w:rStyle w:val="Ohne"/>
          <w:rFonts w:ascii="Book Antiqua" w:hAnsi="Book Antiqua"/>
          <w:sz w:val="24"/>
          <w:szCs w:val="24"/>
          <w:vertAlign w:val="superscript"/>
        </w:rPr>
        <w:t>2</w:t>
      </w:r>
      <w:r>
        <w:rPr>
          <w:rStyle w:val="Ohne"/>
          <w:rFonts w:ascii="Book Antiqua" w:hAnsi="Book Antiqua"/>
          <w:sz w:val="24"/>
          <w:szCs w:val="24"/>
        </w:rPr>
        <w:t xml:space="preserve"> was 0.070. Variables with significant influence were any resecting gastric surgery (</w:t>
      </w:r>
      <w:r>
        <w:rPr>
          <w:rStyle w:val="Ohne"/>
          <w:rFonts w:ascii="Book Antiqua" w:hAnsi="Book Antiqua"/>
          <w:i/>
          <w:iCs/>
          <w:sz w:val="24"/>
          <w:szCs w:val="24"/>
        </w:rPr>
        <w:t>P</w:t>
      </w:r>
      <w:r>
        <w:rPr>
          <w:rStyle w:val="Ohne"/>
          <w:rFonts w:ascii="Book Antiqua" w:hAnsi="Book Antiqua"/>
          <w:sz w:val="24"/>
          <w:szCs w:val="24"/>
        </w:rPr>
        <w:t xml:space="preserve"> = 0.037, OR = 2.40), </w:t>
      </w:r>
      <w:proofErr w:type="spellStart"/>
      <w:r>
        <w:rPr>
          <w:rStyle w:val="Ohne"/>
          <w:rFonts w:ascii="Book Antiqua" w:hAnsi="Book Antiqua"/>
          <w:sz w:val="24"/>
          <w:szCs w:val="24"/>
        </w:rPr>
        <w:t>stenoses</w:t>
      </w:r>
      <w:proofErr w:type="spellEnd"/>
      <w:r>
        <w:rPr>
          <w:rStyle w:val="Ohne"/>
          <w:rFonts w:ascii="Book Antiqua" w:hAnsi="Book Antiqua"/>
          <w:sz w:val="24"/>
          <w:szCs w:val="24"/>
        </w:rPr>
        <w:t xml:space="preserve"> (</w:t>
      </w:r>
      <w:r>
        <w:rPr>
          <w:rStyle w:val="Ohne"/>
          <w:rFonts w:ascii="Book Antiqua" w:hAnsi="Book Antiqua"/>
          <w:i/>
          <w:iCs/>
          <w:sz w:val="24"/>
          <w:szCs w:val="24"/>
        </w:rPr>
        <w:t>P</w:t>
      </w:r>
      <w:r>
        <w:rPr>
          <w:rStyle w:val="Ohne"/>
          <w:rFonts w:ascii="Book Antiqua" w:hAnsi="Book Antiqua"/>
          <w:sz w:val="24"/>
          <w:szCs w:val="24"/>
        </w:rPr>
        <w:t xml:space="preserve"> = 0.008, OR = 2.81), any medical immunosuppression (</w:t>
      </w:r>
      <w:r>
        <w:rPr>
          <w:rStyle w:val="Ohne"/>
          <w:rFonts w:ascii="Book Antiqua" w:hAnsi="Book Antiqua"/>
          <w:i/>
          <w:iCs/>
          <w:sz w:val="24"/>
          <w:szCs w:val="24"/>
        </w:rPr>
        <w:t>P</w:t>
      </w:r>
      <w:r>
        <w:rPr>
          <w:rStyle w:val="Ohne"/>
          <w:rFonts w:ascii="Book Antiqua" w:hAnsi="Book Antiqua"/>
          <w:sz w:val="24"/>
          <w:szCs w:val="24"/>
        </w:rPr>
        <w:t xml:space="preserve"> = 0.036, OR = 1.53), levothyroxine therapy (P &lt; 0.001, OR = 2.92) and presence of sigmoid diverticulosis (</w:t>
      </w:r>
      <w:r>
        <w:rPr>
          <w:rStyle w:val="Ohne"/>
          <w:rFonts w:ascii="Book Antiqua" w:hAnsi="Book Antiqua"/>
          <w:i/>
          <w:iCs/>
          <w:sz w:val="24"/>
          <w:szCs w:val="24"/>
        </w:rPr>
        <w:t>P</w:t>
      </w:r>
      <w:r>
        <w:rPr>
          <w:rStyle w:val="Ohne"/>
          <w:rFonts w:ascii="Book Antiqua" w:hAnsi="Book Antiqua"/>
          <w:sz w:val="24"/>
          <w:szCs w:val="24"/>
        </w:rPr>
        <w:t xml:space="preserve"> = 0.028, OR = 2.30).</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Book Antiqua" w:eastAsia="Book Antiqua" w:hAnsi="Book Antiqua" w:cs="Book Antiqua"/>
          <w:sz w:val="24"/>
          <w:szCs w:val="24"/>
        </w:rPr>
      </w:pPr>
      <w:r>
        <w:rPr>
          <w:rStyle w:val="Ohne"/>
          <w:rFonts w:ascii="Book Antiqua" w:hAnsi="Book Antiqua"/>
          <w:sz w:val="24"/>
          <w:szCs w:val="24"/>
        </w:rPr>
        <w:t xml:space="preserve">Of the variables “impairment of acid barrier” (PPI therapy and gastrectomy), “impairment of intestinal clearance” (history of any resecting gastric surgery, presence of </w:t>
      </w:r>
      <w:proofErr w:type="spellStart"/>
      <w:r>
        <w:rPr>
          <w:rStyle w:val="Ohne"/>
          <w:rFonts w:ascii="Book Antiqua" w:hAnsi="Book Antiqua"/>
          <w:sz w:val="24"/>
          <w:szCs w:val="24"/>
        </w:rPr>
        <w:t>stenoses</w:t>
      </w:r>
      <w:proofErr w:type="spellEnd"/>
      <w:r>
        <w:rPr>
          <w:rStyle w:val="Ohne"/>
          <w:rFonts w:ascii="Book Antiqua" w:hAnsi="Book Antiqua"/>
          <w:sz w:val="24"/>
          <w:szCs w:val="24"/>
        </w:rPr>
        <w:t xml:space="preserve">, </w:t>
      </w:r>
      <w:proofErr w:type="spellStart"/>
      <w:r>
        <w:rPr>
          <w:rStyle w:val="Ohne"/>
          <w:rFonts w:ascii="Book Antiqua" w:hAnsi="Book Antiqua"/>
          <w:sz w:val="24"/>
          <w:szCs w:val="24"/>
        </w:rPr>
        <w:t>gastroparesis</w:t>
      </w:r>
      <w:proofErr w:type="spellEnd"/>
      <w:r>
        <w:rPr>
          <w:rStyle w:val="Ohne"/>
          <w:rFonts w:ascii="Book Antiqua" w:hAnsi="Book Antiqua"/>
          <w:sz w:val="24"/>
          <w:szCs w:val="24"/>
        </w:rPr>
        <w:t xml:space="preserve">), “impairment of immune response” (any medical suppression) or hypothyroidism (levothyroxine supplementation), the latter three were significantly associated with SIBO with odds ratios of 2.2, 1.6 and 3.0, respectively, in a simplified model in which every factor that was significant in the particular logistic regression was </w:t>
      </w:r>
      <w:proofErr w:type="spellStart"/>
      <w:r>
        <w:rPr>
          <w:rStyle w:val="Ohne"/>
          <w:rFonts w:ascii="Book Antiqua" w:hAnsi="Book Antiqua"/>
          <w:sz w:val="24"/>
          <w:szCs w:val="24"/>
        </w:rPr>
        <w:t>summarised</w:t>
      </w:r>
      <w:proofErr w:type="spellEnd"/>
      <w:r>
        <w:rPr>
          <w:rStyle w:val="Ohne"/>
          <w:rFonts w:ascii="Book Antiqua" w:hAnsi="Book Antiqua"/>
          <w:sz w:val="24"/>
          <w:szCs w:val="24"/>
        </w:rPr>
        <w:t xml:space="preserve"> (Table 7).</w:t>
      </w:r>
    </w:p>
    <w:p w:rsidR="00343223" w:rsidRDefault="003432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t>DISCUSSION</w:t>
      </w:r>
    </w:p>
    <w:p w:rsidR="00343223" w:rsidRDefault="00C30E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The pathogenesis of SIBO and underlying predisposing conditions are insufficiently understood. Several risk factors have been proposed, but most studies refer to one or very few variables in selected populations. Furthermore, no study investigated and ranked the underlying main </w:t>
      </w:r>
      <w:proofErr w:type="spellStart"/>
      <w:r>
        <w:rPr>
          <w:rStyle w:val="Ohne"/>
          <w:rFonts w:ascii="Book Antiqua" w:hAnsi="Book Antiqua"/>
          <w:sz w:val="24"/>
          <w:szCs w:val="24"/>
        </w:rPr>
        <w:t>pathomechanistic</w:t>
      </w:r>
      <w:proofErr w:type="spellEnd"/>
      <w:r>
        <w:rPr>
          <w:rStyle w:val="Ohne"/>
          <w:rFonts w:ascii="Book Antiqua" w:hAnsi="Book Antiqua"/>
          <w:sz w:val="24"/>
          <w:szCs w:val="24"/>
        </w:rPr>
        <w:t xml:space="preserve"> pathways. In this retrospective study, we sought to identify, </w:t>
      </w:r>
      <w:proofErr w:type="spellStart"/>
      <w:r>
        <w:rPr>
          <w:rStyle w:val="Ohne"/>
          <w:rFonts w:ascii="Book Antiqua" w:hAnsi="Book Antiqua"/>
          <w:sz w:val="24"/>
          <w:szCs w:val="24"/>
        </w:rPr>
        <w:t>categorise</w:t>
      </w:r>
      <w:proofErr w:type="spellEnd"/>
      <w:r>
        <w:rPr>
          <w:rStyle w:val="Ohne"/>
          <w:rFonts w:ascii="Book Antiqua" w:hAnsi="Book Antiqua"/>
          <w:sz w:val="24"/>
          <w:szCs w:val="24"/>
        </w:rPr>
        <w:t xml:space="preserve"> and, finally, rank the influence of potential contributors to SIBO in a large and widely unselected population. Three main </w:t>
      </w:r>
      <w:proofErr w:type="spellStart"/>
      <w:r>
        <w:rPr>
          <w:rStyle w:val="Ohne"/>
          <w:rFonts w:ascii="Book Antiqua" w:hAnsi="Book Antiqua"/>
          <w:sz w:val="24"/>
          <w:szCs w:val="24"/>
        </w:rPr>
        <w:t>pathogenetic</w:t>
      </w:r>
      <w:proofErr w:type="spellEnd"/>
      <w:r>
        <w:rPr>
          <w:rStyle w:val="Ohne"/>
          <w:rFonts w:ascii="Book Antiqua" w:hAnsi="Book Antiqua"/>
          <w:sz w:val="24"/>
          <w:szCs w:val="24"/>
        </w:rPr>
        <w:t xml:space="preserve"> pathways have been </w:t>
      </w:r>
      <w:proofErr w:type="spellStart"/>
      <w:r>
        <w:rPr>
          <w:rStyle w:val="Ohne"/>
          <w:rFonts w:ascii="Book Antiqua" w:hAnsi="Book Antiqua"/>
          <w:sz w:val="24"/>
          <w:szCs w:val="24"/>
        </w:rPr>
        <w:t>hypothesised</w:t>
      </w:r>
      <w:proofErr w:type="spellEnd"/>
      <w:r>
        <w:rPr>
          <w:rStyle w:val="Ohne"/>
          <w:rFonts w:ascii="Book Antiqua" w:hAnsi="Book Antiqua"/>
          <w:sz w:val="24"/>
          <w:szCs w:val="24"/>
        </w:rPr>
        <w:t xml:space="preserve">: hypo- or </w:t>
      </w:r>
      <w:proofErr w:type="spellStart"/>
      <w:r>
        <w:rPr>
          <w:rStyle w:val="Ohne"/>
          <w:rFonts w:ascii="Book Antiqua" w:hAnsi="Book Antiqua"/>
          <w:sz w:val="24"/>
          <w:szCs w:val="24"/>
        </w:rPr>
        <w:t>achlorhydria</w:t>
      </w:r>
      <w:proofErr w:type="spellEnd"/>
      <w:r>
        <w:rPr>
          <w:rStyle w:val="Ohne"/>
          <w:rFonts w:ascii="Book Antiqua" w:hAnsi="Book Antiqua"/>
          <w:sz w:val="24"/>
          <w:szCs w:val="24"/>
        </w:rPr>
        <w:t xml:space="preserve">, impaired intestinal clearance and immunosuppression. Further factors of unknown action, such as hypothyroidism, inflammatory bowel disease or sigmoid diverticulosis, were also considered. </w:t>
      </w:r>
    </w:p>
    <w:p w:rsidR="00343223" w:rsidRDefault="003432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i/>
          <w:iCs/>
          <w:sz w:val="24"/>
          <w:szCs w:val="24"/>
        </w:rPr>
      </w:pPr>
    </w:p>
    <w:p w:rsidR="00343223" w:rsidRDefault="00C30E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Hypo- /</w:t>
      </w:r>
      <w:proofErr w:type="spellStart"/>
      <w:r>
        <w:rPr>
          <w:rStyle w:val="Ohne"/>
          <w:rFonts w:ascii="Book Antiqua" w:hAnsi="Book Antiqua"/>
          <w:b/>
          <w:bCs/>
          <w:i/>
          <w:iCs/>
          <w:sz w:val="24"/>
          <w:szCs w:val="24"/>
        </w:rPr>
        <w:t>Achlorhydria</w:t>
      </w:r>
      <w:proofErr w:type="spellEnd"/>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Both PPI therapy and, even more predominantly, gastrectomy were significantly associated with SIBO (Table 2). These findings coincide with results in the literature, although glucose hydrogen breath tests usually failed to find an association between SIBO and PPI </w:t>
      </w:r>
      <w:proofErr w:type="gramStart"/>
      <w:r>
        <w:rPr>
          <w:rStyle w:val="Ohne"/>
          <w:rFonts w:ascii="Book Antiqua" w:hAnsi="Book Antiqua"/>
          <w:sz w:val="24"/>
          <w:szCs w:val="24"/>
        </w:rPr>
        <w:t>therapy</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5-7</w:t>
      </w:r>
      <w:r>
        <w:rPr>
          <w:rStyle w:val="Ohne"/>
          <w:rFonts w:ascii="Book Antiqua" w:hAnsi="Book Antiqua"/>
          <w:sz w:val="24"/>
          <w:szCs w:val="24"/>
          <w:vertAlign w:val="superscript"/>
          <w:lang w:val="de-DE"/>
        </w:rPr>
        <w:t>]</w:t>
      </w:r>
      <w:r>
        <w:rPr>
          <w:rStyle w:val="Ohne"/>
          <w:rFonts w:ascii="Book Antiqua" w:hAnsi="Book Antiqua"/>
          <w:sz w:val="24"/>
          <w:szCs w:val="24"/>
        </w:rPr>
        <w:t xml:space="preserve">. Consequently, gastrectomy was a stronger predictor of SIBO in binary regression analysis than PPI therapy (OR 3.6 </w:t>
      </w:r>
      <w:r>
        <w:rPr>
          <w:rStyle w:val="Ohne"/>
          <w:rFonts w:ascii="Book Antiqua" w:hAnsi="Book Antiqua"/>
          <w:i/>
          <w:iCs/>
          <w:sz w:val="24"/>
          <w:szCs w:val="24"/>
        </w:rPr>
        <w:t>vs</w:t>
      </w:r>
      <w:r>
        <w:rPr>
          <w:rStyle w:val="Ohne"/>
          <w:rFonts w:ascii="Book Antiqua" w:hAnsi="Book Antiqua"/>
          <w:sz w:val="24"/>
          <w:szCs w:val="24"/>
        </w:rPr>
        <w:t xml:space="preserve"> 1.5). Moreover, the altered anatomical situation with the establishment of blind loops might play a role in the development of SIBO after gastrectomy, although our data does not confirm blind loops as a pathophysiological factor (Table 3). However, both variables are of minor relevance and lost their significance in multivariate models.</w:t>
      </w:r>
    </w:p>
    <w:p w:rsidR="00343223" w:rsidRDefault="003432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i/>
          <w:iCs/>
          <w:sz w:val="24"/>
          <w:szCs w:val="24"/>
        </w:rPr>
      </w:pPr>
    </w:p>
    <w:p w:rsidR="00343223" w:rsidRDefault="00C30E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 xml:space="preserve">Impaired intestinal clearance </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Anatomic modifications which might lead to impairment of intestinal clearance derive mostly from surgery, but, similar to a smaller retrospective study by </w:t>
      </w:r>
      <w:proofErr w:type="spellStart"/>
      <w:r>
        <w:rPr>
          <w:rStyle w:val="Ohne"/>
          <w:rFonts w:ascii="Book Antiqua" w:hAnsi="Book Antiqua"/>
          <w:sz w:val="24"/>
          <w:szCs w:val="24"/>
        </w:rPr>
        <w:t>Petrone</w:t>
      </w:r>
      <w:proofErr w:type="spellEnd"/>
      <w:r>
        <w:rPr>
          <w:rStyle w:val="Ohne"/>
          <w:rFonts w:ascii="Book Antiqua" w:hAnsi="Book Antiqua"/>
          <w:sz w:val="24"/>
          <w:szCs w:val="24"/>
        </w:rPr>
        <w:t xml:space="preserve"> </w:t>
      </w:r>
      <w:r>
        <w:rPr>
          <w:rStyle w:val="Ohne"/>
          <w:rFonts w:ascii="Book Antiqua" w:hAnsi="Book Antiqua"/>
          <w:i/>
          <w:iCs/>
          <w:sz w:val="24"/>
          <w:szCs w:val="24"/>
        </w:rPr>
        <w:t>et al</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8</w:t>
      </w:r>
      <w:r>
        <w:rPr>
          <w:rStyle w:val="Ohne"/>
          <w:rFonts w:ascii="Book Antiqua" w:hAnsi="Book Antiqua"/>
          <w:sz w:val="24"/>
          <w:szCs w:val="24"/>
          <w:vertAlign w:val="superscript"/>
          <w:lang w:val="de-DE"/>
        </w:rPr>
        <w:t>]</w:t>
      </w:r>
      <w:r>
        <w:rPr>
          <w:rStyle w:val="Ohne"/>
          <w:rFonts w:ascii="Book Antiqua" w:hAnsi="Book Antiqua"/>
          <w:sz w:val="24"/>
          <w:szCs w:val="24"/>
        </w:rPr>
        <w:t xml:space="preserve">, overall abdominal surgery was not associated with an increased risk of SIBO, neither were sigmoid nor ileocecal resection nor obstetric surgery (Table 3). Our data, therefore, does not confirm the previously assumed protective function of the ileocecal </w:t>
      </w:r>
      <w:proofErr w:type="gramStart"/>
      <w:r>
        <w:rPr>
          <w:rStyle w:val="Ohne"/>
          <w:rFonts w:ascii="Book Antiqua" w:hAnsi="Book Antiqua"/>
          <w:sz w:val="24"/>
          <w:szCs w:val="24"/>
        </w:rPr>
        <w:t>valve</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10</w:t>
      </w:r>
      <w:r>
        <w:rPr>
          <w:rStyle w:val="Ohne"/>
          <w:rFonts w:ascii="Book Antiqua" w:hAnsi="Book Antiqua"/>
          <w:sz w:val="24"/>
          <w:szCs w:val="24"/>
          <w:vertAlign w:val="superscript"/>
          <w:lang w:val="de-DE"/>
        </w:rPr>
        <w:t>]</w:t>
      </w:r>
      <w:r>
        <w:rPr>
          <w:rStyle w:val="Ohne"/>
          <w:rFonts w:ascii="Book Antiqua" w:hAnsi="Book Antiqua"/>
          <w:sz w:val="24"/>
          <w:szCs w:val="24"/>
        </w:rPr>
        <w:t xml:space="preserve">. By contrast, total gastrectomy, any resecting gastric </w:t>
      </w:r>
      <w:r>
        <w:rPr>
          <w:rStyle w:val="Ohne"/>
          <w:rFonts w:ascii="Book Antiqua" w:hAnsi="Book Antiqua"/>
          <w:sz w:val="24"/>
          <w:szCs w:val="24"/>
          <w:lang w:val="de-DE"/>
        </w:rPr>
        <w:t xml:space="preserve">surgery </w:t>
      </w:r>
      <w:r>
        <w:rPr>
          <w:rStyle w:val="Ohne"/>
          <w:rFonts w:ascii="Book Antiqua" w:hAnsi="Book Antiqua"/>
          <w:sz w:val="24"/>
          <w:szCs w:val="24"/>
        </w:rPr>
        <w:t xml:space="preserve">and </w:t>
      </w:r>
      <w:proofErr w:type="spellStart"/>
      <w:r>
        <w:rPr>
          <w:rStyle w:val="Ohne"/>
          <w:rFonts w:ascii="Book Antiqua" w:hAnsi="Book Antiqua"/>
          <w:sz w:val="24"/>
          <w:szCs w:val="24"/>
        </w:rPr>
        <w:t>stenoses</w:t>
      </w:r>
      <w:proofErr w:type="spellEnd"/>
      <w:r>
        <w:rPr>
          <w:rStyle w:val="Ohne"/>
          <w:rFonts w:ascii="Book Antiqua" w:hAnsi="Book Antiqua"/>
          <w:sz w:val="24"/>
          <w:szCs w:val="24"/>
        </w:rPr>
        <w:t xml:space="preserve"> which lead to stasis of the </w:t>
      </w:r>
      <w:proofErr w:type="spellStart"/>
      <w:r>
        <w:rPr>
          <w:rStyle w:val="Ohne"/>
          <w:rFonts w:ascii="Book Antiqua" w:hAnsi="Book Antiqua"/>
          <w:sz w:val="24"/>
          <w:szCs w:val="24"/>
        </w:rPr>
        <w:t>chymus</w:t>
      </w:r>
      <w:proofErr w:type="spellEnd"/>
      <w:r>
        <w:rPr>
          <w:rStyle w:val="Ohne"/>
          <w:rFonts w:ascii="Book Antiqua" w:hAnsi="Book Antiqua"/>
          <w:sz w:val="24"/>
          <w:szCs w:val="24"/>
        </w:rPr>
        <w:t xml:space="preserve"> contributed to the development of SIBO with odds ratios between 1.9 and 3.6. Since blind loops of any reason were astonishingly not associated to SIBO, the combination of intestinal diversion and loss of acid barrier is of greater relevance.</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Book Antiqua" w:eastAsia="Book Antiqua" w:hAnsi="Book Antiqua" w:cs="Book Antiqua"/>
          <w:sz w:val="24"/>
          <w:szCs w:val="24"/>
        </w:rPr>
      </w:pPr>
      <w:r>
        <w:rPr>
          <w:rStyle w:val="Ohne"/>
          <w:rFonts w:ascii="Book Antiqua" w:hAnsi="Book Antiqua"/>
          <w:sz w:val="24"/>
          <w:szCs w:val="24"/>
        </w:rPr>
        <w:t xml:space="preserve">Since small intestinal motility is difficult to quantify as a promoter of clearance, this effect might be estimated by measuring gastroparesis as a surrogate parameter. This association has already been described in other </w:t>
      </w:r>
      <w:proofErr w:type="gramStart"/>
      <w:r>
        <w:rPr>
          <w:rStyle w:val="Ohne"/>
          <w:rFonts w:ascii="Book Antiqua" w:hAnsi="Book Antiqua"/>
          <w:sz w:val="24"/>
          <w:szCs w:val="24"/>
        </w:rPr>
        <w:t>studies</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14,15</w:t>
      </w:r>
      <w:r>
        <w:rPr>
          <w:rStyle w:val="Ohne"/>
          <w:rFonts w:ascii="Book Antiqua" w:hAnsi="Book Antiqua"/>
          <w:sz w:val="24"/>
          <w:szCs w:val="24"/>
          <w:vertAlign w:val="superscript"/>
          <w:lang w:val="de-DE"/>
        </w:rPr>
        <w:t>]</w:t>
      </w:r>
      <w:r>
        <w:rPr>
          <w:rStyle w:val="Ohne"/>
          <w:rFonts w:ascii="Book Antiqua" w:hAnsi="Book Antiqua"/>
          <w:sz w:val="24"/>
          <w:szCs w:val="24"/>
        </w:rPr>
        <w:t>. Our data shows that conditions believed to be associated with intestinal paralysis, such as polyneuropathy, are indeed associated with gastroparesis (</w:t>
      </w:r>
      <w:r>
        <w:rPr>
          <w:rStyle w:val="Ohne"/>
          <w:rFonts w:ascii="Book Antiqua" w:hAnsi="Book Antiqua"/>
          <w:i/>
          <w:iCs/>
          <w:sz w:val="24"/>
          <w:szCs w:val="24"/>
        </w:rPr>
        <w:t xml:space="preserve">P </w:t>
      </w:r>
      <w:r>
        <w:rPr>
          <w:rStyle w:val="Ohne"/>
          <w:rFonts w:ascii="Book Antiqua" w:hAnsi="Book Antiqua"/>
          <w:sz w:val="24"/>
          <w:szCs w:val="24"/>
        </w:rPr>
        <w:t xml:space="preserve">&lt; 0.001, </w:t>
      </w:r>
      <w:r w:rsidR="000B6ECF">
        <w:rPr>
          <w:rStyle w:val="Ohne"/>
          <w:rFonts w:ascii="Arial Unicode MS" w:eastAsia="Arial Unicode MS" w:hAnsi="Arial Unicode MS" w:cs="Arial Unicode MS"/>
          <w:sz w:val="24"/>
          <w:szCs w:val="24"/>
        </w:rPr>
        <w:sym w:font="Symbol" w:char="F063"/>
      </w:r>
      <w:r>
        <w:rPr>
          <w:rStyle w:val="Ohne"/>
          <w:rFonts w:ascii="Book Antiqua" w:hAnsi="Book Antiqua"/>
          <w:sz w:val="24"/>
          <w:szCs w:val="24"/>
          <w:vertAlign w:val="superscript"/>
        </w:rPr>
        <w:t>2</w:t>
      </w:r>
      <w:r>
        <w:rPr>
          <w:rStyle w:val="Ohne"/>
          <w:rFonts w:ascii="Book Antiqua" w:hAnsi="Book Antiqua"/>
          <w:sz w:val="24"/>
          <w:szCs w:val="24"/>
        </w:rPr>
        <w:t xml:space="preserve"> test). Both are linked to SIBO, but multivariate analysis reveals that gastroparesis is the better parameter (Tables 3 and 7), by which it is easier to quantify </w:t>
      </w:r>
      <w:proofErr w:type="spellStart"/>
      <w:r>
        <w:rPr>
          <w:rStyle w:val="Ohne"/>
          <w:rFonts w:ascii="Book Antiqua" w:hAnsi="Book Antiqua"/>
          <w:sz w:val="24"/>
          <w:szCs w:val="24"/>
        </w:rPr>
        <w:t>th</w:t>
      </w:r>
      <w:proofErr w:type="spellEnd"/>
      <w:r>
        <w:rPr>
          <w:rStyle w:val="Ohne"/>
          <w:rFonts w:ascii="Book Antiqua" w:hAnsi="Book Antiqua"/>
          <w:sz w:val="24"/>
          <w:szCs w:val="24"/>
          <w:lang w:val="de-DE"/>
        </w:rPr>
        <w:t>an</w:t>
      </w:r>
      <w:r>
        <w:rPr>
          <w:rStyle w:val="Ohne"/>
          <w:rFonts w:ascii="Book Antiqua" w:hAnsi="Book Antiqua"/>
          <w:sz w:val="24"/>
          <w:szCs w:val="24"/>
        </w:rPr>
        <w:t xml:space="preserve"> intestinal motility itself.</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Book Antiqua" w:eastAsia="Book Antiqua" w:hAnsi="Book Antiqua" w:cs="Book Antiqua"/>
          <w:sz w:val="24"/>
          <w:szCs w:val="24"/>
        </w:rPr>
      </w:pPr>
      <w:r>
        <w:rPr>
          <w:rStyle w:val="Ohne"/>
          <w:rFonts w:ascii="Book Antiqua" w:hAnsi="Book Antiqua"/>
          <w:sz w:val="24"/>
          <w:szCs w:val="24"/>
        </w:rPr>
        <w:lastRenderedPageBreak/>
        <w:t xml:space="preserve">Any resecting gastric surgery, </w:t>
      </w:r>
      <w:proofErr w:type="spellStart"/>
      <w:r>
        <w:rPr>
          <w:rStyle w:val="Ohne"/>
          <w:rFonts w:ascii="Book Antiqua" w:hAnsi="Book Antiqua"/>
          <w:sz w:val="24"/>
          <w:szCs w:val="24"/>
        </w:rPr>
        <w:t>stenoses</w:t>
      </w:r>
      <w:proofErr w:type="spellEnd"/>
      <w:r>
        <w:rPr>
          <w:rStyle w:val="Ohne"/>
          <w:rFonts w:ascii="Book Antiqua" w:hAnsi="Book Antiqua"/>
          <w:sz w:val="24"/>
          <w:szCs w:val="24"/>
        </w:rPr>
        <w:t xml:space="preserve"> and </w:t>
      </w:r>
      <w:proofErr w:type="spellStart"/>
      <w:r>
        <w:rPr>
          <w:rStyle w:val="Ohne"/>
          <w:rFonts w:ascii="Book Antiqua" w:hAnsi="Book Antiqua"/>
          <w:sz w:val="24"/>
          <w:szCs w:val="24"/>
        </w:rPr>
        <w:t>gastroparesis</w:t>
      </w:r>
      <w:proofErr w:type="spellEnd"/>
      <w:r>
        <w:rPr>
          <w:rStyle w:val="Ohne"/>
          <w:rFonts w:ascii="Book Antiqua" w:hAnsi="Book Antiqua"/>
          <w:sz w:val="24"/>
          <w:szCs w:val="24"/>
        </w:rPr>
        <w:t xml:space="preserve"> were associated with SIBO in binary regression analysis, and the particular OR varied between 1.8 and 6.5, with the highest value for overall gastric surgery.</w:t>
      </w:r>
    </w:p>
    <w:p w:rsidR="00343223" w:rsidRDefault="003432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Immunosuppression</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Data about the role of the immune system is scarce, biased and contradictory. Higher bacterial loads of </w:t>
      </w:r>
      <w:proofErr w:type="spellStart"/>
      <w:r>
        <w:rPr>
          <w:rStyle w:val="Ohne"/>
          <w:rFonts w:ascii="Book Antiqua" w:hAnsi="Book Antiqua"/>
          <w:sz w:val="24"/>
          <w:szCs w:val="24"/>
        </w:rPr>
        <w:t>jejunal</w:t>
      </w:r>
      <w:proofErr w:type="spellEnd"/>
      <w:r>
        <w:rPr>
          <w:rStyle w:val="Ohne"/>
          <w:rFonts w:ascii="Book Antiqua" w:hAnsi="Book Antiqua"/>
          <w:sz w:val="24"/>
          <w:szCs w:val="24"/>
        </w:rPr>
        <w:t xml:space="preserve"> aspirates have been shown in ten </w:t>
      </w:r>
      <w:proofErr w:type="spellStart"/>
      <w:r>
        <w:rPr>
          <w:rStyle w:val="Ohne"/>
          <w:rFonts w:ascii="Book Antiqua" w:hAnsi="Book Antiqua"/>
          <w:sz w:val="24"/>
          <w:szCs w:val="24"/>
        </w:rPr>
        <w:t>paediatric</w:t>
      </w:r>
      <w:proofErr w:type="spellEnd"/>
      <w:r>
        <w:rPr>
          <w:rStyle w:val="Ohne"/>
          <w:rFonts w:ascii="Book Antiqua" w:hAnsi="Book Antiqua"/>
          <w:sz w:val="24"/>
          <w:szCs w:val="24"/>
        </w:rPr>
        <w:t xml:space="preserve"> patients with IgA deficiency and seven with other immune </w:t>
      </w:r>
      <w:proofErr w:type="gramStart"/>
      <w:r>
        <w:rPr>
          <w:rStyle w:val="Ohne"/>
          <w:rFonts w:ascii="Book Antiqua" w:hAnsi="Book Antiqua"/>
          <w:sz w:val="24"/>
          <w:szCs w:val="24"/>
        </w:rPr>
        <w:t>syndromes</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17</w:t>
      </w:r>
      <w:r>
        <w:rPr>
          <w:rStyle w:val="Ohne"/>
          <w:rFonts w:ascii="Book Antiqua" w:hAnsi="Book Antiqua"/>
          <w:sz w:val="24"/>
          <w:szCs w:val="24"/>
          <w:vertAlign w:val="superscript"/>
          <w:lang w:val="de-DE"/>
        </w:rPr>
        <w:t>]</w:t>
      </w:r>
      <w:r>
        <w:rPr>
          <w:rStyle w:val="Ohne"/>
          <w:rFonts w:ascii="Book Antiqua" w:hAnsi="Book Antiqua"/>
          <w:sz w:val="24"/>
          <w:szCs w:val="24"/>
        </w:rPr>
        <w:t xml:space="preserve">. Therapy with </w:t>
      </w:r>
      <w:proofErr w:type="spellStart"/>
      <w:r>
        <w:rPr>
          <w:rStyle w:val="Ohne"/>
          <w:rFonts w:ascii="Book Antiqua" w:hAnsi="Book Antiqua"/>
          <w:sz w:val="24"/>
          <w:szCs w:val="24"/>
        </w:rPr>
        <w:t>immunosuppressives</w:t>
      </w:r>
      <w:proofErr w:type="spellEnd"/>
      <w:r>
        <w:rPr>
          <w:rStyle w:val="Ohne"/>
          <w:rFonts w:ascii="Book Antiqua" w:hAnsi="Book Antiqua"/>
          <w:sz w:val="24"/>
          <w:szCs w:val="24"/>
        </w:rPr>
        <w:t xml:space="preserve"> in </w:t>
      </w:r>
      <w:proofErr w:type="spellStart"/>
      <w:r>
        <w:rPr>
          <w:rStyle w:val="Ohne"/>
          <w:rFonts w:ascii="Book Antiqua" w:hAnsi="Book Antiqua"/>
          <w:sz w:val="24"/>
          <w:szCs w:val="24"/>
        </w:rPr>
        <w:t>Crohn’s</w:t>
      </w:r>
      <w:proofErr w:type="spellEnd"/>
      <w:r>
        <w:rPr>
          <w:rStyle w:val="Ohne"/>
          <w:rFonts w:ascii="Book Antiqua" w:hAnsi="Book Antiqua"/>
          <w:sz w:val="24"/>
          <w:szCs w:val="24"/>
        </w:rPr>
        <w:t xml:space="preserve"> disease did not increase the occurrence of </w:t>
      </w:r>
      <w:proofErr w:type="gramStart"/>
      <w:r>
        <w:rPr>
          <w:rStyle w:val="Ohne"/>
          <w:rFonts w:ascii="Book Antiqua" w:hAnsi="Book Antiqua"/>
          <w:sz w:val="24"/>
          <w:szCs w:val="24"/>
        </w:rPr>
        <w:t>SIBO</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18,19</w:t>
      </w:r>
      <w:r>
        <w:rPr>
          <w:rStyle w:val="Ohne"/>
          <w:rFonts w:ascii="Book Antiqua" w:hAnsi="Book Antiqua"/>
          <w:sz w:val="24"/>
          <w:szCs w:val="24"/>
          <w:vertAlign w:val="superscript"/>
          <w:lang w:val="de-DE"/>
        </w:rPr>
        <w:t>]</w:t>
      </w:r>
      <w:r>
        <w:rPr>
          <w:rStyle w:val="Ohne"/>
          <w:rFonts w:ascii="Book Antiqua" w:hAnsi="Book Antiqua"/>
          <w:sz w:val="24"/>
          <w:szCs w:val="24"/>
        </w:rPr>
        <w:t xml:space="preserve">, while steroids did so in a more unselected cohort by lowered levels of IgA, as </w:t>
      </w:r>
      <w:proofErr w:type="spellStart"/>
      <w:r>
        <w:rPr>
          <w:rStyle w:val="Ohne"/>
          <w:rFonts w:ascii="Book Antiqua" w:hAnsi="Book Antiqua"/>
          <w:sz w:val="24"/>
          <w:szCs w:val="24"/>
        </w:rPr>
        <w:t>hypothesised</w:t>
      </w:r>
      <w:proofErr w:type="spellEnd"/>
      <w:r>
        <w:rPr>
          <w:rStyle w:val="Ohne"/>
          <w:rFonts w:ascii="Book Antiqua" w:hAnsi="Book Antiqua"/>
          <w:sz w:val="24"/>
          <w:szCs w:val="24"/>
        </w:rPr>
        <w:t xml:space="preserve"> by the authors</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20</w:t>
      </w:r>
      <w:r>
        <w:rPr>
          <w:rStyle w:val="Ohne"/>
          <w:rFonts w:ascii="Book Antiqua" w:hAnsi="Book Antiqua"/>
          <w:sz w:val="24"/>
          <w:szCs w:val="24"/>
          <w:vertAlign w:val="superscript"/>
          <w:lang w:val="de-DE"/>
        </w:rPr>
        <w:t>]</w:t>
      </w:r>
      <w:r>
        <w:rPr>
          <w:rStyle w:val="Ohne"/>
          <w:rFonts w:ascii="Book Antiqua" w:hAnsi="Book Antiqua"/>
          <w:sz w:val="24"/>
          <w:szCs w:val="24"/>
        </w:rPr>
        <w:t xml:space="preserve">. Since neither IgA nor IgG deficiency were associated to SIBO in our analysis, we conclude that IgA deficiency does not – either directly or indirectly triggered by steroids – contribute to SIBO in adult patients. On the other hand, therapy with classical </w:t>
      </w:r>
      <w:proofErr w:type="spellStart"/>
      <w:r>
        <w:rPr>
          <w:rStyle w:val="Ohne"/>
          <w:rFonts w:ascii="Book Antiqua" w:hAnsi="Book Antiqua"/>
          <w:sz w:val="24"/>
          <w:szCs w:val="24"/>
        </w:rPr>
        <w:t>immunosuppressants</w:t>
      </w:r>
      <w:proofErr w:type="spellEnd"/>
      <w:r>
        <w:rPr>
          <w:rStyle w:val="Ohne"/>
          <w:rFonts w:ascii="Book Antiqua" w:hAnsi="Book Antiqua"/>
          <w:sz w:val="24"/>
          <w:szCs w:val="24"/>
        </w:rPr>
        <w:t xml:space="preserve">, such as azathioprine or methotrexate, with steroids alone or in combination with </w:t>
      </w:r>
      <w:proofErr w:type="spellStart"/>
      <w:r>
        <w:rPr>
          <w:rStyle w:val="Ohne"/>
          <w:rFonts w:ascii="Book Antiqua" w:hAnsi="Book Antiqua"/>
          <w:sz w:val="24"/>
          <w:szCs w:val="24"/>
        </w:rPr>
        <w:t>immunosuppressants</w:t>
      </w:r>
      <w:proofErr w:type="spellEnd"/>
      <w:r>
        <w:rPr>
          <w:rStyle w:val="Ohne"/>
          <w:rFonts w:ascii="Book Antiqua" w:hAnsi="Book Antiqua"/>
          <w:sz w:val="24"/>
          <w:szCs w:val="24"/>
        </w:rPr>
        <w:t xml:space="preserve"> leads to a higher risk of SIBO (Table 4), while other anti-inflammatory drugs, such as 5-aminosalicylates, that usually serve as reference did not change the risk, suggesting that immunosuppression is the underlying mechanism. The association was quite loose, with odds ratios between 1.6 and 2.5, but was still found to be a minor contributor to SIBO in the multivariate analysis therapy with any immunosuppressant drug, i.e. azathioprine, methotrexate or steroids.</w:t>
      </w:r>
    </w:p>
    <w:p w:rsidR="00343223" w:rsidRDefault="003432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Thyroid gland metabolism</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Hypothyroidism and levothyroxine therapy are the most strongly associated to SIBO in our cohort. A case control study by </w:t>
      </w:r>
      <w:proofErr w:type="spellStart"/>
      <w:r>
        <w:rPr>
          <w:rStyle w:val="Ohne"/>
          <w:rFonts w:ascii="Book Antiqua" w:hAnsi="Book Antiqua"/>
          <w:sz w:val="24"/>
          <w:szCs w:val="24"/>
        </w:rPr>
        <w:t>Lauritano</w:t>
      </w:r>
      <w:proofErr w:type="spellEnd"/>
      <w:r>
        <w:rPr>
          <w:rStyle w:val="Ohne"/>
          <w:rFonts w:ascii="Book Antiqua" w:hAnsi="Book Antiqua"/>
          <w:sz w:val="24"/>
          <w:szCs w:val="24"/>
        </w:rPr>
        <w:t xml:space="preserve"> </w:t>
      </w:r>
      <w:r>
        <w:rPr>
          <w:rStyle w:val="Ohne"/>
          <w:rFonts w:ascii="Book Antiqua" w:hAnsi="Book Antiqua"/>
          <w:i/>
          <w:iCs/>
          <w:sz w:val="24"/>
          <w:szCs w:val="24"/>
        </w:rPr>
        <w:t xml:space="preserve">et </w:t>
      </w:r>
      <w:proofErr w:type="gramStart"/>
      <w:r>
        <w:rPr>
          <w:rStyle w:val="Ohne"/>
          <w:rFonts w:ascii="Book Antiqua" w:hAnsi="Book Antiqua"/>
          <w:i/>
          <w:iCs/>
          <w:sz w:val="24"/>
          <w:szCs w:val="24"/>
        </w:rPr>
        <w:t>al</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27</w:t>
      </w:r>
      <w:r>
        <w:rPr>
          <w:rStyle w:val="Ohne"/>
          <w:rFonts w:ascii="Book Antiqua" w:hAnsi="Book Antiqua"/>
          <w:sz w:val="24"/>
          <w:szCs w:val="24"/>
          <w:vertAlign w:val="superscript"/>
          <w:lang w:val="de-DE"/>
        </w:rPr>
        <w:t>]</w:t>
      </w:r>
      <w:r>
        <w:rPr>
          <w:rStyle w:val="Ohne"/>
          <w:rFonts w:ascii="Book Antiqua" w:hAnsi="Book Antiqua"/>
          <w:sz w:val="24"/>
          <w:szCs w:val="24"/>
        </w:rPr>
        <w:t xml:space="preserve"> has already revealed a high prevalence of SIBO in patients with autoimmune thyroiditis and hypothyroidism, but the influence of the autoimmune process was a questionable biasing factor. Multivariate analysis confirmed that levothyroxine therapy is a stronger predictor of SIBO than hypothyroidism. The underlying mechanism is unclear. One might speculate that hypothyroidism leads to </w:t>
      </w:r>
      <w:proofErr w:type="spellStart"/>
      <w:r>
        <w:rPr>
          <w:rStyle w:val="Ohne"/>
          <w:rFonts w:ascii="Book Antiqua" w:hAnsi="Book Antiqua"/>
          <w:sz w:val="24"/>
          <w:szCs w:val="24"/>
        </w:rPr>
        <w:t>hypomotility</w:t>
      </w:r>
      <w:proofErr w:type="spellEnd"/>
      <w:r>
        <w:rPr>
          <w:rStyle w:val="Ohne"/>
          <w:rFonts w:ascii="Book Antiqua" w:hAnsi="Book Antiqua"/>
          <w:sz w:val="24"/>
          <w:szCs w:val="24"/>
        </w:rPr>
        <w:t xml:space="preserve">, but, surprisingly, levothyroxine therapy was even more associated to SIBO and not able to reverse the effect of hypothyroidism. </w:t>
      </w:r>
    </w:p>
    <w:p w:rsidR="00343223" w:rsidRDefault="003432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Stand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Miscellaneous variables</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Although SIBO was more frequent in patients with cholecystectomy in one </w:t>
      </w:r>
      <w:proofErr w:type="gramStart"/>
      <w:r>
        <w:rPr>
          <w:rStyle w:val="Ohne"/>
          <w:rFonts w:ascii="Book Antiqua" w:hAnsi="Book Antiqua"/>
          <w:sz w:val="24"/>
          <w:szCs w:val="24"/>
        </w:rPr>
        <w:t>study</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29</w:t>
      </w:r>
      <w:r>
        <w:rPr>
          <w:rStyle w:val="Ohne"/>
          <w:rFonts w:ascii="Book Antiqua" w:hAnsi="Book Antiqua"/>
          <w:sz w:val="24"/>
          <w:szCs w:val="24"/>
          <w:vertAlign w:val="superscript"/>
          <w:lang w:val="de-DE"/>
        </w:rPr>
        <w:t>]</w:t>
      </w:r>
      <w:r>
        <w:rPr>
          <w:rStyle w:val="Ohne"/>
          <w:rFonts w:ascii="Book Antiqua" w:hAnsi="Book Antiqua"/>
          <w:sz w:val="24"/>
          <w:szCs w:val="24"/>
        </w:rPr>
        <w:t xml:space="preserve">, our data propose that cholecystectomy is a protective factor. This finding is supported by another retrospective </w:t>
      </w:r>
      <w:proofErr w:type="gramStart"/>
      <w:r>
        <w:rPr>
          <w:rStyle w:val="Ohne"/>
          <w:rFonts w:ascii="Book Antiqua" w:hAnsi="Book Antiqua"/>
          <w:sz w:val="24"/>
          <w:szCs w:val="24"/>
        </w:rPr>
        <w:t>study</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21</w:t>
      </w:r>
      <w:r>
        <w:rPr>
          <w:rStyle w:val="Ohne"/>
          <w:rFonts w:ascii="Book Antiqua" w:hAnsi="Book Antiqua"/>
          <w:sz w:val="24"/>
          <w:szCs w:val="24"/>
          <w:vertAlign w:val="superscript"/>
          <w:lang w:val="de-DE"/>
        </w:rPr>
        <w:t>]</w:t>
      </w:r>
      <w:r>
        <w:rPr>
          <w:rStyle w:val="Ohne"/>
          <w:rFonts w:ascii="Book Antiqua" w:hAnsi="Book Antiqua"/>
          <w:sz w:val="24"/>
          <w:szCs w:val="24"/>
        </w:rPr>
        <w:t xml:space="preserve">. We assume that the prolonged contact time and the </w:t>
      </w:r>
      <w:proofErr w:type="spellStart"/>
      <w:r>
        <w:rPr>
          <w:rStyle w:val="Ohne"/>
          <w:rFonts w:ascii="Book Antiqua" w:hAnsi="Book Antiqua"/>
          <w:sz w:val="24"/>
          <w:szCs w:val="24"/>
        </w:rPr>
        <w:t>optimised</w:t>
      </w:r>
      <w:proofErr w:type="spellEnd"/>
      <w:r>
        <w:rPr>
          <w:rStyle w:val="Ohne"/>
          <w:rFonts w:ascii="Book Antiqua" w:hAnsi="Book Antiqua"/>
          <w:sz w:val="24"/>
          <w:szCs w:val="24"/>
        </w:rPr>
        <w:t xml:space="preserve"> environment due to constant excretion of the bile allow its antimicrobial effects to better develop as a potential underlying mechanism.</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Book Antiqua" w:eastAsia="Book Antiqua" w:hAnsi="Book Antiqua" w:cs="Book Antiqua"/>
          <w:sz w:val="24"/>
          <w:szCs w:val="24"/>
        </w:rPr>
      </w:pPr>
      <w:r>
        <w:rPr>
          <w:rStyle w:val="Ohne"/>
          <w:rFonts w:ascii="Book Antiqua" w:hAnsi="Book Antiqua"/>
          <w:sz w:val="24"/>
          <w:szCs w:val="24"/>
        </w:rPr>
        <w:t>Though reported as a slight risk factor for the development</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20</w:t>
      </w:r>
      <w:r>
        <w:rPr>
          <w:rStyle w:val="Ohne"/>
          <w:rFonts w:ascii="Book Antiqua" w:hAnsi="Book Antiqua"/>
          <w:sz w:val="24"/>
          <w:szCs w:val="24"/>
          <w:vertAlign w:val="superscript"/>
          <w:lang w:val="de-DE"/>
        </w:rPr>
        <w:t>]</w:t>
      </w:r>
      <w:r>
        <w:rPr>
          <w:rStyle w:val="Ohne"/>
          <w:rFonts w:ascii="Book Antiqua" w:hAnsi="Book Antiqua"/>
          <w:sz w:val="24"/>
          <w:szCs w:val="24"/>
        </w:rPr>
        <w:t xml:space="preserve"> and recurrence </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2</w:t>
      </w:r>
      <w:r>
        <w:rPr>
          <w:rStyle w:val="Ohne"/>
          <w:rFonts w:ascii="Book Antiqua" w:hAnsi="Book Antiqua"/>
          <w:sz w:val="24"/>
          <w:szCs w:val="24"/>
          <w:vertAlign w:val="superscript"/>
          <w:lang w:val="de-DE"/>
        </w:rPr>
        <w:t>]</w:t>
      </w:r>
      <w:r>
        <w:rPr>
          <w:rStyle w:val="Ohne"/>
          <w:rFonts w:ascii="Book Antiqua" w:hAnsi="Book Antiqua"/>
          <w:sz w:val="24"/>
          <w:szCs w:val="24"/>
        </w:rPr>
        <w:t xml:space="preserve"> of SIBO, in our cohort, appendectomy was prevalent more often in non-SIBO patients (8.2% </w:t>
      </w:r>
      <w:r>
        <w:rPr>
          <w:rStyle w:val="Ohne"/>
          <w:rFonts w:ascii="Book Antiqua" w:hAnsi="Book Antiqua"/>
          <w:i/>
          <w:iCs/>
          <w:sz w:val="24"/>
          <w:szCs w:val="24"/>
        </w:rPr>
        <w:t>vs</w:t>
      </w:r>
      <w:r>
        <w:rPr>
          <w:rStyle w:val="Ohne"/>
          <w:rFonts w:ascii="Book Antiqua" w:hAnsi="Book Antiqua"/>
          <w:sz w:val="24"/>
          <w:szCs w:val="24"/>
        </w:rPr>
        <w:t xml:space="preserve"> 4.6%, </w:t>
      </w:r>
      <w:r>
        <w:rPr>
          <w:rStyle w:val="Ohne"/>
          <w:rFonts w:ascii="Book Antiqua" w:hAnsi="Book Antiqua"/>
          <w:i/>
          <w:iCs/>
          <w:sz w:val="24"/>
          <w:szCs w:val="24"/>
        </w:rPr>
        <w:t>P</w:t>
      </w:r>
      <w:r>
        <w:rPr>
          <w:rStyle w:val="Ohne"/>
          <w:rFonts w:ascii="Book Antiqua" w:hAnsi="Book Antiqua"/>
          <w:sz w:val="24"/>
          <w:szCs w:val="24"/>
        </w:rPr>
        <w:t xml:space="preserve"> = 0.027, </w:t>
      </w:r>
      <w:r w:rsidR="000B6ECF">
        <w:rPr>
          <w:rStyle w:val="Ohne"/>
          <w:rFonts w:ascii="Arial Unicode MS" w:eastAsia="Arial Unicode MS" w:hAnsi="Arial Unicode MS" w:cs="Arial Unicode MS"/>
          <w:sz w:val="24"/>
          <w:szCs w:val="24"/>
        </w:rPr>
        <w:sym w:font="Symbol" w:char="F063"/>
      </w:r>
      <w:r>
        <w:rPr>
          <w:rStyle w:val="Ohne"/>
          <w:rFonts w:ascii="Book Antiqua" w:hAnsi="Book Antiqua"/>
          <w:sz w:val="24"/>
          <w:szCs w:val="24"/>
          <w:vertAlign w:val="superscript"/>
        </w:rPr>
        <w:t>2</w:t>
      </w:r>
      <w:r>
        <w:rPr>
          <w:rStyle w:val="Ohne"/>
          <w:rFonts w:ascii="Book Antiqua" w:hAnsi="Book Antiqua"/>
          <w:sz w:val="24"/>
          <w:szCs w:val="24"/>
        </w:rPr>
        <w:t xml:space="preserve"> test), indicating that it is a protective factor with an OR of 0.455. The potential underlying mechanism is unclear, but an effect on other bowel diseases, especially ulcerative colitis, has already been </w:t>
      </w:r>
      <w:proofErr w:type="gramStart"/>
      <w:r>
        <w:rPr>
          <w:rStyle w:val="Ohne"/>
          <w:rFonts w:ascii="Book Antiqua" w:hAnsi="Book Antiqua"/>
          <w:sz w:val="24"/>
          <w:szCs w:val="24"/>
        </w:rPr>
        <w:t>shown</w:t>
      </w:r>
      <w:r>
        <w:rPr>
          <w:rStyle w:val="Ohne"/>
          <w:rFonts w:ascii="Book Antiqua" w:hAnsi="Book Antiqua"/>
          <w:sz w:val="24"/>
          <w:szCs w:val="24"/>
          <w:vertAlign w:val="superscript"/>
          <w:lang w:val="de-DE"/>
        </w:rPr>
        <w:t>[</w:t>
      </w:r>
      <w:proofErr w:type="gramEnd"/>
      <w:r>
        <w:rPr>
          <w:rStyle w:val="Ohne"/>
          <w:rFonts w:ascii="Book Antiqua" w:hAnsi="Book Antiqua"/>
          <w:sz w:val="24"/>
          <w:szCs w:val="24"/>
          <w:vertAlign w:val="superscript"/>
        </w:rPr>
        <w:t>30</w:t>
      </w:r>
      <w:r>
        <w:rPr>
          <w:rStyle w:val="Ohne"/>
          <w:rFonts w:ascii="Book Antiqua" w:hAnsi="Book Antiqua"/>
          <w:sz w:val="24"/>
          <w:szCs w:val="24"/>
          <w:vertAlign w:val="superscript"/>
          <w:lang w:val="de-DE"/>
        </w:rPr>
        <w:t>]</w:t>
      </w:r>
      <w:r>
        <w:rPr>
          <w:rStyle w:val="Ohne"/>
          <w:rFonts w:ascii="Book Antiqua" w:hAnsi="Book Antiqua"/>
          <w:sz w:val="24"/>
          <w:szCs w:val="24"/>
        </w:rPr>
        <w:t>.</w:t>
      </w:r>
    </w:p>
    <w:p w:rsidR="00343223" w:rsidRDefault="00C30E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Book Antiqua" w:eastAsia="Book Antiqua" w:hAnsi="Book Antiqua" w:cs="Book Antiqua"/>
          <w:sz w:val="24"/>
          <w:szCs w:val="24"/>
        </w:rPr>
      </w:pPr>
      <w:r>
        <w:rPr>
          <w:rStyle w:val="Ohne"/>
          <w:rFonts w:ascii="Book Antiqua" w:hAnsi="Book Antiqua"/>
          <w:sz w:val="24"/>
          <w:szCs w:val="24"/>
        </w:rPr>
        <w:t>As in previous studies</w:t>
      </w:r>
      <w:r>
        <w:rPr>
          <w:rStyle w:val="Ohne"/>
          <w:rFonts w:ascii="Book Antiqua" w:hAnsi="Book Antiqua"/>
          <w:sz w:val="24"/>
          <w:szCs w:val="24"/>
          <w:vertAlign w:val="superscript"/>
          <w:lang w:val="de-DE"/>
        </w:rPr>
        <w:t>[</w:t>
      </w:r>
      <w:r>
        <w:rPr>
          <w:rStyle w:val="Ohne"/>
          <w:rFonts w:ascii="Book Antiqua" w:hAnsi="Book Antiqua"/>
          <w:sz w:val="24"/>
          <w:szCs w:val="24"/>
          <w:vertAlign w:val="superscript"/>
        </w:rPr>
        <w:t>11</w:t>
      </w:r>
      <w:r>
        <w:rPr>
          <w:rStyle w:val="Ohne"/>
          <w:rFonts w:ascii="Book Antiqua" w:hAnsi="Book Antiqua"/>
          <w:sz w:val="24"/>
          <w:szCs w:val="24"/>
          <w:vertAlign w:val="superscript"/>
          <w:lang w:val="de-DE"/>
        </w:rPr>
        <w:t>]</w:t>
      </w:r>
      <w:r>
        <w:rPr>
          <w:rStyle w:val="Ohne"/>
          <w:rFonts w:ascii="Book Antiqua" w:hAnsi="Book Antiqua"/>
          <w:sz w:val="24"/>
          <w:szCs w:val="24"/>
        </w:rPr>
        <w:t>, diabetes was associated with SIBO, but lost its effect in multivariate analysis (Tables 5, 7 and 10), proposing that diabetes does not contribute directly, but as a consequence of complications such as neuropathy, which is supported by a strong association between diabetes and gastroparesis (</w:t>
      </w:r>
      <w:r>
        <w:rPr>
          <w:rStyle w:val="Ohne"/>
          <w:rFonts w:ascii="Book Antiqua" w:hAnsi="Book Antiqua"/>
          <w:i/>
          <w:iCs/>
          <w:sz w:val="24"/>
          <w:szCs w:val="24"/>
        </w:rPr>
        <w:t>P</w:t>
      </w:r>
      <w:r>
        <w:rPr>
          <w:rStyle w:val="Ohne"/>
          <w:rFonts w:ascii="Book Antiqua" w:hAnsi="Book Antiqua"/>
          <w:sz w:val="24"/>
          <w:szCs w:val="24"/>
        </w:rPr>
        <w:t xml:space="preserve"> &lt; 0.001, </w:t>
      </w:r>
      <w:r w:rsidR="000B6ECF">
        <w:rPr>
          <w:rStyle w:val="Ohne"/>
          <w:rFonts w:ascii="Arial Unicode MS" w:eastAsia="Arial Unicode MS" w:hAnsi="Arial Unicode MS" w:cs="Arial Unicode MS"/>
          <w:sz w:val="24"/>
          <w:szCs w:val="24"/>
        </w:rPr>
        <w:sym w:font="Symbol" w:char="F063"/>
      </w:r>
      <w:r>
        <w:rPr>
          <w:rStyle w:val="Ohne"/>
          <w:rFonts w:ascii="Book Antiqua" w:hAnsi="Book Antiqua"/>
          <w:sz w:val="24"/>
          <w:szCs w:val="24"/>
          <w:vertAlign w:val="superscript"/>
        </w:rPr>
        <w:t xml:space="preserve">2 </w:t>
      </w:r>
      <w:r>
        <w:rPr>
          <w:rStyle w:val="Ohne"/>
          <w:rFonts w:ascii="Book Antiqua" w:hAnsi="Book Antiqua"/>
          <w:sz w:val="24"/>
          <w:szCs w:val="24"/>
        </w:rPr>
        <w:t>test).</w:t>
      </w:r>
    </w:p>
    <w:p w:rsidR="00343223" w:rsidRDefault="00343223">
      <w:pPr>
        <w:pStyle w:val="Stan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i/>
          <w:iCs/>
          <w:sz w:val="24"/>
          <w:szCs w:val="24"/>
        </w:rPr>
      </w:pPr>
      <w:r>
        <w:rPr>
          <w:rStyle w:val="Ohne"/>
          <w:rFonts w:ascii="Book Antiqua" w:hAnsi="Book Antiqua"/>
          <w:b/>
          <w:bCs/>
          <w:i/>
          <w:iCs/>
          <w:sz w:val="24"/>
          <w:szCs w:val="24"/>
        </w:rPr>
        <w:t>Weighting of the particular etiological pathways</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Binary logistic regression reveals the history of any resecting gastric surgery, </w:t>
      </w:r>
      <w:proofErr w:type="spellStart"/>
      <w:r>
        <w:rPr>
          <w:rStyle w:val="Ohne"/>
          <w:rFonts w:ascii="Book Antiqua" w:hAnsi="Book Antiqua"/>
          <w:sz w:val="24"/>
          <w:szCs w:val="24"/>
        </w:rPr>
        <w:t>stenoses</w:t>
      </w:r>
      <w:proofErr w:type="spellEnd"/>
      <w:r>
        <w:rPr>
          <w:rStyle w:val="Ohne"/>
          <w:rFonts w:ascii="Book Antiqua" w:hAnsi="Book Antiqua"/>
          <w:sz w:val="24"/>
          <w:szCs w:val="24"/>
        </w:rPr>
        <w:t xml:space="preserve">, medical immunosuppression, levothyroxine supplementation or presence of sigmoid diverticulosis to be associated to a higher risk of SIBO (Table 6). In this model, a reduced gastric acid barrier lost its significance as a </w:t>
      </w:r>
      <w:proofErr w:type="spellStart"/>
      <w:r>
        <w:rPr>
          <w:rStyle w:val="Ohne"/>
          <w:rFonts w:ascii="Book Antiqua" w:hAnsi="Book Antiqua"/>
          <w:sz w:val="24"/>
          <w:szCs w:val="24"/>
        </w:rPr>
        <w:t>pathogenetic</w:t>
      </w:r>
      <w:proofErr w:type="spellEnd"/>
      <w:r>
        <w:rPr>
          <w:rStyle w:val="Ohne"/>
          <w:rFonts w:ascii="Book Antiqua" w:hAnsi="Book Antiqua"/>
          <w:sz w:val="24"/>
          <w:szCs w:val="24"/>
        </w:rPr>
        <w:t xml:space="preserve"> factor. The highest odds ratios were seen for factors that, similar to </w:t>
      </w:r>
      <w:proofErr w:type="spellStart"/>
      <w:r>
        <w:rPr>
          <w:rStyle w:val="Ohne"/>
          <w:rFonts w:ascii="Book Antiqua" w:hAnsi="Book Antiqua"/>
          <w:sz w:val="24"/>
          <w:szCs w:val="24"/>
        </w:rPr>
        <w:t>stenoses</w:t>
      </w:r>
      <w:proofErr w:type="spellEnd"/>
      <w:r>
        <w:rPr>
          <w:rStyle w:val="Ohne"/>
          <w:rFonts w:ascii="Book Antiqua" w:hAnsi="Book Antiqua"/>
          <w:sz w:val="24"/>
          <w:szCs w:val="24"/>
        </w:rPr>
        <w:t>, lead to impaired clearance, on the one hand, and supplementation of levothyroxine, on the other hand (Table 6). In this model, several independent factors of impaired clearance, but only one of immunosuppression and thyroid gland metabolism were confirmed.</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Book Antiqua" w:eastAsia="Book Antiqua" w:hAnsi="Book Antiqua" w:cs="Book Antiqua"/>
          <w:sz w:val="24"/>
          <w:szCs w:val="24"/>
        </w:rPr>
      </w:pPr>
      <w:r>
        <w:rPr>
          <w:rStyle w:val="Ohne"/>
          <w:rFonts w:ascii="Book Antiqua" w:hAnsi="Book Antiqua"/>
          <w:sz w:val="24"/>
          <w:szCs w:val="24"/>
        </w:rPr>
        <w:t xml:space="preserve">In a simplified model in which any impairment of the acid barrier, of intestinal clearance, or of immune response and hypothyroidism were </w:t>
      </w:r>
      <w:proofErr w:type="spellStart"/>
      <w:r>
        <w:rPr>
          <w:rStyle w:val="Ohne"/>
          <w:rFonts w:ascii="Book Antiqua" w:hAnsi="Book Antiqua"/>
          <w:sz w:val="24"/>
          <w:szCs w:val="24"/>
        </w:rPr>
        <w:t>analysed</w:t>
      </w:r>
      <w:proofErr w:type="spellEnd"/>
      <w:r>
        <w:rPr>
          <w:rStyle w:val="Ohne"/>
          <w:rFonts w:ascii="Book Antiqua" w:hAnsi="Book Antiqua"/>
          <w:sz w:val="24"/>
          <w:szCs w:val="24"/>
        </w:rPr>
        <w:t xml:space="preserve">, the impaired acid barrier again lost its significance (Table 7). Hypothyroidism or, respectively, levothyroxine therapy was most the important single factor with an odds ratio of 3.0; </w:t>
      </w:r>
      <w:r>
        <w:rPr>
          <w:rStyle w:val="Ohne"/>
          <w:rFonts w:ascii="Book Antiqua" w:hAnsi="Book Antiqua"/>
          <w:sz w:val="24"/>
          <w:szCs w:val="24"/>
        </w:rPr>
        <w:lastRenderedPageBreak/>
        <w:t>the second most important was impaired intestinal clearance (OR = 2.2) and the third most important was impaired immune response (OR = 1.6).</w:t>
      </w:r>
    </w:p>
    <w:p w:rsidR="00343223" w:rsidRDefault="003432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i/>
          <w:iCs/>
          <w:sz w:val="24"/>
          <w:szCs w:val="24"/>
        </w:rPr>
      </w:pPr>
      <w:r>
        <w:rPr>
          <w:rStyle w:val="Ohne"/>
          <w:rFonts w:ascii="Book Antiqua" w:hAnsi="Book Antiqua"/>
          <w:b/>
          <w:bCs/>
          <w:i/>
          <w:iCs/>
          <w:sz w:val="24"/>
          <w:szCs w:val="24"/>
        </w:rPr>
        <w:t xml:space="preserve">Limitations </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rPr>
        <w:t xml:space="preserve">Due to selective information on outpatients, our study population consists mostly of inpatients, which might have led to a certain bias. Furthermore, the retrospective study design itself is associated with certain limitations, such as primary lack or secondary loss of information, uncertainty of adherence to protocols or unequal power between groups. We, therefore, included only a subset of possible contributors that were available for retrospective analysis. Diagnosis of SIBO referred to clinical work-up and is mainly based on the hydrogen breath test. That approach covers advantages such as independence from </w:t>
      </w:r>
      <w:proofErr w:type="spellStart"/>
      <w:r>
        <w:rPr>
          <w:rStyle w:val="Ohne"/>
          <w:rFonts w:ascii="Book Antiqua" w:hAnsi="Book Antiqua"/>
          <w:sz w:val="24"/>
          <w:szCs w:val="24"/>
        </w:rPr>
        <w:t>jejunal</w:t>
      </w:r>
      <w:proofErr w:type="spellEnd"/>
      <w:r>
        <w:rPr>
          <w:rStyle w:val="Ohne"/>
          <w:rFonts w:ascii="Book Antiqua" w:hAnsi="Book Antiqua"/>
          <w:sz w:val="24"/>
          <w:szCs w:val="24"/>
        </w:rPr>
        <w:t xml:space="preserve">, which is neither well </w:t>
      </w:r>
      <w:proofErr w:type="spellStart"/>
      <w:r>
        <w:rPr>
          <w:rStyle w:val="Ohne"/>
          <w:rFonts w:ascii="Book Antiqua" w:hAnsi="Book Antiqua"/>
          <w:sz w:val="24"/>
          <w:szCs w:val="24"/>
        </w:rPr>
        <w:t>standardised</w:t>
      </w:r>
      <w:proofErr w:type="spellEnd"/>
      <w:r>
        <w:rPr>
          <w:rStyle w:val="Ohne"/>
          <w:rFonts w:ascii="Book Antiqua" w:hAnsi="Book Antiqua"/>
          <w:sz w:val="24"/>
          <w:szCs w:val="24"/>
        </w:rPr>
        <w:t xml:space="preserve"> nor able to culture all respective flora, but also disadvantages such as unclear reliability. Finally, not every potential contributor who underwent clinical work-up was carefully ruled out in every subject. Therefore, some suspected contributors, such as gastroparesis or polyneuropathy, might be underreported.</w:t>
      </w:r>
    </w:p>
    <w:p w:rsidR="000B6ECF"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firstLine="360"/>
        <w:jc w:val="both"/>
        <w:rPr>
          <w:rStyle w:val="Ohne"/>
          <w:rFonts w:ascii="Arial Unicode MS" w:hAnsi="Arial Unicode MS"/>
        </w:rPr>
      </w:pPr>
      <w:r>
        <w:rPr>
          <w:rStyle w:val="Ohne"/>
          <w:rFonts w:ascii="Book Antiqua" w:hAnsi="Book Antiqua"/>
          <w:sz w:val="24"/>
          <w:szCs w:val="24"/>
        </w:rPr>
        <w:t xml:space="preserve">To the best of our knowledge, this is the largest study that investigated contributors to SIBO in a widely spread population. The results confirm that impairment of acid barrier, impaired intestinal clearance, immunosuppression and especially levothyroxine therapy/hypothyroidism to be important </w:t>
      </w:r>
      <w:proofErr w:type="spellStart"/>
      <w:r>
        <w:rPr>
          <w:rStyle w:val="Ohne"/>
          <w:rFonts w:ascii="Book Antiqua" w:hAnsi="Book Antiqua"/>
          <w:sz w:val="24"/>
          <w:szCs w:val="24"/>
        </w:rPr>
        <w:t>pathomechanistic</w:t>
      </w:r>
      <w:proofErr w:type="spellEnd"/>
      <w:r>
        <w:rPr>
          <w:rStyle w:val="Ohne"/>
          <w:rFonts w:ascii="Book Antiqua" w:hAnsi="Book Antiqua"/>
          <w:sz w:val="24"/>
          <w:szCs w:val="24"/>
        </w:rPr>
        <w:t xml:space="preserve"> pathways for the development of SIBO. The strongest effects derive from levothyroxine supplementation/hypothyroidism, although the relevant mechanism of action remains unclear, and intestinal stasis.</w:t>
      </w:r>
    </w:p>
    <w:p w:rsidR="000B6ECF" w:rsidRDefault="000B6ECF"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Arial Unicode MS" w:hAnsi="Arial Unicode MS"/>
        </w:rPr>
      </w:pPr>
    </w:p>
    <w:p w:rsidR="00343223" w:rsidRPr="000B6ECF" w:rsidRDefault="00C30E23" w:rsidP="000B6ECF">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Pr>
      </w:pPr>
      <w:r>
        <w:rPr>
          <w:rStyle w:val="Ohne"/>
          <w:rFonts w:ascii="Book Antiqua" w:hAnsi="Book Antiqua"/>
          <w:b/>
          <w:bCs/>
          <w:sz w:val="24"/>
          <w:szCs w:val="24"/>
        </w:rPr>
        <w:t xml:space="preserve">ACKNOWLEDGEMENTS </w:t>
      </w:r>
    </w:p>
    <w:p w:rsidR="00343223" w:rsidRDefault="00C30E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left="0"/>
        <w:jc w:val="both"/>
        <w:rPr>
          <w:rStyle w:val="Ohne"/>
          <w:rFonts w:ascii="Book Antiqua" w:eastAsia="Book Antiqua" w:hAnsi="Book Antiqua" w:cs="Book Antiqua"/>
          <w:sz w:val="24"/>
          <w:szCs w:val="24"/>
        </w:rPr>
      </w:pPr>
      <w:r>
        <w:rPr>
          <w:rStyle w:val="Ohne"/>
          <w:rFonts w:ascii="Book Antiqua" w:hAnsi="Book Antiqua"/>
          <w:sz w:val="24"/>
          <w:szCs w:val="24"/>
        </w:rPr>
        <w:t xml:space="preserve">We would like to thank the staff of the Department of Gastroenterology and Hepatology for their support throughout the study. Special thanks go to the members of the laboratory of gastroenterological function testing, i.e. A. Beckmann, A. Kuehl, C. Nolte and E. </w:t>
      </w:r>
      <w:proofErr w:type="spellStart"/>
      <w:r>
        <w:rPr>
          <w:rStyle w:val="Ohne"/>
          <w:rFonts w:ascii="Book Antiqua" w:hAnsi="Book Antiqua"/>
          <w:sz w:val="24"/>
          <w:szCs w:val="24"/>
        </w:rPr>
        <w:t>Dretaki-Schnackenberg</w:t>
      </w:r>
      <w:proofErr w:type="spellEnd"/>
      <w:r>
        <w:rPr>
          <w:rStyle w:val="Ohne"/>
          <w:rFonts w:ascii="Book Antiqua" w:hAnsi="Book Antiqua"/>
          <w:sz w:val="24"/>
          <w:szCs w:val="24"/>
        </w:rPr>
        <w:t xml:space="preserve">. </w:t>
      </w:r>
    </w:p>
    <w:p w:rsidR="00343223" w:rsidRDefault="003432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left="0"/>
        <w:jc w:val="both"/>
        <w:rPr>
          <w:rFonts w:ascii="Book Antiqua" w:eastAsia="Book Antiqua" w:hAnsi="Book Antiqua" w:cs="Book Antiqua"/>
          <w:sz w:val="24"/>
          <w:szCs w:val="24"/>
        </w:rPr>
      </w:pP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b/>
          <w:bCs/>
        </w:rPr>
        <w:t>COMMENTS</w:t>
      </w:r>
    </w:p>
    <w:p w:rsidR="00343223" w:rsidRDefault="00C30E23">
      <w:pPr>
        <w:spacing w:line="360" w:lineRule="auto"/>
        <w:jc w:val="both"/>
        <w:rPr>
          <w:rStyle w:val="Ohne"/>
          <w:rFonts w:ascii="Book Antiqua" w:eastAsia="Book Antiqua" w:hAnsi="Book Antiqua" w:cs="Book Antiqua"/>
          <w:b/>
          <w:bCs/>
        </w:rPr>
      </w:pPr>
      <w:r>
        <w:rPr>
          <w:rStyle w:val="Ohne"/>
          <w:rFonts w:ascii="Book Antiqua" w:hAnsi="Book Antiqua"/>
          <w:b/>
          <w:bCs/>
          <w:i/>
          <w:iCs/>
        </w:rPr>
        <w:t>Background</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lang w:val="de-DE"/>
        </w:rPr>
        <w:lastRenderedPageBreak/>
        <w:t>Small intestinal bacterial overgrowth (SIBO) is characterised by an excessive colonisation of the small bowel.</w:t>
      </w:r>
      <w:r>
        <w:rPr>
          <w:rStyle w:val="Ohne"/>
          <w:rFonts w:ascii="Book Antiqua" w:hAnsi="Book Antiqua"/>
        </w:rPr>
        <w:t xml:space="preserve"> </w:t>
      </w:r>
      <w:r>
        <w:rPr>
          <w:rStyle w:val="Ohne"/>
          <w:rFonts w:ascii="Book Antiqua" w:hAnsi="Book Antiqua"/>
          <w:lang w:val="de-DE"/>
        </w:rPr>
        <w:t>Pathogenesis is incompletely understood, but recurrence rates after successful antibiotic treatment are high. Several risk factors that contribute to the development have been proposed, and some potential contributors have been shown in mostly</w:t>
      </w:r>
      <w:r>
        <w:rPr>
          <w:rStyle w:val="Ohne"/>
          <w:rFonts w:ascii="Book Antiqua" w:hAnsi="Book Antiqua"/>
        </w:rPr>
        <w:t xml:space="preserve"> </w:t>
      </w:r>
      <w:r>
        <w:rPr>
          <w:rStyle w:val="Ohne"/>
          <w:rFonts w:ascii="Book Antiqua" w:hAnsi="Book Antiqua"/>
          <w:lang w:val="de-DE"/>
        </w:rPr>
        <w:t xml:space="preserve">small studies with selected populations. </w:t>
      </w:r>
    </w:p>
    <w:p w:rsidR="00343223" w:rsidRDefault="00343223">
      <w:pPr>
        <w:spacing w:line="360" w:lineRule="auto"/>
        <w:jc w:val="both"/>
        <w:rPr>
          <w:rStyle w:val="Ohne"/>
          <w:rFonts w:ascii="Book Antiqua" w:eastAsia="Book Antiqua" w:hAnsi="Book Antiqua" w:cs="Book Antiqua"/>
          <w:b/>
          <w:bCs/>
          <w:shd w:val="clear" w:color="auto" w:fill="FFFF00"/>
        </w:rPr>
      </w:pPr>
    </w:p>
    <w:p w:rsidR="00343223" w:rsidRDefault="00C30E23">
      <w:pPr>
        <w:spacing w:line="360" w:lineRule="auto"/>
        <w:jc w:val="both"/>
        <w:rPr>
          <w:rStyle w:val="Ohne"/>
          <w:rFonts w:ascii="Book Antiqua" w:eastAsia="Book Antiqua" w:hAnsi="Book Antiqua" w:cs="Book Antiqua"/>
          <w:b/>
          <w:bCs/>
        </w:rPr>
      </w:pPr>
      <w:r>
        <w:rPr>
          <w:rStyle w:val="Ohne"/>
          <w:rFonts w:ascii="Book Antiqua" w:hAnsi="Book Antiqua"/>
          <w:b/>
          <w:bCs/>
          <w:i/>
          <w:iCs/>
        </w:rPr>
        <w:t>Research frontiers</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SIBO is defined as an increase in the number of bacteria in the upper gastrointestinal tract. Related symptoms are nonspecific and include bloating, abdominal pain or diarrhea, and thus overlap widely with symptoms of irritable bowel syndrome. Diagnosis of SIBO still is a challenging clinical problem. Several methods are available, but up to now, a standard of choice is not yet define</w:t>
      </w:r>
      <w:r>
        <w:rPr>
          <w:rStyle w:val="Ohne"/>
          <w:rFonts w:ascii="Book Antiqua" w:hAnsi="Book Antiqua"/>
          <w:lang w:val="de-DE"/>
        </w:rPr>
        <w:t>d. Furthermore, the pathogenesis of SIBO is incompletely understood and studies are needed to identify etiology and pathogenesis. Therapy of SIBO is unsatisfactory; empiric and often broad-spectrum antibiotic treatment fails  frequently and suffers from high recurrence rates</w:t>
      </w:r>
      <w:r>
        <w:rPr>
          <w:rStyle w:val="Ohne"/>
          <w:rFonts w:ascii="Book Antiqua" w:hAnsi="Book Antiqua"/>
        </w:rPr>
        <w:t>.</w:t>
      </w:r>
    </w:p>
    <w:p w:rsidR="00343223" w:rsidRDefault="00343223">
      <w:pPr>
        <w:spacing w:line="360" w:lineRule="auto"/>
        <w:jc w:val="both"/>
        <w:rPr>
          <w:rStyle w:val="Ohne"/>
          <w:rFonts w:ascii="Book Antiqua" w:eastAsia="Book Antiqua" w:hAnsi="Book Antiqua" w:cs="Book Antiqua"/>
          <w:b/>
          <w:bCs/>
          <w:shd w:val="clear" w:color="auto" w:fill="FFFF00"/>
        </w:rPr>
      </w:pPr>
    </w:p>
    <w:p w:rsidR="00343223" w:rsidRDefault="00C30E23">
      <w:pPr>
        <w:spacing w:line="360" w:lineRule="auto"/>
        <w:jc w:val="both"/>
        <w:rPr>
          <w:rStyle w:val="Ohne"/>
          <w:rFonts w:ascii="Book Antiqua" w:eastAsia="Book Antiqua" w:hAnsi="Book Antiqua" w:cs="Book Antiqua"/>
          <w:b/>
          <w:bCs/>
          <w:i/>
          <w:iCs/>
        </w:rPr>
      </w:pPr>
      <w:r>
        <w:rPr>
          <w:rStyle w:val="Ohne"/>
          <w:rFonts w:ascii="Book Antiqua" w:hAnsi="Book Antiqua"/>
          <w:b/>
          <w:bCs/>
          <w:i/>
          <w:iCs/>
        </w:rPr>
        <w:t>Innovations and breakthroughs</w:t>
      </w:r>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shd w:val="clear" w:color="auto" w:fill="FFFF00"/>
        </w:rPr>
      </w:pPr>
      <w:r>
        <w:rPr>
          <w:rStyle w:val="Ohne"/>
          <w:rFonts w:ascii="Book Antiqua" w:hAnsi="Book Antiqua"/>
          <w:sz w:val="24"/>
          <w:szCs w:val="24"/>
        </w:rPr>
        <w:t xml:space="preserve">The aim </w:t>
      </w:r>
      <w:r>
        <w:rPr>
          <w:rStyle w:val="Ohne"/>
          <w:rFonts w:ascii="Book Antiqua" w:hAnsi="Book Antiqua"/>
          <w:sz w:val="24"/>
          <w:szCs w:val="24"/>
          <w:lang w:val="de-DE"/>
        </w:rPr>
        <w:t xml:space="preserve">of the study </w:t>
      </w:r>
      <w:r>
        <w:rPr>
          <w:rStyle w:val="Ohne"/>
          <w:rFonts w:ascii="Book Antiqua" w:hAnsi="Book Antiqua"/>
          <w:sz w:val="24"/>
          <w:szCs w:val="24"/>
        </w:rPr>
        <w:t xml:space="preserve">was to identify a set of </w:t>
      </w:r>
      <w:r>
        <w:rPr>
          <w:rStyle w:val="Ohne"/>
          <w:rFonts w:ascii="Book Antiqua" w:hAnsi="Book Antiqua"/>
          <w:sz w:val="24"/>
          <w:szCs w:val="24"/>
          <w:lang w:val="de-DE"/>
        </w:rPr>
        <w:t>risk factors</w:t>
      </w:r>
      <w:r>
        <w:rPr>
          <w:rStyle w:val="Ohne"/>
          <w:rFonts w:ascii="Book Antiqua" w:hAnsi="Book Antiqua"/>
          <w:sz w:val="24"/>
          <w:szCs w:val="24"/>
        </w:rPr>
        <w:t>, weight and rank them on a pathophysiological basis</w:t>
      </w:r>
      <w:r>
        <w:rPr>
          <w:rStyle w:val="Ohne"/>
          <w:rFonts w:ascii="Book Antiqua" w:hAnsi="Book Antiqua"/>
          <w:sz w:val="24"/>
          <w:szCs w:val="24"/>
          <w:lang w:val="de-DE"/>
        </w:rPr>
        <w:t xml:space="preserve"> in a large and widely unselected population</w:t>
      </w:r>
      <w:r>
        <w:rPr>
          <w:rStyle w:val="Ohne"/>
          <w:rFonts w:ascii="Book Antiqua" w:hAnsi="Book Antiqua"/>
          <w:sz w:val="24"/>
          <w:szCs w:val="24"/>
        </w:rPr>
        <w:t>.</w:t>
      </w:r>
      <w:r>
        <w:rPr>
          <w:rStyle w:val="Ohne"/>
          <w:rFonts w:ascii="Book Antiqua" w:hAnsi="Book Antiqua"/>
          <w:sz w:val="24"/>
          <w:szCs w:val="24"/>
          <w:lang w:val="de-DE"/>
        </w:rPr>
        <w:t xml:space="preserve"> Potential</w:t>
      </w:r>
      <w:r>
        <w:rPr>
          <w:rStyle w:val="Ohne"/>
          <w:rFonts w:ascii="Book Antiqua" w:hAnsi="Book Antiqua"/>
          <w:sz w:val="24"/>
          <w:szCs w:val="24"/>
        </w:rPr>
        <w:t xml:space="preserve"> contributors were </w:t>
      </w:r>
      <w:proofErr w:type="spellStart"/>
      <w:r>
        <w:rPr>
          <w:rStyle w:val="Ohne"/>
          <w:rFonts w:ascii="Book Antiqua" w:hAnsi="Book Antiqua"/>
          <w:sz w:val="24"/>
          <w:szCs w:val="24"/>
        </w:rPr>
        <w:t>summarised</w:t>
      </w:r>
      <w:proofErr w:type="spellEnd"/>
      <w:r>
        <w:rPr>
          <w:rStyle w:val="Ohne"/>
          <w:rFonts w:ascii="Book Antiqua" w:hAnsi="Book Antiqua"/>
          <w:sz w:val="24"/>
          <w:szCs w:val="24"/>
        </w:rPr>
        <w:t xml:space="preserve"> under four different pathophysiological pathways</w:t>
      </w:r>
      <w:r>
        <w:rPr>
          <w:rStyle w:val="Ohne"/>
          <w:rFonts w:ascii="Book Antiqua" w:hAnsi="Book Antiqua"/>
          <w:sz w:val="24"/>
          <w:szCs w:val="24"/>
          <w:lang w:val="de-DE"/>
        </w:rPr>
        <w:t xml:space="preserve">. </w:t>
      </w:r>
      <w:r>
        <w:rPr>
          <w:rStyle w:val="Ohne"/>
          <w:rFonts w:ascii="Book Antiqua" w:hAnsi="Book Antiqua"/>
          <w:sz w:val="24"/>
          <w:szCs w:val="24"/>
        </w:rPr>
        <w:t xml:space="preserve">Impairment of the gastric acid barrier (gastrectomy, odds ratio: OR = 3.5, PPI therapy OR = 1.4), impairment of intestinal clearance (any resecting gastric surgery OR </w:t>
      </w:r>
      <w:r w:rsidR="000B6ECF">
        <w:rPr>
          <w:rStyle w:val="Ohne"/>
          <w:rFonts w:ascii="Book Antiqua" w:hAnsi="Book Antiqua" w:hint="eastAsia"/>
          <w:sz w:val="24"/>
          <w:szCs w:val="24"/>
        </w:rPr>
        <w:t xml:space="preserve">= </w:t>
      </w:r>
      <w:r>
        <w:rPr>
          <w:rStyle w:val="Ohne"/>
          <w:rFonts w:ascii="Book Antiqua" w:hAnsi="Book Antiqua"/>
          <w:sz w:val="24"/>
          <w:szCs w:val="24"/>
        </w:rPr>
        <w:t xml:space="preserve">2.6, any colonic resection OR = 1.9, stenosis OR = 3.4, gastroparesis OR = 3.4, neuropathy 2.2), immunological factors (any drug-induced immunosuppression OR = 1.8), altered thyroid gland metabolism (hypothyroidism OR = 2.6, levothyroxine therapy OR = 3.0) and diabetes mellitus (OR = 1.9) were associated significantly to SIBO. Any abdominal surgery, </w:t>
      </w:r>
      <w:proofErr w:type="spellStart"/>
      <w:r>
        <w:rPr>
          <w:rStyle w:val="Ohne"/>
          <w:rFonts w:ascii="Book Antiqua" w:hAnsi="Book Antiqua"/>
          <w:sz w:val="24"/>
          <w:szCs w:val="24"/>
        </w:rPr>
        <w:t>ileocecal</w:t>
      </w:r>
      <w:proofErr w:type="spellEnd"/>
      <w:r>
        <w:rPr>
          <w:rStyle w:val="Ohne"/>
          <w:rFonts w:ascii="Book Antiqua" w:hAnsi="Book Antiqua"/>
          <w:sz w:val="24"/>
          <w:szCs w:val="24"/>
        </w:rPr>
        <w:t xml:space="preserve"> resection, </w:t>
      </w:r>
      <w:proofErr w:type="spellStart"/>
      <w:r>
        <w:rPr>
          <w:rStyle w:val="Ohne"/>
          <w:rFonts w:ascii="Book Antiqua" w:hAnsi="Book Antiqua"/>
          <w:sz w:val="24"/>
          <w:szCs w:val="24"/>
        </w:rPr>
        <w:t>vagotomy</w:t>
      </w:r>
      <w:proofErr w:type="spellEnd"/>
      <w:r>
        <w:rPr>
          <w:rStyle w:val="Ohne"/>
          <w:rFonts w:ascii="Book Antiqua" w:hAnsi="Book Antiqua"/>
          <w:sz w:val="24"/>
          <w:szCs w:val="24"/>
        </w:rPr>
        <w:t xml:space="preserve"> or IgA-deficiency did not have any influence, and a history of appendectomy decreased the risk of SIBO. Multivariate analysis revealed gastric surgery, </w:t>
      </w:r>
      <w:proofErr w:type="spellStart"/>
      <w:r>
        <w:rPr>
          <w:rStyle w:val="Ohne"/>
          <w:rFonts w:ascii="Book Antiqua" w:hAnsi="Book Antiqua"/>
          <w:sz w:val="24"/>
          <w:szCs w:val="24"/>
        </w:rPr>
        <w:t>stenoses</w:t>
      </w:r>
      <w:proofErr w:type="spellEnd"/>
      <w:r>
        <w:rPr>
          <w:rStyle w:val="Ohne"/>
          <w:rFonts w:ascii="Book Antiqua" w:hAnsi="Book Antiqua"/>
          <w:sz w:val="24"/>
          <w:szCs w:val="24"/>
        </w:rPr>
        <w:t>, medical immunosuppression and levothyroxine to be the strongest predictors. Levothyroxine therapy was the strongest contributor in a simplified model (OR = 3.0).</w:t>
      </w:r>
    </w:p>
    <w:p w:rsidR="00343223" w:rsidRDefault="00343223">
      <w:pPr>
        <w:spacing w:line="360" w:lineRule="auto"/>
        <w:jc w:val="both"/>
        <w:rPr>
          <w:rStyle w:val="Ohne"/>
          <w:rFonts w:ascii="Book Antiqua" w:eastAsia="Book Antiqua" w:hAnsi="Book Antiqua" w:cs="Book Antiqua"/>
          <w:b/>
          <w:bCs/>
          <w:shd w:val="clear" w:color="auto" w:fill="FFFF00"/>
        </w:rPr>
      </w:pPr>
    </w:p>
    <w:p w:rsidR="00343223" w:rsidRDefault="00C30E23">
      <w:pPr>
        <w:spacing w:line="360" w:lineRule="auto"/>
        <w:jc w:val="both"/>
        <w:rPr>
          <w:rStyle w:val="Ohne"/>
          <w:rFonts w:ascii="Book Antiqua" w:eastAsia="Book Antiqua" w:hAnsi="Book Antiqua" w:cs="Book Antiqua"/>
          <w:b/>
          <w:bCs/>
          <w:i/>
          <w:iCs/>
          <w:shd w:val="clear" w:color="auto" w:fill="FFFF00"/>
        </w:rPr>
      </w:pPr>
      <w:r>
        <w:rPr>
          <w:rStyle w:val="Ohne"/>
          <w:rFonts w:ascii="Book Antiqua" w:hAnsi="Book Antiqua"/>
          <w:b/>
          <w:bCs/>
          <w:i/>
          <w:iCs/>
        </w:rPr>
        <w:t>Applications</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lang w:val="de-DE"/>
        </w:rPr>
        <w:t xml:space="preserve">The </w:t>
      </w:r>
      <w:r>
        <w:rPr>
          <w:rStyle w:val="Ohne"/>
          <w:rFonts w:ascii="Book Antiqua" w:hAnsi="Book Antiqua"/>
        </w:rPr>
        <w:t xml:space="preserve">most important contributors for the development of SIBO in ascending order are immunosuppression, impairment of intestinal clearance and levothyroxine use, but they do not sufficiently explain its emergence. </w:t>
      </w:r>
      <w:r>
        <w:rPr>
          <w:rStyle w:val="Ohne"/>
          <w:rFonts w:ascii="Book Antiqua" w:hAnsi="Book Antiqua"/>
          <w:lang w:val="de-DE"/>
        </w:rPr>
        <w:t>The knowledge of respective contributors potentially</w:t>
      </w:r>
      <w:r>
        <w:rPr>
          <w:rStyle w:val="Ohne"/>
          <w:rFonts w:ascii="Book Antiqua" w:hAnsi="Book Antiqua"/>
        </w:rPr>
        <w:t xml:space="preserve"> </w:t>
      </w:r>
      <w:bookmarkStart w:id="10" w:name="OLE_LINK595"/>
      <w:r>
        <w:rPr>
          <w:rStyle w:val="Ohne"/>
          <w:rFonts w:ascii="Book Antiqua" w:hAnsi="Book Antiqua"/>
          <w:lang w:val="de-DE"/>
        </w:rPr>
        <w:t>enables to intervene in the pathogenesis and therefore minimise the risk of recurrence.</w:t>
      </w:r>
    </w:p>
    <w:p w:rsidR="00343223" w:rsidRDefault="00343223">
      <w:pPr>
        <w:spacing w:line="360" w:lineRule="auto"/>
        <w:jc w:val="both"/>
        <w:rPr>
          <w:rStyle w:val="Ohne"/>
          <w:rFonts w:ascii="Book Antiqua" w:eastAsia="Book Antiqua" w:hAnsi="Book Antiqua" w:cs="Book Antiqua"/>
          <w:b/>
          <w:bCs/>
          <w:shd w:val="clear" w:color="auto" w:fill="FFFF00"/>
        </w:rPr>
      </w:pPr>
    </w:p>
    <w:p w:rsidR="00343223" w:rsidRDefault="00C30E23">
      <w:pPr>
        <w:spacing w:line="360" w:lineRule="auto"/>
        <w:jc w:val="both"/>
        <w:rPr>
          <w:rStyle w:val="Ohne"/>
          <w:rFonts w:ascii="Book Antiqua" w:eastAsia="Book Antiqua" w:hAnsi="Book Antiqua" w:cs="Book Antiqua"/>
          <w:b/>
          <w:bCs/>
          <w:i/>
          <w:iCs/>
        </w:rPr>
      </w:pPr>
      <w:r>
        <w:rPr>
          <w:rStyle w:val="Ohne"/>
          <w:rFonts w:ascii="Book Antiqua" w:hAnsi="Book Antiqua"/>
          <w:b/>
          <w:bCs/>
          <w:i/>
          <w:iCs/>
        </w:rPr>
        <w:t>Terminology</w:t>
      </w:r>
      <w:bookmarkEnd w:id="10"/>
    </w:p>
    <w:p w:rsidR="00343223" w:rsidRDefault="00C30E23">
      <w:pPr>
        <w:spacing w:line="360" w:lineRule="auto"/>
        <w:jc w:val="both"/>
        <w:rPr>
          <w:rStyle w:val="Ohne"/>
          <w:rFonts w:ascii="Book Antiqua" w:eastAsia="Book Antiqua" w:hAnsi="Book Antiqua" w:cs="Book Antiqua"/>
          <w:lang w:val="de-DE"/>
        </w:rPr>
      </w:pPr>
      <w:r>
        <w:rPr>
          <w:rStyle w:val="Ohne"/>
          <w:rFonts w:ascii="Book Antiqua" w:hAnsi="Book Antiqua"/>
          <w:lang w:val="de-DE"/>
        </w:rPr>
        <w:t>SIBO is characterised by an increase of bacterial colonisation of the small bowel.</w:t>
      </w:r>
    </w:p>
    <w:p w:rsidR="00343223" w:rsidRDefault="00343223">
      <w:pPr>
        <w:spacing w:line="360" w:lineRule="auto"/>
        <w:jc w:val="both"/>
        <w:rPr>
          <w:rStyle w:val="Ohne"/>
          <w:rFonts w:ascii="Book Antiqua" w:eastAsia="Book Antiqua" w:hAnsi="Book Antiqua" w:cs="Book Antiqua"/>
          <w:b/>
          <w:bCs/>
          <w:i/>
          <w:iCs/>
          <w:shd w:val="clear" w:color="auto" w:fill="FFFF00"/>
        </w:rPr>
      </w:pPr>
      <w:bookmarkStart w:id="11" w:name="OLE_LINK13"/>
    </w:p>
    <w:p w:rsidR="00343223" w:rsidRDefault="00C30E23">
      <w:pPr>
        <w:spacing w:line="360" w:lineRule="auto"/>
        <w:jc w:val="both"/>
        <w:rPr>
          <w:rStyle w:val="Ohne"/>
          <w:rFonts w:ascii="Book Antiqua" w:eastAsia="Book Antiqua" w:hAnsi="Book Antiqua" w:cs="Book Antiqua"/>
          <w:b/>
          <w:bCs/>
          <w:i/>
          <w:iCs/>
        </w:rPr>
      </w:pPr>
      <w:r>
        <w:rPr>
          <w:rStyle w:val="Ohne"/>
          <w:rFonts w:ascii="Book Antiqua" w:hAnsi="Book Antiqua"/>
          <w:b/>
          <w:bCs/>
          <w:i/>
          <w:iCs/>
        </w:rPr>
        <w:t>Peer-review</w:t>
      </w:r>
      <w:bookmarkEnd w:id="11"/>
    </w:p>
    <w:p w:rsidR="00343223" w:rsidRDefault="00C30E23">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Book Antiqua" w:hAnsi="Book Antiqua"/>
          <w:sz w:val="24"/>
          <w:szCs w:val="24"/>
        </w:rPr>
        <w:t xml:space="preserve">It is an interesting and well performed study. </w:t>
      </w:r>
      <w:r>
        <w:rPr>
          <w:rStyle w:val="Ohne"/>
          <w:rFonts w:ascii="Arial Unicode MS" w:hAnsi="Arial Unicode MS"/>
          <w:sz w:val="24"/>
          <w:szCs w:val="24"/>
        </w:rPr>
        <w:br w:type="page"/>
      </w:r>
    </w:p>
    <w:p w:rsidR="00343223" w:rsidRDefault="00C30E23">
      <w:pPr>
        <w:pStyle w:val="a5"/>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left="0"/>
        <w:jc w:val="both"/>
        <w:rPr>
          <w:rStyle w:val="Ohne"/>
          <w:rFonts w:ascii="宋体" w:eastAsia="宋体" w:hAnsi="宋体" w:cs="宋体"/>
          <w:sz w:val="24"/>
          <w:szCs w:val="24"/>
        </w:rPr>
      </w:pPr>
      <w:r>
        <w:rPr>
          <w:rStyle w:val="Ohne"/>
          <w:rFonts w:ascii="Book Antiqua" w:hAnsi="Book Antiqua"/>
          <w:b/>
          <w:bCs/>
          <w:sz w:val="24"/>
          <w:szCs w:val="24"/>
        </w:rPr>
        <w:lastRenderedPageBreak/>
        <w:t>REFERENCES</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1 </w:t>
      </w:r>
      <w:proofErr w:type="spellStart"/>
      <w:r>
        <w:rPr>
          <w:rStyle w:val="Ohne"/>
          <w:rFonts w:ascii="Book Antiqua" w:hAnsi="Book Antiqua"/>
          <w:b/>
          <w:bCs/>
        </w:rPr>
        <w:t>Bures</w:t>
      </w:r>
      <w:proofErr w:type="spellEnd"/>
      <w:r>
        <w:rPr>
          <w:rStyle w:val="Ohne"/>
          <w:rFonts w:ascii="Book Antiqua" w:hAnsi="Book Antiqua"/>
          <w:b/>
          <w:bCs/>
        </w:rPr>
        <w:t xml:space="preserve"> J</w:t>
      </w:r>
      <w:r>
        <w:rPr>
          <w:rStyle w:val="Ohne"/>
          <w:rFonts w:ascii="Book Antiqua" w:hAnsi="Book Antiqua"/>
        </w:rPr>
        <w:t xml:space="preserve">, </w:t>
      </w:r>
      <w:proofErr w:type="spellStart"/>
      <w:r>
        <w:rPr>
          <w:rStyle w:val="Ohne"/>
          <w:rFonts w:ascii="Book Antiqua" w:hAnsi="Book Antiqua"/>
        </w:rPr>
        <w:t>Cyrany</w:t>
      </w:r>
      <w:proofErr w:type="spellEnd"/>
      <w:r>
        <w:rPr>
          <w:rStyle w:val="Ohne"/>
          <w:rFonts w:ascii="Book Antiqua" w:hAnsi="Book Antiqua"/>
        </w:rPr>
        <w:t xml:space="preserve"> J, </w:t>
      </w:r>
      <w:proofErr w:type="spellStart"/>
      <w:r>
        <w:rPr>
          <w:rStyle w:val="Ohne"/>
          <w:rFonts w:ascii="Book Antiqua" w:hAnsi="Book Antiqua"/>
        </w:rPr>
        <w:t>Kohoutova</w:t>
      </w:r>
      <w:proofErr w:type="spellEnd"/>
      <w:r>
        <w:rPr>
          <w:rStyle w:val="Ohne"/>
          <w:rFonts w:ascii="Book Antiqua" w:hAnsi="Book Antiqua"/>
        </w:rPr>
        <w:t xml:space="preserve"> D, </w:t>
      </w:r>
      <w:proofErr w:type="spellStart"/>
      <w:r>
        <w:rPr>
          <w:rStyle w:val="Ohne"/>
          <w:rFonts w:ascii="Book Antiqua" w:hAnsi="Book Antiqua"/>
        </w:rPr>
        <w:t>Förstl</w:t>
      </w:r>
      <w:proofErr w:type="spellEnd"/>
      <w:r>
        <w:rPr>
          <w:rStyle w:val="Ohne"/>
          <w:rFonts w:ascii="Book Antiqua" w:hAnsi="Book Antiqua"/>
        </w:rPr>
        <w:t xml:space="preserve"> M, </w:t>
      </w:r>
      <w:proofErr w:type="spellStart"/>
      <w:r>
        <w:rPr>
          <w:rStyle w:val="Ohne"/>
          <w:rFonts w:ascii="Book Antiqua" w:hAnsi="Book Antiqua"/>
        </w:rPr>
        <w:t>Rejchrt</w:t>
      </w:r>
      <w:proofErr w:type="spellEnd"/>
      <w:r>
        <w:rPr>
          <w:rStyle w:val="Ohne"/>
          <w:rFonts w:ascii="Book Antiqua" w:hAnsi="Book Antiqua"/>
        </w:rPr>
        <w:t xml:space="preserve"> S, </w:t>
      </w:r>
      <w:proofErr w:type="spellStart"/>
      <w:r>
        <w:rPr>
          <w:rStyle w:val="Ohne"/>
          <w:rFonts w:ascii="Book Antiqua" w:hAnsi="Book Antiqua"/>
        </w:rPr>
        <w:t>Kvetina</w:t>
      </w:r>
      <w:proofErr w:type="spellEnd"/>
      <w:r>
        <w:rPr>
          <w:rStyle w:val="Ohne"/>
          <w:rFonts w:ascii="Book Antiqua" w:hAnsi="Book Antiqua"/>
        </w:rPr>
        <w:t xml:space="preserve"> J, </w:t>
      </w:r>
      <w:proofErr w:type="spellStart"/>
      <w:r>
        <w:rPr>
          <w:rStyle w:val="Ohne"/>
          <w:rFonts w:ascii="Book Antiqua" w:hAnsi="Book Antiqua"/>
        </w:rPr>
        <w:t>Vorisek</w:t>
      </w:r>
      <w:proofErr w:type="spellEnd"/>
      <w:r>
        <w:rPr>
          <w:rStyle w:val="Ohne"/>
          <w:rFonts w:ascii="Book Antiqua" w:hAnsi="Book Antiqua"/>
        </w:rPr>
        <w:t xml:space="preserve"> V, </w:t>
      </w:r>
      <w:proofErr w:type="spellStart"/>
      <w:r>
        <w:rPr>
          <w:rStyle w:val="Ohne"/>
          <w:rFonts w:ascii="Book Antiqua" w:hAnsi="Book Antiqua"/>
        </w:rPr>
        <w:t>Kopacova</w:t>
      </w:r>
      <w:proofErr w:type="spellEnd"/>
      <w:r>
        <w:rPr>
          <w:rStyle w:val="Ohne"/>
          <w:rFonts w:ascii="Book Antiqua" w:hAnsi="Book Antiqua"/>
        </w:rPr>
        <w:t xml:space="preserve"> M. Small intestinal bacterial overgrowth syndrome. </w:t>
      </w:r>
      <w:r>
        <w:rPr>
          <w:rStyle w:val="Ohne"/>
          <w:rFonts w:ascii="Book Antiqua" w:hAnsi="Book Antiqua"/>
          <w:i/>
          <w:iCs/>
        </w:rPr>
        <w:t xml:space="preserve">World J </w:t>
      </w:r>
      <w:proofErr w:type="spellStart"/>
      <w:r>
        <w:rPr>
          <w:rStyle w:val="Ohne"/>
          <w:rFonts w:ascii="Book Antiqua" w:hAnsi="Book Antiqua"/>
          <w:i/>
          <w:iCs/>
        </w:rPr>
        <w:t>Gastroenterol</w:t>
      </w:r>
      <w:proofErr w:type="spellEnd"/>
      <w:r>
        <w:rPr>
          <w:rStyle w:val="Ohne"/>
          <w:rFonts w:ascii="Book Antiqua" w:hAnsi="Book Antiqua"/>
        </w:rPr>
        <w:t> 2010; </w:t>
      </w:r>
      <w:r>
        <w:rPr>
          <w:rStyle w:val="Ohne"/>
          <w:rFonts w:ascii="Book Antiqua" w:hAnsi="Book Antiqua"/>
          <w:b/>
          <w:bCs/>
        </w:rPr>
        <w:t>16</w:t>
      </w:r>
      <w:r>
        <w:rPr>
          <w:rStyle w:val="Ohne"/>
          <w:rFonts w:ascii="Book Antiqua" w:hAnsi="Book Antiqua"/>
        </w:rPr>
        <w:t>: 2978-2990 [PMID: 20572300 DOI: 10.3748/wjg.v16.i24.2978]</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2 </w:t>
      </w:r>
      <w:proofErr w:type="spellStart"/>
      <w:r>
        <w:rPr>
          <w:rStyle w:val="Ohne"/>
          <w:rFonts w:ascii="Book Antiqua" w:hAnsi="Book Antiqua"/>
          <w:b/>
          <w:bCs/>
        </w:rPr>
        <w:t>Lauritano</w:t>
      </w:r>
      <w:proofErr w:type="spellEnd"/>
      <w:r>
        <w:rPr>
          <w:rStyle w:val="Ohne"/>
          <w:rFonts w:ascii="Book Antiqua" w:hAnsi="Book Antiqua"/>
          <w:b/>
          <w:bCs/>
        </w:rPr>
        <w:t xml:space="preserve"> EC</w:t>
      </w:r>
      <w:r>
        <w:rPr>
          <w:rStyle w:val="Ohne"/>
          <w:rFonts w:ascii="Book Antiqua" w:hAnsi="Book Antiqua"/>
        </w:rPr>
        <w:t xml:space="preserve">, </w:t>
      </w:r>
      <w:proofErr w:type="spellStart"/>
      <w:r>
        <w:rPr>
          <w:rStyle w:val="Ohne"/>
          <w:rFonts w:ascii="Book Antiqua" w:hAnsi="Book Antiqua"/>
        </w:rPr>
        <w:t>Gabrielli</w:t>
      </w:r>
      <w:proofErr w:type="spellEnd"/>
      <w:r>
        <w:rPr>
          <w:rStyle w:val="Ohne"/>
          <w:rFonts w:ascii="Book Antiqua" w:hAnsi="Book Antiqua"/>
        </w:rPr>
        <w:t xml:space="preserve"> M, </w:t>
      </w:r>
      <w:proofErr w:type="spellStart"/>
      <w:r>
        <w:rPr>
          <w:rStyle w:val="Ohne"/>
          <w:rFonts w:ascii="Book Antiqua" w:hAnsi="Book Antiqua"/>
        </w:rPr>
        <w:t>Scarpellini</w:t>
      </w:r>
      <w:proofErr w:type="spellEnd"/>
      <w:r>
        <w:rPr>
          <w:rStyle w:val="Ohne"/>
          <w:rFonts w:ascii="Book Antiqua" w:hAnsi="Book Antiqua"/>
        </w:rPr>
        <w:t xml:space="preserve"> E, </w:t>
      </w:r>
      <w:proofErr w:type="spellStart"/>
      <w:r>
        <w:rPr>
          <w:rStyle w:val="Ohne"/>
          <w:rFonts w:ascii="Book Antiqua" w:hAnsi="Book Antiqua"/>
        </w:rPr>
        <w:t>Lupascu</w:t>
      </w:r>
      <w:proofErr w:type="spellEnd"/>
      <w:r>
        <w:rPr>
          <w:rStyle w:val="Ohne"/>
          <w:rFonts w:ascii="Book Antiqua" w:hAnsi="Book Antiqua"/>
        </w:rPr>
        <w:t xml:space="preserve"> A, Novi M, </w:t>
      </w:r>
      <w:proofErr w:type="spellStart"/>
      <w:r>
        <w:rPr>
          <w:rStyle w:val="Ohne"/>
          <w:rFonts w:ascii="Book Antiqua" w:hAnsi="Book Antiqua"/>
        </w:rPr>
        <w:t>Sottili</w:t>
      </w:r>
      <w:proofErr w:type="spellEnd"/>
      <w:r>
        <w:rPr>
          <w:rStyle w:val="Ohne"/>
          <w:rFonts w:ascii="Book Antiqua" w:hAnsi="Book Antiqua"/>
        </w:rPr>
        <w:t xml:space="preserve"> S, Vitale G, </w:t>
      </w:r>
      <w:proofErr w:type="spellStart"/>
      <w:r>
        <w:rPr>
          <w:rStyle w:val="Ohne"/>
          <w:rFonts w:ascii="Book Antiqua" w:hAnsi="Book Antiqua"/>
        </w:rPr>
        <w:t>Cesario</w:t>
      </w:r>
      <w:proofErr w:type="spellEnd"/>
      <w:r>
        <w:rPr>
          <w:rStyle w:val="Ohne"/>
          <w:rFonts w:ascii="Book Antiqua" w:hAnsi="Book Antiqua"/>
        </w:rPr>
        <w:t xml:space="preserve"> V, </w:t>
      </w:r>
      <w:proofErr w:type="spellStart"/>
      <w:r>
        <w:rPr>
          <w:rStyle w:val="Ohne"/>
          <w:rFonts w:ascii="Book Antiqua" w:hAnsi="Book Antiqua"/>
        </w:rPr>
        <w:t>Serricchio</w:t>
      </w:r>
      <w:proofErr w:type="spellEnd"/>
      <w:r>
        <w:rPr>
          <w:rStyle w:val="Ohne"/>
          <w:rFonts w:ascii="Book Antiqua" w:hAnsi="Book Antiqua"/>
        </w:rPr>
        <w:t xml:space="preserve"> M, </w:t>
      </w:r>
      <w:proofErr w:type="spellStart"/>
      <w:r>
        <w:rPr>
          <w:rStyle w:val="Ohne"/>
          <w:rFonts w:ascii="Book Antiqua" w:hAnsi="Book Antiqua"/>
        </w:rPr>
        <w:t>Cammarota</w:t>
      </w:r>
      <w:proofErr w:type="spellEnd"/>
      <w:r>
        <w:rPr>
          <w:rStyle w:val="Ohne"/>
          <w:rFonts w:ascii="Book Antiqua" w:hAnsi="Book Antiqua"/>
        </w:rPr>
        <w:t xml:space="preserve"> G, </w:t>
      </w:r>
      <w:proofErr w:type="spellStart"/>
      <w:r>
        <w:rPr>
          <w:rStyle w:val="Ohne"/>
          <w:rFonts w:ascii="Book Antiqua" w:hAnsi="Book Antiqua"/>
        </w:rPr>
        <w:t>Gasbarrini</w:t>
      </w:r>
      <w:proofErr w:type="spellEnd"/>
      <w:r>
        <w:rPr>
          <w:rStyle w:val="Ohne"/>
          <w:rFonts w:ascii="Book Antiqua" w:hAnsi="Book Antiqua"/>
        </w:rPr>
        <w:t xml:space="preserve"> G, </w:t>
      </w:r>
      <w:proofErr w:type="spellStart"/>
      <w:r>
        <w:rPr>
          <w:rStyle w:val="Ohne"/>
          <w:rFonts w:ascii="Book Antiqua" w:hAnsi="Book Antiqua"/>
        </w:rPr>
        <w:t>Gasbarrini</w:t>
      </w:r>
      <w:proofErr w:type="spellEnd"/>
      <w:r>
        <w:rPr>
          <w:rStyle w:val="Ohne"/>
          <w:rFonts w:ascii="Book Antiqua" w:hAnsi="Book Antiqua"/>
        </w:rPr>
        <w:t xml:space="preserve"> A. Small intestinal bacterial overgrowth recurrence after antibiotic therapy. </w:t>
      </w:r>
      <w:r>
        <w:rPr>
          <w:rStyle w:val="Ohne"/>
          <w:rFonts w:ascii="Book Antiqua" w:hAnsi="Book Antiqua"/>
          <w:i/>
          <w:iCs/>
        </w:rPr>
        <w:t xml:space="preserve">Am J </w:t>
      </w:r>
      <w:proofErr w:type="spellStart"/>
      <w:r>
        <w:rPr>
          <w:rStyle w:val="Ohne"/>
          <w:rFonts w:ascii="Book Antiqua" w:hAnsi="Book Antiqua"/>
          <w:i/>
          <w:iCs/>
        </w:rPr>
        <w:t>Gastroenterol</w:t>
      </w:r>
      <w:proofErr w:type="spellEnd"/>
      <w:r>
        <w:rPr>
          <w:rStyle w:val="Ohne"/>
          <w:rFonts w:ascii="Book Antiqua" w:hAnsi="Book Antiqua"/>
        </w:rPr>
        <w:t> 2008; </w:t>
      </w:r>
      <w:r>
        <w:rPr>
          <w:rStyle w:val="Ohne"/>
          <w:rFonts w:ascii="Book Antiqua" w:hAnsi="Book Antiqua"/>
          <w:b/>
          <w:bCs/>
        </w:rPr>
        <w:t>103</w:t>
      </w:r>
      <w:r>
        <w:rPr>
          <w:rStyle w:val="Ohne"/>
          <w:rFonts w:ascii="Book Antiqua" w:hAnsi="Book Antiqua"/>
        </w:rPr>
        <w:t>: 2031-2035 [PMID: 18802998 DOI: 10.1111/j.1572-0241.2008.02030.x]</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3 </w:t>
      </w:r>
      <w:proofErr w:type="spellStart"/>
      <w:r>
        <w:rPr>
          <w:rStyle w:val="Ohne"/>
          <w:rFonts w:ascii="Book Antiqua" w:hAnsi="Book Antiqua"/>
          <w:b/>
          <w:bCs/>
        </w:rPr>
        <w:t>Urita</w:t>
      </w:r>
      <w:proofErr w:type="spellEnd"/>
      <w:r>
        <w:rPr>
          <w:rStyle w:val="Ohne"/>
          <w:rFonts w:ascii="Book Antiqua" w:hAnsi="Book Antiqua"/>
          <w:b/>
          <w:bCs/>
        </w:rPr>
        <w:t xml:space="preserve"> Y</w:t>
      </w:r>
      <w:r>
        <w:rPr>
          <w:rStyle w:val="Ohne"/>
          <w:rFonts w:ascii="Book Antiqua" w:hAnsi="Book Antiqua"/>
        </w:rPr>
        <w:t xml:space="preserve">, Watanabe T, Maeda T, </w:t>
      </w:r>
      <w:proofErr w:type="spellStart"/>
      <w:r>
        <w:rPr>
          <w:rStyle w:val="Ohne"/>
          <w:rFonts w:ascii="Book Antiqua" w:hAnsi="Book Antiqua"/>
        </w:rPr>
        <w:t>Arita</w:t>
      </w:r>
      <w:proofErr w:type="spellEnd"/>
      <w:r>
        <w:rPr>
          <w:rStyle w:val="Ohne"/>
          <w:rFonts w:ascii="Book Antiqua" w:hAnsi="Book Antiqua"/>
        </w:rPr>
        <w:t xml:space="preserve"> T, Sasaki Y, Ishii T, Yamamoto T, </w:t>
      </w:r>
      <w:proofErr w:type="spellStart"/>
      <w:r>
        <w:rPr>
          <w:rStyle w:val="Ohne"/>
          <w:rFonts w:ascii="Book Antiqua" w:hAnsi="Book Antiqua"/>
        </w:rPr>
        <w:t>Kugahara</w:t>
      </w:r>
      <w:proofErr w:type="spellEnd"/>
      <w:r>
        <w:rPr>
          <w:rStyle w:val="Ohne"/>
          <w:rFonts w:ascii="Book Antiqua" w:hAnsi="Book Antiqua"/>
        </w:rPr>
        <w:t xml:space="preserve"> A, Nakayama A, </w:t>
      </w:r>
      <w:proofErr w:type="spellStart"/>
      <w:r>
        <w:rPr>
          <w:rStyle w:val="Ohne"/>
          <w:rFonts w:ascii="Book Antiqua" w:hAnsi="Book Antiqua"/>
        </w:rPr>
        <w:t>Nanami</w:t>
      </w:r>
      <w:proofErr w:type="spellEnd"/>
      <w:r>
        <w:rPr>
          <w:rStyle w:val="Ohne"/>
          <w:rFonts w:ascii="Book Antiqua" w:hAnsi="Book Antiqua"/>
        </w:rPr>
        <w:t xml:space="preserve"> M, </w:t>
      </w:r>
      <w:proofErr w:type="spellStart"/>
      <w:r>
        <w:rPr>
          <w:rStyle w:val="Ohne"/>
          <w:rFonts w:ascii="Book Antiqua" w:hAnsi="Book Antiqua"/>
        </w:rPr>
        <w:t>Domon</w:t>
      </w:r>
      <w:proofErr w:type="spellEnd"/>
      <w:r>
        <w:rPr>
          <w:rStyle w:val="Ohne"/>
          <w:rFonts w:ascii="Book Antiqua" w:hAnsi="Book Antiqua"/>
        </w:rPr>
        <w:t xml:space="preserve"> K, Ishihara S, Kato H, Hike K, Hara N, Watanabe S, Nakanishi K, Sugimoto M, Miki K. Extensive atrophic gastritis increases </w:t>
      </w:r>
      <w:proofErr w:type="spellStart"/>
      <w:r>
        <w:rPr>
          <w:rStyle w:val="Ohne"/>
          <w:rFonts w:ascii="Book Antiqua" w:hAnsi="Book Antiqua"/>
        </w:rPr>
        <w:t>intraduodenal</w:t>
      </w:r>
      <w:proofErr w:type="spellEnd"/>
      <w:r>
        <w:rPr>
          <w:rStyle w:val="Ohne"/>
          <w:rFonts w:ascii="Book Antiqua" w:hAnsi="Book Antiqua"/>
        </w:rPr>
        <w:t xml:space="preserve"> hydrogen gas. </w:t>
      </w:r>
      <w:proofErr w:type="spellStart"/>
      <w:r>
        <w:rPr>
          <w:rStyle w:val="Ohne"/>
          <w:rFonts w:ascii="Book Antiqua" w:hAnsi="Book Antiqua"/>
          <w:i/>
          <w:iCs/>
        </w:rPr>
        <w:t>Gastroenterol</w:t>
      </w:r>
      <w:proofErr w:type="spellEnd"/>
      <w:r>
        <w:rPr>
          <w:rStyle w:val="Ohne"/>
          <w:rFonts w:ascii="Book Antiqua" w:hAnsi="Book Antiqua"/>
          <w:i/>
          <w:iCs/>
        </w:rPr>
        <w:t xml:space="preserve"> Res </w:t>
      </w:r>
      <w:proofErr w:type="spellStart"/>
      <w:r>
        <w:rPr>
          <w:rStyle w:val="Ohne"/>
          <w:rFonts w:ascii="Book Antiqua" w:hAnsi="Book Antiqua"/>
          <w:i/>
          <w:iCs/>
        </w:rPr>
        <w:t>Pract</w:t>
      </w:r>
      <w:proofErr w:type="spellEnd"/>
      <w:r>
        <w:rPr>
          <w:rStyle w:val="Ohne"/>
          <w:rFonts w:ascii="Book Antiqua" w:hAnsi="Book Antiqua"/>
        </w:rPr>
        <w:t> 2008; </w:t>
      </w:r>
      <w:r>
        <w:rPr>
          <w:rStyle w:val="Ohne"/>
          <w:rFonts w:ascii="Book Antiqua" w:hAnsi="Book Antiqua"/>
          <w:b/>
          <w:bCs/>
        </w:rPr>
        <w:t>2008</w:t>
      </w:r>
      <w:r>
        <w:rPr>
          <w:rStyle w:val="Ohne"/>
          <w:rFonts w:ascii="Book Antiqua" w:hAnsi="Book Antiqua"/>
        </w:rPr>
        <w:t>: 584929 [PMID: 18795142 DOI: 10.1155/2008/584929]</w:t>
      </w:r>
    </w:p>
    <w:p w:rsidR="00343223" w:rsidRDefault="00C30E23">
      <w:pPr>
        <w:spacing w:line="360" w:lineRule="auto"/>
        <w:jc w:val="both"/>
        <w:rPr>
          <w:rStyle w:val="Ohne"/>
          <w:rFonts w:ascii="Book Antiqua" w:eastAsia="Book Antiqua" w:hAnsi="Book Antiqua" w:cs="Book Antiqua"/>
        </w:rPr>
      </w:pPr>
      <w:proofErr w:type="gramStart"/>
      <w:r>
        <w:rPr>
          <w:rStyle w:val="Ohne"/>
          <w:rFonts w:ascii="Book Antiqua" w:hAnsi="Book Antiqua"/>
        </w:rPr>
        <w:t>4 </w:t>
      </w:r>
      <w:proofErr w:type="spellStart"/>
      <w:r>
        <w:rPr>
          <w:rStyle w:val="Ohne"/>
          <w:rFonts w:ascii="Book Antiqua" w:hAnsi="Book Antiqua"/>
          <w:b/>
          <w:bCs/>
        </w:rPr>
        <w:t>Ardatskaia</w:t>
      </w:r>
      <w:proofErr w:type="spellEnd"/>
      <w:r>
        <w:rPr>
          <w:rStyle w:val="Ohne"/>
          <w:rFonts w:ascii="Book Antiqua" w:hAnsi="Book Antiqua"/>
          <w:b/>
          <w:bCs/>
        </w:rPr>
        <w:t xml:space="preserve"> MD</w:t>
      </w:r>
      <w:r>
        <w:rPr>
          <w:rStyle w:val="Ohne"/>
          <w:rFonts w:ascii="Book Antiqua" w:hAnsi="Book Antiqua"/>
        </w:rPr>
        <w:t xml:space="preserve">, </w:t>
      </w:r>
      <w:proofErr w:type="spellStart"/>
      <w:r>
        <w:rPr>
          <w:rStyle w:val="Ohne"/>
          <w:rFonts w:ascii="Book Antiqua" w:hAnsi="Book Antiqua"/>
        </w:rPr>
        <w:t>Loginov</w:t>
      </w:r>
      <w:proofErr w:type="spellEnd"/>
      <w:r>
        <w:rPr>
          <w:rStyle w:val="Ohne"/>
          <w:rFonts w:ascii="Book Antiqua" w:hAnsi="Book Antiqua"/>
        </w:rPr>
        <w:t xml:space="preserve"> VA, </w:t>
      </w:r>
      <w:proofErr w:type="spellStart"/>
      <w:r>
        <w:rPr>
          <w:rStyle w:val="Ohne"/>
          <w:rFonts w:ascii="Book Antiqua" w:hAnsi="Book Antiqua"/>
        </w:rPr>
        <w:t>Minushkin</w:t>
      </w:r>
      <w:proofErr w:type="spellEnd"/>
      <w:r>
        <w:rPr>
          <w:rStyle w:val="Ohne"/>
          <w:rFonts w:ascii="Book Antiqua" w:hAnsi="Book Antiqua"/>
        </w:rPr>
        <w:t xml:space="preserve"> ON.</w:t>
      </w:r>
      <w:proofErr w:type="gramEnd"/>
      <w:r>
        <w:rPr>
          <w:rStyle w:val="Ohne"/>
          <w:rFonts w:ascii="Book Antiqua" w:hAnsi="Book Antiqua"/>
        </w:rPr>
        <w:t xml:space="preserve"> [Syndrome of bacterial overgrowth in patients with the reduced stomach acid secretion: some aspects of the diagnosis]. </w:t>
      </w:r>
      <w:proofErr w:type="spellStart"/>
      <w:r>
        <w:rPr>
          <w:rStyle w:val="Ohne"/>
          <w:rFonts w:ascii="Book Antiqua" w:hAnsi="Book Antiqua"/>
          <w:i/>
          <w:iCs/>
        </w:rPr>
        <w:t>Eksp</w:t>
      </w:r>
      <w:proofErr w:type="spellEnd"/>
      <w:r>
        <w:rPr>
          <w:rStyle w:val="Ohne"/>
          <w:rFonts w:ascii="Book Antiqua" w:hAnsi="Book Antiqua"/>
          <w:i/>
          <w:iCs/>
        </w:rPr>
        <w:t xml:space="preserve"> </w:t>
      </w:r>
      <w:proofErr w:type="spellStart"/>
      <w:r>
        <w:rPr>
          <w:rStyle w:val="Ohne"/>
          <w:rFonts w:ascii="Book Antiqua" w:hAnsi="Book Antiqua"/>
          <w:i/>
          <w:iCs/>
        </w:rPr>
        <w:t>Klin</w:t>
      </w:r>
      <w:proofErr w:type="spellEnd"/>
      <w:r>
        <w:rPr>
          <w:rStyle w:val="Ohne"/>
          <w:rFonts w:ascii="Book Antiqua" w:hAnsi="Book Antiqua"/>
          <w:i/>
          <w:iCs/>
        </w:rPr>
        <w:t xml:space="preserve"> </w:t>
      </w:r>
      <w:proofErr w:type="spellStart"/>
      <w:r>
        <w:rPr>
          <w:rStyle w:val="Ohne"/>
          <w:rFonts w:ascii="Book Antiqua" w:hAnsi="Book Antiqua"/>
          <w:i/>
          <w:iCs/>
        </w:rPr>
        <w:t>Gastroenterol</w:t>
      </w:r>
      <w:proofErr w:type="spellEnd"/>
      <w:r>
        <w:rPr>
          <w:rStyle w:val="Ohne"/>
          <w:rFonts w:ascii="Book Antiqua" w:hAnsi="Book Antiqua"/>
        </w:rPr>
        <w:t> 2014;</w:t>
      </w:r>
      <w:r>
        <w:rPr>
          <w:rStyle w:val="Ohne"/>
          <w:rFonts w:ascii="Book Antiqua" w:hAnsi="Book Antiqua"/>
          <w:b/>
          <w:bCs/>
        </w:rPr>
        <w:t> (12)</w:t>
      </w:r>
      <w:r>
        <w:rPr>
          <w:rStyle w:val="Ohne"/>
          <w:rFonts w:ascii="Book Antiqua" w:hAnsi="Book Antiqua"/>
        </w:rPr>
        <w:t>: 30-36 [PMID: 26058109]</w:t>
      </w:r>
    </w:p>
    <w:p w:rsidR="00343223" w:rsidRDefault="00C30E23">
      <w:pPr>
        <w:spacing w:line="360" w:lineRule="auto"/>
        <w:jc w:val="both"/>
        <w:rPr>
          <w:rStyle w:val="Ohne"/>
          <w:rFonts w:ascii="Book Antiqua" w:eastAsia="Book Antiqua" w:hAnsi="Book Antiqua" w:cs="Book Antiqua"/>
        </w:rPr>
      </w:pPr>
      <w:proofErr w:type="gramStart"/>
      <w:r>
        <w:rPr>
          <w:rStyle w:val="Ohne"/>
          <w:rFonts w:ascii="Book Antiqua" w:hAnsi="Book Antiqua"/>
        </w:rPr>
        <w:t>5 </w:t>
      </w:r>
      <w:r>
        <w:rPr>
          <w:rStyle w:val="Ohne"/>
          <w:rFonts w:ascii="Book Antiqua" w:hAnsi="Book Antiqua"/>
          <w:b/>
          <w:bCs/>
        </w:rPr>
        <w:t>Lo WK</w:t>
      </w:r>
      <w:r>
        <w:rPr>
          <w:rStyle w:val="Ohne"/>
          <w:rFonts w:ascii="Book Antiqua" w:hAnsi="Book Antiqua"/>
        </w:rPr>
        <w:t>, Chan WW.</w:t>
      </w:r>
      <w:proofErr w:type="gramEnd"/>
      <w:r>
        <w:rPr>
          <w:rStyle w:val="Ohne"/>
          <w:rFonts w:ascii="Book Antiqua" w:hAnsi="Book Antiqua"/>
        </w:rPr>
        <w:t xml:space="preserve"> Proton pump inhibitor use and the risk of small intestinal bacterial overgrowth: a meta-analysis. </w:t>
      </w:r>
      <w:proofErr w:type="spellStart"/>
      <w:r>
        <w:rPr>
          <w:rStyle w:val="Ohne"/>
          <w:rFonts w:ascii="Book Antiqua" w:hAnsi="Book Antiqua"/>
          <w:i/>
          <w:iCs/>
        </w:rPr>
        <w:t>Clin</w:t>
      </w:r>
      <w:proofErr w:type="spellEnd"/>
      <w:r>
        <w:rPr>
          <w:rStyle w:val="Ohne"/>
          <w:rFonts w:ascii="Book Antiqua" w:hAnsi="Book Antiqua"/>
          <w:i/>
          <w:iCs/>
        </w:rPr>
        <w:t xml:space="preserve"> </w:t>
      </w:r>
      <w:proofErr w:type="spellStart"/>
      <w:r>
        <w:rPr>
          <w:rStyle w:val="Ohne"/>
          <w:rFonts w:ascii="Book Antiqua" w:hAnsi="Book Antiqua"/>
          <w:i/>
          <w:iCs/>
        </w:rPr>
        <w:t>Gastroenterol</w:t>
      </w:r>
      <w:proofErr w:type="spellEnd"/>
      <w:r>
        <w:rPr>
          <w:rStyle w:val="Ohne"/>
          <w:rFonts w:ascii="Book Antiqua" w:hAnsi="Book Antiqua"/>
          <w:i/>
          <w:iCs/>
        </w:rPr>
        <w:t xml:space="preserve"> </w:t>
      </w:r>
      <w:proofErr w:type="spellStart"/>
      <w:r>
        <w:rPr>
          <w:rStyle w:val="Ohne"/>
          <w:rFonts w:ascii="Book Antiqua" w:hAnsi="Book Antiqua"/>
          <w:i/>
          <w:iCs/>
        </w:rPr>
        <w:t>Hepatol</w:t>
      </w:r>
      <w:proofErr w:type="spellEnd"/>
      <w:r>
        <w:rPr>
          <w:rStyle w:val="Ohne"/>
          <w:rFonts w:ascii="Book Antiqua" w:hAnsi="Book Antiqua"/>
        </w:rPr>
        <w:t> 2013; </w:t>
      </w:r>
      <w:r>
        <w:rPr>
          <w:rStyle w:val="Ohne"/>
          <w:rFonts w:ascii="Book Antiqua" w:hAnsi="Book Antiqua"/>
          <w:b/>
          <w:bCs/>
        </w:rPr>
        <w:t>11</w:t>
      </w:r>
      <w:r>
        <w:rPr>
          <w:rStyle w:val="Ohne"/>
          <w:rFonts w:ascii="Book Antiqua" w:hAnsi="Book Antiqua"/>
        </w:rPr>
        <w:t>: 483-490 [PMID: 23270866 DOI: 10.1016/j.cgh.2012.12.011]</w:t>
      </w:r>
    </w:p>
    <w:p w:rsidR="00343223" w:rsidRDefault="00C30E23">
      <w:pPr>
        <w:spacing w:line="360" w:lineRule="auto"/>
        <w:jc w:val="both"/>
        <w:rPr>
          <w:rStyle w:val="Ohne"/>
          <w:rFonts w:ascii="Book Antiqua" w:eastAsia="Book Antiqua" w:hAnsi="Book Antiqua" w:cs="Book Antiqua"/>
        </w:rPr>
      </w:pPr>
      <w:proofErr w:type="gramStart"/>
      <w:r>
        <w:rPr>
          <w:rStyle w:val="Ohne"/>
          <w:rFonts w:ascii="Book Antiqua" w:hAnsi="Book Antiqua"/>
        </w:rPr>
        <w:t>6 </w:t>
      </w:r>
      <w:proofErr w:type="spellStart"/>
      <w:r>
        <w:rPr>
          <w:rStyle w:val="Ohne"/>
          <w:rFonts w:ascii="Book Antiqua" w:hAnsi="Book Antiqua"/>
          <w:b/>
          <w:bCs/>
        </w:rPr>
        <w:t>Iivonen</w:t>
      </w:r>
      <w:proofErr w:type="spellEnd"/>
      <w:r>
        <w:rPr>
          <w:rStyle w:val="Ohne"/>
          <w:rFonts w:ascii="Book Antiqua" w:hAnsi="Book Antiqua"/>
          <w:b/>
          <w:bCs/>
        </w:rPr>
        <w:t xml:space="preserve"> MK</w:t>
      </w:r>
      <w:r>
        <w:rPr>
          <w:rStyle w:val="Ohne"/>
          <w:rFonts w:ascii="Book Antiqua" w:hAnsi="Book Antiqua"/>
        </w:rPr>
        <w:t xml:space="preserve">, </w:t>
      </w:r>
      <w:proofErr w:type="spellStart"/>
      <w:r>
        <w:rPr>
          <w:rStyle w:val="Ohne"/>
          <w:rFonts w:ascii="Book Antiqua" w:hAnsi="Book Antiqua"/>
        </w:rPr>
        <w:t>Ahola</w:t>
      </w:r>
      <w:proofErr w:type="spellEnd"/>
      <w:r>
        <w:rPr>
          <w:rStyle w:val="Ohne"/>
          <w:rFonts w:ascii="Book Antiqua" w:hAnsi="Book Antiqua"/>
        </w:rPr>
        <w:t xml:space="preserve"> TO, </w:t>
      </w:r>
      <w:proofErr w:type="spellStart"/>
      <w:r>
        <w:rPr>
          <w:rStyle w:val="Ohne"/>
          <w:rFonts w:ascii="Book Antiqua" w:hAnsi="Book Antiqua"/>
        </w:rPr>
        <w:t>Matikainen</w:t>
      </w:r>
      <w:proofErr w:type="spellEnd"/>
      <w:r>
        <w:rPr>
          <w:rStyle w:val="Ohne"/>
          <w:rFonts w:ascii="Book Antiqua" w:hAnsi="Book Antiqua"/>
        </w:rPr>
        <w:t xml:space="preserve"> MJ.</w:t>
      </w:r>
      <w:proofErr w:type="gramEnd"/>
      <w:r>
        <w:rPr>
          <w:rStyle w:val="Ohne"/>
          <w:rFonts w:ascii="Book Antiqua" w:hAnsi="Book Antiqua"/>
        </w:rPr>
        <w:t xml:space="preserve"> </w:t>
      </w:r>
      <w:proofErr w:type="gramStart"/>
      <w:r>
        <w:rPr>
          <w:rStyle w:val="Ohne"/>
          <w:rFonts w:ascii="Book Antiqua" w:hAnsi="Book Antiqua"/>
        </w:rPr>
        <w:t>Bacterial overgrowth, intestinal transit, and nutrition after total gastrectomy.</w:t>
      </w:r>
      <w:proofErr w:type="gramEnd"/>
      <w:r>
        <w:rPr>
          <w:rStyle w:val="Ohne"/>
          <w:rFonts w:ascii="Book Antiqua" w:hAnsi="Book Antiqua"/>
        </w:rPr>
        <w:t xml:space="preserve"> </w:t>
      </w:r>
      <w:proofErr w:type="gramStart"/>
      <w:r>
        <w:rPr>
          <w:rStyle w:val="Ohne"/>
          <w:rFonts w:ascii="Book Antiqua" w:hAnsi="Book Antiqua"/>
        </w:rPr>
        <w:t xml:space="preserve">Comparison of a </w:t>
      </w:r>
      <w:proofErr w:type="spellStart"/>
      <w:r>
        <w:rPr>
          <w:rStyle w:val="Ohne"/>
          <w:rFonts w:ascii="Book Antiqua" w:hAnsi="Book Antiqua"/>
        </w:rPr>
        <w:t>jejunal</w:t>
      </w:r>
      <w:proofErr w:type="spellEnd"/>
      <w:r>
        <w:rPr>
          <w:rStyle w:val="Ohne"/>
          <w:rFonts w:ascii="Book Antiqua" w:hAnsi="Book Antiqua"/>
        </w:rPr>
        <w:t xml:space="preserve"> pouch with Roux-en-Y reconstruction in a prospective random study.</w:t>
      </w:r>
      <w:proofErr w:type="gramEnd"/>
      <w:r>
        <w:rPr>
          <w:rStyle w:val="Ohne"/>
          <w:rFonts w:ascii="Book Antiqua" w:hAnsi="Book Antiqua"/>
        </w:rPr>
        <w:t> </w:t>
      </w:r>
      <w:proofErr w:type="spellStart"/>
      <w:r>
        <w:rPr>
          <w:rStyle w:val="Ohne"/>
          <w:rFonts w:ascii="Book Antiqua" w:hAnsi="Book Antiqua"/>
          <w:i/>
          <w:iCs/>
        </w:rPr>
        <w:t>Scand</w:t>
      </w:r>
      <w:proofErr w:type="spellEnd"/>
      <w:r>
        <w:rPr>
          <w:rStyle w:val="Ohne"/>
          <w:rFonts w:ascii="Book Antiqua" w:hAnsi="Book Antiqua"/>
          <w:i/>
          <w:iCs/>
        </w:rPr>
        <w:t xml:space="preserve"> J </w:t>
      </w:r>
      <w:proofErr w:type="spellStart"/>
      <w:r>
        <w:rPr>
          <w:rStyle w:val="Ohne"/>
          <w:rFonts w:ascii="Book Antiqua" w:hAnsi="Book Antiqua"/>
          <w:i/>
          <w:iCs/>
        </w:rPr>
        <w:t>Gastroenterol</w:t>
      </w:r>
      <w:proofErr w:type="spellEnd"/>
      <w:r>
        <w:rPr>
          <w:rStyle w:val="Ohne"/>
          <w:rFonts w:ascii="Book Antiqua" w:hAnsi="Book Antiqua"/>
        </w:rPr>
        <w:t> 1998; </w:t>
      </w:r>
      <w:r>
        <w:rPr>
          <w:rStyle w:val="Ohne"/>
          <w:rFonts w:ascii="Book Antiqua" w:hAnsi="Book Antiqua"/>
          <w:b/>
          <w:bCs/>
        </w:rPr>
        <w:t>33</w:t>
      </w:r>
      <w:r>
        <w:rPr>
          <w:rStyle w:val="Ohne"/>
          <w:rFonts w:ascii="Book Antiqua" w:hAnsi="Book Antiqua"/>
        </w:rPr>
        <w:t>: 63-70 [PMID: 9489910]</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7 </w:t>
      </w:r>
      <w:r>
        <w:rPr>
          <w:rStyle w:val="Ohne"/>
          <w:rFonts w:ascii="Book Antiqua" w:hAnsi="Book Antiqua"/>
          <w:b/>
          <w:bCs/>
        </w:rPr>
        <w:t>Paik CN</w:t>
      </w:r>
      <w:r>
        <w:rPr>
          <w:rStyle w:val="Ohne"/>
          <w:rFonts w:ascii="Book Antiqua" w:hAnsi="Book Antiqua"/>
        </w:rPr>
        <w:t xml:space="preserve">, Choi MG, Lim CH, Park JM, Chung WC, Lee KM, Jun KH, Song KY, Jeon HM, Chin HM, Park CH, Chung IS. </w:t>
      </w:r>
      <w:proofErr w:type="gramStart"/>
      <w:r>
        <w:rPr>
          <w:rStyle w:val="Ohne"/>
          <w:rFonts w:ascii="Book Antiqua" w:hAnsi="Book Antiqua"/>
        </w:rPr>
        <w:t xml:space="preserve">The role of small intestinal bacterial overgrowth in </w:t>
      </w:r>
      <w:proofErr w:type="spellStart"/>
      <w:r>
        <w:rPr>
          <w:rStyle w:val="Ohne"/>
          <w:rFonts w:ascii="Book Antiqua" w:hAnsi="Book Antiqua"/>
        </w:rPr>
        <w:t>postgastrectomy</w:t>
      </w:r>
      <w:proofErr w:type="spellEnd"/>
      <w:r>
        <w:rPr>
          <w:rStyle w:val="Ohne"/>
          <w:rFonts w:ascii="Book Antiqua" w:hAnsi="Book Antiqua"/>
        </w:rPr>
        <w:t xml:space="preserve"> patients.</w:t>
      </w:r>
      <w:proofErr w:type="gramEnd"/>
      <w:r>
        <w:rPr>
          <w:rStyle w:val="Ohne"/>
          <w:rFonts w:ascii="Book Antiqua" w:hAnsi="Book Antiqua"/>
        </w:rPr>
        <w:t> </w:t>
      </w:r>
      <w:proofErr w:type="spellStart"/>
      <w:r>
        <w:rPr>
          <w:rStyle w:val="Ohne"/>
          <w:rFonts w:ascii="Book Antiqua" w:hAnsi="Book Antiqua"/>
          <w:i/>
          <w:iCs/>
        </w:rPr>
        <w:t>Neurogastroenterol</w:t>
      </w:r>
      <w:proofErr w:type="spellEnd"/>
      <w:r>
        <w:rPr>
          <w:rStyle w:val="Ohne"/>
          <w:rFonts w:ascii="Book Antiqua" w:hAnsi="Book Antiqua"/>
          <w:i/>
          <w:iCs/>
        </w:rPr>
        <w:t xml:space="preserve"> </w:t>
      </w:r>
      <w:proofErr w:type="spellStart"/>
      <w:r>
        <w:rPr>
          <w:rStyle w:val="Ohne"/>
          <w:rFonts w:ascii="Book Antiqua" w:hAnsi="Book Antiqua"/>
          <w:i/>
          <w:iCs/>
        </w:rPr>
        <w:t>Motil</w:t>
      </w:r>
      <w:proofErr w:type="spellEnd"/>
      <w:r>
        <w:rPr>
          <w:rStyle w:val="Ohne"/>
          <w:rFonts w:ascii="Book Antiqua" w:hAnsi="Book Antiqua"/>
        </w:rPr>
        <w:t> 2011; </w:t>
      </w:r>
      <w:r>
        <w:rPr>
          <w:rStyle w:val="Ohne"/>
          <w:rFonts w:ascii="Book Antiqua" w:hAnsi="Book Antiqua"/>
          <w:b/>
          <w:bCs/>
        </w:rPr>
        <w:t>23</w:t>
      </w:r>
      <w:r>
        <w:rPr>
          <w:rStyle w:val="Ohne"/>
          <w:rFonts w:ascii="Book Antiqua" w:hAnsi="Book Antiqua"/>
        </w:rPr>
        <w:t>: e191-e196 [PMID: 21324050 DOI: 10.1111/j.1365-2982.2011.01686.x]</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8 </w:t>
      </w:r>
      <w:proofErr w:type="spellStart"/>
      <w:r>
        <w:rPr>
          <w:rStyle w:val="Ohne"/>
          <w:rFonts w:ascii="Book Antiqua" w:hAnsi="Book Antiqua"/>
          <w:b/>
          <w:bCs/>
        </w:rPr>
        <w:t>Petrone</w:t>
      </w:r>
      <w:proofErr w:type="spellEnd"/>
      <w:r>
        <w:rPr>
          <w:rStyle w:val="Ohne"/>
          <w:rFonts w:ascii="Book Antiqua" w:hAnsi="Book Antiqua"/>
          <w:b/>
          <w:bCs/>
        </w:rPr>
        <w:t xml:space="preserve"> P</w:t>
      </w:r>
      <w:r>
        <w:rPr>
          <w:rStyle w:val="Ohne"/>
          <w:rFonts w:ascii="Book Antiqua" w:hAnsi="Book Antiqua"/>
        </w:rPr>
        <w:t xml:space="preserve">, </w:t>
      </w:r>
      <w:proofErr w:type="spellStart"/>
      <w:r>
        <w:rPr>
          <w:rStyle w:val="Ohne"/>
          <w:rFonts w:ascii="Book Antiqua" w:hAnsi="Book Antiqua"/>
        </w:rPr>
        <w:t>Sarkisyan</w:t>
      </w:r>
      <w:proofErr w:type="spellEnd"/>
      <w:r>
        <w:rPr>
          <w:rStyle w:val="Ohne"/>
          <w:rFonts w:ascii="Book Antiqua" w:hAnsi="Book Antiqua"/>
        </w:rPr>
        <w:t xml:space="preserve"> G, </w:t>
      </w:r>
      <w:proofErr w:type="spellStart"/>
      <w:r>
        <w:rPr>
          <w:rStyle w:val="Ohne"/>
          <w:rFonts w:ascii="Book Antiqua" w:hAnsi="Book Antiqua"/>
        </w:rPr>
        <w:t>Fernández</w:t>
      </w:r>
      <w:proofErr w:type="spellEnd"/>
      <w:r>
        <w:rPr>
          <w:rStyle w:val="Ohne"/>
          <w:rFonts w:ascii="Book Antiqua" w:hAnsi="Book Antiqua"/>
        </w:rPr>
        <w:t xml:space="preserve"> M, Coloma E, </w:t>
      </w:r>
      <w:proofErr w:type="spellStart"/>
      <w:r>
        <w:rPr>
          <w:rStyle w:val="Ohne"/>
          <w:rFonts w:ascii="Book Antiqua" w:hAnsi="Book Antiqua"/>
        </w:rPr>
        <w:t>Akopian</w:t>
      </w:r>
      <w:proofErr w:type="spellEnd"/>
      <w:r>
        <w:rPr>
          <w:rStyle w:val="Ohne"/>
          <w:rFonts w:ascii="Book Antiqua" w:hAnsi="Book Antiqua"/>
        </w:rPr>
        <w:t xml:space="preserve"> G, Ortega A, Kaufman HS. </w:t>
      </w:r>
      <w:proofErr w:type="gramStart"/>
      <w:r>
        <w:rPr>
          <w:rStyle w:val="Ohne"/>
          <w:rFonts w:ascii="Book Antiqua" w:hAnsi="Book Antiqua"/>
        </w:rPr>
        <w:t>Small intestinal bacterial overgrowth in patients with lower gastrointestinal symptoms and a history of previous abdominal surgery.</w:t>
      </w:r>
      <w:proofErr w:type="gramEnd"/>
      <w:r>
        <w:rPr>
          <w:rStyle w:val="Ohne"/>
          <w:rFonts w:ascii="Book Antiqua" w:hAnsi="Book Antiqua"/>
        </w:rPr>
        <w:t> </w:t>
      </w:r>
      <w:r>
        <w:rPr>
          <w:rStyle w:val="Ohne"/>
          <w:rFonts w:ascii="Book Antiqua" w:hAnsi="Book Antiqua"/>
          <w:i/>
          <w:iCs/>
        </w:rPr>
        <w:t xml:space="preserve">Arch </w:t>
      </w:r>
      <w:proofErr w:type="spellStart"/>
      <w:r>
        <w:rPr>
          <w:rStyle w:val="Ohne"/>
          <w:rFonts w:ascii="Book Antiqua" w:hAnsi="Book Antiqua"/>
          <w:i/>
          <w:iCs/>
        </w:rPr>
        <w:t>Surg</w:t>
      </w:r>
      <w:proofErr w:type="spellEnd"/>
      <w:r>
        <w:rPr>
          <w:rStyle w:val="Ohne"/>
          <w:rFonts w:ascii="Book Antiqua" w:hAnsi="Book Antiqua"/>
        </w:rPr>
        <w:t> 2011; </w:t>
      </w:r>
      <w:r>
        <w:rPr>
          <w:rStyle w:val="Ohne"/>
          <w:rFonts w:ascii="Book Antiqua" w:hAnsi="Book Antiqua"/>
          <w:b/>
          <w:bCs/>
        </w:rPr>
        <w:t>146</w:t>
      </w:r>
      <w:r>
        <w:rPr>
          <w:rStyle w:val="Ohne"/>
          <w:rFonts w:ascii="Book Antiqua" w:hAnsi="Book Antiqua"/>
        </w:rPr>
        <w:t>: 444-447 [PMID: 21502453 DOI: 10.1001/archsurg.2011.55]</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lastRenderedPageBreak/>
        <w:t>9 </w:t>
      </w:r>
      <w:r>
        <w:rPr>
          <w:rStyle w:val="Ohne"/>
          <w:rFonts w:ascii="Book Antiqua" w:hAnsi="Book Antiqua"/>
          <w:b/>
          <w:bCs/>
        </w:rPr>
        <w:t>Lakhani SV</w:t>
      </w:r>
      <w:r>
        <w:rPr>
          <w:rStyle w:val="Ohne"/>
          <w:rFonts w:ascii="Book Antiqua" w:hAnsi="Book Antiqua"/>
        </w:rPr>
        <w:t xml:space="preserve">, Shah HN, Alexander K, </w:t>
      </w:r>
      <w:proofErr w:type="spellStart"/>
      <w:r>
        <w:rPr>
          <w:rStyle w:val="Ohne"/>
          <w:rFonts w:ascii="Book Antiqua" w:hAnsi="Book Antiqua"/>
        </w:rPr>
        <w:t>Finelli</w:t>
      </w:r>
      <w:proofErr w:type="spellEnd"/>
      <w:r>
        <w:rPr>
          <w:rStyle w:val="Ohne"/>
          <w:rFonts w:ascii="Book Antiqua" w:hAnsi="Book Antiqua"/>
        </w:rPr>
        <w:t xml:space="preserve"> FC, Kirkpatrick JR, Koch TR. Small intestinal bacterial overgrowth and thiamine deficiency after Roux-en-Y gastric bypass surgery in obese patients. </w:t>
      </w:r>
      <w:proofErr w:type="spellStart"/>
      <w:r>
        <w:rPr>
          <w:rStyle w:val="Ohne"/>
          <w:rFonts w:ascii="Book Antiqua" w:hAnsi="Book Antiqua"/>
          <w:i/>
          <w:iCs/>
        </w:rPr>
        <w:t>Nutr</w:t>
      </w:r>
      <w:proofErr w:type="spellEnd"/>
      <w:r>
        <w:rPr>
          <w:rStyle w:val="Ohne"/>
          <w:rFonts w:ascii="Book Antiqua" w:hAnsi="Book Antiqua"/>
          <w:i/>
          <w:iCs/>
        </w:rPr>
        <w:t xml:space="preserve"> Res</w:t>
      </w:r>
      <w:r>
        <w:rPr>
          <w:rStyle w:val="Ohne"/>
          <w:rFonts w:ascii="Book Antiqua" w:hAnsi="Book Antiqua"/>
        </w:rPr>
        <w:t> 2008; </w:t>
      </w:r>
      <w:r>
        <w:rPr>
          <w:rStyle w:val="Ohne"/>
          <w:rFonts w:ascii="Book Antiqua" w:hAnsi="Book Antiqua"/>
          <w:b/>
          <w:bCs/>
        </w:rPr>
        <w:t>28</w:t>
      </w:r>
      <w:r>
        <w:rPr>
          <w:rStyle w:val="Ohne"/>
          <w:rFonts w:ascii="Book Antiqua" w:hAnsi="Book Antiqua"/>
        </w:rPr>
        <w:t>: 293-298 [PMID: 19083422 DOI: 10.1016/j.nutres.2008.03.002]</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10 </w:t>
      </w:r>
      <w:r>
        <w:rPr>
          <w:rStyle w:val="Ohne"/>
          <w:rFonts w:ascii="Book Antiqua" w:hAnsi="Book Antiqua"/>
          <w:b/>
          <w:bCs/>
        </w:rPr>
        <w:t>Roland BC</w:t>
      </w:r>
      <w:r>
        <w:rPr>
          <w:rStyle w:val="Ohne"/>
          <w:rFonts w:ascii="Book Antiqua" w:hAnsi="Book Antiqua"/>
        </w:rPr>
        <w:t xml:space="preserve">, </w:t>
      </w:r>
      <w:proofErr w:type="spellStart"/>
      <w:r>
        <w:rPr>
          <w:rStyle w:val="Ohne"/>
          <w:rFonts w:ascii="Book Antiqua" w:hAnsi="Book Antiqua"/>
        </w:rPr>
        <w:t>Ciarleglio</w:t>
      </w:r>
      <w:proofErr w:type="spellEnd"/>
      <w:r>
        <w:rPr>
          <w:rStyle w:val="Ohne"/>
          <w:rFonts w:ascii="Book Antiqua" w:hAnsi="Book Antiqua"/>
        </w:rPr>
        <w:t xml:space="preserve"> MM, Clarke JO, </w:t>
      </w:r>
      <w:proofErr w:type="spellStart"/>
      <w:r>
        <w:rPr>
          <w:rStyle w:val="Ohne"/>
          <w:rFonts w:ascii="Book Antiqua" w:hAnsi="Book Antiqua"/>
        </w:rPr>
        <w:t>Semler</w:t>
      </w:r>
      <w:proofErr w:type="spellEnd"/>
      <w:r>
        <w:rPr>
          <w:rStyle w:val="Ohne"/>
          <w:rFonts w:ascii="Book Antiqua" w:hAnsi="Book Antiqua"/>
        </w:rPr>
        <w:t xml:space="preserve"> JR, </w:t>
      </w:r>
      <w:proofErr w:type="spellStart"/>
      <w:r>
        <w:rPr>
          <w:rStyle w:val="Ohne"/>
          <w:rFonts w:ascii="Book Antiqua" w:hAnsi="Book Antiqua"/>
        </w:rPr>
        <w:t>Tomakin</w:t>
      </w:r>
      <w:proofErr w:type="spellEnd"/>
      <w:r>
        <w:rPr>
          <w:rStyle w:val="Ohne"/>
          <w:rFonts w:ascii="Book Antiqua" w:hAnsi="Book Antiqua"/>
        </w:rPr>
        <w:t xml:space="preserve"> E, Mullin GE, </w:t>
      </w:r>
      <w:proofErr w:type="spellStart"/>
      <w:r>
        <w:rPr>
          <w:rStyle w:val="Ohne"/>
          <w:rFonts w:ascii="Book Antiqua" w:hAnsi="Book Antiqua"/>
        </w:rPr>
        <w:t>Pasricha</w:t>
      </w:r>
      <w:proofErr w:type="spellEnd"/>
      <w:r>
        <w:rPr>
          <w:rStyle w:val="Ohne"/>
          <w:rFonts w:ascii="Book Antiqua" w:hAnsi="Book Antiqua"/>
        </w:rPr>
        <w:t xml:space="preserve"> PJ. Low ileocecal valve pressure is significantly associated with small intestinal bacterial overgrowth (SIBO). </w:t>
      </w:r>
      <w:r>
        <w:rPr>
          <w:rStyle w:val="Ohne"/>
          <w:rFonts w:ascii="Book Antiqua" w:hAnsi="Book Antiqua"/>
          <w:i/>
          <w:iCs/>
        </w:rPr>
        <w:t xml:space="preserve">Dig Dis </w:t>
      </w:r>
      <w:proofErr w:type="spellStart"/>
      <w:r>
        <w:rPr>
          <w:rStyle w:val="Ohne"/>
          <w:rFonts w:ascii="Book Antiqua" w:hAnsi="Book Antiqua"/>
          <w:i/>
          <w:iCs/>
        </w:rPr>
        <w:t>Sci</w:t>
      </w:r>
      <w:proofErr w:type="spellEnd"/>
      <w:r>
        <w:rPr>
          <w:rStyle w:val="Ohne"/>
          <w:rFonts w:ascii="Book Antiqua" w:hAnsi="Book Antiqua"/>
        </w:rPr>
        <w:t> 2014; </w:t>
      </w:r>
      <w:r>
        <w:rPr>
          <w:rStyle w:val="Ohne"/>
          <w:rFonts w:ascii="Book Antiqua" w:hAnsi="Book Antiqua"/>
          <w:b/>
          <w:bCs/>
        </w:rPr>
        <w:t>59</w:t>
      </w:r>
      <w:r>
        <w:rPr>
          <w:rStyle w:val="Ohne"/>
          <w:rFonts w:ascii="Book Antiqua" w:hAnsi="Book Antiqua"/>
        </w:rPr>
        <w:t>: 1269-1277 [PMID: 24795035 DOI: 10.1007/s10620-014-3166-7]</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11 </w:t>
      </w:r>
      <w:proofErr w:type="spellStart"/>
      <w:r>
        <w:rPr>
          <w:rStyle w:val="Ohne"/>
          <w:rFonts w:ascii="Book Antiqua" w:hAnsi="Book Antiqua"/>
          <w:b/>
          <w:bCs/>
        </w:rPr>
        <w:t>Faria</w:t>
      </w:r>
      <w:proofErr w:type="spellEnd"/>
      <w:r>
        <w:rPr>
          <w:rStyle w:val="Ohne"/>
          <w:rFonts w:ascii="Book Antiqua" w:hAnsi="Book Antiqua"/>
          <w:b/>
          <w:bCs/>
        </w:rPr>
        <w:t xml:space="preserve"> M</w:t>
      </w:r>
      <w:r>
        <w:rPr>
          <w:rStyle w:val="Ohne"/>
          <w:rFonts w:ascii="Book Antiqua" w:hAnsi="Book Antiqua"/>
        </w:rPr>
        <w:t xml:space="preserve">, </w:t>
      </w:r>
      <w:proofErr w:type="spellStart"/>
      <w:r>
        <w:rPr>
          <w:rStyle w:val="Ohne"/>
          <w:rFonts w:ascii="Book Antiqua" w:hAnsi="Book Antiqua"/>
        </w:rPr>
        <w:t>Pavin</w:t>
      </w:r>
      <w:proofErr w:type="spellEnd"/>
      <w:r>
        <w:rPr>
          <w:rStyle w:val="Ohne"/>
          <w:rFonts w:ascii="Book Antiqua" w:hAnsi="Book Antiqua"/>
        </w:rPr>
        <w:t xml:space="preserve"> EJ, </w:t>
      </w:r>
      <w:proofErr w:type="spellStart"/>
      <w:r>
        <w:rPr>
          <w:rStyle w:val="Ohne"/>
          <w:rFonts w:ascii="Book Antiqua" w:hAnsi="Book Antiqua"/>
        </w:rPr>
        <w:t>Parisi</w:t>
      </w:r>
      <w:proofErr w:type="spellEnd"/>
      <w:r>
        <w:rPr>
          <w:rStyle w:val="Ohne"/>
          <w:rFonts w:ascii="Book Antiqua" w:hAnsi="Book Antiqua"/>
        </w:rPr>
        <w:t xml:space="preserve"> MC, Lorena SL, </w:t>
      </w:r>
      <w:proofErr w:type="spellStart"/>
      <w:r>
        <w:rPr>
          <w:rStyle w:val="Ohne"/>
          <w:rFonts w:ascii="Book Antiqua" w:hAnsi="Book Antiqua"/>
        </w:rPr>
        <w:t>Brunetto</w:t>
      </w:r>
      <w:proofErr w:type="spellEnd"/>
      <w:r>
        <w:rPr>
          <w:rStyle w:val="Ohne"/>
          <w:rFonts w:ascii="Book Antiqua" w:hAnsi="Book Antiqua"/>
        </w:rPr>
        <w:t xml:space="preserve"> SQ, Ramos CD, </w:t>
      </w:r>
      <w:proofErr w:type="spellStart"/>
      <w:r>
        <w:rPr>
          <w:rStyle w:val="Ohne"/>
          <w:rFonts w:ascii="Book Antiqua" w:hAnsi="Book Antiqua"/>
        </w:rPr>
        <w:t>Pavan</w:t>
      </w:r>
      <w:proofErr w:type="spellEnd"/>
      <w:r>
        <w:rPr>
          <w:rStyle w:val="Ohne"/>
          <w:rFonts w:ascii="Book Antiqua" w:hAnsi="Book Antiqua"/>
        </w:rPr>
        <w:t xml:space="preserve"> CR, </w:t>
      </w:r>
      <w:proofErr w:type="spellStart"/>
      <w:r>
        <w:rPr>
          <w:rStyle w:val="Ohne"/>
          <w:rFonts w:ascii="Book Antiqua" w:hAnsi="Book Antiqua"/>
        </w:rPr>
        <w:t>Mesquita</w:t>
      </w:r>
      <w:proofErr w:type="spellEnd"/>
      <w:r>
        <w:rPr>
          <w:rStyle w:val="Ohne"/>
          <w:rFonts w:ascii="Book Antiqua" w:hAnsi="Book Antiqua"/>
        </w:rPr>
        <w:t xml:space="preserve"> MA. Delayed small intestinal transit in patients with long-standing type 1 diabetes mellitus: investigation of the relationships with clinical features, gastric emptying, psychological distress, and nutritional parameters. </w:t>
      </w:r>
      <w:r>
        <w:rPr>
          <w:rStyle w:val="Ohne"/>
          <w:rFonts w:ascii="Book Antiqua" w:hAnsi="Book Antiqua"/>
          <w:i/>
          <w:iCs/>
        </w:rPr>
        <w:t xml:space="preserve">Diabetes </w:t>
      </w:r>
      <w:proofErr w:type="spellStart"/>
      <w:r>
        <w:rPr>
          <w:rStyle w:val="Ohne"/>
          <w:rFonts w:ascii="Book Antiqua" w:hAnsi="Book Antiqua"/>
          <w:i/>
          <w:iCs/>
        </w:rPr>
        <w:t>Technol</w:t>
      </w:r>
      <w:proofErr w:type="spellEnd"/>
      <w:r>
        <w:rPr>
          <w:rStyle w:val="Ohne"/>
          <w:rFonts w:ascii="Book Antiqua" w:hAnsi="Book Antiqua"/>
          <w:i/>
          <w:iCs/>
        </w:rPr>
        <w:t xml:space="preserve"> </w:t>
      </w:r>
      <w:proofErr w:type="spellStart"/>
      <w:r>
        <w:rPr>
          <w:rStyle w:val="Ohne"/>
          <w:rFonts w:ascii="Book Antiqua" w:hAnsi="Book Antiqua"/>
          <w:i/>
          <w:iCs/>
        </w:rPr>
        <w:t>Ther</w:t>
      </w:r>
      <w:proofErr w:type="spellEnd"/>
      <w:r>
        <w:rPr>
          <w:rStyle w:val="Ohne"/>
          <w:rFonts w:ascii="Book Antiqua" w:hAnsi="Book Antiqua"/>
        </w:rPr>
        <w:t> 2013; </w:t>
      </w:r>
      <w:r>
        <w:rPr>
          <w:rStyle w:val="Ohne"/>
          <w:rFonts w:ascii="Book Antiqua" w:hAnsi="Book Antiqua"/>
          <w:b/>
          <w:bCs/>
        </w:rPr>
        <w:t>15</w:t>
      </w:r>
      <w:r>
        <w:rPr>
          <w:rStyle w:val="Ohne"/>
          <w:rFonts w:ascii="Book Antiqua" w:hAnsi="Book Antiqua"/>
        </w:rPr>
        <w:t>: 32-38 [PMID: 23126582 DOI: 10.1089/dia.2012.0158]</w:t>
      </w:r>
    </w:p>
    <w:p w:rsidR="00343223" w:rsidRDefault="00C30E23">
      <w:pPr>
        <w:spacing w:line="360" w:lineRule="auto"/>
        <w:jc w:val="both"/>
        <w:rPr>
          <w:rStyle w:val="Ohne"/>
          <w:rFonts w:ascii="Book Antiqua" w:eastAsia="Book Antiqua" w:hAnsi="Book Antiqua" w:cs="Book Antiqua"/>
        </w:rPr>
      </w:pPr>
      <w:proofErr w:type="gramStart"/>
      <w:r>
        <w:rPr>
          <w:rStyle w:val="Ohne"/>
          <w:rFonts w:ascii="Book Antiqua" w:hAnsi="Book Antiqua"/>
        </w:rPr>
        <w:t>12 </w:t>
      </w:r>
      <w:proofErr w:type="spellStart"/>
      <w:r>
        <w:rPr>
          <w:rStyle w:val="Ohne"/>
          <w:rFonts w:ascii="Book Antiqua" w:hAnsi="Book Antiqua"/>
          <w:b/>
          <w:bCs/>
        </w:rPr>
        <w:t>Vantrappen</w:t>
      </w:r>
      <w:proofErr w:type="spellEnd"/>
      <w:r>
        <w:rPr>
          <w:rStyle w:val="Ohne"/>
          <w:rFonts w:ascii="Book Antiqua" w:hAnsi="Book Antiqua"/>
          <w:b/>
          <w:bCs/>
        </w:rPr>
        <w:t xml:space="preserve"> G</w:t>
      </w:r>
      <w:r>
        <w:rPr>
          <w:rStyle w:val="Ohne"/>
          <w:rFonts w:ascii="Book Antiqua" w:hAnsi="Book Antiqua"/>
        </w:rPr>
        <w:t xml:space="preserve">, </w:t>
      </w:r>
      <w:proofErr w:type="spellStart"/>
      <w:r>
        <w:rPr>
          <w:rStyle w:val="Ohne"/>
          <w:rFonts w:ascii="Book Antiqua" w:hAnsi="Book Antiqua"/>
        </w:rPr>
        <w:t>Janssens</w:t>
      </w:r>
      <w:proofErr w:type="spellEnd"/>
      <w:r>
        <w:rPr>
          <w:rStyle w:val="Ohne"/>
          <w:rFonts w:ascii="Book Antiqua" w:hAnsi="Book Antiqua"/>
        </w:rPr>
        <w:t xml:space="preserve"> J, </w:t>
      </w:r>
      <w:proofErr w:type="spellStart"/>
      <w:r>
        <w:rPr>
          <w:rStyle w:val="Ohne"/>
          <w:rFonts w:ascii="Book Antiqua" w:hAnsi="Book Antiqua"/>
        </w:rPr>
        <w:t>Hellemans</w:t>
      </w:r>
      <w:proofErr w:type="spellEnd"/>
      <w:r>
        <w:rPr>
          <w:rStyle w:val="Ohne"/>
          <w:rFonts w:ascii="Book Antiqua" w:hAnsi="Book Antiqua"/>
        </w:rPr>
        <w:t xml:space="preserve"> J, </w:t>
      </w:r>
      <w:proofErr w:type="spellStart"/>
      <w:r>
        <w:rPr>
          <w:rStyle w:val="Ohne"/>
          <w:rFonts w:ascii="Book Antiqua" w:hAnsi="Book Antiqua"/>
        </w:rPr>
        <w:t>Ghoos</w:t>
      </w:r>
      <w:proofErr w:type="spellEnd"/>
      <w:r>
        <w:rPr>
          <w:rStyle w:val="Ohne"/>
          <w:rFonts w:ascii="Book Antiqua" w:hAnsi="Book Antiqua"/>
        </w:rPr>
        <w:t xml:space="preserve"> Y.</w:t>
      </w:r>
      <w:proofErr w:type="gramEnd"/>
      <w:r>
        <w:rPr>
          <w:rStyle w:val="Ohne"/>
          <w:rFonts w:ascii="Book Antiqua" w:hAnsi="Book Antiqua"/>
        </w:rPr>
        <w:t xml:space="preserve"> </w:t>
      </w:r>
      <w:proofErr w:type="gramStart"/>
      <w:r>
        <w:rPr>
          <w:rStyle w:val="Ohne"/>
          <w:rFonts w:ascii="Book Antiqua" w:hAnsi="Book Antiqua"/>
        </w:rPr>
        <w:t xml:space="preserve">The </w:t>
      </w:r>
      <w:proofErr w:type="spellStart"/>
      <w:r>
        <w:rPr>
          <w:rStyle w:val="Ohne"/>
          <w:rFonts w:ascii="Book Antiqua" w:hAnsi="Book Antiqua"/>
        </w:rPr>
        <w:t>interdigestive</w:t>
      </w:r>
      <w:proofErr w:type="spellEnd"/>
      <w:r>
        <w:rPr>
          <w:rStyle w:val="Ohne"/>
          <w:rFonts w:ascii="Book Antiqua" w:hAnsi="Book Antiqua"/>
        </w:rPr>
        <w:t xml:space="preserve"> motor complex of normal subjects and patients with bacterial overgrowth of the small intestine.</w:t>
      </w:r>
      <w:proofErr w:type="gramEnd"/>
      <w:r>
        <w:rPr>
          <w:rStyle w:val="Ohne"/>
          <w:rFonts w:ascii="Book Antiqua" w:hAnsi="Book Antiqua"/>
        </w:rPr>
        <w:t> </w:t>
      </w:r>
      <w:r>
        <w:rPr>
          <w:rStyle w:val="Ohne"/>
          <w:rFonts w:ascii="Book Antiqua" w:hAnsi="Book Antiqua"/>
          <w:i/>
          <w:iCs/>
        </w:rPr>
        <w:t xml:space="preserve">J </w:t>
      </w:r>
      <w:proofErr w:type="spellStart"/>
      <w:r>
        <w:rPr>
          <w:rStyle w:val="Ohne"/>
          <w:rFonts w:ascii="Book Antiqua" w:hAnsi="Book Antiqua"/>
          <w:i/>
          <w:iCs/>
        </w:rPr>
        <w:t>Clin</w:t>
      </w:r>
      <w:proofErr w:type="spellEnd"/>
      <w:r>
        <w:rPr>
          <w:rStyle w:val="Ohne"/>
          <w:rFonts w:ascii="Book Antiqua" w:hAnsi="Book Antiqua"/>
          <w:i/>
          <w:iCs/>
        </w:rPr>
        <w:t xml:space="preserve"> Invest</w:t>
      </w:r>
      <w:r>
        <w:rPr>
          <w:rStyle w:val="Ohne"/>
          <w:rFonts w:ascii="Book Antiqua" w:hAnsi="Book Antiqua"/>
        </w:rPr>
        <w:t> 1977; </w:t>
      </w:r>
      <w:r>
        <w:rPr>
          <w:rStyle w:val="Ohne"/>
          <w:rFonts w:ascii="Book Antiqua" w:hAnsi="Book Antiqua"/>
          <w:b/>
          <w:bCs/>
        </w:rPr>
        <w:t>59</w:t>
      </w:r>
      <w:r>
        <w:rPr>
          <w:rStyle w:val="Ohne"/>
          <w:rFonts w:ascii="Book Antiqua" w:hAnsi="Book Antiqua"/>
        </w:rPr>
        <w:t>: 1158-1166 [PMID: 864008]</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13 </w:t>
      </w:r>
      <w:r>
        <w:rPr>
          <w:rStyle w:val="Ohne"/>
          <w:rFonts w:ascii="Book Antiqua" w:hAnsi="Book Antiqua"/>
          <w:b/>
          <w:bCs/>
        </w:rPr>
        <w:t>Pimentel M</w:t>
      </w:r>
      <w:r>
        <w:rPr>
          <w:rStyle w:val="Ohne"/>
          <w:rFonts w:ascii="Book Antiqua" w:hAnsi="Book Antiqua"/>
        </w:rPr>
        <w:t xml:space="preserve">, </w:t>
      </w:r>
      <w:proofErr w:type="spellStart"/>
      <w:r>
        <w:rPr>
          <w:rStyle w:val="Ohne"/>
          <w:rFonts w:ascii="Book Antiqua" w:hAnsi="Book Antiqua"/>
        </w:rPr>
        <w:t>Soffer</w:t>
      </w:r>
      <w:proofErr w:type="spellEnd"/>
      <w:r>
        <w:rPr>
          <w:rStyle w:val="Ohne"/>
          <w:rFonts w:ascii="Book Antiqua" w:hAnsi="Book Antiqua"/>
        </w:rPr>
        <w:t xml:space="preserve"> EE, Chow EJ, Kong Y, Lin HC. Lower frequency of MMC is found in IBS subjects with abnormal lactulose breath test, suggesting bacterial overgrowth. </w:t>
      </w:r>
      <w:r>
        <w:rPr>
          <w:rStyle w:val="Ohne"/>
          <w:rFonts w:ascii="Book Antiqua" w:hAnsi="Book Antiqua"/>
          <w:i/>
          <w:iCs/>
        </w:rPr>
        <w:t xml:space="preserve">Dig Dis </w:t>
      </w:r>
      <w:proofErr w:type="spellStart"/>
      <w:r>
        <w:rPr>
          <w:rStyle w:val="Ohne"/>
          <w:rFonts w:ascii="Book Antiqua" w:hAnsi="Book Antiqua"/>
          <w:i/>
          <w:iCs/>
        </w:rPr>
        <w:t>Sci</w:t>
      </w:r>
      <w:proofErr w:type="spellEnd"/>
      <w:r>
        <w:rPr>
          <w:rStyle w:val="Ohne"/>
          <w:rFonts w:ascii="Book Antiqua" w:hAnsi="Book Antiqua"/>
        </w:rPr>
        <w:t> 2002; </w:t>
      </w:r>
      <w:r>
        <w:rPr>
          <w:rStyle w:val="Ohne"/>
          <w:rFonts w:ascii="Book Antiqua" w:hAnsi="Book Antiqua"/>
          <w:b/>
          <w:bCs/>
        </w:rPr>
        <w:t>47</w:t>
      </w:r>
      <w:r>
        <w:rPr>
          <w:rStyle w:val="Ohne"/>
          <w:rFonts w:ascii="Book Antiqua" w:hAnsi="Book Antiqua"/>
        </w:rPr>
        <w:t>: 2639-2643 [PMID: 12498278 DOI: 10.1023/A: 1021039032413]</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14 </w:t>
      </w:r>
      <w:r>
        <w:rPr>
          <w:rStyle w:val="Ohne"/>
          <w:rFonts w:ascii="Book Antiqua" w:hAnsi="Book Antiqua"/>
          <w:b/>
          <w:bCs/>
        </w:rPr>
        <w:t>George NS</w:t>
      </w:r>
      <w:r>
        <w:rPr>
          <w:rStyle w:val="Ohne"/>
          <w:rFonts w:ascii="Book Antiqua" w:hAnsi="Book Antiqua"/>
        </w:rPr>
        <w:t xml:space="preserve">, </w:t>
      </w:r>
      <w:proofErr w:type="spellStart"/>
      <w:r>
        <w:rPr>
          <w:rStyle w:val="Ohne"/>
          <w:rFonts w:ascii="Book Antiqua" w:hAnsi="Book Antiqua"/>
        </w:rPr>
        <w:t>Sankineni</w:t>
      </w:r>
      <w:proofErr w:type="spellEnd"/>
      <w:r>
        <w:rPr>
          <w:rStyle w:val="Ohne"/>
          <w:rFonts w:ascii="Book Antiqua" w:hAnsi="Book Antiqua"/>
        </w:rPr>
        <w:t xml:space="preserve"> A, Parkman HP. Small intestinal bacterial overgrowth in gastroparesis. </w:t>
      </w:r>
      <w:r>
        <w:rPr>
          <w:rStyle w:val="Ohne"/>
          <w:rFonts w:ascii="Book Antiqua" w:hAnsi="Book Antiqua"/>
          <w:i/>
          <w:iCs/>
        </w:rPr>
        <w:t xml:space="preserve">Dig Dis </w:t>
      </w:r>
      <w:proofErr w:type="spellStart"/>
      <w:r>
        <w:rPr>
          <w:rStyle w:val="Ohne"/>
          <w:rFonts w:ascii="Book Antiqua" w:hAnsi="Book Antiqua"/>
          <w:i/>
          <w:iCs/>
        </w:rPr>
        <w:t>Sci</w:t>
      </w:r>
      <w:proofErr w:type="spellEnd"/>
      <w:r>
        <w:rPr>
          <w:rStyle w:val="Ohne"/>
          <w:rFonts w:ascii="Book Antiqua" w:hAnsi="Book Antiqua"/>
        </w:rPr>
        <w:t> 2014; </w:t>
      </w:r>
      <w:r>
        <w:rPr>
          <w:rStyle w:val="Ohne"/>
          <w:rFonts w:ascii="Book Antiqua" w:hAnsi="Book Antiqua"/>
          <w:b/>
          <w:bCs/>
        </w:rPr>
        <w:t>59</w:t>
      </w:r>
      <w:r>
        <w:rPr>
          <w:rStyle w:val="Ohne"/>
          <w:rFonts w:ascii="Book Antiqua" w:hAnsi="Book Antiqua"/>
        </w:rPr>
        <w:t>: 645-652 [PMID: 23053897 DOI: 10.1007/s10620-012-2426-7]</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15 </w:t>
      </w:r>
      <w:proofErr w:type="spellStart"/>
      <w:r>
        <w:rPr>
          <w:rStyle w:val="Ohne"/>
          <w:rFonts w:ascii="Book Antiqua" w:hAnsi="Book Antiqua"/>
          <w:b/>
          <w:bCs/>
        </w:rPr>
        <w:t>Reddymasu</w:t>
      </w:r>
      <w:proofErr w:type="spellEnd"/>
      <w:r>
        <w:rPr>
          <w:rStyle w:val="Ohne"/>
          <w:rFonts w:ascii="Book Antiqua" w:hAnsi="Book Antiqua"/>
          <w:b/>
          <w:bCs/>
        </w:rPr>
        <w:t xml:space="preserve"> SC</w:t>
      </w:r>
      <w:r>
        <w:rPr>
          <w:rStyle w:val="Ohne"/>
          <w:rFonts w:ascii="Book Antiqua" w:hAnsi="Book Antiqua"/>
        </w:rPr>
        <w:t>, McCallum RW. Small intestinal bacterial overgrowth in gastroparesis: are there any predictors? </w:t>
      </w:r>
      <w:r>
        <w:rPr>
          <w:rStyle w:val="Ohne"/>
          <w:rFonts w:ascii="Book Antiqua" w:hAnsi="Book Antiqua"/>
          <w:i/>
          <w:iCs/>
        </w:rPr>
        <w:t xml:space="preserve">J </w:t>
      </w:r>
      <w:proofErr w:type="spellStart"/>
      <w:r>
        <w:rPr>
          <w:rStyle w:val="Ohne"/>
          <w:rFonts w:ascii="Book Antiqua" w:hAnsi="Book Antiqua"/>
          <w:i/>
          <w:iCs/>
        </w:rPr>
        <w:t>Clin</w:t>
      </w:r>
      <w:proofErr w:type="spellEnd"/>
      <w:r>
        <w:rPr>
          <w:rStyle w:val="Ohne"/>
          <w:rFonts w:ascii="Book Antiqua" w:hAnsi="Book Antiqua"/>
          <w:i/>
          <w:iCs/>
        </w:rPr>
        <w:t xml:space="preserve"> </w:t>
      </w:r>
      <w:proofErr w:type="spellStart"/>
      <w:r>
        <w:rPr>
          <w:rStyle w:val="Ohne"/>
          <w:rFonts w:ascii="Book Antiqua" w:hAnsi="Book Antiqua"/>
          <w:i/>
          <w:iCs/>
        </w:rPr>
        <w:t>Gastroenterol</w:t>
      </w:r>
      <w:proofErr w:type="spellEnd"/>
      <w:r>
        <w:rPr>
          <w:rStyle w:val="Ohne"/>
          <w:rFonts w:ascii="Book Antiqua" w:hAnsi="Book Antiqua"/>
        </w:rPr>
        <w:t> 2010; </w:t>
      </w:r>
      <w:r>
        <w:rPr>
          <w:rStyle w:val="Ohne"/>
          <w:rFonts w:ascii="Book Antiqua" w:hAnsi="Book Antiqua"/>
          <w:b/>
          <w:bCs/>
        </w:rPr>
        <w:t>44</w:t>
      </w:r>
      <w:r>
        <w:rPr>
          <w:rStyle w:val="Ohne"/>
          <w:rFonts w:ascii="Book Antiqua" w:hAnsi="Book Antiqua"/>
        </w:rPr>
        <w:t>: e8-13 [PMID: 20027008 DOI: 10.1097/MCG.0b013e3181aec746]</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16 </w:t>
      </w:r>
      <w:proofErr w:type="spellStart"/>
      <w:r>
        <w:rPr>
          <w:rStyle w:val="Ohne"/>
          <w:rFonts w:ascii="Book Antiqua" w:hAnsi="Book Antiqua"/>
          <w:b/>
          <w:bCs/>
        </w:rPr>
        <w:t>Choung</w:t>
      </w:r>
      <w:proofErr w:type="spellEnd"/>
      <w:r>
        <w:rPr>
          <w:rStyle w:val="Ohne"/>
          <w:rFonts w:ascii="Book Antiqua" w:hAnsi="Book Antiqua"/>
          <w:b/>
          <w:bCs/>
        </w:rPr>
        <w:t xml:space="preserve"> RS</w:t>
      </w:r>
      <w:r>
        <w:rPr>
          <w:rStyle w:val="Ohne"/>
          <w:rFonts w:ascii="Book Antiqua" w:hAnsi="Book Antiqua"/>
        </w:rPr>
        <w:t xml:space="preserve">, Ruff KC, Malhotra A, Herrick L, Locke GR, </w:t>
      </w:r>
      <w:proofErr w:type="spellStart"/>
      <w:r>
        <w:rPr>
          <w:rStyle w:val="Ohne"/>
          <w:rFonts w:ascii="Book Antiqua" w:hAnsi="Book Antiqua"/>
        </w:rPr>
        <w:t>Harmsen</w:t>
      </w:r>
      <w:proofErr w:type="spellEnd"/>
      <w:r>
        <w:rPr>
          <w:rStyle w:val="Ohne"/>
          <w:rFonts w:ascii="Book Antiqua" w:hAnsi="Book Antiqua"/>
        </w:rPr>
        <w:t xml:space="preserve"> WS, </w:t>
      </w:r>
      <w:proofErr w:type="spellStart"/>
      <w:r>
        <w:rPr>
          <w:rStyle w:val="Ohne"/>
          <w:rFonts w:ascii="Book Antiqua" w:hAnsi="Book Antiqua"/>
        </w:rPr>
        <w:t>Zinsmeister</w:t>
      </w:r>
      <w:proofErr w:type="spellEnd"/>
      <w:r>
        <w:rPr>
          <w:rStyle w:val="Ohne"/>
          <w:rFonts w:ascii="Book Antiqua" w:hAnsi="Book Antiqua"/>
        </w:rPr>
        <w:t xml:space="preserve"> AR, Talley NJ, Saito YA. </w:t>
      </w:r>
      <w:proofErr w:type="gramStart"/>
      <w:r>
        <w:rPr>
          <w:rStyle w:val="Ohne"/>
          <w:rFonts w:ascii="Book Antiqua" w:hAnsi="Book Antiqua"/>
        </w:rPr>
        <w:t>Clinical predictors of small intestinal bacterial overgrowth by duodenal aspirate culture.</w:t>
      </w:r>
      <w:proofErr w:type="gramEnd"/>
      <w:r>
        <w:rPr>
          <w:rStyle w:val="Ohne"/>
          <w:rFonts w:ascii="Book Antiqua" w:hAnsi="Book Antiqua"/>
        </w:rPr>
        <w:t> </w:t>
      </w:r>
      <w:r>
        <w:rPr>
          <w:rStyle w:val="Ohne"/>
          <w:rFonts w:ascii="Book Antiqua" w:hAnsi="Book Antiqua"/>
          <w:i/>
          <w:iCs/>
        </w:rPr>
        <w:t xml:space="preserve">Aliment </w:t>
      </w:r>
      <w:proofErr w:type="spellStart"/>
      <w:r>
        <w:rPr>
          <w:rStyle w:val="Ohne"/>
          <w:rFonts w:ascii="Book Antiqua" w:hAnsi="Book Antiqua"/>
          <w:i/>
          <w:iCs/>
        </w:rPr>
        <w:t>Pharmacol</w:t>
      </w:r>
      <w:proofErr w:type="spellEnd"/>
      <w:r>
        <w:rPr>
          <w:rStyle w:val="Ohne"/>
          <w:rFonts w:ascii="Book Antiqua" w:hAnsi="Book Antiqua"/>
          <w:i/>
          <w:iCs/>
        </w:rPr>
        <w:t xml:space="preserve"> </w:t>
      </w:r>
      <w:proofErr w:type="spellStart"/>
      <w:r>
        <w:rPr>
          <w:rStyle w:val="Ohne"/>
          <w:rFonts w:ascii="Book Antiqua" w:hAnsi="Book Antiqua"/>
          <w:i/>
          <w:iCs/>
        </w:rPr>
        <w:t>Ther</w:t>
      </w:r>
      <w:proofErr w:type="spellEnd"/>
      <w:r>
        <w:rPr>
          <w:rStyle w:val="Ohne"/>
          <w:rFonts w:ascii="Book Antiqua" w:hAnsi="Book Antiqua"/>
        </w:rPr>
        <w:t> 2011; </w:t>
      </w:r>
      <w:r>
        <w:rPr>
          <w:rStyle w:val="Ohne"/>
          <w:rFonts w:ascii="Book Antiqua" w:hAnsi="Book Antiqua"/>
          <w:b/>
          <w:bCs/>
        </w:rPr>
        <w:t>33</w:t>
      </w:r>
      <w:r>
        <w:rPr>
          <w:rStyle w:val="Ohne"/>
          <w:rFonts w:ascii="Book Antiqua" w:hAnsi="Book Antiqua"/>
        </w:rPr>
        <w:t>: 1059-1067 [PMID: 21395630 DOI: 10.1111/j.1365-2036.2011.04625.x]</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17 </w:t>
      </w:r>
      <w:proofErr w:type="spellStart"/>
      <w:r>
        <w:rPr>
          <w:rStyle w:val="Ohne"/>
          <w:rFonts w:ascii="Book Antiqua" w:hAnsi="Book Antiqua"/>
          <w:b/>
          <w:bCs/>
        </w:rPr>
        <w:t>Pignata</w:t>
      </w:r>
      <w:proofErr w:type="spellEnd"/>
      <w:r>
        <w:rPr>
          <w:rStyle w:val="Ohne"/>
          <w:rFonts w:ascii="Book Antiqua" w:hAnsi="Book Antiqua"/>
          <w:b/>
          <w:bCs/>
        </w:rPr>
        <w:t xml:space="preserve"> C</w:t>
      </w:r>
      <w:r>
        <w:rPr>
          <w:rStyle w:val="Ohne"/>
          <w:rFonts w:ascii="Book Antiqua" w:hAnsi="Book Antiqua"/>
        </w:rPr>
        <w:t xml:space="preserve">, </w:t>
      </w:r>
      <w:proofErr w:type="spellStart"/>
      <w:r>
        <w:rPr>
          <w:rStyle w:val="Ohne"/>
          <w:rFonts w:ascii="Book Antiqua" w:hAnsi="Book Antiqua"/>
        </w:rPr>
        <w:t>Budillon</w:t>
      </w:r>
      <w:proofErr w:type="spellEnd"/>
      <w:r>
        <w:rPr>
          <w:rStyle w:val="Ohne"/>
          <w:rFonts w:ascii="Book Antiqua" w:hAnsi="Book Antiqua"/>
        </w:rPr>
        <w:t xml:space="preserve"> G, Monaco G, </w:t>
      </w:r>
      <w:proofErr w:type="spellStart"/>
      <w:r>
        <w:rPr>
          <w:rStyle w:val="Ohne"/>
          <w:rFonts w:ascii="Book Antiqua" w:hAnsi="Book Antiqua"/>
        </w:rPr>
        <w:t>Nani</w:t>
      </w:r>
      <w:proofErr w:type="spellEnd"/>
      <w:r>
        <w:rPr>
          <w:rStyle w:val="Ohne"/>
          <w:rFonts w:ascii="Book Antiqua" w:hAnsi="Book Antiqua"/>
        </w:rPr>
        <w:t xml:space="preserve"> E, Cuomo R, </w:t>
      </w:r>
      <w:proofErr w:type="spellStart"/>
      <w:r>
        <w:rPr>
          <w:rStyle w:val="Ohne"/>
          <w:rFonts w:ascii="Book Antiqua" w:hAnsi="Book Antiqua"/>
        </w:rPr>
        <w:t>Parrilli</w:t>
      </w:r>
      <w:proofErr w:type="spellEnd"/>
      <w:r>
        <w:rPr>
          <w:rStyle w:val="Ohne"/>
          <w:rFonts w:ascii="Book Antiqua" w:hAnsi="Book Antiqua"/>
        </w:rPr>
        <w:t xml:space="preserve"> G, </w:t>
      </w:r>
      <w:proofErr w:type="spellStart"/>
      <w:r>
        <w:rPr>
          <w:rStyle w:val="Ohne"/>
          <w:rFonts w:ascii="Book Antiqua" w:hAnsi="Book Antiqua"/>
        </w:rPr>
        <w:t>Ciccimarra</w:t>
      </w:r>
      <w:proofErr w:type="spellEnd"/>
      <w:r>
        <w:rPr>
          <w:rStyle w:val="Ohne"/>
          <w:rFonts w:ascii="Book Antiqua" w:hAnsi="Book Antiqua"/>
        </w:rPr>
        <w:t xml:space="preserve"> F. </w:t>
      </w:r>
      <w:proofErr w:type="spellStart"/>
      <w:r>
        <w:rPr>
          <w:rStyle w:val="Ohne"/>
          <w:rFonts w:ascii="Book Antiqua" w:hAnsi="Book Antiqua"/>
        </w:rPr>
        <w:t>Jejunal</w:t>
      </w:r>
      <w:proofErr w:type="spellEnd"/>
      <w:r>
        <w:rPr>
          <w:rStyle w:val="Ohne"/>
          <w:rFonts w:ascii="Book Antiqua" w:hAnsi="Book Antiqua"/>
        </w:rPr>
        <w:t xml:space="preserve"> bacterial overgrowth and intestinal permeability in children with </w:t>
      </w:r>
      <w:r>
        <w:rPr>
          <w:rStyle w:val="Ohne"/>
          <w:rFonts w:ascii="Book Antiqua" w:hAnsi="Book Antiqua"/>
        </w:rPr>
        <w:lastRenderedPageBreak/>
        <w:t>immunodeficiency syndromes. </w:t>
      </w:r>
      <w:r>
        <w:rPr>
          <w:rStyle w:val="Ohne"/>
          <w:rFonts w:ascii="Book Antiqua" w:hAnsi="Book Antiqua"/>
          <w:i/>
          <w:iCs/>
        </w:rPr>
        <w:t>Gut</w:t>
      </w:r>
      <w:r>
        <w:rPr>
          <w:rStyle w:val="Ohne"/>
          <w:rFonts w:ascii="Book Antiqua" w:hAnsi="Book Antiqua"/>
        </w:rPr>
        <w:t> 1990; </w:t>
      </w:r>
      <w:r>
        <w:rPr>
          <w:rStyle w:val="Ohne"/>
          <w:rFonts w:ascii="Book Antiqua" w:hAnsi="Book Antiqua"/>
          <w:b/>
          <w:bCs/>
        </w:rPr>
        <w:t>31</w:t>
      </w:r>
      <w:r>
        <w:rPr>
          <w:rStyle w:val="Ohne"/>
          <w:rFonts w:ascii="Book Antiqua" w:hAnsi="Book Antiqua"/>
        </w:rPr>
        <w:t>: 879-882 [PMID: 2387510 DOI: 10.1136/gut.31.8.879]</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18</w:t>
      </w:r>
      <w:r>
        <w:rPr>
          <w:rStyle w:val="Ohne"/>
          <w:rFonts w:ascii="Book Antiqua" w:hAnsi="Book Antiqua"/>
          <w:b/>
          <w:bCs/>
        </w:rPr>
        <w:t xml:space="preserve"> Klaus J</w:t>
      </w:r>
      <w:r>
        <w:rPr>
          <w:rStyle w:val="Ohne"/>
          <w:rFonts w:ascii="Book Antiqua" w:hAnsi="Book Antiqua"/>
        </w:rPr>
        <w:t xml:space="preserve">, </w:t>
      </w:r>
      <w:proofErr w:type="spellStart"/>
      <w:r>
        <w:rPr>
          <w:rStyle w:val="Ohne"/>
          <w:rFonts w:ascii="Book Antiqua" w:hAnsi="Book Antiqua"/>
        </w:rPr>
        <w:t>Spaniol</w:t>
      </w:r>
      <w:proofErr w:type="spellEnd"/>
      <w:r>
        <w:rPr>
          <w:rStyle w:val="Ohne"/>
          <w:rFonts w:ascii="Book Antiqua" w:hAnsi="Book Antiqua"/>
        </w:rPr>
        <w:t xml:space="preserve"> U, Adler G, Mason RA, </w:t>
      </w:r>
      <w:proofErr w:type="spellStart"/>
      <w:r>
        <w:rPr>
          <w:rStyle w:val="Ohne"/>
          <w:rFonts w:ascii="Book Antiqua" w:hAnsi="Book Antiqua"/>
        </w:rPr>
        <w:t>Reinshagen</w:t>
      </w:r>
      <w:proofErr w:type="spellEnd"/>
      <w:r>
        <w:rPr>
          <w:rStyle w:val="Ohne"/>
          <w:rFonts w:ascii="Book Antiqua" w:hAnsi="Book Antiqua"/>
        </w:rPr>
        <w:t xml:space="preserve"> M, Tirpitz C von C. Small intestinal bacterial overgrowth mimicking acute flare as a pitfall in patients with Crohn's Disease. </w:t>
      </w:r>
      <w:r>
        <w:rPr>
          <w:rStyle w:val="Ohne"/>
          <w:rFonts w:ascii="Book Antiqua" w:hAnsi="Book Antiqua"/>
          <w:i/>
          <w:iCs/>
        </w:rPr>
        <w:t xml:space="preserve">BMC </w:t>
      </w:r>
      <w:proofErr w:type="spellStart"/>
      <w:r>
        <w:rPr>
          <w:rStyle w:val="Ohne"/>
          <w:rFonts w:ascii="Book Antiqua" w:hAnsi="Book Antiqua"/>
          <w:i/>
          <w:iCs/>
        </w:rPr>
        <w:t>Gastroenterol</w:t>
      </w:r>
      <w:proofErr w:type="spellEnd"/>
      <w:r>
        <w:rPr>
          <w:rStyle w:val="Ohne"/>
          <w:rFonts w:ascii="Book Antiqua" w:hAnsi="Book Antiqua"/>
          <w:i/>
          <w:iCs/>
        </w:rPr>
        <w:t xml:space="preserve"> </w:t>
      </w:r>
      <w:r>
        <w:rPr>
          <w:rStyle w:val="Ohne"/>
          <w:rFonts w:ascii="Book Antiqua" w:hAnsi="Book Antiqua"/>
        </w:rPr>
        <w:t xml:space="preserve">2009; </w:t>
      </w:r>
      <w:r>
        <w:rPr>
          <w:rStyle w:val="Ohne"/>
          <w:rFonts w:ascii="Book Antiqua" w:hAnsi="Book Antiqua"/>
          <w:b/>
          <w:bCs/>
        </w:rPr>
        <w:t>9</w:t>
      </w:r>
      <w:r>
        <w:rPr>
          <w:rStyle w:val="Ohne"/>
          <w:rFonts w:ascii="Book Antiqua" w:hAnsi="Book Antiqua"/>
        </w:rPr>
        <w:t>: 61 [PMID: 19643023 DOI: 10.1186/1471-230X-9-61]</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19 </w:t>
      </w:r>
      <w:r>
        <w:rPr>
          <w:rStyle w:val="Ohne"/>
          <w:rFonts w:ascii="Book Antiqua" w:hAnsi="Book Antiqua"/>
          <w:b/>
          <w:bCs/>
        </w:rPr>
        <w:t>Sánchez-Montes C</w:t>
      </w:r>
      <w:r>
        <w:rPr>
          <w:rStyle w:val="Ohne"/>
          <w:rFonts w:ascii="Book Antiqua" w:hAnsi="Book Antiqua"/>
        </w:rPr>
        <w:t xml:space="preserve">, Ortiz V, </w:t>
      </w:r>
      <w:proofErr w:type="spellStart"/>
      <w:r>
        <w:rPr>
          <w:rStyle w:val="Ohne"/>
          <w:rFonts w:ascii="Book Antiqua" w:hAnsi="Book Antiqua"/>
        </w:rPr>
        <w:t>Bastida</w:t>
      </w:r>
      <w:proofErr w:type="spellEnd"/>
      <w:r>
        <w:rPr>
          <w:rStyle w:val="Ohne"/>
          <w:rFonts w:ascii="Book Antiqua" w:hAnsi="Book Antiqua"/>
        </w:rPr>
        <w:t xml:space="preserve"> G, Rodríguez E, </w:t>
      </w:r>
      <w:proofErr w:type="spellStart"/>
      <w:r>
        <w:rPr>
          <w:rStyle w:val="Ohne"/>
          <w:rFonts w:ascii="Book Antiqua" w:hAnsi="Book Antiqua"/>
        </w:rPr>
        <w:t>Yago</w:t>
      </w:r>
      <w:proofErr w:type="spellEnd"/>
      <w:r>
        <w:rPr>
          <w:rStyle w:val="Ohne"/>
          <w:rFonts w:ascii="Book Antiqua" w:hAnsi="Book Antiqua"/>
        </w:rPr>
        <w:t xml:space="preserve"> M, </w:t>
      </w:r>
      <w:proofErr w:type="spellStart"/>
      <w:r>
        <w:rPr>
          <w:rStyle w:val="Ohne"/>
          <w:rFonts w:ascii="Book Antiqua" w:hAnsi="Book Antiqua"/>
        </w:rPr>
        <w:t>Beltrán</w:t>
      </w:r>
      <w:proofErr w:type="spellEnd"/>
      <w:r>
        <w:rPr>
          <w:rStyle w:val="Ohne"/>
          <w:rFonts w:ascii="Book Antiqua" w:hAnsi="Book Antiqua"/>
        </w:rPr>
        <w:t xml:space="preserve"> B, </w:t>
      </w:r>
      <w:proofErr w:type="spellStart"/>
      <w:r>
        <w:rPr>
          <w:rStyle w:val="Ohne"/>
          <w:rFonts w:ascii="Book Antiqua" w:hAnsi="Book Antiqua"/>
        </w:rPr>
        <w:t>Aguas</w:t>
      </w:r>
      <w:proofErr w:type="spellEnd"/>
      <w:r>
        <w:rPr>
          <w:rStyle w:val="Ohne"/>
          <w:rFonts w:ascii="Book Antiqua" w:hAnsi="Book Antiqua"/>
        </w:rPr>
        <w:t xml:space="preserve"> M, </w:t>
      </w:r>
      <w:proofErr w:type="spellStart"/>
      <w:r>
        <w:rPr>
          <w:rStyle w:val="Ohne"/>
          <w:rFonts w:ascii="Book Antiqua" w:hAnsi="Book Antiqua"/>
        </w:rPr>
        <w:t>Iborra</w:t>
      </w:r>
      <w:proofErr w:type="spellEnd"/>
      <w:r>
        <w:rPr>
          <w:rStyle w:val="Ohne"/>
          <w:rFonts w:ascii="Book Antiqua" w:hAnsi="Book Antiqua"/>
        </w:rPr>
        <w:t xml:space="preserve"> M, </w:t>
      </w:r>
      <w:proofErr w:type="spellStart"/>
      <w:r>
        <w:rPr>
          <w:rStyle w:val="Ohne"/>
          <w:rFonts w:ascii="Book Antiqua" w:hAnsi="Book Antiqua"/>
        </w:rPr>
        <w:t>Garrigues</w:t>
      </w:r>
      <w:proofErr w:type="spellEnd"/>
      <w:r>
        <w:rPr>
          <w:rStyle w:val="Ohne"/>
          <w:rFonts w:ascii="Book Antiqua" w:hAnsi="Book Antiqua"/>
        </w:rPr>
        <w:t xml:space="preserve"> V, Ponce J, Nos P. Small intestinal bacterial overgrowth in inactive Crohn's disease: influence of </w:t>
      </w:r>
      <w:proofErr w:type="spellStart"/>
      <w:r>
        <w:rPr>
          <w:rStyle w:val="Ohne"/>
          <w:rFonts w:ascii="Book Antiqua" w:hAnsi="Book Antiqua"/>
        </w:rPr>
        <w:t>thiopurine</w:t>
      </w:r>
      <w:proofErr w:type="spellEnd"/>
      <w:r>
        <w:rPr>
          <w:rStyle w:val="Ohne"/>
          <w:rFonts w:ascii="Book Antiqua" w:hAnsi="Book Antiqua"/>
        </w:rPr>
        <w:t xml:space="preserve"> and biological treatment. </w:t>
      </w:r>
      <w:r>
        <w:rPr>
          <w:rStyle w:val="Ohne"/>
          <w:rFonts w:ascii="Book Antiqua" w:hAnsi="Book Antiqua"/>
          <w:i/>
          <w:iCs/>
        </w:rPr>
        <w:t xml:space="preserve">World J </w:t>
      </w:r>
      <w:proofErr w:type="spellStart"/>
      <w:r>
        <w:rPr>
          <w:rStyle w:val="Ohne"/>
          <w:rFonts w:ascii="Book Antiqua" w:hAnsi="Book Antiqua"/>
          <w:i/>
          <w:iCs/>
        </w:rPr>
        <w:t>Gastroenterol</w:t>
      </w:r>
      <w:proofErr w:type="spellEnd"/>
      <w:r>
        <w:rPr>
          <w:rStyle w:val="Ohne"/>
          <w:rFonts w:ascii="Book Antiqua" w:hAnsi="Book Antiqua"/>
        </w:rPr>
        <w:t> 2014; </w:t>
      </w:r>
      <w:r>
        <w:rPr>
          <w:rStyle w:val="Ohne"/>
          <w:rFonts w:ascii="Book Antiqua" w:hAnsi="Book Antiqua"/>
          <w:b/>
          <w:bCs/>
        </w:rPr>
        <w:t>20</w:t>
      </w:r>
      <w:r>
        <w:rPr>
          <w:rStyle w:val="Ohne"/>
          <w:rFonts w:ascii="Book Antiqua" w:hAnsi="Book Antiqua"/>
        </w:rPr>
        <w:t>: 13999-14003 [PMID: 25320539 DOI: 10.3748/wjg.v20.i38.13999]</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20 </w:t>
      </w:r>
      <w:r>
        <w:rPr>
          <w:rStyle w:val="Ohne"/>
          <w:rFonts w:ascii="Book Antiqua" w:hAnsi="Book Antiqua"/>
          <w:b/>
          <w:bCs/>
        </w:rPr>
        <w:t>Schatz RA</w:t>
      </w:r>
      <w:r>
        <w:rPr>
          <w:rStyle w:val="Ohne"/>
          <w:rFonts w:ascii="Book Antiqua" w:hAnsi="Book Antiqua"/>
        </w:rPr>
        <w:t xml:space="preserve">, Zhang Q, </w:t>
      </w:r>
      <w:proofErr w:type="spellStart"/>
      <w:r>
        <w:rPr>
          <w:rStyle w:val="Ohne"/>
          <w:rFonts w:ascii="Book Antiqua" w:hAnsi="Book Antiqua"/>
        </w:rPr>
        <w:t>Lodhia</w:t>
      </w:r>
      <w:proofErr w:type="spellEnd"/>
      <w:r>
        <w:rPr>
          <w:rStyle w:val="Ohne"/>
          <w:rFonts w:ascii="Book Antiqua" w:hAnsi="Book Antiqua"/>
        </w:rPr>
        <w:t xml:space="preserve"> N, Shuster J, </w:t>
      </w:r>
      <w:proofErr w:type="spellStart"/>
      <w:r>
        <w:rPr>
          <w:rStyle w:val="Ohne"/>
          <w:rFonts w:ascii="Book Antiqua" w:hAnsi="Book Antiqua"/>
        </w:rPr>
        <w:t>Toskes</w:t>
      </w:r>
      <w:proofErr w:type="spellEnd"/>
      <w:r>
        <w:rPr>
          <w:rStyle w:val="Ohne"/>
          <w:rFonts w:ascii="Book Antiqua" w:hAnsi="Book Antiqua"/>
        </w:rPr>
        <w:t xml:space="preserve"> PP, </w:t>
      </w:r>
      <w:proofErr w:type="spellStart"/>
      <w:r>
        <w:rPr>
          <w:rStyle w:val="Ohne"/>
          <w:rFonts w:ascii="Book Antiqua" w:hAnsi="Book Antiqua"/>
        </w:rPr>
        <w:t>Moshiree</w:t>
      </w:r>
      <w:proofErr w:type="spellEnd"/>
      <w:r>
        <w:rPr>
          <w:rStyle w:val="Ohne"/>
          <w:rFonts w:ascii="Book Antiqua" w:hAnsi="Book Antiqua"/>
        </w:rPr>
        <w:t xml:space="preserve"> B. Predisposing factors for positive D-Xylose breath test for evaluation of small intestinal bacterial overgrowth: a retrospective study of 932 patients. </w:t>
      </w:r>
      <w:r>
        <w:rPr>
          <w:rStyle w:val="Ohne"/>
          <w:rFonts w:ascii="Book Antiqua" w:hAnsi="Book Antiqua"/>
          <w:i/>
          <w:iCs/>
        </w:rPr>
        <w:t xml:space="preserve">World J </w:t>
      </w:r>
      <w:proofErr w:type="spellStart"/>
      <w:r>
        <w:rPr>
          <w:rStyle w:val="Ohne"/>
          <w:rFonts w:ascii="Book Antiqua" w:hAnsi="Book Antiqua"/>
          <w:i/>
          <w:iCs/>
        </w:rPr>
        <w:t>Gastroenterol</w:t>
      </w:r>
      <w:proofErr w:type="spellEnd"/>
      <w:r>
        <w:rPr>
          <w:rStyle w:val="Ohne"/>
          <w:rFonts w:ascii="Book Antiqua" w:hAnsi="Book Antiqua"/>
        </w:rPr>
        <w:t> 2015; </w:t>
      </w:r>
      <w:r>
        <w:rPr>
          <w:rStyle w:val="Ohne"/>
          <w:rFonts w:ascii="Book Antiqua" w:hAnsi="Book Antiqua"/>
          <w:b/>
          <w:bCs/>
        </w:rPr>
        <w:t>21</w:t>
      </w:r>
      <w:r>
        <w:rPr>
          <w:rStyle w:val="Ohne"/>
          <w:rFonts w:ascii="Book Antiqua" w:hAnsi="Book Antiqua"/>
        </w:rPr>
        <w:t>: 4574-4582 [PMID: 25914466 DOI: 10.3748/wjg.v21.i15.4574]</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21 </w:t>
      </w:r>
      <w:proofErr w:type="spellStart"/>
      <w:r>
        <w:rPr>
          <w:rStyle w:val="Ohne"/>
          <w:rFonts w:ascii="Book Antiqua" w:hAnsi="Book Antiqua"/>
          <w:b/>
          <w:bCs/>
        </w:rPr>
        <w:t>Gabbard</w:t>
      </w:r>
      <w:proofErr w:type="spellEnd"/>
      <w:r>
        <w:rPr>
          <w:rStyle w:val="Ohne"/>
          <w:rFonts w:ascii="Book Antiqua" w:hAnsi="Book Antiqua"/>
          <w:b/>
          <w:bCs/>
        </w:rPr>
        <w:t xml:space="preserve"> SL</w:t>
      </w:r>
      <w:r>
        <w:rPr>
          <w:rStyle w:val="Ohne"/>
          <w:rFonts w:ascii="Book Antiqua" w:hAnsi="Book Antiqua"/>
        </w:rPr>
        <w:t xml:space="preserve">, Lacy BE, Levine GM, Crowell MD. </w:t>
      </w:r>
      <w:proofErr w:type="gramStart"/>
      <w:r>
        <w:rPr>
          <w:rStyle w:val="Ohne"/>
          <w:rFonts w:ascii="Book Antiqua" w:hAnsi="Book Antiqua"/>
        </w:rPr>
        <w:t>The impact of alcohol consumption and cholecystectomy on small intestinal bacterial overgrowth.</w:t>
      </w:r>
      <w:proofErr w:type="gramEnd"/>
      <w:r>
        <w:rPr>
          <w:rStyle w:val="Ohne"/>
          <w:rFonts w:ascii="Book Antiqua" w:hAnsi="Book Antiqua"/>
        </w:rPr>
        <w:t> </w:t>
      </w:r>
      <w:r>
        <w:rPr>
          <w:rStyle w:val="Ohne"/>
          <w:rFonts w:ascii="Book Antiqua" w:hAnsi="Book Antiqua"/>
          <w:i/>
          <w:iCs/>
        </w:rPr>
        <w:t xml:space="preserve">Dig Dis </w:t>
      </w:r>
      <w:proofErr w:type="spellStart"/>
      <w:r>
        <w:rPr>
          <w:rStyle w:val="Ohne"/>
          <w:rFonts w:ascii="Book Antiqua" w:hAnsi="Book Antiqua"/>
          <w:i/>
          <w:iCs/>
        </w:rPr>
        <w:t>Sci</w:t>
      </w:r>
      <w:proofErr w:type="spellEnd"/>
      <w:r>
        <w:rPr>
          <w:rStyle w:val="Ohne"/>
          <w:rFonts w:ascii="Book Antiqua" w:hAnsi="Book Antiqua"/>
        </w:rPr>
        <w:t> 2014; </w:t>
      </w:r>
      <w:r>
        <w:rPr>
          <w:rStyle w:val="Ohne"/>
          <w:rFonts w:ascii="Book Antiqua" w:hAnsi="Book Antiqua"/>
          <w:b/>
          <w:bCs/>
        </w:rPr>
        <w:t>59</w:t>
      </w:r>
      <w:r>
        <w:rPr>
          <w:rStyle w:val="Ohne"/>
          <w:rFonts w:ascii="Book Antiqua" w:hAnsi="Book Antiqua"/>
        </w:rPr>
        <w:t>: 638-644 [PMID: 24323179 DOI: 10.1007/s10620-013-2960-y]</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22 </w:t>
      </w:r>
      <w:r>
        <w:rPr>
          <w:rStyle w:val="Ohne"/>
          <w:rFonts w:ascii="Book Antiqua" w:hAnsi="Book Antiqua"/>
          <w:b/>
          <w:bCs/>
        </w:rPr>
        <w:t>Madrid AM</w:t>
      </w:r>
      <w:r>
        <w:rPr>
          <w:rStyle w:val="Ohne"/>
          <w:rFonts w:ascii="Book Antiqua" w:hAnsi="Book Antiqua"/>
        </w:rPr>
        <w:t xml:space="preserve">, </w:t>
      </w:r>
      <w:proofErr w:type="spellStart"/>
      <w:r>
        <w:rPr>
          <w:rStyle w:val="Ohne"/>
          <w:rFonts w:ascii="Book Antiqua" w:hAnsi="Book Antiqua"/>
        </w:rPr>
        <w:t>Cumsille</w:t>
      </w:r>
      <w:proofErr w:type="spellEnd"/>
      <w:r>
        <w:rPr>
          <w:rStyle w:val="Ohne"/>
          <w:rFonts w:ascii="Book Antiqua" w:hAnsi="Book Antiqua"/>
        </w:rPr>
        <w:t xml:space="preserve"> F, </w:t>
      </w:r>
      <w:proofErr w:type="spellStart"/>
      <w:r>
        <w:rPr>
          <w:rStyle w:val="Ohne"/>
          <w:rFonts w:ascii="Book Antiqua" w:hAnsi="Book Antiqua"/>
        </w:rPr>
        <w:t>Defilippi</w:t>
      </w:r>
      <w:proofErr w:type="spellEnd"/>
      <w:r>
        <w:rPr>
          <w:rStyle w:val="Ohne"/>
          <w:rFonts w:ascii="Book Antiqua" w:hAnsi="Book Antiqua"/>
        </w:rPr>
        <w:t xml:space="preserve"> C. Altered small bowel motility in patients with liver cirrhosis depends on severity of liver disease. </w:t>
      </w:r>
      <w:r>
        <w:rPr>
          <w:rStyle w:val="Ohne"/>
          <w:rFonts w:ascii="Book Antiqua" w:hAnsi="Book Antiqua"/>
          <w:i/>
          <w:iCs/>
        </w:rPr>
        <w:t xml:space="preserve">Dig Dis </w:t>
      </w:r>
      <w:proofErr w:type="spellStart"/>
      <w:r>
        <w:rPr>
          <w:rStyle w:val="Ohne"/>
          <w:rFonts w:ascii="Book Antiqua" w:hAnsi="Book Antiqua"/>
          <w:i/>
          <w:iCs/>
        </w:rPr>
        <w:t>Sci</w:t>
      </w:r>
      <w:proofErr w:type="spellEnd"/>
      <w:r>
        <w:rPr>
          <w:rStyle w:val="Ohne"/>
          <w:rFonts w:ascii="Book Antiqua" w:hAnsi="Book Antiqua"/>
        </w:rPr>
        <w:t> 1997; </w:t>
      </w:r>
      <w:r>
        <w:rPr>
          <w:rStyle w:val="Ohne"/>
          <w:rFonts w:ascii="Book Antiqua" w:hAnsi="Book Antiqua"/>
          <w:b/>
          <w:bCs/>
        </w:rPr>
        <w:t>42</w:t>
      </w:r>
      <w:r>
        <w:rPr>
          <w:rStyle w:val="Ohne"/>
          <w:rFonts w:ascii="Book Antiqua" w:hAnsi="Book Antiqua"/>
        </w:rPr>
        <w:t>: 738-742 [PMID: 9125642 DOI: 10.1023/A: 1018899611006]</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23 </w:t>
      </w:r>
      <w:r>
        <w:rPr>
          <w:rStyle w:val="Ohne"/>
          <w:rFonts w:ascii="Book Antiqua" w:hAnsi="Book Antiqua"/>
          <w:b/>
          <w:bCs/>
        </w:rPr>
        <w:t>Chang CS</w:t>
      </w:r>
      <w:r>
        <w:rPr>
          <w:rStyle w:val="Ohne"/>
          <w:rFonts w:ascii="Book Antiqua" w:hAnsi="Book Antiqua"/>
        </w:rPr>
        <w:t xml:space="preserve">, Chen GH, Lien HC, </w:t>
      </w:r>
      <w:proofErr w:type="spellStart"/>
      <w:r>
        <w:rPr>
          <w:rStyle w:val="Ohne"/>
          <w:rFonts w:ascii="Book Antiqua" w:hAnsi="Book Antiqua"/>
        </w:rPr>
        <w:t>Yeh</w:t>
      </w:r>
      <w:proofErr w:type="spellEnd"/>
      <w:r>
        <w:rPr>
          <w:rStyle w:val="Ohne"/>
          <w:rFonts w:ascii="Book Antiqua" w:hAnsi="Book Antiqua"/>
        </w:rPr>
        <w:t xml:space="preserve"> HZ. </w:t>
      </w:r>
      <w:proofErr w:type="gramStart"/>
      <w:r>
        <w:rPr>
          <w:rStyle w:val="Ohne"/>
          <w:rFonts w:ascii="Book Antiqua" w:hAnsi="Book Antiqua"/>
        </w:rPr>
        <w:t xml:space="preserve">Small intestine </w:t>
      </w:r>
      <w:proofErr w:type="spellStart"/>
      <w:r>
        <w:rPr>
          <w:rStyle w:val="Ohne"/>
          <w:rFonts w:ascii="Book Antiqua" w:hAnsi="Book Antiqua"/>
        </w:rPr>
        <w:t>dysmotility</w:t>
      </w:r>
      <w:proofErr w:type="spellEnd"/>
      <w:r>
        <w:rPr>
          <w:rStyle w:val="Ohne"/>
          <w:rFonts w:ascii="Book Antiqua" w:hAnsi="Book Antiqua"/>
        </w:rPr>
        <w:t xml:space="preserve"> and bacterial overgrowth in cirrhotic patients with spontaneous bacterial peritonitis.</w:t>
      </w:r>
      <w:proofErr w:type="gramEnd"/>
      <w:r>
        <w:rPr>
          <w:rStyle w:val="Ohne"/>
          <w:rFonts w:ascii="Book Antiqua" w:hAnsi="Book Antiqua"/>
        </w:rPr>
        <w:t> </w:t>
      </w:r>
      <w:r>
        <w:rPr>
          <w:rStyle w:val="Ohne"/>
          <w:rFonts w:ascii="Book Antiqua" w:hAnsi="Book Antiqua"/>
          <w:i/>
          <w:iCs/>
        </w:rPr>
        <w:t>Hepatology</w:t>
      </w:r>
      <w:r>
        <w:rPr>
          <w:rStyle w:val="Ohne"/>
          <w:rFonts w:ascii="Book Antiqua" w:hAnsi="Book Antiqua"/>
        </w:rPr>
        <w:t> 1998; </w:t>
      </w:r>
      <w:r>
        <w:rPr>
          <w:rStyle w:val="Ohne"/>
          <w:rFonts w:ascii="Book Antiqua" w:hAnsi="Book Antiqua"/>
          <w:b/>
          <w:bCs/>
        </w:rPr>
        <w:t>28</w:t>
      </w:r>
      <w:r>
        <w:rPr>
          <w:rStyle w:val="Ohne"/>
          <w:rFonts w:ascii="Book Antiqua" w:hAnsi="Book Antiqua"/>
        </w:rPr>
        <w:t>: 1187-1190 [PMID: 9794900 DOI: 10.1002/hep.510280504]</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24 </w:t>
      </w:r>
      <w:proofErr w:type="spellStart"/>
      <w:r>
        <w:rPr>
          <w:rStyle w:val="Ohne"/>
          <w:rFonts w:ascii="Book Antiqua" w:hAnsi="Book Antiqua"/>
          <w:b/>
          <w:bCs/>
        </w:rPr>
        <w:t>Pande</w:t>
      </w:r>
      <w:proofErr w:type="spellEnd"/>
      <w:r>
        <w:rPr>
          <w:rStyle w:val="Ohne"/>
          <w:rFonts w:ascii="Book Antiqua" w:hAnsi="Book Antiqua"/>
          <w:b/>
          <w:bCs/>
        </w:rPr>
        <w:t xml:space="preserve"> C</w:t>
      </w:r>
      <w:r>
        <w:rPr>
          <w:rStyle w:val="Ohne"/>
          <w:rFonts w:ascii="Book Antiqua" w:hAnsi="Book Antiqua"/>
        </w:rPr>
        <w:t>, Kumar A, Sarin SK. Small-intestinal bacterial overgrowth in cirrhosis is related to the severity of liver disease. </w:t>
      </w:r>
      <w:r>
        <w:rPr>
          <w:rStyle w:val="Ohne"/>
          <w:rFonts w:ascii="Book Antiqua" w:hAnsi="Book Antiqua"/>
          <w:i/>
          <w:iCs/>
        </w:rPr>
        <w:t xml:space="preserve">Aliment </w:t>
      </w:r>
      <w:proofErr w:type="spellStart"/>
      <w:r>
        <w:rPr>
          <w:rStyle w:val="Ohne"/>
          <w:rFonts w:ascii="Book Antiqua" w:hAnsi="Book Antiqua"/>
          <w:i/>
          <w:iCs/>
        </w:rPr>
        <w:t>Pharmacol</w:t>
      </w:r>
      <w:proofErr w:type="spellEnd"/>
      <w:r>
        <w:rPr>
          <w:rStyle w:val="Ohne"/>
          <w:rFonts w:ascii="Book Antiqua" w:hAnsi="Book Antiqua"/>
          <w:i/>
          <w:iCs/>
        </w:rPr>
        <w:t xml:space="preserve"> </w:t>
      </w:r>
      <w:proofErr w:type="spellStart"/>
      <w:r>
        <w:rPr>
          <w:rStyle w:val="Ohne"/>
          <w:rFonts w:ascii="Book Antiqua" w:hAnsi="Book Antiqua"/>
          <w:i/>
          <w:iCs/>
        </w:rPr>
        <w:t>Ther</w:t>
      </w:r>
      <w:proofErr w:type="spellEnd"/>
      <w:r>
        <w:rPr>
          <w:rStyle w:val="Ohne"/>
          <w:rFonts w:ascii="Book Antiqua" w:hAnsi="Book Antiqua"/>
        </w:rPr>
        <w:t> 2009; </w:t>
      </w:r>
      <w:r>
        <w:rPr>
          <w:rStyle w:val="Ohne"/>
          <w:rFonts w:ascii="Book Antiqua" w:hAnsi="Book Antiqua"/>
          <w:b/>
          <w:bCs/>
        </w:rPr>
        <w:t>29</w:t>
      </w:r>
      <w:r>
        <w:rPr>
          <w:rStyle w:val="Ohne"/>
          <w:rFonts w:ascii="Book Antiqua" w:hAnsi="Book Antiqua"/>
        </w:rPr>
        <w:t>: 1273-1281 [PMID: 19302262 DOI: 10.1111/j.1365-2036.2009.03994.x]</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25 </w:t>
      </w:r>
      <w:r>
        <w:rPr>
          <w:rStyle w:val="Ohne"/>
          <w:rFonts w:ascii="Book Antiqua" w:hAnsi="Book Antiqua"/>
          <w:b/>
          <w:bCs/>
        </w:rPr>
        <w:t>Bauer TM</w:t>
      </w:r>
      <w:r>
        <w:rPr>
          <w:rStyle w:val="Ohne"/>
          <w:rFonts w:ascii="Book Antiqua" w:hAnsi="Book Antiqua"/>
        </w:rPr>
        <w:t xml:space="preserve">, </w:t>
      </w:r>
      <w:proofErr w:type="spellStart"/>
      <w:r>
        <w:rPr>
          <w:rStyle w:val="Ohne"/>
          <w:rFonts w:ascii="Book Antiqua" w:hAnsi="Book Antiqua"/>
        </w:rPr>
        <w:t>Steinbrückner</w:t>
      </w:r>
      <w:proofErr w:type="spellEnd"/>
      <w:r>
        <w:rPr>
          <w:rStyle w:val="Ohne"/>
          <w:rFonts w:ascii="Book Antiqua" w:hAnsi="Book Antiqua"/>
        </w:rPr>
        <w:t xml:space="preserve"> B, </w:t>
      </w:r>
      <w:proofErr w:type="spellStart"/>
      <w:r>
        <w:rPr>
          <w:rStyle w:val="Ohne"/>
          <w:rFonts w:ascii="Book Antiqua" w:hAnsi="Book Antiqua"/>
        </w:rPr>
        <w:t>Brinkmann</w:t>
      </w:r>
      <w:proofErr w:type="spellEnd"/>
      <w:r>
        <w:rPr>
          <w:rStyle w:val="Ohne"/>
          <w:rFonts w:ascii="Book Antiqua" w:hAnsi="Book Antiqua"/>
        </w:rPr>
        <w:t xml:space="preserve"> FE, </w:t>
      </w:r>
      <w:proofErr w:type="spellStart"/>
      <w:r>
        <w:rPr>
          <w:rStyle w:val="Ohne"/>
          <w:rFonts w:ascii="Book Antiqua" w:hAnsi="Book Antiqua"/>
        </w:rPr>
        <w:t>Ditzen</w:t>
      </w:r>
      <w:proofErr w:type="spellEnd"/>
      <w:r>
        <w:rPr>
          <w:rStyle w:val="Ohne"/>
          <w:rFonts w:ascii="Book Antiqua" w:hAnsi="Book Antiqua"/>
        </w:rPr>
        <w:t xml:space="preserve"> AK, </w:t>
      </w:r>
      <w:proofErr w:type="spellStart"/>
      <w:r>
        <w:rPr>
          <w:rStyle w:val="Ohne"/>
          <w:rFonts w:ascii="Book Antiqua" w:hAnsi="Book Antiqua"/>
        </w:rPr>
        <w:t>Schwacha</w:t>
      </w:r>
      <w:proofErr w:type="spellEnd"/>
      <w:r>
        <w:rPr>
          <w:rStyle w:val="Ohne"/>
          <w:rFonts w:ascii="Book Antiqua" w:hAnsi="Book Antiqua"/>
        </w:rPr>
        <w:t xml:space="preserve"> H, Aponte JJ, </w:t>
      </w:r>
      <w:proofErr w:type="spellStart"/>
      <w:r>
        <w:rPr>
          <w:rStyle w:val="Ohne"/>
          <w:rFonts w:ascii="Book Antiqua" w:hAnsi="Book Antiqua"/>
        </w:rPr>
        <w:t>Pelz</w:t>
      </w:r>
      <w:proofErr w:type="spellEnd"/>
      <w:r>
        <w:rPr>
          <w:rStyle w:val="Ohne"/>
          <w:rFonts w:ascii="Book Antiqua" w:hAnsi="Book Antiqua"/>
        </w:rPr>
        <w:t xml:space="preserve"> K, Kist M, Blum HE. Small intestinal bacterial overgrowth in patients with cirrhosis: prevalence and relation with spontaneous bacterial peritonitis. </w:t>
      </w:r>
      <w:r>
        <w:rPr>
          <w:rStyle w:val="Ohne"/>
          <w:rFonts w:ascii="Book Antiqua" w:hAnsi="Book Antiqua"/>
          <w:i/>
          <w:iCs/>
        </w:rPr>
        <w:t xml:space="preserve">Am J </w:t>
      </w:r>
      <w:proofErr w:type="spellStart"/>
      <w:r>
        <w:rPr>
          <w:rStyle w:val="Ohne"/>
          <w:rFonts w:ascii="Book Antiqua" w:hAnsi="Book Antiqua"/>
          <w:i/>
          <w:iCs/>
        </w:rPr>
        <w:t>Gastroenterol</w:t>
      </w:r>
      <w:proofErr w:type="spellEnd"/>
      <w:r>
        <w:rPr>
          <w:rStyle w:val="Ohne"/>
          <w:rFonts w:ascii="Book Antiqua" w:hAnsi="Book Antiqua"/>
        </w:rPr>
        <w:t> 2001; </w:t>
      </w:r>
      <w:r>
        <w:rPr>
          <w:rStyle w:val="Ohne"/>
          <w:rFonts w:ascii="Book Antiqua" w:hAnsi="Book Antiqua"/>
          <w:b/>
          <w:bCs/>
        </w:rPr>
        <w:t>96</w:t>
      </w:r>
      <w:r>
        <w:rPr>
          <w:rStyle w:val="Ohne"/>
          <w:rFonts w:ascii="Book Antiqua" w:hAnsi="Book Antiqua"/>
        </w:rPr>
        <w:t>: 2962-2967 [PMID: 11693333 DOI: 10.1111/j.1572-0241.2001.04668.x]</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lastRenderedPageBreak/>
        <w:t>26 </w:t>
      </w:r>
      <w:proofErr w:type="spellStart"/>
      <w:r>
        <w:rPr>
          <w:rStyle w:val="Ohne"/>
          <w:rFonts w:ascii="Book Antiqua" w:hAnsi="Book Antiqua"/>
          <w:b/>
          <w:bCs/>
        </w:rPr>
        <w:t>Wigg</w:t>
      </w:r>
      <w:proofErr w:type="spellEnd"/>
      <w:r>
        <w:rPr>
          <w:rStyle w:val="Ohne"/>
          <w:rFonts w:ascii="Book Antiqua" w:hAnsi="Book Antiqua"/>
          <w:b/>
          <w:bCs/>
        </w:rPr>
        <w:t xml:space="preserve"> AJ</w:t>
      </w:r>
      <w:r>
        <w:rPr>
          <w:rStyle w:val="Ohne"/>
          <w:rFonts w:ascii="Book Antiqua" w:hAnsi="Book Antiqua"/>
        </w:rPr>
        <w:t xml:space="preserve">, Roberts-Thomson IC, </w:t>
      </w:r>
      <w:proofErr w:type="spellStart"/>
      <w:r>
        <w:rPr>
          <w:rStyle w:val="Ohne"/>
          <w:rFonts w:ascii="Book Antiqua" w:hAnsi="Book Antiqua"/>
        </w:rPr>
        <w:t>Dymock</w:t>
      </w:r>
      <w:proofErr w:type="spellEnd"/>
      <w:r>
        <w:rPr>
          <w:rStyle w:val="Ohne"/>
          <w:rFonts w:ascii="Book Antiqua" w:hAnsi="Book Antiqua"/>
        </w:rPr>
        <w:t xml:space="preserve"> RB, McCarthy PJ, Grose RH, Cummins AG. The role of small intestinal bacterial overgrowth, intestinal permeability, </w:t>
      </w:r>
      <w:proofErr w:type="spellStart"/>
      <w:r>
        <w:rPr>
          <w:rStyle w:val="Ohne"/>
          <w:rFonts w:ascii="Book Antiqua" w:hAnsi="Book Antiqua"/>
        </w:rPr>
        <w:t>endotoxaemia</w:t>
      </w:r>
      <w:proofErr w:type="spellEnd"/>
      <w:r>
        <w:rPr>
          <w:rStyle w:val="Ohne"/>
          <w:rFonts w:ascii="Book Antiqua" w:hAnsi="Book Antiqua"/>
        </w:rPr>
        <w:t xml:space="preserve">, and </w:t>
      </w:r>
      <w:proofErr w:type="spellStart"/>
      <w:r>
        <w:rPr>
          <w:rStyle w:val="Ohne"/>
          <w:rFonts w:ascii="Book Antiqua" w:hAnsi="Book Antiqua"/>
        </w:rPr>
        <w:t>tumour</w:t>
      </w:r>
      <w:proofErr w:type="spellEnd"/>
      <w:r>
        <w:rPr>
          <w:rStyle w:val="Ohne"/>
          <w:rFonts w:ascii="Book Antiqua" w:hAnsi="Book Antiqua"/>
        </w:rPr>
        <w:t xml:space="preserve"> necrosis factor alpha in the pathogenesis of non-alcoholic steatohepatitis. </w:t>
      </w:r>
      <w:r>
        <w:rPr>
          <w:rStyle w:val="Ohne"/>
          <w:rFonts w:ascii="Book Antiqua" w:hAnsi="Book Antiqua"/>
          <w:i/>
          <w:iCs/>
        </w:rPr>
        <w:t>Gut</w:t>
      </w:r>
      <w:r>
        <w:rPr>
          <w:rStyle w:val="Ohne"/>
          <w:rFonts w:ascii="Book Antiqua" w:hAnsi="Book Antiqua"/>
        </w:rPr>
        <w:t> 2001; </w:t>
      </w:r>
      <w:r>
        <w:rPr>
          <w:rStyle w:val="Ohne"/>
          <w:rFonts w:ascii="Book Antiqua" w:hAnsi="Book Antiqua"/>
          <w:b/>
          <w:bCs/>
        </w:rPr>
        <w:t>48</w:t>
      </w:r>
      <w:r>
        <w:rPr>
          <w:rStyle w:val="Ohne"/>
          <w:rFonts w:ascii="Book Antiqua" w:hAnsi="Book Antiqua"/>
        </w:rPr>
        <w:t>: 206-211 [PMID: 11156641 DOI: 10.1136/gut.48.2.206]</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27 </w:t>
      </w:r>
      <w:proofErr w:type="spellStart"/>
      <w:r>
        <w:rPr>
          <w:rStyle w:val="Ohne"/>
          <w:rFonts w:ascii="Book Antiqua" w:hAnsi="Book Antiqua"/>
          <w:b/>
          <w:bCs/>
        </w:rPr>
        <w:t>Lauritano</w:t>
      </w:r>
      <w:proofErr w:type="spellEnd"/>
      <w:r>
        <w:rPr>
          <w:rStyle w:val="Ohne"/>
          <w:rFonts w:ascii="Book Antiqua" w:hAnsi="Book Antiqua"/>
          <w:b/>
          <w:bCs/>
        </w:rPr>
        <w:t xml:space="preserve"> EC</w:t>
      </w:r>
      <w:r>
        <w:rPr>
          <w:rStyle w:val="Ohne"/>
          <w:rFonts w:ascii="Book Antiqua" w:hAnsi="Book Antiqua"/>
        </w:rPr>
        <w:t xml:space="preserve">, </w:t>
      </w:r>
      <w:proofErr w:type="spellStart"/>
      <w:r>
        <w:rPr>
          <w:rStyle w:val="Ohne"/>
          <w:rFonts w:ascii="Book Antiqua" w:hAnsi="Book Antiqua"/>
        </w:rPr>
        <w:t>Bilotta</w:t>
      </w:r>
      <w:proofErr w:type="spellEnd"/>
      <w:r>
        <w:rPr>
          <w:rStyle w:val="Ohne"/>
          <w:rFonts w:ascii="Book Antiqua" w:hAnsi="Book Antiqua"/>
        </w:rPr>
        <w:t xml:space="preserve"> AL, </w:t>
      </w:r>
      <w:proofErr w:type="spellStart"/>
      <w:r>
        <w:rPr>
          <w:rStyle w:val="Ohne"/>
          <w:rFonts w:ascii="Book Antiqua" w:hAnsi="Book Antiqua"/>
        </w:rPr>
        <w:t>Gabrielli</w:t>
      </w:r>
      <w:proofErr w:type="spellEnd"/>
      <w:r>
        <w:rPr>
          <w:rStyle w:val="Ohne"/>
          <w:rFonts w:ascii="Book Antiqua" w:hAnsi="Book Antiqua"/>
        </w:rPr>
        <w:t xml:space="preserve"> M, </w:t>
      </w:r>
      <w:proofErr w:type="spellStart"/>
      <w:r>
        <w:rPr>
          <w:rStyle w:val="Ohne"/>
          <w:rFonts w:ascii="Book Antiqua" w:hAnsi="Book Antiqua"/>
        </w:rPr>
        <w:t>Scarpellini</w:t>
      </w:r>
      <w:proofErr w:type="spellEnd"/>
      <w:r>
        <w:rPr>
          <w:rStyle w:val="Ohne"/>
          <w:rFonts w:ascii="Book Antiqua" w:hAnsi="Book Antiqua"/>
        </w:rPr>
        <w:t xml:space="preserve"> E, </w:t>
      </w:r>
      <w:proofErr w:type="spellStart"/>
      <w:r>
        <w:rPr>
          <w:rStyle w:val="Ohne"/>
          <w:rFonts w:ascii="Book Antiqua" w:hAnsi="Book Antiqua"/>
        </w:rPr>
        <w:t>Lupascu</w:t>
      </w:r>
      <w:proofErr w:type="spellEnd"/>
      <w:r>
        <w:rPr>
          <w:rStyle w:val="Ohne"/>
          <w:rFonts w:ascii="Book Antiqua" w:hAnsi="Book Antiqua"/>
        </w:rPr>
        <w:t xml:space="preserve"> A, </w:t>
      </w:r>
      <w:proofErr w:type="spellStart"/>
      <w:r>
        <w:rPr>
          <w:rStyle w:val="Ohne"/>
          <w:rFonts w:ascii="Book Antiqua" w:hAnsi="Book Antiqua"/>
        </w:rPr>
        <w:t>Laginestra</w:t>
      </w:r>
      <w:proofErr w:type="spellEnd"/>
      <w:r>
        <w:rPr>
          <w:rStyle w:val="Ohne"/>
          <w:rFonts w:ascii="Book Antiqua" w:hAnsi="Book Antiqua"/>
        </w:rPr>
        <w:t xml:space="preserve"> A, Novi M, </w:t>
      </w:r>
      <w:proofErr w:type="spellStart"/>
      <w:r>
        <w:rPr>
          <w:rStyle w:val="Ohne"/>
          <w:rFonts w:ascii="Book Antiqua" w:hAnsi="Book Antiqua"/>
        </w:rPr>
        <w:t>Sottili</w:t>
      </w:r>
      <w:proofErr w:type="spellEnd"/>
      <w:r>
        <w:rPr>
          <w:rStyle w:val="Ohne"/>
          <w:rFonts w:ascii="Book Antiqua" w:hAnsi="Book Antiqua"/>
        </w:rPr>
        <w:t xml:space="preserve"> S, </w:t>
      </w:r>
      <w:proofErr w:type="spellStart"/>
      <w:r>
        <w:rPr>
          <w:rStyle w:val="Ohne"/>
          <w:rFonts w:ascii="Book Antiqua" w:hAnsi="Book Antiqua"/>
        </w:rPr>
        <w:t>Serricchio</w:t>
      </w:r>
      <w:proofErr w:type="spellEnd"/>
      <w:r>
        <w:rPr>
          <w:rStyle w:val="Ohne"/>
          <w:rFonts w:ascii="Book Antiqua" w:hAnsi="Book Antiqua"/>
        </w:rPr>
        <w:t xml:space="preserve"> M, </w:t>
      </w:r>
      <w:proofErr w:type="spellStart"/>
      <w:r>
        <w:rPr>
          <w:rStyle w:val="Ohne"/>
          <w:rFonts w:ascii="Book Antiqua" w:hAnsi="Book Antiqua"/>
        </w:rPr>
        <w:t>Cammarota</w:t>
      </w:r>
      <w:proofErr w:type="spellEnd"/>
      <w:r>
        <w:rPr>
          <w:rStyle w:val="Ohne"/>
          <w:rFonts w:ascii="Book Antiqua" w:hAnsi="Book Antiqua"/>
        </w:rPr>
        <w:t xml:space="preserve"> G, </w:t>
      </w:r>
      <w:proofErr w:type="spellStart"/>
      <w:r>
        <w:rPr>
          <w:rStyle w:val="Ohne"/>
          <w:rFonts w:ascii="Book Antiqua" w:hAnsi="Book Antiqua"/>
        </w:rPr>
        <w:t>Gasbarrini</w:t>
      </w:r>
      <w:proofErr w:type="spellEnd"/>
      <w:r>
        <w:rPr>
          <w:rStyle w:val="Ohne"/>
          <w:rFonts w:ascii="Book Antiqua" w:hAnsi="Book Antiqua"/>
        </w:rPr>
        <w:t xml:space="preserve"> G, </w:t>
      </w:r>
      <w:proofErr w:type="spellStart"/>
      <w:r>
        <w:rPr>
          <w:rStyle w:val="Ohne"/>
          <w:rFonts w:ascii="Book Antiqua" w:hAnsi="Book Antiqua"/>
        </w:rPr>
        <w:t>Pontecorvi</w:t>
      </w:r>
      <w:proofErr w:type="spellEnd"/>
      <w:r>
        <w:rPr>
          <w:rStyle w:val="Ohne"/>
          <w:rFonts w:ascii="Book Antiqua" w:hAnsi="Book Antiqua"/>
        </w:rPr>
        <w:t xml:space="preserve"> A, </w:t>
      </w:r>
      <w:proofErr w:type="spellStart"/>
      <w:r>
        <w:rPr>
          <w:rStyle w:val="Ohne"/>
          <w:rFonts w:ascii="Book Antiqua" w:hAnsi="Book Antiqua"/>
        </w:rPr>
        <w:t>Gasbarrini</w:t>
      </w:r>
      <w:proofErr w:type="spellEnd"/>
      <w:r>
        <w:rPr>
          <w:rStyle w:val="Ohne"/>
          <w:rFonts w:ascii="Book Antiqua" w:hAnsi="Book Antiqua"/>
        </w:rPr>
        <w:t xml:space="preserve"> A. Association between hypothyroidism and small intestinal bacterial overgrowth. </w:t>
      </w:r>
      <w:r>
        <w:rPr>
          <w:rStyle w:val="Ohne"/>
          <w:rFonts w:ascii="Book Antiqua" w:hAnsi="Book Antiqua"/>
          <w:i/>
          <w:iCs/>
        </w:rPr>
        <w:t xml:space="preserve">J </w:t>
      </w:r>
      <w:proofErr w:type="spellStart"/>
      <w:r>
        <w:rPr>
          <w:rStyle w:val="Ohne"/>
          <w:rFonts w:ascii="Book Antiqua" w:hAnsi="Book Antiqua"/>
          <w:i/>
          <w:iCs/>
        </w:rPr>
        <w:t>Clin</w:t>
      </w:r>
      <w:proofErr w:type="spellEnd"/>
      <w:r>
        <w:rPr>
          <w:rStyle w:val="Ohne"/>
          <w:rFonts w:ascii="Book Antiqua" w:hAnsi="Book Antiqua"/>
          <w:i/>
          <w:iCs/>
        </w:rPr>
        <w:t xml:space="preserve"> </w:t>
      </w:r>
      <w:proofErr w:type="spellStart"/>
      <w:r>
        <w:rPr>
          <w:rStyle w:val="Ohne"/>
          <w:rFonts w:ascii="Book Antiqua" w:hAnsi="Book Antiqua"/>
          <w:i/>
          <w:iCs/>
        </w:rPr>
        <w:t>Endocrinol</w:t>
      </w:r>
      <w:proofErr w:type="spellEnd"/>
      <w:r>
        <w:rPr>
          <w:rStyle w:val="Ohne"/>
          <w:rFonts w:ascii="Book Antiqua" w:hAnsi="Book Antiqua"/>
          <w:i/>
          <w:iCs/>
        </w:rPr>
        <w:t xml:space="preserve"> </w:t>
      </w:r>
      <w:proofErr w:type="spellStart"/>
      <w:r>
        <w:rPr>
          <w:rStyle w:val="Ohne"/>
          <w:rFonts w:ascii="Book Antiqua" w:hAnsi="Book Antiqua"/>
          <w:i/>
          <w:iCs/>
        </w:rPr>
        <w:t>Metab</w:t>
      </w:r>
      <w:proofErr w:type="spellEnd"/>
      <w:r>
        <w:rPr>
          <w:rStyle w:val="Ohne"/>
          <w:rFonts w:ascii="Book Antiqua" w:hAnsi="Book Antiqua"/>
        </w:rPr>
        <w:t> 2007; </w:t>
      </w:r>
      <w:r>
        <w:rPr>
          <w:rStyle w:val="Ohne"/>
          <w:rFonts w:ascii="Book Antiqua" w:hAnsi="Book Antiqua"/>
          <w:b/>
          <w:bCs/>
        </w:rPr>
        <w:t>92</w:t>
      </w:r>
      <w:r>
        <w:rPr>
          <w:rStyle w:val="Ohne"/>
          <w:rFonts w:ascii="Book Antiqua" w:hAnsi="Book Antiqua"/>
        </w:rPr>
        <w:t>: 4180-4184 [PMID: 17698907]</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28 </w:t>
      </w:r>
      <w:r>
        <w:rPr>
          <w:rStyle w:val="Ohne"/>
          <w:rFonts w:ascii="Book Antiqua" w:hAnsi="Book Antiqua"/>
          <w:b/>
          <w:bCs/>
        </w:rPr>
        <w:t>Kumar K</w:t>
      </w:r>
      <w:r>
        <w:rPr>
          <w:rStyle w:val="Ohne"/>
          <w:rFonts w:ascii="Book Antiqua" w:hAnsi="Book Antiqua"/>
        </w:rPr>
        <w:t xml:space="preserve">, </w:t>
      </w:r>
      <w:proofErr w:type="spellStart"/>
      <w:r>
        <w:rPr>
          <w:rStyle w:val="Ohne"/>
          <w:rFonts w:ascii="Book Antiqua" w:hAnsi="Book Antiqua"/>
        </w:rPr>
        <w:t>Ghoshal</w:t>
      </w:r>
      <w:proofErr w:type="spellEnd"/>
      <w:r>
        <w:rPr>
          <w:rStyle w:val="Ohne"/>
          <w:rFonts w:ascii="Book Antiqua" w:hAnsi="Book Antiqua"/>
        </w:rPr>
        <w:t xml:space="preserve"> UC, </w:t>
      </w:r>
      <w:proofErr w:type="spellStart"/>
      <w:r>
        <w:rPr>
          <w:rStyle w:val="Ohne"/>
          <w:rFonts w:ascii="Book Antiqua" w:hAnsi="Book Antiqua"/>
        </w:rPr>
        <w:t>Srivastava</w:t>
      </w:r>
      <w:proofErr w:type="spellEnd"/>
      <w:r>
        <w:rPr>
          <w:rStyle w:val="Ohne"/>
          <w:rFonts w:ascii="Book Antiqua" w:hAnsi="Book Antiqua"/>
        </w:rPr>
        <w:t xml:space="preserve"> D, </w:t>
      </w:r>
      <w:proofErr w:type="spellStart"/>
      <w:r>
        <w:rPr>
          <w:rStyle w:val="Ohne"/>
          <w:rFonts w:ascii="Book Antiqua" w:hAnsi="Book Antiqua"/>
        </w:rPr>
        <w:t>Misra</w:t>
      </w:r>
      <w:proofErr w:type="spellEnd"/>
      <w:r>
        <w:rPr>
          <w:rStyle w:val="Ohne"/>
          <w:rFonts w:ascii="Book Antiqua" w:hAnsi="Book Antiqua"/>
        </w:rPr>
        <w:t xml:space="preserve"> A, </w:t>
      </w:r>
      <w:proofErr w:type="spellStart"/>
      <w:r>
        <w:rPr>
          <w:rStyle w:val="Ohne"/>
          <w:rFonts w:ascii="Book Antiqua" w:hAnsi="Book Antiqua"/>
        </w:rPr>
        <w:t>Mohindra</w:t>
      </w:r>
      <w:proofErr w:type="spellEnd"/>
      <w:r>
        <w:rPr>
          <w:rStyle w:val="Ohne"/>
          <w:rFonts w:ascii="Book Antiqua" w:hAnsi="Book Antiqua"/>
        </w:rPr>
        <w:t xml:space="preserve"> S. Small intestinal bacterial overgrowth is common both among patients with alcoholic and idiopathic chronic pancreatitis. </w:t>
      </w:r>
      <w:proofErr w:type="spellStart"/>
      <w:r>
        <w:rPr>
          <w:rStyle w:val="Ohne"/>
          <w:rFonts w:ascii="Book Antiqua" w:hAnsi="Book Antiqua"/>
          <w:i/>
          <w:iCs/>
        </w:rPr>
        <w:t>Pancreatology</w:t>
      </w:r>
      <w:proofErr w:type="spellEnd"/>
      <w:r>
        <w:rPr>
          <w:rStyle w:val="Ohne"/>
          <w:rFonts w:ascii="Book Antiqua" w:hAnsi="Book Antiqua"/>
        </w:rPr>
        <w:t> 2014; </w:t>
      </w:r>
      <w:r>
        <w:rPr>
          <w:rStyle w:val="Ohne"/>
          <w:rFonts w:ascii="Book Antiqua" w:hAnsi="Book Antiqua"/>
          <w:b/>
          <w:bCs/>
        </w:rPr>
        <w:t>14</w:t>
      </w:r>
      <w:r>
        <w:rPr>
          <w:rStyle w:val="Ohne"/>
          <w:rFonts w:ascii="Book Antiqua" w:hAnsi="Book Antiqua"/>
        </w:rPr>
        <w:t>: 280-283 [PMID: 25062877 DOI: 10.1016/j.pan.2014.05.792]</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29 </w:t>
      </w:r>
      <w:r>
        <w:rPr>
          <w:rStyle w:val="Ohne"/>
          <w:rFonts w:ascii="Book Antiqua" w:hAnsi="Book Antiqua"/>
          <w:b/>
          <w:bCs/>
        </w:rPr>
        <w:t>Sung HJ</w:t>
      </w:r>
      <w:r>
        <w:rPr>
          <w:rStyle w:val="Ohne"/>
          <w:rFonts w:ascii="Book Antiqua" w:hAnsi="Book Antiqua"/>
        </w:rPr>
        <w:t>, Paik CN, Chung WC, Lee KM, Yang JM, Choi MG. Small Intestinal Bacterial Overgrowth Diagnosed by Glucose Hydrogen Breath Test in Post-cholecystectomy Patients. </w:t>
      </w:r>
      <w:r>
        <w:rPr>
          <w:rStyle w:val="Ohne"/>
          <w:rFonts w:ascii="Book Antiqua" w:hAnsi="Book Antiqua"/>
          <w:i/>
          <w:iCs/>
        </w:rPr>
        <w:t xml:space="preserve">J </w:t>
      </w:r>
      <w:proofErr w:type="spellStart"/>
      <w:r>
        <w:rPr>
          <w:rStyle w:val="Ohne"/>
          <w:rFonts w:ascii="Book Antiqua" w:hAnsi="Book Antiqua"/>
          <w:i/>
          <w:iCs/>
        </w:rPr>
        <w:t>Neurogastroenterol</w:t>
      </w:r>
      <w:proofErr w:type="spellEnd"/>
      <w:r>
        <w:rPr>
          <w:rStyle w:val="Ohne"/>
          <w:rFonts w:ascii="Book Antiqua" w:hAnsi="Book Antiqua"/>
          <w:i/>
          <w:iCs/>
        </w:rPr>
        <w:t xml:space="preserve"> </w:t>
      </w:r>
      <w:proofErr w:type="spellStart"/>
      <w:r>
        <w:rPr>
          <w:rStyle w:val="Ohne"/>
          <w:rFonts w:ascii="Book Antiqua" w:hAnsi="Book Antiqua"/>
          <w:i/>
          <w:iCs/>
        </w:rPr>
        <w:t>Motil</w:t>
      </w:r>
      <w:proofErr w:type="spellEnd"/>
      <w:r>
        <w:rPr>
          <w:rStyle w:val="Ohne"/>
          <w:rFonts w:ascii="Book Antiqua" w:hAnsi="Book Antiqua"/>
        </w:rPr>
        <w:t> 2015; </w:t>
      </w:r>
      <w:r>
        <w:rPr>
          <w:rStyle w:val="Ohne"/>
          <w:rFonts w:ascii="Book Antiqua" w:hAnsi="Book Antiqua"/>
          <w:b/>
          <w:bCs/>
        </w:rPr>
        <w:t>21</w:t>
      </w:r>
      <w:r>
        <w:rPr>
          <w:rStyle w:val="Ohne"/>
          <w:rFonts w:ascii="Book Antiqua" w:hAnsi="Book Antiqua"/>
        </w:rPr>
        <w:t>: 545-551 [PMID: 26351251 DOI: 10.5056/jnm15020]</w:t>
      </w:r>
    </w:p>
    <w:p w:rsidR="00343223" w:rsidRDefault="00C30E23">
      <w:pPr>
        <w:spacing w:line="360" w:lineRule="auto"/>
        <w:jc w:val="both"/>
        <w:rPr>
          <w:rStyle w:val="Ohne"/>
          <w:rFonts w:ascii="Book Antiqua" w:eastAsia="Book Antiqua" w:hAnsi="Book Antiqua" w:cs="Book Antiqua"/>
        </w:rPr>
      </w:pPr>
      <w:r>
        <w:rPr>
          <w:rStyle w:val="Ohne"/>
          <w:rFonts w:ascii="Book Antiqua" w:hAnsi="Book Antiqua"/>
        </w:rPr>
        <w:t>30 </w:t>
      </w:r>
      <w:proofErr w:type="spellStart"/>
      <w:r>
        <w:rPr>
          <w:rStyle w:val="Ohne"/>
          <w:rFonts w:ascii="Book Antiqua" w:hAnsi="Book Antiqua"/>
          <w:b/>
          <w:bCs/>
        </w:rPr>
        <w:t>Gardenbroek</w:t>
      </w:r>
      <w:proofErr w:type="spellEnd"/>
      <w:r>
        <w:rPr>
          <w:rStyle w:val="Ohne"/>
          <w:rFonts w:ascii="Book Antiqua" w:hAnsi="Book Antiqua"/>
          <w:b/>
          <w:bCs/>
        </w:rPr>
        <w:t xml:space="preserve"> TJ</w:t>
      </w:r>
      <w:r>
        <w:rPr>
          <w:rStyle w:val="Ohne"/>
          <w:rFonts w:ascii="Book Antiqua" w:hAnsi="Book Antiqua"/>
        </w:rPr>
        <w:t xml:space="preserve">, </w:t>
      </w:r>
      <w:proofErr w:type="spellStart"/>
      <w:r>
        <w:rPr>
          <w:rStyle w:val="Ohne"/>
          <w:rFonts w:ascii="Book Antiqua" w:hAnsi="Book Antiqua"/>
        </w:rPr>
        <w:t>Eshuis</w:t>
      </w:r>
      <w:proofErr w:type="spellEnd"/>
      <w:r>
        <w:rPr>
          <w:rStyle w:val="Ohne"/>
          <w:rFonts w:ascii="Book Antiqua" w:hAnsi="Book Antiqua"/>
        </w:rPr>
        <w:t xml:space="preserve"> EJ, </w:t>
      </w:r>
      <w:proofErr w:type="spellStart"/>
      <w:r>
        <w:rPr>
          <w:rStyle w:val="Ohne"/>
          <w:rFonts w:ascii="Book Antiqua" w:hAnsi="Book Antiqua"/>
        </w:rPr>
        <w:t>Ponsioen</w:t>
      </w:r>
      <w:proofErr w:type="spellEnd"/>
      <w:r>
        <w:rPr>
          <w:rStyle w:val="Ohne"/>
          <w:rFonts w:ascii="Book Antiqua" w:hAnsi="Book Antiqua"/>
        </w:rPr>
        <w:t xml:space="preserve"> CI, </w:t>
      </w:r>
      <w:proofErr w:type="spellStart"/>
      <w:r>
        <w:rPr>
          <w:rStyle w:val="Ohne"/>
          <w:rFonts w:ascii="Book Antiqua" w:hAnsi="Book Antiqua"/>
        </w:rPr>
        <w:t>Ubbink</w:t>
      </w:r>
      <w:proofErr w:type="spellEnd"/>
      <w:r>
        <w:rPr>
          <w:rStyle w:val="Ohne"/>
          <w:rFonts w:ascii="Book Antiqua" w:hAnsi="Book Antiqua"/>
        </w:rPr>
        <w:t xml:space="preserve"> DT, </w:t>
      </w:r>
      <w:proofErr w:type="spellStart"/>
      <w:r>
        <w:rPr>
          <w:rStyle w:val="Ohne"/>
          <w:rFonts w:ascii="Book Antiqua" w:hAnsi="Book Antiqua"/>
        </w:rPr>
        <w:t>D'Haens</w:t>
      </w:r>
      <w:proofErr w:type="spellEnd"/>
      <w:r>
        <w:rPr>
          <w:rStyle w:val="Ohne"/>
          <w:rFonts w:ascii="Book Antiqua" w:hAnsi="Book Antiqua"/>
        </w:rPr>
        <w:t xml:space="preserve"> GR, </w:t>
      </w:r>
      <w:proofErr w:type="spellStart"/>
      <w:r>
        <w:rPr>
          <w:rStyle w:val="Ohne"/>
          <w:rFonts w:ascii="Book Antiqua" w:hAnsi="Book Antiqua"/>
        </w:rPr>
        <w:t>Bemelman</w:t>
      </w:r>
      <w:proofErr w:type="spellEnd"/>
      <w:r>
        <w:rPr>
          <w:rStyle w:val="Ohne"/>
          <w:rFonts w:ascii="Book Antiqua" w:hAnsi="Book Antiqua"/>
        </w:rPr>
        <w:t xml:space="preserve"> WA. The effect of appendectomy on the course of ulcerative colitis: a systematic review. </w:t>
      </w:r>
      <w:r>
        <w:rPr>
          <w:rStyle w:val="Ohne"/>
          <w:rFonts w:ascii="Book Antiqua" w:hAnsi="Book Antiqua"/>
          <w:i/>
          <w:iCs/>
        </w:rPr>
        <w:t>Colorectal Dis</w:t>
      </w:r>
      <w:r>
        <w:rPr>
          <w:rStyle w:val="Ohne"/>
          <w:rFonts w:ascii="Book Antiqua" w:hAnsi="Book Antiqua"/>
        </w:rPr>
        <w:t> 2012; </w:t>
      </w:r>
      <w:r>
        <w:rPr>
          <w:rStyle w:val="Ohne"/>
          <w:rFonts w:ascii="Book Antiqua" w:hAnsi="Book Antiqua"/>
          <w:b/>
          <w:bCs/>
        </w:rPr>
        <w:t>14</w:t>
      </w:r>
      <w:r>
        <w:rPr>
          <w:rStyle w:val="Ohne"/>
          <w:rFonts w:ascii="Book Antiqua" w:hAnsi="Book Antiqua"/>
        </w:rPr>
        <w:t>: 545-553 [PMID: 21689293 DOI: 10.1111/j.1463-1318.2011.02600.x]</w:t>
      </w:r>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spacing w:line="360" w:lineRule="auto"/>
        <w:ind w:right="120"/>
        <w:jc w:val="both"/>
        <w:rPr>
          <w:rStyle w:val="Ohne"/>
          <w:rFonts w:ascii="Book Antiqua" w:eastAsia="Book Antiqua" w:hAnsi="Book Antiqua" w:cs="Book Antiqua"/>
          <w:b/>
          <w:bCs/>
        </w:rPr>
      </w:pPr>
      <w:r>
        <w:rPr>
          <w:rStyle w:val="Ohne"/>
          <w:rFonts w:ascii="Book Antiqua" w:hAnsi="Book Antiqua"/>
          <w:b/>
          <w:bCs/>
        </w:rPr>
        <w:t>P-Reviewer:</w:t>
      </w:r>
      <w:r>
        <w:rPr>
          <w:rStyle w:val="Ohne"/>
          <w:rFonts w:ascii="Book Antiqua" w:hAnsi="Book Antiqua"/>
        </w:rPr>
        <w:t xml:space="preserve"> Sinha RA   </w:t>
      </w:r>
      <w:r>
        <w:rPr>
          <w:rStyle w:val="Ohne"/>
          <w:rFonts w:ascii="Book Antiqua" w:hAnsi="Book Antiqua"/>
          <w:b/>
          <w:bCs/>
        </w:rPr>
        <w:t>S-Editor:</w:t>
      </w:r>
      <w:r>
        <w:rPr>
          <w:rStyle w:val="Ohne"/>
          <w:rFonts w:ascii="Book Antiqua" w:hAnsi="Book Antiqua"/>
        </w:rPr>
        <w:t xml:space="preserve"> Qi Y</w:t>
      </w:r>
      <w:r>
        <w:rPr>
          <w:rStyle w:val="Ohne"/>
          <w:rFonts w:ascii="Book Antiqua" w:hAnsi="Book Antiqua"/>
          <w:b/>
          <w:bCs/>
        </w:rPr>
        <w:t xml:space="preserve">   L-Editor:   E-Editor:</w:t>
      </w:r>
    </w:p>
    <w:p w:rsidR="00934473" w:rsidRDefault="00934473">
      <w:pPr>
        <w:shd w:val="clear" w:color="auto" w:fill="FFFFFF"/>
        <w:spacing w:line="360" w:lineRule="auto"/>
        <w:jc w:val="both"/>
        <w:rPr>
          <w:rStyle w:val="Ohne"/>
          <w:rFonts w:ascii="Book Antiqua" w:hAnsi="Book Antiqua"/>
          <w:b/>
          <w:bCs/>
        </w:rPr>
      </w:pPr>
    </w:p>
    <w:p w:rsidR="00343223" w:rsidRDefault="00C30E23">
      <w:pPr>
        <w:shd w:val="clear" w:color="auto" w:fill="FFFFFF"/>
        <w:spacing w:line="360" w:lineRule="auto"/>
        <w:jc w:val="both"/>
        <w:rPr>
          <w:rStyle w:val="Ohne"/>
          <w:rFonts w:ascii="Book Antiqua" w:eastAsia="Book Antiqua" w:hAnsi="Book Antiqua" w:cs="Book Antiqua"/>
          <w:b/>
          <w:bCs/>
        </w:rPr>
      </w:pPr>
      <w:r>
        <w:rPr>
          <w:rStyle w:val="Ohne"/>
          <w:rFonts w:ascii="Book Antiqua" w:hAnsi="Book Antiqua"/>
          <w:b/>
          <w:bCs/>
        </w:rPr>
        <w:t xml:space="preserve">Specialty type: </w:t>
      </w:r>
      <w:r>
        <w:rPr>
          <w:rStyle w:val="Ohne"/>
          <w:rFonts w:ascii="Book Antiqua" w:hAnsi="Book Antiqua"/>
        </w:rPr>
        <w:t>Gastroenterology and hepatology</w:t>
      </w:r>
    </w:p>
    <w:p w:rsidR="00343223" w:rsidRDefault="00C30E23">
      <w:pPr>
        <w:shd w:val="clear" w:color="auto" w:fill="FFFFFF"/>
        <w:spacing w:line="360" w:lineRule="auto"/>
        <w:jc w:val="both"/>
        <w:rPr>
          <w:rStyle w:val="Ohne"/>
          <w:rFonts w:ascii="Book Antiqua" w:eastAsia="Book Antiqua" w:hAnsi="Book Antiqua" w:cs="Book Antiqua"/>
          <w:b/>
          <w:bCs/>
        </w:rPr>
      </w:pPr>
      <w:r>
        <w:rPr>
          <w:rStyle w:val="Ohne"/>
          <w:rFonts w:ascii="Book Antiqua" w:hAnsi="Book Antiqua"/>
          <w:b/>
          <w:bCs/>
        </w:rPr>
        <w:t xml:space="preserve">Country of origin: </w:t>
      </w:r>
      <w:r>
        <w:rPr>
          <w:rStyle w:val="Ohne"/>
          <w:rFonts w:ascii="Book Antiqua" w:hAnsi="Book Antiqua"/>
        </w:rPr>
        <w:t>Germany</w:t>
      </w:r>
    </w:p>
    <w:p w:rsidR="00343223" w:rsidRDefault="00C30E23">
      <w:pPr>
        <w:shd w:val="clear" w:color="auto" w:fill="FFFFFF"/>
        <w:spacing w:line="360" w:lineRule="auto"/>
        <w:jc w:val="both"/>
        <w:rPr>
          <w:rStyle w:val="Ohne"/>
          <w:rFonts w:ascii="Book Antiqua" w:eastAsia="Book Antiqua" w:hAnsi="Book Antiqua" w:cs="Book Antiqua"/>
          <w:b/>
          <w:bCs/>
        </w:rPr>
      </w:pPr>
      <w:r>
        <w:rPr>
          <w:rStyle w:val="Ohne"/>
          <w:rFonts w:ascii="Book Antiqua" w:hAnsi="Book Antiqua"/>
          <w:b/>
          <w:bCs/>
        </w:rPr>
        <w:t>Peer-review report classification</w:t>
      </w:r>
    </w:p>
    <w:p w:rsidR="00343223" w:rsidRDefault="00C30E23">
      <w:pPr>
        <w:shd w:val="clear" w:color="auto" w:fill="FFFFFF"/>
        <w:spacing w:line="360" w:lineRule="auto"/>
        <w:jc w:val="both"/>
        <w:rPr>
          <w:rStyle w:val="Ohne"/>
          <w:rFonts w:ascii="Book Antiqua" w:eastAsia="Book Antiqua" w:hAnsi="Book Antiqua" w:cs="Book Antiqua"/>
        </w:rPr>
      </w:pPr>
      <w:r>
        <w:rPr>
          <w:rStyle w:val="Ohne"/>
          <w:rFonts w:ascii="Book Antiqua" w:hAnsi="Book Antiqua"/>
        </w:rPr>
        <w:t>Grade A (Excellent): 0</w:t>
      </w:r>
    </w:p>
    <w:p w:rsidR="00343223" w:rsidRDefault="00C30E23">
      <w:pPr>
        <w:shd w:val="clear" w:color="auto" w:fill="FFFFFF"/>
        <w:spacing w:line="360" w:lineRule="auto"/>
        <w:jc w:val="both"/>
        <w:rPr>
          <w:rStyle w:val="Ohne"/>
          <w:rFonts w:ascii="Book Antiqua" w:eastAsia="Book Antiqua" w:hAnsi="Book Antiqua" w:cs="Book Antiqua"/>
        </w:rPr>
      </w:pPr>
      <w:r>
        <w:rPr>
          <w:rStyle w:val="Ohne"/>
          <w:rFonts w:ascii="Book Antiqua" w:hAnsi="Book Antiqua"/>
        </w:rPr>
        <w:t>Grade B (Very good): B</w:t>
      </w:r>
    </w:p>
    <w:p w:rsidR="00343223" w:rsidRDefault="00C30E23">
      <w:pPr>
        <w:shd w:val="clear" w:color="auto" w:fill="FFFFFF"/>
        <w:spacing w:line="360" w:lineRule="auto"/>
        <w:jc w:val="both"/>
        <w:rPr>
          <w:rStyle w:val="Ohne"/>
          <w:rFonts w:ascii="Book Antiqua" w:eastAsia="Book Antiqua" w:hAnsi="Book Antiqua" w:cs="Book Antiqua"/>
        </w:rPr>
      </w:pPr>
      <w:r>
        <w:rPr>
          <w:rStyle w:val="Ohne"/>
          <w:rFonts w:ascii="Book Antiqua" w:hAnsi="Book Antiqua"/>
        </w:rPr>
        <w:t>Grade C (Good): 0</w:t>
      </w:r>
    </w:p>
    <w:p w:rsidR="00343223" w:rsidRDefault="00C30E23">
      <w:pPr>
        <w:shd w:val="clear" w:color="auto" w:fill="FFFFFF"/>
        <w:spacing w:line="360" w:lineRule="auto"/>
        <w:jc w:val="both"/>
        <w:rPr>
          <w:rStyle w:val="Ohne"/>
          <w:rFonts w:ascii="Book Antiqua" w:eastAsia="Book Antiqua" w:hAnsi="Book Antiqua" w:cs="Book Antiqua"/>
        </w:rPr>
      </w:pPr>
      <w:r>
        <w:rPr>
          <w:rStyle w:val="Ohne"/>
          <w:rFonts w:ascii="Book Antiqua" w:hAnsi="Book Antiqua"/>
        </w:rPr>
        <w:t>Grade D (Fair): 0</w:t>
      </w:r>
    </w:p>
    <w:p w:rsidR="00343223" w:rsidRDefault="00C30E23">
      <w:pPr>
        <w:shd w:val="clear" w:color="auto" w:fill="FFFFFF"/>
        <w:spacing w:line="360" w:lineRule="auto"/>
        <w:jc w:val="both"/>
        <w:rPr>
          <w:rStyle w:val="Ohne"/>
          <w:rFonts w:ascii="Book Antiqua" w:eastAsia="Book Antiqua" w:hAnsi="Book Antiqua" w:cs="Book Antiqua"/>
        </w:rPr>
      </w:pPr>
      <w:r>
        <w:rPr>
          <w:rStyle w:val="Ohne"/>
          <w:rFonts w:ascii="Book Antiqua" w:hAnsi="Book Antiqua"/>
        </w:rPr>
        <w:t>Grade E (Poor): 0</w:t>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Arial Unicode MS" w:hAnsi="Arial Unicode MS"/>
          <w:sz w:val="24"/>
          <w:szCs w:val="24"/>
        </w:rPr>
        <w:br w:type="page"/>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lastRenderedPageBreak/>
        <w:t>Table 1 Basic characteristics</w:t>
      </w:r>
    </w:p>
    <w:tbl>
      <w:tblPr>
        <w:tblStyle w:val="TableNormal1"/>
        <w:tblW w:w="10177"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746"/>
        <w:gridCol w:w="1333"/>
        <w:gridCol w:w="1333"/>
        <w:gridCol w:w="1332"/>
        <w:gridCol w:w="1333"/>
        <w:gridCol w:w="2100"/>
      </w:tblGrid>
      <w:tr w:rsidR="00343223" w:rsidTr="000B6ECF">
        <w:trPr>
          <w:trHeight w:val="1134"/>
          <w:tblHeader/>
        </w:trPr>
        <w:tc>
          <w:tcPr>
            <w:tcW w:w="2746"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343223"/>
        </w:tc>
        <w:tc>
          <w:tcPr>
            <w:tcW w:w="2666"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SIBO</w:t>
            </w:r>
          </w:p>
        </w:tc>
        <w:tc>
          <w:tcPr>
            <w:tcW w:w="2665"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Non-SIBO</w:t>
            </w:r>
          </w:p>
        </w:tc>
        <w:tc>
          <w:tcPr>
            <w:tcW w:w="210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0B6ECF">
            <w:pPr>
              <w:pStyle w:val="Tabellenstil1A"/>
              <w:spacing w:line="360" w:lineRule="auto"/>
              <w:jc w:val="both"/>
            </w:pPr>
            <w:r>
              <w:rPr>
                <w:rStyle w:val="Ohne"/>
                <w:rFonts w:ascii="Arial Unicode MS" w:hAnsi="Arial Unicode MS"/>
                <w:sz w:val="24"/>
                <w:szCs w:val="24"/>
              </w:rPr>
              <w:sym w:font="Symbol" w:char="F063"/>
            </w:r>
            <w:r w:rsidR="00C30E23">
              <w:rPr>
                <w:rStyle w:val="Ohne"/>
                <w:rFonts w:ascii="Book Antiqua" w:hAnsi="Book Antiqua"/>
                <w:b/>
                <w:bCs/>
                <w:sz w:val="24"/>
                <w:szCs w:val="24"/>
                <w:vertAlign w:val="superscript"/>
              </w:rPr>
              <w:t>2</w:t>
            </w:r>
            <w:r w:rsidR="00C30E23">
              <w:rPr>
                <w:rStyle w:val="OhneA"/>
                <w:rFonts w:ascii="Book Antiqua" w:hAnsi="Book Antiqua"/>
                <w:b/>
                <w:bCs/>
                <w:sz w:val="24"/>
                <w:szCs w:val="24"/>
              </w:rPr>
              <w:t xml:space="preserve"> or Student’s </w:t>
            </w:r>
            <w:r w:rsidR="00C30E23">
              <w:rPr>
                <w:rStyle w:val="Ohne"/>
                <w:rFonts w:ascii="Book Antiqua" w:hAnsi="Book Antiqua"/>
                <w:b/>
                <w:bCs/>
                <w:i/>
                <w:iCs/>
                <w:sz w:val="24"/>
                <w:szCs w:val="24"/>
              </w:rPr>
              <w:t>t</w:t>
            </w:r>
            <w:r w:rsidR="00C30E23">
              <w:rPr>
                <w:rStyle w:val="OhneA"/>
                <w:rFonts w:ascii="Book Antiqua" w:hAnsi="Book Antiqua"/>
                <w:b/>
                <w:bCs/>
                <w:sz w:val="24"/>
                <w:szCs w:val="24"/>
              </w:rPr>
              <w:t>-test</w:t>
            </w:r>
          </w:p>
        </w:tc>
      </w:tr>
      <w:tr w:rsidR="00343223" w:rsidTr="000B6ECF">
        <w:trPr>
          <w:trHeight w:val="302"/>
          <w:tblHeader/>
        </w:trPr>
        <w:tc>
          <w:tcPr>
            <w:tcW w:w="2746" w:type="dxa"/>
            <w:vMerge/>
            <w:tcBorders>
              <w:top w:val="single" w:sz="2" w:space="0" w:color="000000"/>
              <w:left w:val="nil"/>
              <w:bottom w:val="single" w:sz="2" w:space="0" w:color="000000"/>
              <w:right w:val="nil"/>
            </w:tcBorders>
            <w:shd w:val="clear" w:color="auto" w:fill="auto"/>
          </w:tcPr>
          <w:p w:rsidR="00343223" w:rsidRDefault="00343223"/>
        </w:tc>
        <w:tc>
          <w:tcPr>
            <w:tcW w:w="133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175</w:t>
            </w:r>
          </w:p>
        </w:tc>
        <w:tc>
          <w:tcPr>
            <w:tcW w:w="133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133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1634</w:t>
            </w:r>
          </w:p>
        </w:tc>
        <w:tc>
          <w:tcPr>
            <w:tcW w:w="133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2100" w:type="dxa"/>
            <w:tcBorders>
              <w:top w:val="nil"/>
              <w:left w:val="nil"/>
              <w:bottom w:val="single" w:sz="2" w:space="0" w:color="000000"/>
              <w:right w:val="nil"/>
            </w:tcBorders>
            <w:shd w:val="clear" w:color="auto" w:fill="auto"/>
            <w:tcMar>
              <w:top w:w="80" w:type="dxa"/>
              <w:left w:w="80" w:type="dxa"/>
              <w:bottom w:w="80" w:type="dxa"/>
              <w:right w:w="80" w:type="dxa"/>
            </w:tcMar>
          </w:tcPr>
          <w:p w:rsidR="00343223" w:rsidRDefault="00C30E23">
            <w:pPr>
              <w:pStyle w:val="Tabellenstil1A"/>
              <w:spacing w:line="360" w:lineRule="auto"/>
              <w:jc w:val="both"/>
            </w:pPr>
            <w:r>
              <w:rPr>
                <w:rStyle w:val="Ohne"/>
                <w:rFonts w:ascii="Book Antiqua" w:hAnsi="Book Antiqua"/>
                <w:b/>
                <w:bCs/>
                <w:i/>
                <w:iCs/>
                <w:sz w:val="24"/>
                <w:szCs w:val="24"/>
              </w:rPr>
              <w:t>P</w:t>
            </w:r>
            <w:r>
              <w:rPr>
                <w:rStyle w:val="OhneA"/>
                <w:rFonts w:ascii="Book Antiqua" w:hAnsi="Book Antiqua"/>
                <w:b/>
                <w:bCs/>
                <w:sz w:val="24"/>
                <w:szCs w:val="24"/>
              </w:rPr>
              <w:t xml:space="preserve"> value</w:t>
            </w:r>
          </w:p>
        </w:tc>
      </w:tr>
      <w:tr w:rsidR="00343223" w:rsidTr="000B6ECF">
        <w:tblPrEx>
          <w:shd w:val="clear" w:color="auto" w:fill="D0DDEF"/>
        </w:tblPrEx>
        <w:trPr>
          <w:trHeight w:val="703"/>
        </w:trPr>
        <w:tc>
          <w:tcPr>
            <w:tcW w:w="2746"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Age (</w:t>
            </w:r>
            <w:proofErr w:type="spellStart"/>
            <w:r>
              <w:rPr>
                <w:rStyle w:val="OhneA"/>
                <w:rFonts w:ascii="Book Antiqua" w:hAnsi="Book Antiqua"/>
                <w:sz w:val="24"/>
                <w:szCs w:val="24"/>
              </w:rPr>
              <w:t>yr</w:t>
            </w:r>
            <w:proofErr w:type="spellEnd"/>
            <w:r>
              <w:rPr>
                <w:rStyle w:val="OhneA"/>
                <w:rFonts w:ascii="Book Antiqua" w:hAnsi="Book Antiqua"/>
                <w:sz w:val="24"/>
                <w:szCs w:val="24"/>
              </w:rPr>
              <w:t>)</w:t>
            </w:r>
          </w:p>
        </w:tc>
        <w:tc>
          <w:tcPr>
            <w:tcW w:w="1333"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48.7 ± 17.9</w:t>
            </w:r>
          </w:p>
        </w:tc>
        <w:tc>
          <w:tcPr>
            <w:tcW w:w="1333"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33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49.3 ± 18.0</w:t>
            </w:r>
          </w:p>
        </w:tc>
        <w:tc>
          <w:tcPr>
            <w:tcW w:w="1333"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210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0.70</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Sex (female)</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107</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61.1%</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924</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56.5%</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0.139</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Pathological LHBT</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102</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58.3%</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212</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13.0%</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&lt; 0.001</w:t>
            </w:r>
            <w:r>
              <w:rPr>
                <w:rStyle w:val="Ohne"/>
                <w:rFonts w:ascii="Book Antiqua" w:hAnsi="Book Antiqua"/>
                <w:sz w:val="24"/>
                <w:szCs w:val="24"/>
                <w:vertAlign w:val="superscript"/>
              </w:rPr>
              <w:t>1</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Pathological GHBT</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146</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83.4%</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&lt; 0.001</w:t>
            </w:r>
            <w:r>
              <w:rPr>
                <w:rStyle w:val="Ohne"/>
                <w:rFonts w:ascii="Book Antiqua" w:hAnsi="Book Antiqua"/>
                <w:sz w:val="24"/>
                <w:szCs w:val="24"/>
                <w:vertAlign w:val="superscript"/>
              </w:rPr>
              <w:t>1</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Diarrhoea</w:t>
            </w:r>
            <w:proofErr w:type="spellEnd"/>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72</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41.1%</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648</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39.7%</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0.380</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Constipation</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38</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0.616</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Weight Loss</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39</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22.3%</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313</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19.2%</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0.185</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Malabsorption</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5.1%</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53</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3.2%</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0.138</w:t>
            </w:r>
          </w:p>
        </w:tc>
      </w:tr>
      <w:tr w:rsidR="00343223" w:rsidTr="000B6ECF">
        <w:tblPrEx>
          <w:shd w:val="clear" w:color="auto" w:fill="D0DDEF"/>
        </w:tblPrEx>
        <w:trPr>
          <w:trHeight w:val="700"/>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Iron Deficiency </w:t>
            </w:r>
            <w:proofErr w:type="spellStart"/>
            <w:r>
              <w:rPr>
                <w:rStyle w:val="OhneA"/>
                <w:rFonts w:ascii="Book Antiqua" w:hAnsi="Book Antiqua"/>
                <w:sz w:val="24"/>
                <w:szCs w:val="24"/>
              </w:rPr>
              <w:t>Anaemia</w:t>
            </w:r>
            <w:proofErr w:type="spellEnd"/>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38</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0.240</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Vitamin B</w:t>
            </w:r>
            <w:r>
              <w:rPr>
                <w:rStyle w:val="Ohne"/>
                <w:rFonts w:ascii="Book Antiqua" w:hAnsi="Book Antiqua"/>
                <w:sz w:val="24"/>
                <w:szCs w:val="24"/>
                <w:vertAlign w:val="subscript"/>
              </w:rPr>
              <w:t>12</w:t>
            </w:r>
            <w:r>
              <w:rPr>
                <w:rStyle w:val="OhneA"/>
                <w:rFonts w:ascii="Book Antiqua" w:hAnsi="Book Antiqua"/>
                <w:sz w:val="24"/>
                <w:szCs w:val="24"/>
              </w:rPr>
              <w:t xml:space="preserve"> </w:t>
            </w:r>
            <w:proofErr w:type="spellStart"/>
            <w:r>
              <w:rPr>
                <w:rStyle w:val="OhneA"/>
                <w:rFonts w:ascii="Book Antiqua" w:hAnsi="Book Antiqua"/>
                <w:sz w:val="24"/>
                <w:szCs w:val="24"/>
              </w:rPr>
              <w:t>Anaemia</w:t>
            </w:r>
            <w:proofErr w:type="spellEnd"/>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0.399</w:t>
            </w:r>
          </w:p>
        </w:tc>
      </w:tr>
      <w:tr w:rsidR="00343223" w:rsidTr="000B6ECF">
        <w:tblPrEx>
          <w:shd w:val="clear" w:color="auto" w:fill="D0DDEF"/>
        </w:tblPrEx>
        <w:trPr>
          <w:trHeight w:val="700"/>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Number of Drugs Used</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1.61</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1.32</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0.005</w:t>
            </w:r>
            <w:r>
              <w:rPr>
                <w:rStyle w:val="Ohne"/>
                <w:rFonts w:ascii="Book Antiqua" w:hAnsi="Book Antiqua"/>
                <w:sz w:val="24"/>
                <w:szCs w:val="24"/>
                <w:vertAlign w:val="superscript"/>
              </w:rPr>
              <w:t>1</w:t>
            </w:r>
          </w:p>
        </w:tc>
      </w:tr>
      <w:tr w:rsidR="00343223" w:rsidTr="000B6ECF">
        <w:tblPrEx>
          <w:shd w:val="clear" w:color="auto" w:fill="D0DDEF"/>
        </w:tblPrEx>
        <w:trPr>
          <w:trHeight w:val="700"/>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Supplementation of Folic Acid</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0.442</w:t>
            </w:r>
          </w:p>
        </w:tc>
      </w:tr>
      <w:tr w:rsidR="00343223" w:rsidTr="000B6ECF">
        <w:tblPrEx>
          <w:shd w:val="clear" w:color="auto" w:fill="D0DDEF"/>
        </w:tblPrEx>
        <w:trPr>
          <w:trHeight w:val="700"/>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Supplementation of Iron</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9.7%</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0.022</w:t>
            </w:r>
            <w:r>
              <w:rPr>
                <w:rStyle w:val="Ohne"/>
                <w:rFonts w:ascii="Book Antiqua" w:hAnsi="Book Antiqua"/>
                <w:sz w:val="24"/>
                <w:szCs w:val="24"/>
                <w:vertAlign w:val="superscript"/>
              </w:rPr>
              <w:t>1</w:t>
            </w:r>
          </w:p>
        </w:tc>
      </w:tr>
      <w:tr w:rsidR="00343223" w:rsidTr="000B6ECF">
        <w:tblPrEx>
          <w:shd w:val="clear" w:color="auto" w:fill="D0DDEF"/>
        </w:tblPrEx>
        <w:trPr>
          <w:trHeight w:val="700"/>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Supplementation of Vitamin B12</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3.4%</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0.023</w:t>
            </w:r>
            <w:r>
              <w:rPr>
                <w:rStyle w:val="Ohne"/>
                <w:rFonts w:ascii="Book Antiqua" w:hAnsi="Book Antiqua"/>
                <w:sz w:val="24"/>
                <w:szCs w:val="24"/>
                <w:vertAlign w:val="superscript"/>
              </w:rPr>
              <w:t>1</w:t>
            </w:r>
          </w:p>
        </w:tc>
      </w:tr>
      <w:tr w:rsidR="00343223" w:rsidTr="000B6ECF">
        <w:tblPrEx>
          <w:shd w:val="clear" w:color="auto" w:fill="D0DDEF"/>
        </w:tblPrEx>
        <w:trPr>
          <w:trHeight w:val="700"/>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Abdominal Ultrasound</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152</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86.9%</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1508</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92.3%</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0.022</w:t>
            </w:r>
            <w:r>
              <w:rPr>
                <w:rStyle w:val="Ohne"/>
                <w:rFonts w:ascii="Book Antiqua" w:hAnsi="Book Antiqua"/>
                <w:sz w:val="24"/>
                <w:szCs w:val="24"/>
                <w:vertAlign w:val="superscript"/>
              </w:rPr>
              <w:t>1</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lastRenderedPageBreak/>
              <w:t>EGD</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120</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68.6%</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1187</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72.6%</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0.146</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Colonoscopy</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100</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57.1%</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1069</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65.4%</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0.019</w:t>
            </w:r>
            <w:r>
              <w:rPr>
                <w:rStyle w:val="Ohne"/>
                <w:rFonts w:ascii="Book Antiqua" w:hAnsi="Book Antiqua"/>
                <w:sz w:val="24"/>
                <w:szCs w:val="24"/>
                <w:vertAlign w:val="superscript"/>
              </w:rPr>
              <w:t>1</w:t>
            </w:r>
          </w:p>
        </w:tc>
      </w:tr>
      <w:tr w:rsidR="00343223" w:rsidTr="000B6ECF">
        <w:tblPrEx>
          <w:shd w:val="clear" w:color="auto" w:fill="D0DDEF"/>
        </w:tblPrEx>
        <w:trPr>
          <w:trHeight w:val="365"/>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Enteroclysis</w:t>
            </w:r>
            <w:proofErr w:type="spellEnd"/>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45</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25.7%</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357</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21.8%</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0.143</w:t>
            </w:r>
          </w:p>
        </w:tc>
      </w:tr>
      <w:tr w:rsidR="00343223" w:rsidTr="000B6ECF">
        <w:tblPrEx>
          <w:shd w:val="clear" w:color="auto" w:fill="D0DDEF"/>
        </w:tblPrEx>
        <w:trPr>
          <w:trHeight w:val="700"/>
        </w:trPr>
        <w:tc>
          <w:tcPr>
            <w:tcW w:w="274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Video Capsule Endoscopy</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4.0%</w:t>
            </w:r>
          </w:p>
        </w:tc>
        <w:tc>
          <w:tcPr>
            <w:tcW w:w="133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w:t>
            </w:r>
          </w:p>
        </w:tc>
        <w:tc>
          <w:tcPr>
            <w:tcW w:w="133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1.2%</w:t>
            </w:r>
          </w:p>
        </w:tc>
        <w:tc>
          <w:tcPr>
            <w:tcW w:w="210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0.009</w:t>
            </w:r>
            <w:r>
              <w:rPr>
                <w:rStyle w:val="Ohne"/>
                <w:rFonts w:ascii="Book Antiqua" w:hAnsi="Book Antiqua"/>
                <w:sz w:val="24"/>
                <w:szCs w:val="24"/>
                <w:vertAlign w:val="superscript"/>
              </w:rPr>
              <w:t>1</w:t>
            </w:r>
          </w:p>
        </w:tc>
      </w:tr>
      <w:tr w:rsidR="00343223" w:rsidTr="000B6ECF">
        <w:tblPrEx>
          <w:shd w:val="clear" w:color="auto" w:fill="D0DDEF"/>
        </w:tblPrEx>
        <w:trPr>
          <w:trHeight w:val="365"/>
        </w:trPr>
        <w:tc>
          <w:tcPr>
            <w:tcW w:w="2746"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Enteroscopy</w:t>
            </w:r>
            <w:proofErr w:type="spellEnd"/>
          </w:p>
        </w:tc>
        <w:tc>
          <w:tcPr>
            <w:tcW w:w="133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w:t>
            </w:r>
          </w:p>
        </w:tc>
        <w:tc>
          <w:tcPr>
            <w:tcW w:w="133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w:t>
            </w:r>
          </w:p>
        </w:tc>
        <w:tc>
          <w:tcPr>
            <w:tcW w:w="133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w:t>
            </w:r>
          </w:p>
        </w:tc>
        <w:tc>
          <w:tcPr>
            <w:tcW w:w="133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w:t>
            </w:r>
          </w:p>
        </w:tc>
        <w:tc>
          <w:tcPr>
            <w:tcW w:w="210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0.399</w:t>
            </w:r>
          </w:p>
        </w:tc>
      </w:tr>
    </w:tbl>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b/>
          <w:bCs/>
          <w:sz w:val="24"/>
          <w:szCs w:val="24"/>
          <w:vertAlign w:val="superscript"/>
        </w:rPr>
        <w:t>1</w:t>
      </w:r>
      <w:r>
        <w:rPr>
          <w:rStyle w:val="Ohne"/>
          <w:rFonts w:ascii="Book Antiqua" w:hAnsi="Book Antiqua"/>
          <w:sz w:val="24"/>
          <w:szCs w:val="24"/>
        </w:rPr>
        <w:t xml:space="preserve">Statistically significant with </w:t>
      </w:r>
      <w:r>
        <w:rPr>
          <w:rStyle w:val="Ohne"/>
          <w:rFonts w:ascii="Book Antiqua" w:hAnsi="Book Antiqua"/>
          <w:i/>
          <w:iCs/>
          <w:sz w:val="24"/>
          <w:szCs w:val="24"/>
        </w:rPr>
        <w:t>P</w:t>
      </w:r>
      <w:r>
        <w:rPr>
          <w:rStyle w:val="Ohne"/>
          <w:rFonts w:ascii="Book Antiqua" w:hAnsi="Book Antiqua"/>
          <w:sz w:val="24"/>
          <w:szCs w:val="24"/>
        </w:rPr>
        <w:t xml:space="preserve"> value &lt; 0.05 in </w:t>
      </w:r>
      <w:r w:rsidR="00B25FF6">
        <w:rPr>
          <w:rStyle w:val="Ohne"/>
          <w:rFonts w:ascii="Arial Unicode MS" w:hAnsi="Arial Unicode MS"/>
          <w:sz w:val="24"/>
          <w:szCs w:val="24"/>
        </w:rPr>
        <w:sym w:font="Symbol" w:char="F063"/>
      </w:r>
      <w:r>
        <w:rPr>
          <w:rStyle w:val="Ohne"/>
          <w:rFonts w:ascii="Book Antiqua" w:hAnsi="Book Antiqua"/>
          <w:sz w:val="24"/>
          <w:szCs w:val="24"/>
          <w:vertAlign w:val="superscript"/>
        </w:rPr>
        <w:t>2</w:t>
      </w:r>
      <w:r>
        <w:rPr>
          <w:rStyle w:val="Ohne"/>
          <w:rFonts w:ascii="Book Antiqua" w:hAnsi="Book Antiqua"/>
          <w:sz w:val="24"/>
          <w:szCs w:val="24"/>
        </w:rPr>
        <w:t xml:space="preserve"> or Student’s </w:t>
      </w:r>
      <w:r>
        <w:rPr>
          <w:rStyle w:val="Ohne"/>
          <w:rFonts w:ascii="Book Antiqua" w:hAnsi="Book Antiqua"/>
          <w:i/>
          <w:iCs/>
          <w:sz w:val="24"/>
          <w:szCs w:val="24"/>
        </w:rPr>
        <w:t>t</w:t>
      </w:r>
      <w:r>
        <w:rPr>
          <w:rStyle w:val="Ohne"/>
          <w:rFonts w:ascii="Book Antiqua" w:hAnsi="Book Antiqua"/>
          <w:sz w:val="24"/>
          <w:szCs w:val="24"/>
        </w:rPr>
        <w:t>-test. As expected, the SIBO group showed a pathological hydrogen breath test. Symptoms did not differ significantly. Patients with SIBO took more drugs and were more likely to supplement vitamin B12 or iron. During the hospital stay, patients with SIBO underwent small bowel diagnostic procedures more often, while patients without SIBO were more likely to undergo other diagnostic procedures. SIBO: Small intestinal bacterial overgrowth; LHBT: Lactulose Hydrogen Breath Test; GHBT: Glucose Hydrogen Breath Test; EGD: Esophagogastroduodenoscopy.</w:t>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Book Antiqua" w:hAnsi="Book Antiqua"/>
          <w:sz w:val="24"/>
          <w:szCs w:val="24"/>
        </w:rPr>
        <w:t xml:space="preserve"> </w:t>
      </w:r>
      <w:r>
        <w:rPr>
          <w:rStyle w:val="Ohne"/>
          <w:rFonts w:ascii="Arial Unicode MS" w:hAnsi="Arial Unicode MS"/>
          <w:sz w:val="24"/>
          <w:szCs w:val="24"/>
        </w:rPr>
        <w:br w:type="page"/>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lastRenderedPageBreak/>
        <w:t>Table 2 Hypo-/</w:t>
      </w:r>
      <w:proofErr w:type="spellStart"/>
      <w:r w:rsidR="00B25FF6">
        <w:rPr>
          <w:rStyle w:val="Ohne"/>
          <w:rFonts w:ascii="Book Antiqua" w:hAnsi="Book Antiqua"/>
          <w:b/>
          <w:bCs/>
          <w:sz w:val="24"/>
          <w:szCs w:val="24"/>
        </w:rPr>
        <w:t>achlorhydria</w:t>
      </w:r>
      <w:proofErr w:type="spellEnd"/>
    </w:p>
    <w:tbl>
      <w:tblPr>
        <w:tblStyle w:val="TableNormal1"/>
        <w:tblW w:w="905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810"/>
        <w:gridCol w:w="1035"/>
        <w:gridCol w:w="1036"/>
        <w:gridCol w:w="1035"/>
        <w:gridCol w:w="1036"/>
        <w:gridCol w:w="1035"/>
        <w:gridCol w:w="1036"/>
        <w:gridCol w:w="1035"/>
      </w:tblGrid>
      <w:tr w:rsidR="00343223">
        <w:trPr>
          <w:trHeight w:val="291"/>
          <w:tblHeader/>
        </w:trPr>
        <w:tc>
          <w:tcPr>
            <w:tcW w:w="1810"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343223"/>
        </w:tc>
        <w:tc>
          <w:tcPr>
            <w:tcW w:w="2071"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SIBO</w:t>
            </w:r>
          </w:p>
        </w:tc>
        <w:tc>
          <w:tcPr>
            <w:tcW w:w="2071"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Non-SIBO</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Arial Unicode MS" w:hAnsi="Arial Unicode MS"/>
                <w:sz w:val="24"/>
                <w:szCs w:val="24"/>
              </w:rPr>
              <w:t>χ</w:t>
            </w:r>
            <w:r>
              <w:rPr>
                <w:rStyle w:val="Ohne"/>
                <w:rFonts w:ascii="Book Antiqua" w:hAnsi="Book Antiqua"/>
                <w:b/>
                <w:bCs/>
                <w:sz w:val="24"/>
                <w:szCs w:val="24"/>
                <w:vertAlign w:val="superscript"/>
              </w:rPr>
              <w:t>2</w:t>
            </w:r>
            <w:r>
              <w:rPr>
                <w:rStyle w:val="OhneA"/>
                <w:rFonts w:ascii="Book Antiqua" w:hAnsi="Book Antiqua"/>
                <w:b/>
                <w:bCs/>
                <w:sz w:val="24"/>
                <w:szCs w:val="24"/>
              </w:rPr>
              <w:t xml:space="preserve"> test</w:t>
            </w:r>
          </w:p>
        </w:tc>
        <w:tc>
          <w:tcPr>
            <w:tcW w:w="1036"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OR</w:t>
            </w:r>
          </w:p>
        </w:tc>
        <w:tc>
          <w:tcPr>
            <w:tcW w:w="1035"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RR</w:t>
            </w:r>
          </w:p>
        </w:tc>
      </w:tr>
      <w:tr w:rsidR="00343223">
        <w:trPr>
          <w:trHeight w:val="703"/>
          <w:tblHeader/>
        </w:trPr>
        <w:tc>
          <w:tcPr>
            <w:tcW w:w="1810" w:type="dxa"/>
            <w:vMerge/>
            <w:tcBorders>
              <w:top w:val="single" w:sz="2" w:space="0" w:color="000000"/>
              <w:left w:val="nil"/>
              <w:bottom w:val="single" w:sz="2" w:space="0" w:color="000000"/>
              <w:right w:val="nil"/>
            </w:tcBorders>
            <w:shd w:val="clear" w:color="auto" w:fill="auto"/>
          </w:tcPr>
          <w:p w:rsidR="00343223" w:rsidRDefault="00343223"/>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175</w:t>
            </w:r>
          </w:p>
        </w:tc>
        <w:tc>
          <w:tcPr>
            <w:tcW w:w="1036"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1634</w:t>
            </w:r>
          </w:p>
        </w:tc>
        <w:tc>
          <w:tcPr>
            <w:tcW w:w="1036"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P</w:t>
            </w:r>
            <w:r>
              <w:rPr>
                <w:rStyle w:val="OhneA"/>
                <w:rFonts w:ascii="Book Antiqua" w:hAnsi="Book Antiqua"/>
                <w:b/>
                <w:bCs/>
                <w:sz w:val="24"/>
                <w:szCs w:val="24"/>
              </w:rPr>
              <w:t xml:space="preserve"> value</w:t>
            </w:r>
          </w:p>
        </w:tc>
        <w:tc>
          <w:tcPr>
            <w:tcW w:w="1036" w:type="dxa"/>
            <w:vMerge/>
            <w:tcBorders>
              <w:top w:val="single" w:sz="2" w:space="0" w:color="000000"/>
              <w:left w:val="nil"/>
              <w:bottom w:val="single" w:sz="2" w:space="0" w:color="000000"/>
              <w:right w:val="nil"/>
            </w:tcBorders>
            <w:shd w:val="clear" w:color="auto" w:fill="auto"/>
          </w:tcPr>
          <w:p w:rsidR="00343223" w:rsidRDefault="00343223"/>
        </w:tc>
        <w:tc>
          <w:tcPr>
            <w:tcW w:w="1035" w:type="dxa"/>
            <w:vMerge/>
            <w:tcBorders>
              <w:top w:val="single" w:sz="2" w:space="0" w:color="000000"/>
              <w:left w:val="nil"/>
              <w:bottom w:val="single" w:sz="2" w:space="0" w:color="000000"/>
              <w:right w:val="nil"/>
            </w:tcBorders>
            <w:shd w:val="clear" w:color="auto" w:fill="auto"/>
          </w:tcPr>
          <w:p w:rsidR="00343223" w:rsidRDefault="00343223"/>
        </w:tc>
      </w:tr>
      <w:tr w:rsidR="00343223">
        <w:tblPrEx>
          <w:shd w:val="clear" w:color="auto" w:fill="D0DDEF"/>
        </w:tblPrEx>
        <w:trPr>
          <w:trHeight w:val="406"/>
        </w:trPr>
        <w:tc>
          <w:tcPr>
            <w:tcW w:w="181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Gastrectomy</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w:t>
            </w:r>
          </w:p>
        </w:tc>
        <w:tc>
          <w:tcPr>
            <w:tcW w:w="1036"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6"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0.7%</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0.049</w:t>
            </w:r>
            <w:r>
              <w:rPr>
                <w:rStyle w:val="Ohne"/>
                <w:rFonts w:ascii="Book Antiqua" w:hAnsi="Book Antiqua"/>
                <w:sz w:val="24"/>
                <w:szCs w:val="24"/>
                <w:vertAlign w:val="superscript"/>
              </w:rPr>
              <w:t>1</w:t>
            </w:r>
          </w:p>
        </w:tc>
        <w:tc>
          <w:tcPr>
            <w:tcW w:w="1036"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3.451</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0.295</w:t>
            </w:r>
          </w:p>
        </w:tc>
      </w:tr>
      <w:tr w:rsidR="00343223">
        <w:tblPrEx>
          <w:shd w:val="clear" w:color="auto" w:fill="D0DDEF"/>
        </w:tblPrEx>
        <w:trPr>
          <w:trHeight w:val="700"/>
        </w:trPr>
        <w:tc>
          <w:tcPr>
            <w:tcW w:w="181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Atrophic Gastritis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0.141</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71"/>
        </w:trPr>
        <w:tc>
          <w:tcPr>
            <w:tcW w:w="181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PPI Therapy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70</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40.0%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519</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31.8%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0.034</w:t>
            </w:r>
            <w:r>
              <w:rPr>
                <w:rStyle w:val="Ohne"/>
                <w:rFonts w:ascii="Book Antiqua" w:hAnsi="Book Antiqua"/>
                <w:sz w:val="24"/>
                <w:szCs w:val="24"/>
                <w:vertAlign w:val="superscript"/>
              </w:rPr>
              <w:t>1</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1.432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0.794</w:t>
            </w:r>
          </w:p>
        </w:tc>
      </w:tr>
      <w:tr w:rsidR="00343223">
        <w:tblPrEx>
          <w:shd w:val="clear" w:color="auto" w:fill="D0DDEF"/>
        </w:tblPrEx>
        <w:trPr>
          <w:trHeight w:val="1120"/>
        </w:trPr>
        <w:tc>
          <w:tcPr>
            <w:tcW w:w="181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Ulcer Indicated PPI Therapy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47</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0.611</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1120"/>
        </w:trPr>
        <w:tc>
          <w:tcPr>
            <w:tcW w:w="181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Gastritis Indicated PPI Therapy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20</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195</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0.481</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1120"/>
        </w:trPr>
        <w:tc>
          <w:tcPr>
            <w:tcW w:w="181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GERD Indicated PPI Therapy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20</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179</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0.464</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181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Indicated PPI Therapy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42</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24.0%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395</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24.2%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0.522</w:t>
            </w:r>
          </w:p>
        </w:tc>
        <w:tc>
          <w:tcPr>
            <w:tcW w:w="1036"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3"/>
        </w:trPr>
        <w:tc>
          <w:tcPr>
            <w:tcW w:w="181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Not Indicated PPI Therapy</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58</w:t>
            </w:r>
          </w:p>
        </w:tc>
        <w:tc>
          <w:tcPr>
            <w:tcW w:w="1036"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33.1%</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370</w:t>
            </w:r>
          </w:p>
        </w:tc>
        <w:tc>
          <w:tcPr>
            <w:tcW w:w="1036"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22.6%</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0.002</w:t>
            </w:r>
            <w:r>
              <w:rPr>
                <w:rStyle w:val="Ohne"/>
                <w:rFonts w:ascii="Book Antiqua" w:hAnsi="Book Antiqua"/>
                <w:sz w:val="24"/>
                <w:szCs w:val="24"/>
                <w:vertAlign w:val="superscript"/>
              </w:rPr>
              <w:t>1</w:t>
            </w:r>
          </w:p>
        </w:tc>
        <w:tc>
          <w:tcPr>
            <w:tcW w:w="1036"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1.728</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0.693</w:t>
            </w:r>
          </w:p>
        </w:tc>
      </w:tr>
    </w:tbl>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Book Antiqua" w:hAnsi="Book Antiqua"/>
          <w:b/>
          <w:bCs/>
          <w:sz w:val="24"/>
          <w:szCs w:val="24"/>
          <w:vertAlign w:val="superscript"/>
        </w:rPr>
        <w:t>1</w:t>
      </w:r>
      <w:r>
        <w:rPr>
          <w:rStyle w:val="Ohne"/>
          <w:rFonts w:ascii="Book Antiqua" w:hAnsi="Book Antiqua"/>
          <w:sz w:val="24"/>
          <w:szCs w:val="24"/>
        </w:rPr>
        <w:t xml:space="preserve">Statistically significant with </w:t>
      </w:r>
      <w:r>
        <w:rPr>
          <w:rStyle w:val="Ohne"/>
          <w:rFonts w:ascii="Book Antiqua" w:hAnsi="Book Antiqua"/>
          <w:i/>
          <w:iCs/>
          <w:sz w:val="24"/>
          <w:szCs w:val="24"/>
        </w:rPr>
        <w:t xml:space="preserve">P </w:t>
      </w:r>
      <w:r>
        <w:rPr>
          <w:rStyle w:val="Ohne"/>
          <w:rFonts w:ascii="Book Antiqua" w:hAnsi="Book Antiqua"/>
          <w:sz w:val="24"/>
          <w:szCs w:val="24"/>
        </w:rPr>
        <w:t xml:space="preserve">value &lt; 0.05 in </w:t>
      </w:r>
      <w:r w:rsidR="00B25FF6">
        <w:rPr>
          <w:rStyle w:val="Ohne"/>
          <w:rFonts w:ascii="Arial Unicode MS" w:hAnsi="Arial Unicode MS"/>
          <w:sz w:val="24"/>
          <w:szCs w:val="24"/>
        </w:rPr>
        <w:sym w:font="Symbol" w:char="F063"/>
      </w:r>
      <w:proofErr w:type="gramStart"/>
      <w:r>
        <w:rPr>
          <w:rStyle w:val="Ohne"/>
          <w:rFonts w:ascii="Book Antiqua" w:hAnsi="Book Antiqua"/>
          <w:sz w:val="24"/>
          <w:szCs w:val="24"/>
          <w:vertAlign w:val="superscript"/>
        </w:rPr>
        <w:t>2</w:t>
      </w:r>
      <w:r>
        <w:rPr>
          <w:rStyle w:val="Ohne"/>
          <w:rFonts w:ascii="Book Antiqua" w:hAnsi="Book Antiqua"/>
          <w:sz w:val="24"/>
          <w:szCs w:val="24"/>
        </w:rPr>
        <w:t xml:space="preserve"> test</w:t>
      </w:r>
      <w:proofErr w:type="gramEnd"/>
      <w:r>
        <w:rPr>
          <w:rStyle w:val="Ohne"/>
          <w:rFonts w:ascii="Book Antiqua" w:hAnsi="Book Antiqua"/>
          <w:sz w:val="24"/>
          <w:szCs w:val="24"/>
        </w:rPr>
        <w:t>. Patients with SIBO had a history of gastrectomy more often and were more likely to take PPI. In subgroup analysis, those patients who received PPI due to peptic ulcer disease, gastritis or GERD had the same risk of developing SIBO, while those patients who did not exhibit such indications had a 1.7-fold increased risk of showing SIBO. SIBO: Small intestinal bacterial overgrowth</w:t>
      </w:r>
      <w:r w:rsidR="000B6ECF">
        <w:rPr>
          <w:rStyle w:val="Ohne"/>
          <w:rFonts w:ascii="Book Antiqua" w:hAnsi="Book Antiqua" w:hint="eastAsia"/>
          <w:sz w:val="24"/>
          <w:szCs w:val="24"/>
        </w:rPr>
        <w:t>;</w:t>
      </w:r>
      <w:r>
        <w:rPr>
          <w:rStyle w:val="Ohne"/>
          <w:rFonts w:ascii="Book Antiqua" w:hAnsi="Book Antiqua"/>
          <w:sz w:val="24"/>
          <w:szCs w:val="24"/>
        </w:rPr>
        <w:t xml:space="preserve"> PPI: Proton </w:t>
      </w:r>
      <w:r w:rsidR="00B25FF6">
        <w:rPr>
          <w:rStyle w:val="Ohne"/>
          <w:rFonts w:ascii="Book Antiqua" w:hAnsi="Book Antiqua"/>
          <w:sz w:val="24"/>
          <w:szCs w:val="24"/>
        </w:rPr>
        <w:t>pump inhib</w:t>
      </w:r>
      <w:r>
        <w:rPr>
          <w:rStyle w:val="Ohne"/>
          <w:rFonts w:ascii="Book Antiqua" w:hAnsi="Book Antiqua"/>
          <w:sz w:val="24"/>
          <w:szCs w:val="24"/>
        </w:rPr>
        <w:t xml:space="preserve">itor; GERD: Gastroesophageal </w:t>
      </w:r>
      <w:r w:rsidR="00B25FF6">
        <w:rPr>
          <w:rStyle w:val="Ohne"/>
          <w:rFonts w:ascii="Book Antiqua" w:hAnsi="Book Antiqua"/>
          <w:sz w:val="24"/>
          <w:szCs w:val="24"/>
        </w:rPr>
        <w:t>reflux di</w:t>
      </w:r>
      <w:r>
        <w:rPr>
          <w:rStyle w:val="Ohne"/>
          <w:rFonts w:ascii="Book Antiqua" w:hAnsi="Book Antiqua"/>
          <w:sz w:val="24"/>
          <w:szCs w:val="24"/>
        </w:rPr>
        <w:t xml:space="preserve">sease.   </w:t>
      </w:r>
      <w:r>
        <w:rPr>
          <w:rStyle w:val="Ohne"/>
          <w:rFonts w:ascii="Arial Unicode MS" w:hAnsi="Arial Unicode MS"/>
          <w:sz w:val="24"/>
          <w:szCs w:val="24"/>
        </w:rPr>
        <w:br w:type="page"/>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lastRenderedPageBreak/>
        <w:t xml:space="preserve">Table 3 Impaired </w:t>
      </w:r>
      <w:proofErr w:type="gramStart"/>
      <w:r>
        <w:rPr>
          <w:rStyle w:val="Ohne"/>
          <w:rFonts w:ascii="Book Antiqua" w:hAnsi="Book Antiqua"/>
          <w:b/>
          <w:bCs/>
          <w:sz w:val="24"/>
          <w:szCs w:val="24"/>
        </w:rPr>
        <w:t>clearance</w:t>
      </w:r>
      <w:proofErr w:type="gramEnd"/>
    </w:p>
    <w:tbl>
      <w:tblPr>
        <w:tblStyle w:val="TableNormal1"/>
        <w:tblW w:w="9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435"/>
        <w:gridCol w:w="1035"/>
        <w:gridCol w:w="1035"/>
        <w:gridCol w:w="1035"/>
        <w:gridCol w:w="1035"/>
        <w:gridCol w:w="1035"/>
        <w:gridCol w:w="1035"/>
        <w:gridCol w:w="1034"/>
      </w:tblGrid>
      <w:tr w:rsidR="00343223">
        <w:trPr>
          <w:trHeight w:val="291"/>
          <w:tblHeader/>
        </w:trPr>
        <w:tc>
          <w:tcPr>
            <w:tcW w:w="2435"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343223"/>
        </w:tc>
        <w:tc>
          <w:tcPr>
            <w:tcW w:w="2070"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SIBO</w:t>
            </w:r>
          </w:p>
        </w:tc>
        <w:tc>
          <w:tcPr>
            <w:tcW w:w="2070"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Non-SIBO</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Arial Unicode MS" w:hAnsi="Arial Unicode MS"/>
                <w:sz w:val="24"/>
                <w:szCs w:val="24"/>
              </w:rPr>
              <w:t>χ</w:t>
            </w:r>
            <w:r>
              <w:rPr>
                <w:rStyle w:val="Ohne"/>
                <w:rFonts w:ascii="Book Antiqua" w:hAnsi="Book Antiqua"/>
                <w:b/>
                <w:bCs/>
                <w:sz w:val="24"/>
                <w:szCs w:val="24"/>
                <w:vertAlign w:val="superscript"/>
              </w:rPr>
              <w:t>2</w:t>
            </w:r>
            <w:r>
              <w:rPr>
                <w:rStyle w:val="OhneA"/>
                <w:rFonts w:ascii="Book Antiqua" w:hAnsi="Book Antiqua"/>
                <w:b/>
                <w:bCs/>
                <w:sz w:val="24"/>
                <w:szCs w:val="24"/>
              </w:rPr>
              <w:t xml:space="preserve"> test</w:t>
            </w:r>
          </w:p>
        </w:tc>
        <w:tc>
          <w:tcPr>
            <w:tcW w:w="1035"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OR</w:t>
            </w:r>
          </w:p>
        </w:tc>
        <w:tc>
          <w:tcPr>
            <w:tcW w:w="1034"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RR</w:t>
            </w:r>
          </w:p>
        </w:tc>
      </w:tr>
      <w:tr w:rsidR="00343223">
        <w:trPr>
          <w:trHeight w:val="703"/>
          <w:tblHeader/>
        </w:trPr>
        <w:tc>
          <w:tcPr>
            <w:tcW w:w="2435" w:type="dxa"/>
            <w:vMerge/>
            <w:tcBorders>
              <w:top w:val="single" w:sz="2" w:space="0" w:color="000000"/>
              <w:left w:val="nil"/>
              <w:bottom w:val="single" w:sz="2" w:space="0" w:color="000000"/>
              <w:right w:val="nil"/>
            </w:tcBorders>
            <w:shd w:val="clear" w:color="auto" w:fill="auto"/>
          </w:tcPr>
          <w:p w:rsidR="00343223" w:rsidRDefault="00343223"/>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175</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1634</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 xml:space="preserve">P </w:t>
            </w:r>
            <w:r>
              <w:rPr>
                <w:rStyle w:val="OhneA"/>
                <w:rFonts w:ascii="Book Antiqua" w:hAnsi="Book Antiqua"/>
                <w:b/>
                <w:bCs/>
                <w:sz w:val="24"/>
                <w:szCs w:val="24"/>
              </w:rPr>
              <w:t>value</w:t>
            </w:r>
          </w:p>
        </w:tc>
        <w:tc>
          <w:tcPr>
            <w:tcW w:w="1035" w:type="dxa"/>
            <w:vMerge/>
            <w:tcBorders>
              <w:top w:val="single" w:sz="2" w:space="0" w:color="000000"/>
              <w:left w:val="nil"/>
              <w:bottom w:val="single" w:sz="2" w:space="0" w:color="000000"/>
              <w:right w:val="nil"/>
            </w:tcBorders>
            <w:shd w:val="clear" w:color="auto" w:fill="auto"/>
          </w:tcPr>
          <w:p w:rsidR="00343223" w:rsidRDefault="00343223"/>
        </w:tc>
        <w:tc>
          <w:tcPr>
            <w:tcW w:w="1034" w:type="dxa"/>
            <w:vMerge/>
            <w:tcBorders>
              <w:top w:val="single" w:sz="2" w:space="0" w:color="000000"/>
              <w:left w:val="nil"/>
              <w:bottom w:val="single" w:sz="2" w:space="0" w:color="000000"/>
              <w:right w:val="nil"/>
            </w:tcBorders>
            <w:shd w:val="clear" w:color="auto" w:fill="auto"/>
          </w:tcPr>
          <w:p w:rsidR="00343223" w:rsidRDefault="00343223"/>
        </w:tc>
      </w:tr>
      <w:tr w:rsidR="00343223">
        <w:tblPrEx>
          <w:shd w:val="clear" w:color="auto" w:fill="D0DDEF"/>
        </w:tblPrEx>
        <w:trPr>
          <w:trHeight w:val="703"/>
        </w:trPr>
        <w:tc>
          <w:tcPr>
            <w:tcW w:w="24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Any Abdominal Surgery</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51</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29.1%</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487</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29.8%</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0.466</w:t>
            </w:r>
          </w:p>
        </w:tc>
        <w:tc>
          <w:tcPr>
            <w:tcW w:w="103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Obstetric Surgery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0.135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Abdominal w/o Obstetric Surgery </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28.0%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444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27.2%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0.438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Gastrectomy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0.049</w:t>
            </w:r>
            <w:r>
              <w:rPr>
                <w:rStyle w:val="Ohne"/>
                <w:rFonts w:ascii="Book Antiqua" w:hAnsi="Book Antiqua"/>
                <w:sz w:val="24"/>
                <w:szCs w:val="24"/>
                <w:vertAlign w:val="superscript"/>
                <w:lang w:val="de-DE"/>
              </w:rPr>
              <w:t>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3.451</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0.295</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BII-Resection</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0.265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Existence of Blind Loops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0.094</w:t>
            </w:r>
            <w:r>
              <w:rPr>
                <w:rStyle w:val="Ohne"/>
                <w:rFonts w:ascii="Book Antiqua" w:hAnsi="Book Antiqua"/>
                <w:sz w:val="24"/>
                <w:szCs w:val="24"/>
                <w:vertAlign w:val="superscript"/>
                <w:lang w:val="de-DE"/>
              </w:rPr>
              <w:t>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1.861</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0.549</w:t>
            </w:r>
          </w:p>
        </w:tc>
      </w:tr>
      <w:tr w:rsidR="00343223">
        <w:tblPrEx>
          <w:shd w:val="clear" w:color="auto" w:fill="D0DDEF"/>
        </w:tblPrEx>
        <w:trPr>
          <w:trHeight w:val="700"/>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Any Resecting Gastric Surgery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0.007</w:t>
            </w:r>
            <w:r>
              <w:rPr>
                <w:rStyle w:val="Ohne"/>
                <w:rFonts w:ascii="Book Antiqua" w:hAnsi="Book Antiqua"/>
                <w:sz w:val="24"/>
                <w:szCs w:val="24"/>
                <w:vertAlign w:val="superscript"/>
                <w:lang w:val="de-DE"/>
              </w:rPr>
              <w:t>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2.600</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0.402</w:t>
            </w:r>
          </w:p>
        </w:tc>
      </w:tr>
      <w:tr w:rsidR="00343223">
        <w:tblPrEx>
          <w:shd w:val="clear" w:color="auto" w:fill="D0DDEF"/>
        </w:tblPrEx>
        <w:trPr>
          <w:trHeight w:val="700"/>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Resection of </w:t>
            </w:r>
            <w:proofErr w:type="spellStart"/>
            <w:r>
              <w:rPr>
                <w:rStyle w:val="OhneA"/>
                <w:rFonts w:ascii="Book Antiqua" w:hAnsi="Book Antiqua"/>
                <w:sz w:val="24"/>
                <w:szCs w:val="24"/>
              </w:rPr>
              <w:t>Ileocecum</w:t>
            </w:r>
            <w:proofErr w:type="spellEnd"/>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0.176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Appendectomy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0.027</w:t>
            </w:r>
            <w:r>
              <w:rPr>
                <w:rStyle w:val="Ohne"/>
                <w:rFonts w:ascii="Book Antiqua" w:hAnsi="Book Antiqua"/>
                <w:sz w:val="24"/>
                <w:szCs w:val="24"/>
                <w:vertAlign w:val="superscript"/>
                <w:lang w:val="de-DE"/>
              </w:rPr>
              <w:t>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0.466</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2.050</w:t>
            </w:r>
          </w:p>
        </w:tc>
      </w:tr>
      <w:tr w:rsidR="00343223">
        <w:tblPrEx>
          <w:shd w:val="clear" w:color="auto" w:fill="D0DDEF"/>
        </w:tblPrEx>
        <w:trPr>
          <w:trHeight w:val="700"/>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Functional Appendectomy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0.163</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Cholecystectomy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127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0.078</w:t>
            </w:r>
            <w:r>
              <w:rPr>
                <w:rStyle w:val="Ohne"/>
                <w:rFonts w:ascii="Book Antiqua" w:hAnsi="Book Antiqua"/>
                <w:sz w:val="24"/>
                <w:szCs w:val="24"/>
                <w:vertAlign w:val="superscript"/>
                <w:lang w:val="de-DE"/>
              </w:rPr>
              <w:t>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0.568</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1.700</w:t>
            </w:r>
          </w:p>
        </w:tc>
      </w:tr>
      <w:tr w:rsidR="00343223">
        <w:tblPrEx>
          <w:shd w:val="clear" w:color="auto" w:fill="D0DDEF"/>
        </w:tblPrEx>
        <w:trPr>
          <w:trHeight w:val="700"/>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Resection of Small Intestine</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6.3%</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0.260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Any Colonic Resection</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0.013</w:t>
            </w:r>
            <w:r>
              <w:rPr>
                <w:rStyle w:val="Ohne"/>
                <w:rFonts w:ascii="Book Antiqua" w:hAnsi="Book Antiqua"/>
                <w:sz w:val="24"/>
                <w:szCs w:val="24"/>
                <w:vertAlign w:val="superscript"/>
                <w:lang w:val="de-DE"/>
              </w:rPr>
              <w:t>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1.930</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0.547</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lastRenderedPageBreak/>
              <w:t>Sigmoid Resection</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0.196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Vagotomy</w:t>
            </w:r>
            <w:proofErr w:type="spellEnd"/>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0.177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Fistula</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0.532</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Stenosis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0.003</w:t>
            </w:r>
            <w:r>
              <w:rPr>
                <w:rStyle w:val="Ohne"/>
                <w:rFonts w:ascii="Book Antiqua" w:hAnsi="Book Antiqua"/>
                <w:sz w:val="24"/>
                <w:szCs w:val="24"/>
                <w:vertAlign w:val="superscript"/>
                <w:lang w:val="de-DE"/>
              </w:rPr>
              <w:t>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3.354</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0.311</w:t>
            </w:r>
          </w:p>
        </w:tc>
      </w:tr>
      <w:tr w:rsidR="00343223">
        <w:tblPrEx>
          <w:shd w:val="clear" w:color="auto" w:fill="D0DDEF"/>
        </w:tblPrEx>
        <w:trPr>
          <w:trHeight w:val="700"/>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Impaired Motility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9.7%</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&lt; 0.001</w:t>
            </w:r>
            <w:r>
              <w:rPr>
                <w:rStyle w:val="Ohne"/>
                <w:rFonts w:ascii="Book Antiqua" w:hAnsi="Book Antiqua"/>
                <w:sz w:val="24"/>
                <w:szCs w:val="24"/>
                <w:vertAlign w:val="superscript"/>
                <w:lang w:val="de-DE"/>
              </w:rPr>
              <w:t>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5.157</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0.202</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Gastroparesis</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0.030</w:t>
            </w:r>
            <w:r>
              <w:rPr>
                <w:rStyle w:val="Ohne"/>
                <w:rFonts w:ascii="Book Antiqua" w:hAnsi="Book Antiqua"/>
                <w:sz w:val="24"/>
                <w:szCs w:val="24"/>
                <w:vertAlign w:val="superscript"/>
                <w:lang w:val="de-DE"/>
              </w:rPr>
              <w:t>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3.403</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0.300</w:t>
            </w:r>
          </w:p>
        </w:tc>
      </w:tr>
      <w:tr w:rsidR="00343223">
        <w:tblPrEx>
          <w:shd w:val="clear" w:color="auto" w:fill="D0DDEF"/>
        </w:tblPrEx>
        <w:trPr>
          <w:trHeight w:val="371"/>
        </w:trPr>
        <w:tc>
          <w:tcPr>
            <w:tcW w:w="24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Neuropathy</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39</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2.4%</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0.037</w:t>
            </w:r>
            <w:r>
              <w:rPr>
                <w:rStyle w:val="Ohne"/>
                <w:rFonts w:ascii="Book Antiqua" w:hAnsi="Book Antiqua"/>
                <w:sz w:val="24"/>
                <w:szCs w:val="24"/>
                <w:vertAlign w:val="superscript"/>
                <w:lang w:val="de-DE"/>
              </w:rPr>
              <w:t>1</w:t>
            </w:r>
          </w:p>
        </w:tc>
        <w:tc>
          <w:tcPr>
            <w:tcW w:w="103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2.217</w:t>
            </w:r>
          </w:p>
        </w:tc>
        <w:tc>
          <w:tcPr>
            <w:tcW w:w="1034"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0.464</w:t>
            </w:r>
          </w:p>
        </w:tc>
      </w:tr>
      <w:tr w:rsidR="00343223">
        <w:tblPrEx>
          <w:shd w:val="clear" w:color="auto" w:fill="D0DDEF"/>
        </w:tblPrEx>
        <w:trPr>
          <w:trHeight w:val="371"/>
        </w:trPr>
        <w:tc>
          <w:tcPr>
            <w:tcW w:w="24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Opioid Use</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5.7%</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55</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3.4%</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0.090</w:t>
            </w:r>
            <w:r>
              <w:rPr>
                <w:rStyle w:val="Ohne"/>
                <w:rFonts w:ascii="Book Antiqua" w:hAnsi="Book Antiqua"/>
                <w:sz w:val="24"/>
                <w:szCs w:val="24"/>
                <w:vertAlign w:val="superscript"/>
                <w:lang w:val="de-DE"/>
              </w:rPr>
              <w:t>2</w:t>
            </w:r>
          </w:p>
        </w:tc>
        <w:tc>
          <w:tcPr>
            <w:tcW w:w="103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1.740</w:t>
            </w:r>
          </w:p>
        </w:tc>
        <w:tc>
          <w:tcPr>
            <w:tcW w:w="1034"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0.589</w:t>
            </w:r>
          </w:p>
        </w:tc>
      </w:tr>
    </w:tbl>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Book Antiqua" w:hAnsi="Book Antiqua"/>
          <w:sz w:val="24"/>
          <w:szCs w:val="24"/>
          <w:vertAlign w:val="superscript"/>
          <w:lang w:val="de-DE"/>
        </w:rPr>
        <w:t>1</w:t>
      </w:r>
      <w:r>
        <w:rPr>
          <w:rStyle w:val="Ohne"/>
          <w:rFonts w:ascii="Book Antiqua" w:hAnsi="Book Antiqua"/>
          <w:sz w:val="24"/>
          <w:szCs w:val="24"/>
          <w:lang w:val="de-DE"/>
        </w:rPr>
        <w:t xml:space="preserve">Statistical significant with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-value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 &lt; 0.05; </w:t>
      </w:r>
      <w:r>
        <w:rPr>
          <w:rStyle w:val="Ohne"/>
          <w:rFonts w:ascii="Book Antiqua" w:hAnsi="Book Antiqua"/>
          <w:sz w:val="24"/>
          <w:szCs w:val="24"/>
          <w:vertAlign w:val="superscript"/>
          <w:lang w:val="de-DE"/>
        </w:rPr>
        <w:t>2</w:t>
      </w:r>
      <w:r>
        <w:rPr>
          <w:rStyle w:val="Ohne"/>
          <w:rFonts w:ascii="Book Antiqua" w:hAnsi="Book Antiqua"/>
          <w:sz w:val="24"/>
          <w:szCs w:val="24"/>
          <w:lang w:val="de-DE"/>
        </w:rPr>
        <w:t xml:space="preserve">Statistical tendency with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-value 0.05 &lt;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 &lt; 0.1 </w:t>
      </w:r>
      <w:r w:rsidR="00B25FF6" w:rsidRPr="00B25FF6">
        <w:rPr>
          <w:rStyle w:val="Ohne"/>
          <w:rFonts w:ascii="Arial Unicode MS" w:hAnsi="Arial Unicode MS"/>
          <w:sz w:val="24"/>
          <w:szCs w:val="24"/>
        </w:rPr>
        <w:sym w:font="Symbol" w:char="F063"/>
      </w:r>
      <w:r>
        <w:rPr>
          <w:rStyle w:val="Ohne"/>
          <w:rFonts w:ascii="Book Antiqua" w:hAnsi="Book Antiqua"/>
          <w:sz w:val="24"/>
          <w:szCs w:val="24"/>
          <w:vertAlign w:val="superscript"/>
        </w:rPr>
        <w:t>2</w:t>
      </w:r>
      <w:r>
        <w:rPr>
          <w:rStyle w:val="Ohne"/>
          <w:rFonts w:ascii="Book Antiqua" w:hAnsi="Book Antiqua"/>
          <w:sz w:val="24"/>
          <w:szCs w:val="24"/>
        </w:rPr>
        <w:t xml:space="preserve"> test</w:t>
      </w:r>
      <w:r>
        <w:rPr>
          <w:rStyle w:val="Ohne"/>
          <w:rFonts w:ascii="Book Antiqua" w:hAnsi="Book Antiqua"/>
          <w:sz w:val="24"/>
          <w:szCs w:val="24"/>
          <w:lang w:val="de-DE"/>
        </w:rPr>
        <w:t xml:space="preserve"> each. </w:t>
      </w:r>
      <w:r>
        <w:rPr>
          <w:rStyle w:val="Ohne"/>
          <w:rFonts w:ascii="Book Antiqua" w:hAnsi="Book Antiqua"/>
          <w:sz w:val="24"/>
          <w:szCs w:val="24"/>
        </w:rPr>
        <w:t xml:space="preserve">Overall abdominal surgery was not associated with an increased risk of developing SIBO. Resecting gastric surgery in general and gastrectomy was associated with the development of SIBO. Patients with SIBO were less likely to have a history of appendectomy and – as a tendency – cholecystectomy. Ileocecal resection had no impact on the development of SIBO. As a further anatomical alteration, </w:t>
      </w:r>
      <w:proofErr w:type="spellStart"/>
      <w:r>
        <w:rPr>
          <w:rStyle w:val="Ohne"/>
          <w:rFonts w:ascii="Book Antiqua" w:hAnsi="Book Antiqua"/>
          <w:sz w:val="24"/>
          <w:szCs w:val="24"/>
        </w:rPr>
        <w:t>stenoses</w:t>
      </w:r>
      <w:proofErr w:type="spellEnd"/>
      <w:r>
        <w:rPr>
          <w:rStyle w:val="Ohne"/>
          <w:rFonts w:ascii="Book Antiqua" w:hAnsi="Book Antiqua"/>
          <w:sz w:val="24"/>
          <w:szCs w:val="24"/>
        </w:rPr>
        <w:t xml:space="preserve"> were more frequent in SIBO patients. Impaired motility, as shown by gastroparesis, led to SIBO; patients with neuropathy or opioid medication are patients at risk.</w:t>
      </w:r>
      <w:r>
        <w:rPr>
          <w:rStyle w:val="Ohne"/>
          <w:rFonts w:ascii="Book Antiqua" w:hAnsi="Book Antiqua"/>
          <w:b/>
          <w:bCs/>
          <w:sz w:val="24"/>
          <w:szCs w:val="24"/>
        </w:rPr>
        <w:t xml:space="preserve"> </w:t>
      </w:r>
      <w:r>
        <w:rPr>
          <w:rStyle w:val="Ohne"/>
          <w:rFonts w:ascii="Book Antiqua" w:hAnsi="Book Antiqua"/>
          <w:sz w:val="24"/>
          <w:szCs w:val="24"/>
        </w:rPr>
        <w:t>SIBO: Small intestinal bacterial overgrowth.</w:t>
      </w:r>
      <w:r>
        <w:rPr>
          <w:rStyle w:val="Ohne"/>
          <w:rFonts w:ascii="Arial Unicode MS" w:hAnsi="Arial Unicode MS"/>
          <w:sz w:val="24"/>
          <w:szCs w:val="24"/>
        </w:rPr>
        <w:br w:type="page"/>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b/>
          <w:bCs/>
          <w:sz w:val="24"/>
          <w:szCs w:val="24"/>
        </w:rPr>
        <w:lastRenderedPageBreak/>
        <w:t>Table 4 Immunological factors</w:t>
      </w:r>
    </w:p>
    <w:tbl>
      <w:tblPr>
        <w:tblStyle w:val="TableNormal1"/>
        <w:tblW w:w="90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305"/>
        <w:gridCol w:w="961"/>
        <w:gridCol w:w="964"/>
        <w:gridCol w:w="962"/>
        <w:gridCol w:w="964"/>
        <w:gridCol w:w="962"/>
        <w:gridCol w:w="962"/>
        <w:gridCol w:w="962"/>
      </w:tblGrid>
      <w:tr w:rsidR="00343223">
        <w:trPr>
          <w:trHeight w:val="290"/>
          <w:tblHeader/>
        </w:trPr>
        <w:tc>
          <w:tcPr>
            <w:tcW w:w="2303"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343223"/>
        </w:tc>
        <w:tc>
          <w:tcPr>
            <w:tcW w:w="1925"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SIBO</w:t>
            </w:r>
          </w:p>
        </w:tc>
        <w:tc>
          <w:tcPr>
            <w:tcW w:w="1926"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Non-SIBO</w:t>
            </w:r>
          </w:p>
        </w:tc>
        <w:tc>
          <w:tcPr>
            <w:tcW w:w="96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Arial Unicode MS" w:hAnsi="Arial Unicode MS"/>
                <w:sz w:val="24"/>
                <w:szCs w:val="24"/>
              </w:rPr>
              <w:t>χ</w:t>
            </w:r>
            <w:r>
              <w:rPr>
                <w:rStyle w:val="Ohne"/>
                <w:rFonts w:ascii="Book Antiqua" w:hAnsi="Book Antiqua"/>
                <w:b/>
                <w:bCs/>
                <w:sz w:val="24"/>
                <w:szCs w:val="24"/>
                <w:vertAlign w:val="superscript"/>
              </w:rPr>
              <w:t>2</w:t>
            </w:r>
            <w:r>
              <w:rPr>
                <w:rStyle w:val="OhneA"/>
                <w:rFonts w:ascii="Book Antiqua" w:hAnsi="Book Antiqua"/>
                <w:b/>
                <w:bCs/>
                <w:sz w:val="24"/>
                <w:szCs w:val="24"/>
              </w:rPr>
              <w:t xml:space="preserve"> test</w:t>
            </w:r>
          </w:p>
        </w:tc>
        <w:tc>
          <w:tcPr>
            <w:tcW w:w="96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OR</w:t>
            </w:r>
          </w:p>
        </w:tc>
        <w:tc>
          <w:tcPr>
            <w:tcW w:w="96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RR</w:t>
            </w:r>
          </w:p>
        </w:tc>
      </w:tr>
      <w:tr w:rsidR="00343223">
        <w:trPr>
          <w:trHeight w:val="703"/>
          <w:tblHeader/>
        </w:trPr>
        <w:tc>
          <w:tcPr>
            <w:tcW w:w="2303" w:type="dxa"/>
            <w:vMerge/>
            <w:tcBorders>
              <w:top w:val="single" w:sz="2" w:space="0" w:color="000000"/>
              <w:left w:val="nil"/>
              <w:bottom w:val="single" w:sz="2" w:space="0" w:color="000000"/>
              <w:right w:val="nil"/>
            </w:tcBorders>
            <w:shd w:val="clear" w:color="auto" w:fill="auto"/>
          </w:tcPr>
          <w:p w:rsidR="00343223" w:rsidRDefault="00343223"/>
        </w:tc>
        <w:tc>
          <w:tcPr>
            <w:tcW w:w="961"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175</w:t>
            </w:r>
          </w:p>
        </w:tc>
        <w:tc>
          <w:tcPr>
            <w:tcW w:w="96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96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1634</w:t>
            </w:r>
          </w:p>
        </w:tc>
        <w:tc>
          <w:tcPr>
            <w:tcW w:w="96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962" w:type="dxa"/>
            <w:tcBorders>
              <w:top w:val="nil"/>
              <w:left w:val="nil"/>
              <w:bottom w:val="single" w:sz="2" w:space="0" w:color="000000"/>
              <w:right w:val="nil"/>
            </w:tcBorders>
            <w:shd w:val="clear" w:color="auto" w:fill="auto"/>
            <w:tcMar>
              <w:top w:w="80" w:type="dxa"/>
              <w:left w:w="80" w:type="dxa"/>
              <w:bottom w:w="80" w:type="dxa"/>
              <w:right w:w="80" w:type="dxa"/>
            </w:tcMar>
          </w:tcPr>
          <w:p w:rsidR="00343223" w:rsidRDefault="00C30E23">
            <w:pPr>
              <w:pStyle w:val="Tabellenstil1A"/>
              <w:spacing w:line="360" w:lineRule="auto"/>
              <w:jc w:val="both"/>
            </w:pPr>
            <w:r>
              <w:rPr>
                <w:rStyle w:val="Ohne"/>
                <w:rFonts w:ascii="Book Antiqua" w:hAnsi="Book Antiqua"/>
                <w:b/>
                <w:bCs/>
                <w:i/>
                <w:iCs/>
                <w:sz w:val="24"/>
                <w:szCs w:val="24"/>
              </w:rPr>
              <w:t>P</w:t>
            </w:r>
            <w:r>
              <w:rPr>
                <w:rStyle w:val="OhneA"/>
                <w:rFonts w:ascii="Book Antiqua" w:hAnsi="Book Antiqua"/>
                <w:b/>
                <w:bCs/>
                <w:sz w:val="24"/>
                <w:szCs w:val="24"/>
              </w:rPr>
              <w:t xml:space="preserve"> value</w:t>
            </w:r>
          </w:p>
        </w:tc>
        <w:tc>
          <w:tcPr>
            <w:tcW w:w="962" w:type="dxa"/>
            <w:tcBorders>
              <w:top w:val="nil"/>
              <w:left w:val="nil"/>
              <w:bottom w:val="single" w:sz="2" w:space="0" w:color="000000"/>
              <w:right w:val="nil"/>
            </w:tcBorders>
            <w:shd w:val="clear" w:color="auto" w:fill="auto"/>
            <w:tcMar>
              <w:top w:w="80" w:type="dxa"/>
              <w:left w:w="80" w:type="dxa"/>
              <w:bottom w:w="80" w:type="dxa"/>
              <w:right w:w="80" w:type="dxa"/>
            </w:tcMar>
          </w:tcPr>
          <w:p w:rsidR="00343223" w:rsidRDefault="00343223"/>
        </w:tc>
        <w:tc>
          <w:tcPr>
            <w:tcW w:w="96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343223"/>
        </w:tc>
      </w:tr>
      <w:tr w:rsidR="00343223">
        <w:tblPrEx>
          <w:shd w:val="clear" w:color="auto" w:fill="D0DDEF"/>
        </w:tblPrEx>
        <w:trPr>
          <w:trHeight w:val="703"/>
        </w:trPr>
        <w:tc>
          <w:tcPr>
            <w:tcW w:w="2303"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IgA-deficiency</w:t>
            </w:r>
          </w:p>
        </w:tc>
        <w:tc>
          <w:tcPr>
            <w:tcW w:w="961"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 of 6</w:t>
            </w:r>
          </w:p>
        </w:tc>
        <w:tc>
          <w:tcPr>
            <w:tcW w:w="963"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w:t>
            </w:r>
          </w:p>
        </w:tc>
        <w:tc>
          <w:tcPr>
            <w:tcW w:w="96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 of 75</w:t>
            </w:r>
          </w:p>
        </w:tc>
        <w:tc>
          <w:tcPr>
            <w:tcW w:w="963"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17.3%</w:t>
            </w:r>
          </w:p>
        </w:tc>
        <w:tc>
          <w:tcPr>
            <w:tcW w:w="96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0.337</w:t>
            </w:r>
          </w:p>
        </w:tc>
        <w:tc>
          <w:tcPr>
            <w:tcW w:w="96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96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230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IgG-deficiency</w:t>
            </w:r>
          </w:p>
        </w:tc>
        <w:tc>
          <w:tcPr>
            <w:tcW w:w="9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 of 5</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60.0%</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 of 52</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28.8%</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0.175</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230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IgM-deficiency</w:t>
            </w:r>
          </w:p>
        </w:tc>
        <w:tc>
          <w:tcPr>
            <w:tcW w:w="9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 of 5</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 of 54</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21.7%</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0.311</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65"/>
        </w:trPr>
        <w:tc>
          <w:tcPr>
            <w:tcW w:w="230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5-Aminosalicylates</w:t>
            </w:r>
          </w:p>
        </w:tc>
        <w:tc>
          <w:tcPr>
            <w:tcW w:w="9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24</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13.7%</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183</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11.2%</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0.191</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65"/>
        </w:trPr>
        <w:tc>
          <w:tcPr>
            <w:tcW w:w="230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Steroid Use</w:t>
            </w:r>
          </w:p>
        </w:tc>
        <w:tc>
          <w:tcPr>
            <w:tcW w:w="9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36</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20.6%</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222</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13.6%</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0.010</w:t>
            </w:r>
            <w:r>
              <w:rPr>
                <w:rStyle w:val="Ohne"/>
                <w:rFonts w:ascii="Book Antiqua" w:hAnsi="Book Antiqua"/>
                <w:sz w:val="24"/>
                <w:szCs w:val="24"/>
                <w:vertAlign w:val="superscript"/>
                <w:lang w:val="de-DE"/>
              </w:rPr>
              <w:t>1</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1.647</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0.660</w:t>
            </w:r>
          </w:p>
        </w:tc>
      </w:tr>
      <w:tr w:rsidR="00343223">
        <w:tblPrEx>
          <w:shd w:val="clear" w:color="auto" w:fill="D0DDEF"/>
        </w:tblPrEx>
        <w:trPr>
          <w:trHeight w:val="700"/>
        </w:trPr>
        <w:tc>
          <w:tcPr>
            <w:tcW w:w="230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Immunosuppressant Use</w:t>
            </w:r>
          </w:p>
        </w:tc>
        <w:tc>
          <w:tcPr>
            <w:tcW w:w="9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4.6%</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31</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0.029</w:t>
            </w:r>
            <w:r>
              <w:rPr>
                <w:rStyle w:val="Ohne"/>
                <w:rFonts w:ascii="Book Antiqua" w:hAnsi="Book Antiqua"/>
                <w:sz w:val="24"/>
                <w:szCs w:val="24"/>
                <w:vertAlign w:val="superscript"/>
                <w:lang w:val="de-DE"/>
              </w:rPr>
              <w:t>1</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2.477</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0.415</w:t>
            </w:r>
          </w:p>
        </w:tc>
      </w:tr>
      <w:tr w:rsidR="00343223">
        <w:tblPrEx>
          <w:shd w:val="clear" w:color="auto" w:fill="D0DDEF"/>
        </w:tblPrEx>
        <w:trPr>
          <w:trHeight w:val="365"/>
        </w:trPr>
        <w:tc>
          <w:tcPr>
            <w:tcW w:w="230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Azathioprin</w:t>
            </w:r>
            <w:proofErr w:type="spellEnd"/>
            <w:r>
              <w:rPr>
                <w:rStyle w:val="OhneA"/>
                <w:rFonts w:ascii="Book Antiqua" w:hAnsi="Book Antiqua"/>
                <w:sz w:val="24"/>
                <w:szCs w:val="24"/>
              </w:rPr>
              <w:t xml:space="preserve"> Use</w:t>
            </w:r>
          </w:p>
        </w:tc>
        <w:tc>
          <w:tcPr>
            <w:tcW w:w="9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4.0%</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31</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0.067</w:t>
            </w:r>
            <w:r>
              <w:rPr>
                <w:rStyle w:val="Ohne"/>
                <w:rFonts w:ascii="Book Antiqua" w:hAnsi="Book Antiqua"/>
                <w:sz w:val="24"/>
                <w:szCs w:val="24"/>
                <w:vertAlign w:val="superscript"/>
                <w:lang w:val="de-DE"/>
              </w:rPr>
              <w:t>2</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2.155</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0.474</w:t>
            </w:r>
          </w:p>
        </w:tc>
      </w:tr>
      <w:tr w:rsidR="00343223">
        <w:tblPrEx>
          <w:shd w:val="clear" w:color="auto" w:fill="D0DDEF"/>
        </w:tblPrEx>
        <w:trPr>
          <w:trHeight w:val="365"/>
        </w:trPr>
        <w:tc>
          <w:tcPr>
            <w:tcW w:w="230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Metotrexate</w:t>
            </w:r>
            <w:proofErr w:type="spellEnd"/>
            <w:r>
              <w:rPr>
                <w:rStyle w:val="OhneA"/>
                <w:rFonts w:ascii="Book Antiqua" w:hAnsi="Book Antiqua"/>
                <w:sz w:val="24"/>
                <w:szCs w:val="24"/>
              </w:rPr>
              <w:t xml:space="preserve"> Use</w:t>
            </w:r>
          </w:p>
        </w:tc>
        <w:tc>
          <w:tcPr>
            <w:tcW w:w="9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0.001</w:t>
            </w:r>
            <w:r>
              <w:rPr>
                <w:rStyle w:val="Ohne"/>
                <w:rFonts w:ascii="Book Antiqua" w:hAnsi="Book Antiqua"/>
                <w:sz w:val="24"/>
                <w:szCs w:val="24"/>
                <w:vertAlign w:val="superscript"/>
                <w:lang w:val="de-DE"/>
              </w:rPr>
              <w:t>1</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n/a</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n/a</w:t>
            </w:r>
          </w:p>
        </w:tc>
      </w:tr>
      <w:tr w:rsidR="00343223">
        <w:tblPrEx>
          <w:shd w:val="clear" w:color="auto" w:fill="D0DDEF"/>
        </w:tblPrEx>
        <w:trPr>
          <w:trHeight w:val="1120"/>
        </w:trPr>
        <w:tc>
          <w:tcPr>
            <w:tcW w:w="230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Any Drug-induced Immunosuppression</w:t>
            </w:r>
          </w:p>
        </w:tc>
        <w:tc>
          <w:tcPr>
            <w:tcW w:w="9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39</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22.3%</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230</w:t>
            </w:r>
          </w:p>
        </w:tc>
        <w:tc>
          <w:tcPr>
            <w:tcW w:w="9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14.1%</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0.004</w:t>
            </w:r>
            <w:r>
              <w:rPr>
                <w:rStyle w:val="Ohne"/>
                <w:rFonts w:ascii="Book Antiqua" w:hAnsi="Book Antiqua"/>
                <w:sz w:val="24"/>
                <w:szCs w:val="24"/>
                <w:vertAlign w:val="superscript"/>
                <w:lang w:val="de-DE"/>
              </w:rPr>
              <w:t>1</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1.751</w:t>
            </w:r>
          </w:p>
        </w:tc>
        <w:tc>
          <w:tcPr>
            <w:tcW w:w="96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0.632</w:t>
            </w:r>
          </w:p>
        </w:tc>
      </w:tr>
      <w:tr w:rsidR="00343223">
        <w:tblPrEx>
          <w:shd w:val="clear" w:color="auto" w:fill="D0DDEF"/>
        </w:tblPrEx>
        <w:trPr>
          <w:trHeight w:val="1123"/>
        </w:trPr>
        <w:tc>
          <w:tcPr>
            <w:tcW w:w="230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Steroid Plus Immunosuppressant</w:t>
            </w:r>
          </w:p>
        </w:tc>
        <w:tc>
          <w:tcPr>
            <w:tcW w:w="961"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w:t>
            </w:r>
          </w:p>
        </w:tc>
        <w:tc>
          <w:tcPr>
            <w:tcW w:w="96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4.0%</w:t>
            </w:r>
          </w:p>
        </w:tc>
        <w:tc>
          <w:tcPr>
            <w:tcW w:w="96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w:t>
            </w:r>
          </w:p>
        </w:tc>
        <w:tc>
          <w:tcPr>
            <w:tcW w:w="96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w:t>
            </w:r>
          </w:p>
        </w:tc>
        <w:tc>
          <w:tcPr>
            <w:tcW w:w="96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0.021</w:t>
            </w:r>
            <w:r>
              <w:rPr>
                <w:rStyle w:val="Ohne"/>
                <w:rFonts w:ascii="Book Antiqua" w:hAnsi="Book Antiqua"/>
                <w:sz w:val="24"/>
                <w:szCs w:val="24"/>
                <w:vertAlign w:val="superscript"/>
                <w:lang w:val="de-DE"/>
              </w:rPr>
              <w:t>1</w:t>
            </w:r>
          </w:p>
        </w:tc>
        <w:tc>
          <w:tcPr>
            <w:tcW w:w="96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2.918</w:t>
            </w:r>
          </w:p>
        </w:tc>
        <w:tc>
          <w:tcPr>
            <w:tcW w:w="96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0.352</w:t>
            </w:r>
          </w:p>
        </w:tc>
      </w:tr>
    </w:tbl>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Book Antiqua" w:hAnsi="Book Antiqua"/>
          <w:sz w:val="24"/>
          <w:szCs w:val="24"/>
          <w:vertAlign w:val="superscript"/>
          <w:lang w:val="de-DE"/>
        </w:rPr>
        <w:lastRenderedPageBreak/>
        <w:t>1</w:t>
      </w:r>
      <w:r>
        <w:rPr>
          <w:rStyle w:val="Ohne"/>
          <w:rFonts w:ascii="Book Antiqua" w:hAnsi="Book Antiqua"/>
          <w:sz w:val="24"/>
          <w:szCs w:val="24"/>
          <w:lang w:val="de-DE"/>
        </w:rPr>
        <w:t xml:space="preserve"> Statistical significant with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-value </w:t>
      </w:r>
      <w:r w:rsidR="00B25FF6" w:rsidRPr="00B25FF6">
        <w:rPr>
          <w:rStyle w:val="Ohne"/>
          <w:rFonts w:ascii="Book Antiqua" w:hAnsi="Book Antiqua"/>
          <w:i/>
          <w:sz w:val="24"/>
          <w:szCs w:val="24"/>
          <w:lang w:val="de-DE"/>
        </w:rPr>
        <w:t>P</w:t>
      </w:r>
      <w:r w:rsidR="00B25FF6">
        <w:rPr>
          <w:rStyle w:val="Ohne"/>
          <w:rFonts w:ascii="Book Antiqua" w:hAnsi="Book Antiqua"/>
          <w:sz w:val="24"/>
          <w:szCs w:val="24"/>
          <w:lang w:val="de-DE"/>
        </w:rPr>
        <w:t xml:space="preserve"> </w:t>
      </w:r>
      <w:r>
        <w:rPr>
          <w:rStyle w:val="Ohne"/>
          <w:rFonts w:ascii="Book Antiqua" w:hAnsi="Book Antiqua"/>
          <w:sz w:val="24"/>
          <w:szCs w:val="24"/>
          <w:lang w:val="de-DE"/>
        </w:rPr>
        <w:t xml:space="preserve">&lt; 0.05; </w:t>
      </w:r>
      <w:r>
        <w:rPr>
          <w:rStyle w:val="Ohne"/>
          <w:rFonts w:ascii="Book Antiqua" w:hAnsi="Book Antiqua"/>
          <w:sz w:val="24"/>
          <w:szCs w:val="24"/>
          <w:vertAlign w:val="superscript"/>
          <w:lang w:val="de-DE"/>
        </w:rPr>
        <w:t>2</w:t>
      </w:r>
      <w:r>
        <w:rPr>
          <w:rStyle w:val="Ohne"/>
          <w:rFonts w:ascii="Book Antiqua" w:hAnsi="Book Antiqua"/>
          <w:sz w:val="24"/>
          <w:szCs w:val="24"/>
          <w:lang w:val="de-DE"/>
        </w:rPr>
        <w:t xml:space="preserve">Statistical tendency with p-value 0.05 &lt;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 &lt; 0.1 </w:t>
      </w:r>
      <w:r w:rsidR="00B25FF6">
        <w:rPr>
          <w:rStyle w:val="Ohne"/>
          <w:rFonts w:ascii="Arial Unicode MS" w:hAnsi="Arial Unicode MS"/>
          <w:sz w:val="24"/>
          <w:szCs w:val="24"/>
        </w:rPr>
        <w:sym w:font="Symbol" w:char="F063"/>
      </w:r>
      <w:r>
        <w:rPr>
          <w:rStyle w:val="Ohne"/>
          <w:rFonts w:ascii="Book Antiqua" w:hAnsi="Book Antiqua"/>
          <w:sz w:val="24"/>
          <w:szCs w:val="24"/>
          <w:vertAlign w:val="superscript"/>
        </w:rPr>
        <w:t>2</w:t>
      </w:r>
      <w:r>
        <w:rPr>
          <w:rStyle w:val="Ohne"/>
          <w:rFonts w:ascii="Book Antiqua" w:hAnsi="Book Antiqua"/>
          <w:sz w:val="24"/>
          <w:szCs w:val="24"/>
        </w:rPr>
        <w:t xml:space="preserve"> test</w:t>
      </w:r>
      <w:r>
        <w:rPr>
          <w:rStyle w:val="Ohne"/>
          <w:rFonts w:ascii="Book Antiqua" w:hAnsi="Book Antiqua"/>
          <w:sz w:val="24"/>
          <w:szCs w:val="24"/>
          <w:lang w:val="de-DE"/>
        </w:rPr>
        <w:t xml:space="preserve"> each. </w:t>
      </w:r>
      <w:r>
        <w:rPr>
          <w:rStyle w:val="Ohne"/>
          <w:rFonts w:ascii="Book Antiqua" w:hAnsi="Book Antiqua"/>
          <w:sz w:val="24"/>
          <w:szCs w:val="24"/>
        </w:rPr>
        <w:t>Deficiencies of immunoglobulins were not associated with a higher prevalence of SIBO. On the other hand, pharmacologically induced immunosuppression with steroids alone, with an immunosuppressant alone or with both in combination lead to a higher risk of developing of SIBO.</w:t>
      </w:r>
      <w:r>
        <w:rPr>
          <w:rStyle w:val="Ohne"/>
          <w:rFonts w:ascii="Book Antiqua" w:hAnsi="Book Antiqua"/>
          <w:b/>
          <w:bCs/>
          <w:sz w:val="24"/>
          <w:szCs w:val="24"/>
        </w:rPr>
        <w:t xml:space="preserve"> </w:t>
      </w:r>
      <w:r>
        <w:rPr>
          <w:rStyle w:val="Ohne"/>
          <w:rFonts w:ascii="Book Antiqua" w:hAnsi="Book Antiqua"/>
          <w:sz w:val="24"/>
          <w:szCs w:val="24"/>
        </w:rPr>
        <w:t>SIBO: Small intestinal bacterial overgrowth.</w:t>
      </w:r>
      <w:r>
        <w:rPr>
          <w:rStyle w:val="Ohne"/>
          <w:rFonts w:ascii="Arial Unicode MS" w:hAnsi="Arial Unicode MS"/>
          <w:sz w:val="24"/>
          <w:szCs w:val="24"/>
        </w:rPr>
        <w:br w:type="page"/>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lastRenderedPageBreak/>
        <w:t>Table 5 Miscellaneous variables</w:t>
      </w:r>
    </w:p>
    <w:tbl>
      <w:tblPr>
        <w:tblStyle w:val="TableNormal1"/>
        <w:tblW w:w="95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342"/>
        <w:gridCol w:w="1030"/>
        <w:gridCol w:w="1030"/>
        <w:gridCol w:w="1030"/>
        <w:gridCol w:w="1030"/>
        <w:gridCol w:w="1030"/>
        <w:gridCol w:w="1030"/>
        <w:gridCol w:w="1031"/>
      </w:tblGrid>
      <w:tr w:rsidR="00343223">
        <w:trPr>
          <w:trHeight w:val="300"/>
          <w:tblHeader/>
        </w:trPr>
        <w:tc>
          <w:tcPr>
            <w:tcW w:w="234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343223"/>
        </w:tc>
        <w:tc>
          <w:tcPr>
            <w:tcW w:w="2060"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SIBO</w:t>
            </w:r>
          </w:p>
        </w:tc>
        <w:tc>
          <w:tcPr>
            <w:tcW w:w="2060"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Non-SIBO</w:t>
            </w:r>
          </w:p>
        </w:tc>
        <w:tc>
          <w:tcPr>
            <w:tcW w:w="103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0B6ECF">
            <w:pPr>
              <w:pStyle w:val="Tabellenstil1A"/>
              <w:spacing w:line="360" w:lineRule="auto"/>
              <w:jc w:val="both"/>
            </w:pPr>
            <w:r>
              <w:rPr>
                <w:rStyle w:val="OhneA"/>
                <w:rFonts w:ascii="Arial Unicode MS" w:hAnsi="Arial Unicode MS"/>
                <w:sz w:val="24"/>
                <w:szCs w:val="24"/>
              </w:rPr>
              <w:sym w:font="Symbol" w:char="F063"/>
            </w:r>
            <w:r w:rsidR="00C30E23">
              <w:rPr>
                <w:rStyle w:val="Ohne"/>
                <w:rFonts w:ascii="Book Antiqua" w:hAnsi="Book Antiqua"/>
                <w:b/>
                <w:bCs/>
                <w:sz w:val="24"/>
                <w:szCs w:val="24"/>
                <w:vertAlign w:val="superscript"/>
              </w:rPr>
              <w:t>2</w:t>
            </w:r>
            <w:r w:rsidR="00C30E23">
              <w:rPr>
                <w:rStyle w:val="Ohne"/>
                <w:rFonts w:ascii="Book Antiqua" w:hAnsi="Book Antiqua"/>
                <w:b/>
                <w:bCs/>
                <w:sz w:val="24"/>
                <w:szCs w:val="24"/>
              </w:rPr>
              <w:t xml:space="preserve"> test</w:t>
            </w:r>
          </w:p>
        </w:tc>
        <w:tc>
          <w:tcPr>
            <w:tcW w:w="1030"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OR</w:t>
            </w:r>
          </w:p>
        </w:tc>
        <w:tc>
          <w:tcPr>
            <w:tcW w:w="1031"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RR</w:t>
            </w:r>
          </w:p>
        </w:tc>
      </w:tr>
      <w:tr w:rsidR="00343223">
        <w:trPr>
          <w:trHeight w:val="713"/>
          <w:tblHeader/>
        </w:trPr>
        <w:tc>
          <w:tcPr>
            <w:tcW w:w="234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343223"/>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175</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i/>
                <w:iCs/>
                <w:sz w:val="24"/>
                <w:szCs w:val="24"/>
              </w:rPr>
              <w:t>n</w:t>
            </w:r>
            <w:r>
              <w:rPr>
                <w:rStyle w:val="OhneA"/>
                <w:rFonts w:ascii="Book Antiqua" w:hAnsi="Book Antiqua"/>
                <w:b/>
                <w:bCs/>
                <w:sz w:val="24"/>
                <w:szCs w:val="24"/>
              </w:rPr>
              <w:t xml:space="preserve"> = 1634</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tcPr>
          <w:p w:rsidR="00343223" w:rsidRDefault="00C30E23">
            <w:pPr>
              <w:pStyle w:val="Tabellenstil1A"/>
              <w:spacing w:line="360" w:lineRule="auto"/>
              <w:jc w:val="both"/>
            </w:pPr>
            <w:r>
              <w:rPr>
                <w:rStyle w:val="Ohne"/>
                <w:rFonts w:ascii="Book Antiqua" w:hAnsi="Book Antiqua"/>
                <w:b/>
                <w:bCs/>
                <w:i/>
                <w:iCs/>
                <w:sz w:val="24"/>
                <w:szCs w:val="24"/>
              </w:rPr>
              <w:t>P</w:t>
            </w:r>
            <w:r>
              <w:rPr>
                <w:rStyle w:val="OhneA"/>
                <w:rFonts w:ascii="Book Antiqua" w:hAnsi="Book Antiqua"/>
                <w:b/>
                <w:bCs/>
                <w:sz w:val="24"/>
                <w:szCs w:val="24"/>
              </w:rPr>
              <w:t xml:space="preserve"> value</w:t>
            </w:r>
          </w:p>
        </w:tc>
        <w:tc>
          <w:tcPr>
            <w:tcW w:w="1030" w:type="dxa"/>
            <w:vMerge/>
            <w:tcBorders>
              <w:top w:val="single" w:sz="2" w:space="0" w:color="000000"/>
              <w:left w:val="nil"/>
              <w:bottom w:val="single" w:sz="2" w:space="0" w:color="000000"/>
              <w:right w:val="nil"/>
            </w:tcBorders>
            <w:shd w:val="clear" w:color="auto" w:fill="auto"/>
          </w:tcPr>
          <w:p w:rsidR="00343223" w:rsidRDefault="00343223"/>
        </w:tc>
        <w:tc>
          <w:tcPr>
            <w:tcW w:w="1031" w:type="dxa"/>
            <w:vMerge/>
            <w:tcBorders>
              <w:top w:val="single" w:sz="2" w:space="0" w:color="000000"/>
              <w:left w:val="nil"/>
              <w:bottom w:val="single" w:sz="2" w:space="0" w:color="000000"/>
              <w:right w:val="nil"/>
            </w:tcBorders>
            <w:shd w:val="clear" w:color="auto" w:fill="auto"/>
          </w:tcPr>
          <w:p w:rsidR="00343223" w:rsidRDefault="00343223"/>
        </w:tc>
      </w:tr>
      <w:tr w:rsidR="00343223">
        <w:tblPrEx>
          <w:shd w:val="clear" w:color="auto" w:fill="D0DDEF"/>
        </w:tblPrEx>
        <w:trPr>
          <w:trHeight w:val="703"/>
        </w:trPr>
        <w:tc>
          <w:tcPr>
            <w:tcW w:w="2342"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Thyroid Gland Surgery</w:t>
            </w:r>
          </w:p>
        </w:tc>
        <w:tc>
          <w:tcPr>
            <w:tcW w:w="103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w:t>
            </w:r>
          </w:p>
        </w:tc>
        <w:tc>
          <w:tcPr>
            <w:tcW w:w="103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4.0%</w:t>
            </w:r>
          </w:p>
        </w:tc>
        <w:tc>
          <w:tcPr>
            <w:tcW w:w="103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33</w:t>
            </w:r>
          </w:p>
        </w:tc>
        <w:tc>
          <w:tcPr>
            <w:tcW w:w="103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2.0%</w:t>
            </w:r>
          </w:p>
        </w:tc>
        <w:tc>
          <w:tcPr>
            <w:tcW w:w="103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0.085</w:t>
            </w:r>
            <w:r>
              <w:rPr>
                <w:rStyle w:val="Ohne"/>
                <w:rFonts w:ascii="Book Antiqua" w:hAnsi="Book Antiqua"/>
                <w:sz w:val="24"/>
                <w:szCs w:val="24"/>
                <w:vertAlign w:val="superscript"/>
                <w:lang w:val="de-DE"/>
              </w:rPr>
              <w:t>2</w:t>
            </w:r>
          </w:p>
        </w:tc>
        <w:tc>
          <w:tcPr>
            <w:tcW w:w="103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2.021</w:t>
            </w:r>
          </w:p>
        </w:tc>
        <w:tc>
          <w:tcPr>
            <w:tcW w:w="1031"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0.505</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Hypothyroidism</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4.0%</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0.002</w:t>
            </w:r>
            <w:r>
              <w:rPr>
                <w:rStyle w:val="Ohne"/>
                <w:rFonts w:ascii="Book Antiqua" w:hAnsi="Book Antiqua"/>
                <w:sz w:val="24"/>
                <w:szCs w:val="24"/>
                <w:vertAlign w:val="superscript"/>
                <w:lang w:val="de-DE"/>
              </w:rPr>
              <w:t>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2.556</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0.416</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Hyperthyroidism</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24</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0.287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Levothyroxine Use</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30</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6.5%</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&lt; 0.001</w:t>
            </w:r>
            <w:r>
              <w:rPr>
                <w:rStyle w:val="Ohne"/>
                <w:rFonts w:ascii="Book Antiqua" w:hAnsi="Book Antiqua"/>
                <w:sz w:val="24"/>
                <w:szCs w:val="24"/>
                <w:vertAlign w:val="superscript"/>
                <w:lang w:val="de-DE"/>
              </w:rPr>
              <w:t>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2.982</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0.378</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Adipositas</w:t>
            </w:r>
            <w:proofErr w:type="spellEnd"/>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307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18.8%</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0.410</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Diabetes Mellitus</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25</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14.3%</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0.006</w:t>
            </w:r>
            <w:r>
              <w:rPr>
                <w:rStyle w:val="Ohne"/>
                <w:rFonts w:ascii="Book Antiqua" w:hAnsi="Book Antiqua"/>
                <w:sz w:val="24"/>
                <w:szCs w:val="24"/>
                <w:vertAlign w:val="superscript"/>
                <w:lang w:val="de-DE"/>
              </w:rPr>
              <w:t>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1.896</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0.565</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Steatosis</w:t>
            </w:r>
            <w:proofErr w:type="spellEnd"/>
            <w:r>
              <w:rPr>
                <w:rStyle w:val="OhneA"/>
                <w:rFonts w:ascii="Book Antiqua" w:hAnsi="Book Antiqua"/>
                <w:sz w:val="24"/>
                <w:szCs w:val="24"/>
              </w:rPr>
              <w:t xml:space="preserve"> </w:t>
            </w:r>
            <w:proofErr w:type="spellStart"/>
            <w:r>
              <w:rPr>
                <w:rStyle w:val="OhneA"/>
                <w:rFonts w:ascii="Book Antiqua" w:hAnsi="Book Antiqua"/>
                <w:sz w:val="24"/>
                <w:szCs w:val="24"/>
              </w:rPr>
              <w:t>Hepatis</w:t>
            </w:r>
            <w:proofErr w:type="spellEnd"/>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12.6%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158</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0.139</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Hepatitis</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4.0%</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0.492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Liver Cirrhosis</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35</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0.289</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Renal Insufficiency</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0.532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Colonic Diverticulosis</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3.4%</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0.229</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Sigmoid Diverticulosis</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0.020</w:t>
            </w:r>
            <w:r>
              <w:rPr>
                <w:rStyle w:val="Ohne"/>
                <w:rFonts w:ascii="Book Antiqua" w:hAnsi="Book Antiqua"/>
                <w:sz w:val="24"/>
                <w:szCs w:val="24"/>
                <w:vertAlign w:val="superscript"/>
                <w:lang w:val="de-DE"/>
              </w:rPr>
              <w:t>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0.470</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2.021</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Crohn’s </w:t>
            </w:r>
            <w:r w:rsidR="00B25FF6">
              <w:rPr>
                <w:rStyle w:val="OhneA"/>
                <w:rFonts w:ascii="Book Antiqua" w:hAnsi="Book Antiqua"/>
                <w:sz w:val="24"/>
                <w:szCs w:val="24"/>
              </w:rPr>
              <w:t>disease</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10.9%</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134</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0.146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1.363</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0.755</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Ulcerative </w:t>
            </w:r>
            <w:r w:rsidR="00B25FF6">
              <w:rPr>
                <w:rStyle w:val="OhneA"/>
                <w:rFonts w:ascii="Book Antiqua" w:hAnsi="Book Antiqua"/>
                <w:sz w:val="24"/>
                <w:szCs w:val="24"/>
              </w:rPr>
              <w:t>colitis</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0.092</w:t>
            </w:r>
            <w:r>
              <w:rPr>
                <w:rStyle w:val="Ohne"/>
                <w:rFonts w:ascii="Book Antiqua" w:hAnsi="Book Antiqua"/>
                <w:sz w:val="24"/>
                <w:szCs w:val="24"/>
                <w:vertAlign w:val="superscript"/>
                <w:lang w:val="de-DE"/>
              </w:rPr>
              <w:t>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0.352</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2.785</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Alcoholism</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0.468</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Smokers</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0.070</w:t>
            </w:r>
            <w:r>
              <w:rPr>
                <w:rStyle w:val="Ohne"/>
                <w:rFonts w:ascii="Book Antiqua" w:hAnsi="Book Antiqua"/>
                <w:sz w:val="24"/>
                <w:szCs w:val="24"/>
                <w:vertAlign w:val="superscript"/>
                <w:lang w:val="de-DE"/>
              </w:rPr>
              <w:t>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1.844</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0.557</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NSAID </w:t>
            </w:r>
            <w:r w:rsidR="00B25FF6">
              <w:rPr>
                <w:rStyle w:val="OhneA"/>
                <w:rFonts w:ascii="Book Antiqua" w:hAnsi="Book Antiqua"/>
                <w:sz w:val="24"/>
                <w:szCs w:val="24"/>
              </w:rPr>
              <w:t>use</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16.6%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284</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17.4%</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0.442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lastRenderedPageBreak/>
              <w:t xml:space="preserve">Laxative </w:t>
            </w:r>
            <w:r w:rsidR="00B25FF6">
              <w:rPr>
                <w:rStyle w:val="OhneA"/>
                <w:rFonts w:ascii="Book Antiqua" w:hAnsi="Book Antiqua"/>
                <w:sz w:val="24"/>
                <w:szCs w:val="24"/>
              </w:rPr>
              <w:t>use</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58</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3.5%</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0.142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Antidiarrhoics</w:t>
            </w:r>
            <w:proofErr w:type="spellEnd"/>
            <w:r>
              <w:rPr>
                <w:rStyle w:val="OhneA"/>
                <w:rFonts w:ascii="Book Antiqua" w:hAnsi="Book Antiqua"/>
                <w:sz w:val="24"/>
                <w:szCs w:val="24"/>
              </w:rPr>
              <w:t xml:space="preserve"> </w:t>
            </w:r>
            <w:r w:rsidR="00B25FF6">
              <w:rPr>
                <w:rStyle w:val="OhneA"/>
                <w:rFonts w:ascii="Book Antiqua" w:hAnsi="Book Antiqua"/>
                <w:sz w:val="24"/>
                <w:szCs w:val="24"/>
              </w:rPr>
              <w:t>use</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118</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0.195</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w:t>
            </w:r>
          </w:p>
        </w:tc>
      </w:tr>
      <w:tr w:rsidR="00343223">
        <w:tblPrEx>
          <w:shd w:val="clear" w:color="auto" w:fill="D0DDEF"/>
        </w:tblPrEx>
        <w:trPr>
          <w:trHeight w:val="700"/>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Spasmolytics</w:t>
            </w:r>
            <w:proofErr w:type="spellEnd"/>
            <w:r>
              <w:rPr>
                <w:rStyle w:val="OhneA"/>
                <w:rFonts w:ascii="Book Antiqua" w:hAnsi="Book Antiqua"/>
                <w:sz w:val="24"/>
                <w:szCs w:val="24"/>
              </w:rPr>
              <w:t xml:space="preserve"> </w:t>
            </w:r>
            <w:r w:rsidR="00B25FF6">
              <w:rPr>
                <w:rStyle w:val="OhneA"/>
                <w:rFonts w:ascii="Book Antiqua" w:hAnsi="Book Antiqua"/>
                <w:sz w:val="24"/>
                <w:szCs w:val="24"/>
              </w:rPr>
              <w:t>use</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9</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257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15.7%</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&lt; 0.001</w:t>
            </w:r>
            <w:r>
              <w:rPr>
                <w:rStyle w:val="Ohne"/>
                <w:rFonts w:ascii="Book Antiqua" w:hAnsi="Book Antiqua"/>
                <w:sz w:val="24"/>
                <w:szCs w:val="24"/>
                <w:vertAlign w:val="superscript"/>
                <w:lang w:val="de-DE"/>
              </w:rPr>
              <w:t>1</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0.290</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3.058</w:t>
            </w:r>
          </w:p>
        </w:tc>
      </w:tr>
      <w:tr w:rsidR="00343223">
        <w:tblPrEx>
          <w:shd w:val="clear" w:color="auto" w:fill="D0DDEF"/>
        </w:tblPrEx>
        <w:trPr>
          <w:trHeight w:val="365"/>
        </w:trPr>
        <w:tc>
          <w:tcPr>
            <w:tcW w:w="2342"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Antiemetics</w:t>
            </w:r>
            <w:proofErr w:type="spellEnd"/>
            <w:r>
              <w:rPr>
                <w:rStyle w:val="OhneA"/>
                <w:rFonts w:ascii="Book Antiqua" w:hAnsi="Book Antiqua"/>
                <w:sz w:val="24"/>
                <w:szCs w:val="24"/>
              </w:rPr>
              <w:t xml:space="preserve"> </w:t>
            </w:r>
            <w:r w:rsidR="00B25FF6">
              <w:rPr>
                <w:rStyle w:val="OhneA"/>
                <w:rFonts w:ascii="Book Antiqua" w:hAnsi="Book Antiqua"/>
                <w:sz w:val="24"/>
                <w:szCs w:val="24"/>
              </w:rPr>
              <w:t>use</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12.6%</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144</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8.8%</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0.071</w:t>
            </w:r>
            <w:r>
              <w:rPr>
                <w:rStyle w:val="Ohne"/>
                <w:rFonts w:ascii="Book Antiqua" w:hAnsi="Book Antiqua"/>
                <w:sz w:val="24"/>
                <w:szCs w:val="24"/>
                <w:vertAlign w:val="superscript"/>
                <w:lang w:val="de-DE"/>
              </w:rPr>
              <w:t>2</w:t>
            </w:r>
          </w:p>
        </w:tc>
        <w:tc>
          <w:tcPr>
            <w:tcW w:w="103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1.488</w:t>
            </w:r>
          </w:p>
        </w:tc>
        <w:tc>
          <w:tcPr>
            <w:tcW w:w="103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0.701</w:t>
            </w:r>
          </w:p>
        </w:tc>
      </w:tr>
      <w:tr w:rsidR="00343223">
        <w:tblPrEx>
          <w:shd w:val="clear" w:color="auto" w:fill="D0DDEF"/>
        </w:tblPrEx>
        <w:trPr>
          <w:trHeight w:val="703"/>
        </w:trPr>
        <w:tc>
          <w:tcPr>
            <w:tcW w:w="2342"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 xml:space="preserve">Irritable </w:t>
            </w:r>
            <w:r w:rsidR="00B25FF6">
              <w:rPr>
                <w:rStyle w:val="OhneA"/>
                <w:rFonts w:ascii="Book Antiqua" w:hAnsi="Book Antiqua"/>
                <w:sz w:val="24"/>
                <w:szCs w:val="24"/>
              </w:rPr>
              <w:t>bowel syndrome</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4.6%</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322</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19.7%</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&lt; 0.001</w:t>
            </w:r>
            <w:r>
              <w:rPr>
                <w:rStyle w:val="Ohne"/>
                <w:rFonts w:ascii="Book Antiqua" w:hAnsi="Book Antiqua"/>
                <w:sz w:val="24"/>
                <w:szCs w:val="24"/>
                <w:vertAlign w:val="superscript"/>
                <w:lang w:val="de-DE"/>
              </w:rPr>
              <w:t>1</w:t>
            </w:r>
          </w:p>
        </w:tc>
        <w:tc>
          <w:tcPr>
            <w:tcW w:w="103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0.195</w:t>
            </w:r>
          </w:p>
        </w:tc>
        <w:tc>
          <w:tcPr>
            <w:tcW w:w="1031"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4.311</w:t>
            </w:r>
          </w:p>
        </w:tc>
      </w:tr>
    </w:tbl>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vertAlign w:val="superscript"/>
          <w:lang w:val="de-DE"/>
        </w:rPr>
        <w:t>1</w:t>
      </w:r>
      <w:r>
        <w:rPr>
          <w:rStyle w:val="Ohne"/>
          <w:rFonts w:ascii="Book Antiqua" w:hAnsi="Book Antiqua"/>
          <w:sz w:val="24"/>
          <w:szCs w:val="24"/>
          <w:lang w:val="de-DE"/>
        </w:rPr>
        <w:t xml:space="preserve">Statistical significant with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-value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 &lt; 0.05; </w:t>
      </w:r>
      <w:r>
        <w:rPr>
          <w:rStyle w:val="Ohne"/>
          <w:rFonts w:ascii="Book Antiqua" w:hAnsi="Book Antiqua"/>
          <w:sz w:val="24"/>
          <w:szCs w:val="24"/>
          <w:vertAlign w:val="superscript"/>
          <w:lang w:val="de-DE"/>
        </w:rPr>
        <w:t>2</w:t>
      </w:r>
      <w:r>
        <w:rPr>
          <w:rStyle w:val="Ohne"/>
          <w:rFonts w:ascii="Book Antiqua" w:hAnsi="Book Antiqua"/>
          <w:sz w:val="24"/>
          <w:szCs w:val="24"/>
          <w:lang w:val="de-DE"/>
        </w:rPr>
        <w:t xml:space="preserve">Statistical tendency with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-value 0.05 &lt; </w:t>
      </w:r>
      <w:r w:rsidR="00B25FF6" w:rsidRPr="00B25FF6">
        <w:rPr>
          <w:rStyle w:val="Ohne"/>
          <w:rFonts w:ascii="Book Antiqua" w:hAnsi="Book Antiqua"/>
          <w:i/>
          <w:sz w:val="24"/>
          <w:szCs w:val="24"/>
          <w:lang w:val="de-DE"/>
        </w:rPr>
        <w:t>P</w:t>
      </w:r>
      <w:r>
        <w:rPr>
          <w:rStyle w:val="Ohne"/>
          <w:rFonts w:ascii="Book Antiqua" w:hAnsi="Book Antiqua"/>
          <w:sz w:val="24"/>
          <w:szCs w:val="24"/>
          <w:lang w:val="de-DE"/>
        </w:rPr>
        <w:t xml:space="preserve"> &lt; 0.1 </w:t>
      </w:r>
      <w:r w:rsidR="00B25FF6">
        <w:rPr>
          <w:rStyle w:val="Ohne"/>
          <w:rFonts w:ascii="Arial Unicode MS" w:hAnsi="Arial Unicode MS"/>
          <w:sz w:val="24"/>
          <w:szCs w:val="24"/>
        </w:rPr>
        <w:sym w:font="Symbol" w:char="F063"/>
      </w:r>
      <w:r>
        <w:rPr>
          <w:rStyle w:val="Ohne"/>
          <w:rFonts w:ascii="Book Antiqua" w:hAnsi="Book Antiqua"/>
          <w:sz w:val="24"/>
          <w:szCs w:val="24"/>
          <w:vertAlign w:val="superscript"/>
        </w:rPr>
        <w:t>2</w:t>
      </w:r>
      <w:r>
        <w:rPr>
          <w:rStyle w:val="Ohne"/>
          <w:rFonts w:ascii="Book Antiqua" w:hAnsi="Book Antiqua"/>
          <w:sz w:val="24"/>
          <w:szCs w:val="24"/>
        </w:rPr>
        <w:t xml:space="preserve"> test</w:t>
      </w:r>
      <w:r>
        <w:rPr>
          <w:rStyle w:val="Ohne"/>
          <w:rFonts w:ascii="Book Antiqua" w:hAnsi="Book Antiqua"/>
          <w:sz w:val="24"/>
          <w:szCs w:val="24"/>
          <w:lang w:val="de-DE"/>
        </w:rPr>
        <w:t xml:space="preserve"> each. </w:t>
      </w:r>
      <w:r>
        <w:rPr>
          <w:rStyle w:val="Ohne"/>
          <w:rFonts w:ascii="Book Antiqua" w:hAnsi="Book Antiqua"/>
          <w:sz w:val="24"/>
          <w:szCs w:val="24"/>
        </w:rPr>
        <w:t xml:space="preserve">Patients with hypothyroidism and substitution of levothyroxine show a higher risk of SIBO. In the case of thyroidectomy, statistical significance was not achieved. The presence of diverticulosis of the sigmoid, but not of the entire colon was associated with a decreased risk of SIBO. Patients with Crohn’s disease did not exhibit a higher prevalence of SIBO, and ulcerative colitis tended to be protective, but did not reach statistical significance. Patents without SIBO were more likely to use </w:t>
      </w:r>
      <w:proofErr w:type="spellStart"/>
      <w:r>
        <w:rPr>
          <w:rStyle w:val="Ohne"/>
          <w:rFonts w:ascii="Book Antiqua" w:hAnsi="Book Antiqua"/>
          <w:sz w:val="24"/>
          <w:szCs w:val="24"/>
        </w:rPr>
        <w:t>spasmolytics</w:t>
      </w:r>
      <w:proofErr w:type="spellEnd"/>
      <w:r>
        <w:rPr>
          <w:rStyle w:val="Ohne"/>
          <w:rFonts w:ascii="Book Antiqua" w:hAnsi="Book Antiqua"/>
          <w:sz w:val="24"/>
          <w:szCs w:val="24"/>
        </w:rPr>
        <w:t xml:space="preserve"> and to suffer from irritable bowel syndrome. SIBO: Small intestinal bacterial overgrowth; NSAID: Non-steroidal anti-inflammatory drugs.</w:t>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Arial Unicode MS" w:hAnsi="Arial Unicode MS"/>
          <w:sz w:val="24"/>
          <w:szCs w:val="24"/>
        </w:rPr>
        <w:br w:type="page"/>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b/>
          <w:bCs/>
          <w:sz w:val="24"/>
          <w:szCs w:val="24"/>
        </w:rPr>
      </w:pPr>
      <w:r>
        <w:rPr>
          <w:rStyle w:val="Ohne"/>
          <w:rFonts w:ascii="Book Antiqua" w:hAnsi="Book Antiqua"/>
          <w:b/>
          <w:bCs/>
          <w:sz w:val="24"/>
          <w:szCs w:val="24"/>
        </w:rPr>
        <w:lastRenderedPageBreak/>
        <w:t>Table 6 Multivariate analysis</w:t>
      </w:r>
    </w:p>
    <w:tbl>
      <w:tblPr>
        <w:tblStyle w:val="TableNormal1"/>
        <w:tblW w:w="95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575"/>
        <w:gridCol w:w="1160"/>
        <w:gridCol w:w="1160"/>
        <w:gridCol w:w="1161"/>
        <w:gridCol w:w="1160"/>
        <w:gridCol w:w="1160"/>
        <w:gridCol w:w="1161"/>
      </w:tblGrid>
      <w:tr w:rsidR="00343223">
        <w:trPr>
          <w:trHeight w:val="427"/>
          <w:tblHeader/>
        </w:trPr>
        <w:tc>
          <w:tcPr>
            <w:tcW w:w="2575"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Equation variables</w:t>
            </w:r>
          </w:p>
        </w:tc>
        <w:tc>
          <w:tcPr>
            <w:tcW w:w="1160"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Regression coefficient B</w:t>
            </w:r>
          </w:p>
        </w:tc>
        <w:tc>
          <w:tcPr>
            <w:tcW w:w="1160"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Wald</w:t>
            </w:r>
          </w:p>
        </w:tc>
        <w:tc>
          <w:tcPr>
            <w:tcW w:w="1161"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Significance</w:t>
            </w:r>
          </w:p>
        </w:tc>
        <w:tc>
          <w:tcPr>
            <w:tcW w:w="1160"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
                <w:rFonts w:ascii="Book Antiqua" w:hAnsi="Book Antiqua"/>
                <w:b/>
                <w:bCs/>
                <w:sz w:val="24"/>
                <w:szCs w:val="24"/>
              </w:rPr>
              <w:t>Exp</w:t>
            </w:r>
            <w:proofErr w:type="spellEnd"/>
            <w:r>
              <w:rPr>
                <w:rStyle w:val="Ohne"/>
                <w:rFonts w:ascii="Book Antiqua" w:hAnsi="Book Antiqua"/>
                <w:b/>
                <w:bCs/>
                <w:sz w:val="24"/>
                <w:szCs w:val="24"/>
              </w:rPr>
              <w:t xml:space="preserve"> (B)</w:t>
            </w:r>
          </w:p>
        </w:tc>
        <w:tc>
          <w:tcPr>
            <w:tcW w:w="2321"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0B6ECF">
            <w:pPr>
              <w:pStyle w:val="Tabellenstil1A"/>
              <w:spacing w:line="360" w:lineRule="auto"/>
              <w:jc w:val="both"/>
            </w:pPr>
            <w:r>
              <w:rPr>
                <w:rStyle w:val="Ohne"/>
                <w:rFonts w:ascii="Book Antiqua" w:hAnsi="Book Antiqua"/>
                <w:b/>
                <w:bCs/>
                <w:sz w:val="24"/>
                <w:szCs w:val="24"/>
              </w:rPr>
              <w:t>95%</w:t>
            </w:r>
            <w:r w:rsidR="00C30E23">
              <w:rPr>
                <w:rStyle w:val="Ohne"/>
                <w:rFonts w:ascii="Book Antiqua" w:hAnsi="Book Antiqua"/>
                <w:b/>
                <w:bCs/>
                <w:sz w:val="24"/>
                <w:szCs w:val="24"/>
              </w:rPr>
              <w:t xml:space="preserve">CI for </w:t>
            </w:r>
            <w:proofErr w:type="spellStart"/>
            <w:r w:rsidR="00C30E23">
              <w:rPr>
                <w:rStyle w:val="Ohne"/>
                <w:rFonts w:ascii="Book Antiqua" w:hAnsi="Book Antiqua"/>
                <w:b/>
                <w:bCs/>
                <w:sz w:val="24"/>
                <w:szCs w:val="24"/>
              </w:rPr>
              <w:t>Exp</w:t>
            </w:r>
            <w:proofErr w:type="spellEnd"/>
            <w:r w:rsidR="00C30E23">
              <w:rPr>
                <w:rStyle w:val="Ohne"/>
                <w:rFonts w:ascii="Book Antiqua" w:hAnsi="Book Antiqua"/>
                <w:b/>
                <w:bCs/>
                <w:sz w:val="24"/>
                <w:szCs w:val="24"/>
              </w:rPr>
              <w:t xml:space="preserve"> (B)</w:t>
            </w:r>
          </w:p>
        </w:tc>
      </w:tr>
      <w:tr w:rsidR="00343223">
        <w:trPr>
          <w:trHeight w:val="956"/>
          <w:tblHeader/>
        </w:trPr>
        <w:tc>
          <w:tcPr>
            <w:tcW w:w="2575" w:type="dxa"/>
            <w:vMerge/>
            <w:tcBorders>
              <w:top w:val="single" w:sz="2" w:space="0" w:color="000000"/>
              <w:left w:val="nil"/>
              <w:bottom w:val="single" w:sz="2" w:space="0" w:color="000000"/>
              <w:right w:val="nil"/>
            </w:tcBorders>
            <w:shd w:val="clear" w:color="auto" w:fill="auto"/>
          </w:tcPr>
          <w:p w:rsidR="00343223" w:rsidRDefault="00343223"/>
        </w:tc>
        <w:tc>
          <w:tcPr>
            <w:tcW w:w="1160" w:type="dxa"/>
            <w:vMerge/>
            <w:tcBorders>
              <w:top w:val="single" w:sz="2" w:space="0" w:color="000000"/>
              <w:left w:val="nil"/>
              <w:bottom w:val="single" w:sz="2" w:space="0" w:color="000000"/>
              <w:right w:val="nil"/>
            </w:tcBorders>
            <w:shd w:val="clear" w:color="auto" w:fill="auto"/>
          </w:tcPr>
          <w:p w:rsidR="00343223" w:rsidRDefault="00343223"/>
        </w:tc>
        <w:tc>
          <w:tcPr>
            <w:tcW w:w="1160" w:type="dxa"/>
            <w:vMerge/>
            <w:tcBorders>
              <w:top w:val="single" w:sz="2" w:space="0" w:color="000000"/>
              <w:left w:val="nil"/>
              <w:bottom w:val="single" w:sz="2" w:space="0" w:color="000000"/>
              <w:right w:val="nil"/>
            </w:tcBorders>
            <w:shd w:val="clear" w:color="auto" w:fill="auto"/>
          </w:tcPr>
          <w:p w:rsidR="00343223" w:rsidRDefault="00343223"/>
        </w:tc>
        <w:tc>
          <w:tcPr>
            <w:tcW w:w="1161" w:type="dxa"/>
            <w:vMerge/>
            <w:tcBorders>
              <w:top w:val="single" w:sz="2" w:space="0" w:color="000000"/>
              <w:left w:val="nil"/>
              <w:bottom w:val="single" w:sz="2" w:space="0" w:color="000000"/>
              <w:right w:val="nil"/>
            </w:tcBorders>
            <w:shd w:val="clear" w:color="auto" w:fill="auto"/>
          </w:tcPr>
          <w:p w:rsidR="00343223" w:rsidRDefault="00343223"/>
        </w:tc>
        <w:tc>
          <w:tcPr>
            <w:tcW w:w="1160" w:type="dxa"/>
            <w:vMerge/>
            <w:tcBorders>
              <w:top w:val="single" w:sz="2" w:space="0" w:color="000000"/>
              <w:left w:val="nil"/>
              <w:bottom w:val="single" w:sz="2" w:space="0" w:color="000000"/>
              <w:right w:val="nil"/>
            </w:tcBorders>
            <w:shd w:val="clear" w:color="auto" w:fill="auto"/>
          </w:tcPr>
          <w:p w:rsidR="00343223" w:rsidRDefault="00343223"/>
        </w:tc>
        <w:tc>
          <w:tcPr>
            <w:tcW w:w="116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Lower Limit</w:t>
            </w:r>
          </w:p>
        </w:tc>
        <w:tc>
          <w:tcPr>
            <w:tcW w:w="1161"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
                <w:rFonts w:ascii="Book Antiqua" w:hAnsi="Book Antiqua"/>
                <w:b/>
                <w:bCs/>
                <w:sz w:val="24"/>
                <w:szCs w:val="24"/>
              </w:rPr>
              <w:t>Upper Limit</w:t>
            </w:r>
          </w:p>
        </w:tc>
      </w:tr>
      <w:tr w:rsidR="00343223">
        <w:tblPrEx>
          <w:shd w:val="clear" w:color="auto" w:fill="D0DDEF"/>
        </w:tblPrEx>
        <w:trPr>
          <w:trHeight w:val="457"/>
        </w:trPr>
        <w:tc>
          <w:tcPr>
            <w:tcW w:w="2575"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PPI Therapy</w:t>
            </w:r>
          </w:p>
        </w:tc>
        <w:tc>
          <w:tcPr>
            <w:tcW w:w="116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0.241</w:t>
            </w:r>
          </w:p>
        </w:tc>
        <w:tc>
          <w:tcPr>
            <w:tcW w:w="116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2.015</w:t>
            </w:r>
          </w:p>
        </w:tc>
        <w:tc>
          <w:tcPr>
            <w:tcW w:w="1161"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0.156</w:t>
            </w:r>
          </w:p>
        </w:tc>
        <w:tc>
          <w:tcPr>
            <w:tcW w:w="116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1.273</w:t>
            </w:r>
          </w:p>
        </w:tc>
        <w:tc>
          <w:tcPr>
            <w:tcW w:w="1160"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0.912</w:t>
            </w:r>
          </w:p>
        </w:tc>
        <w:tc>
          <w:tcPr>
            <w:tcW w:w="1161"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1.776</w:t>
            </w:r>
          </w:p>
        </w:tc>
      </w:tr>
      <w:tr w:rsidR="00343223">
        <w:tblPrEx>
          <w:shd w:val="clear" w:color="auto" w:fill="D0DDEF"/>
        </w:tblPrEx>
        <w:trPr>
          <w:trHeight w:val="422"/>
        </w:trPr>
        <w:tc>
          <w:tcPr>
            <w:tcW w:w="257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Gastrectomy</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0.600</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0.676</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0.411</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1.821</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0.436</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7.604</w:t>
            </w:r>
          </w:p>
        </w:tc>
      </w:tr>
      <w:tr w:rsidR="00343223">
        <w:tblPrEx>
          <w:shd w:val="clear" w:color="auto" w:fill="D0DDEF"/>
        </w:tblPrEx>
        <w:trPr>
          <w:trHeight w:val="700"/>
        </w:trPr>
        <w:tc>
          <w:tcPr>
            <w:tcW w:w="257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Any Resecting Gastric Surgery</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0.875</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4.369</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0.037</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2.399</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1.056</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5.450</w:t>
            </w:r>
          </w:p>
        </w:tc>
      </w:tr>
      <w:tr w:rsidR="00343223">
        <w:tblPrEx>
          <w:shd w:val="clear" w:color="auto" w:fill="D0DDEF"/>
        </w:tblPrEx>
        <w:trPr>
          <w:trHeight w:val="422"/>
        </w:trPr>
        <w:tc>
          <w:tcPr>
            <w:tcW w:w="257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sz w:val="24"/>
                <w:szCs w:val="24"/>
              </w:rPr>
              <w:t>Stenoses</w:t>
            </w:r>
            <w:proofErr w:type="spellEnd"/>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1.033</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7.011</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0.008</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2.809</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1.308</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6.033</w:t>
            </w:r>
          </w:p>
        </w:tc>
      </w:tr>
      <w:tr w:rsidR="00343223">
        <w:tblPrEx>
          <w:shd w:val="clear" w:color="auto" w:fill="D0DDEF"/>
        </w:tblPrEx>
        <w:trPr>
          <w:trHeight w:val="422"/>
        </w:trPr>
        <w:tc>
          <w:tcPr>
            <w:tcW w:w="257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Gastroparesis</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1.016</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3.244</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0.072</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2.762</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0.914</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8.345</w:t>
            </w:r>
          </w:p>
        </w:tc>
      </w:tr>
      <w:tr w:rsidR="00343223">
        <w:tblPrEx>
          <w:shd w:val="clear" w:color="auto" w:fill="D0DDEF"/>
        </w:tblPrEx>
        <w:trPr>
          <w:trHeight w:val="422"/>
        </w:trPr>
        <w:tc>
          <w:tcPr>
            <w:tcW w:w="257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Any Colon Resection</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0.479</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3.012</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0.083</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1.614</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0.940</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2.772</w:t>
            </w:r>
          </w:p>
        </w:tc>
      </w:tr>
      <w:tr w:rsidR="00343223">
        <w:tblPrEx>
          <w:shd w:val="clear" w:color="auto" w:fill="D0DDEF"/>
        </w:tblPrEx>
        <w:trPr>
          <w:trHeight w:val="700"/>
        </w:trPr>
        <w:tc>
          <w:tcPr>
            <w:tcW w:w="257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Any Medical Immunosuppression</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0.428</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4.380</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0.036</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1.534</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1.028</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2.291</w:t>
            </w:r>
          </w:p>
        </w:tc>
      </w:tr>
      <w:tr w:rsidR="00343223">
        <w:tblPrEx>
          <w:shd w:val="clear" w:color="auto" w:fill="D0DDEF"/>
        </w:tblPrEx>
        <w:trPr>
          <w:trHeight w:val="700"/>
        </w:trPr>
        <w:tc>
          <w:tcPr>
            <w:tcW w:w="257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Levothyroxine Therapy</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1.070</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20.980</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0.000</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2.916</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1.845</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4.609</w:t>
            </w:r>
          </w:p>
        </w:tc>
      </w:tr>
      <w:tr w:rsidR="00343223">
        <w:tblPrEx>
          <w:shd w:val="clear" w:color="auto" w:fill="D0DDEF"/>
        </w:tblPrEx>
        <w:trPr>
          <w:trHeight w:val="422"/>
        </w:trPr>
        <w:tc>
          <w:tcPr>
            <w:tcW w:w="2575"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Diabetes Mellitus</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-0.453</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3.223</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0.073</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0.636</w:t>
            </w:r>
          </w:p>
        </w:tc>
        <w:tc>
          <w:tcPr>
            <w:tcW w:w="1160"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0.388</w:t>
            </w:r>
          </w:p>
        </w:tc>
        <w:tc>
          <w:tcPr>
            <w:tcW w:w="1161"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1.042</w:t>
            </w:r>
          </w:p>
        </w:tc>
      </w:tr>
      <w:tr w:rsidR="00343223">
        <w:tblPrEx>
          <w:shd w:val="clear" w:color="auto" w:fill="D0DDEF"/>
        </w:tblPrEx>
        <w:trPr>
          <w:trHeight w:val="703"/>
        </w:trPr>
        <w:tc>
          <w:tcPr>
            <w:tcW w:w="2575"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Sigmoid Diverticulosis</w:t>
            </w:r>
          </w:p>
        </w:tc>
        <w:tc>
          <w:tcPr>
            <w:tcW w:w="116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0.832</w:t>
            </w:r>
          </w:p>
        </w:tc>
        <w:tc>
          <w:tcPr>
            <w:tcW w:w="116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4.835</w:t>
            </w:r>
          </w:p>
        </w:tc>
        <w:tc>
          <w:tcPr>
            <w:tcW w:w="1161"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0.028</w:t>
            </w:r>
          </w:p>
        </w:tc>
        <w:tc>
          <w:tcPr>
            <w:tcW w:w="116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2.298</w:t>
            </w:r>
          </w:p>
        </w:tc>
        <w:tc>
          <w:tcPr>
            <w:tcW w:w="116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1.095</w:t>
            </w:r>
          </w:p>
        </w:tc>
        <w:tc>
          <w:tcPr>
            <w:tcW w:w="1161"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4.823</w:t>
            </w:r>
          </w:p>
        </w:tc>
      </w:tr>
    </w:tbl>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sidRPr="000B6ECF">
        <w:rPr>
          <w:rStyle w:val="Ohne"/>
          <w:rFonts w:ascii="Book Antiqua" w:hAnsi="Book Antiqua"/>
          <w:bCs/>
          <w:sz w:val="24"/>
          <w:szCs w:val="24"/>
        </w:rPr>
        <w:t xml:space="preserve">Binary logistic regression analysis for risk factors for SIBO: </w:t>
      </w:r>
      <w:r w:rsidRPr="000B6ECF">
        <w:rPr>
          <w:rStyle w:val="Ohne"/>
          <w:rFonts w:ascii="Book Antiqua" w:hAnsi="Book Antiqua"/>
          <w:sz w:val="24"/>
          <w:szCs w:val="24"/>
        </w:rPr>
        <w:t>SI</w:t>
      </w:r>
      <w:r>
        <w:rPr>
          <w:rStyle w:val="Ohne"/>
          <w:rFonts w:ascii="Book Antiqua" w:hAnsi="Book Antiqua"/>
          <w:sz w:val="24"/>
          <w:szCs w:val="24"/>
        </w:rPr>
        <w:t xml:space="preserve">BO: Small intestinal bacterial overgrowth. </w:t>
      </w:r>
      <w:proofErr w:type="spellStart"/>
      <w:r>
        <w:rPr>
          <w:rStyle w:val="Ohne"/>
          <w:rFonts w:ascii="Book Antiqua" w:hAnsi="Book Antiqua"/>
          <w:sz w:val="24"/>
          <w:szCs w:val="24"/>
        </w:rPr>
        <w:t>Exp</w:t>
      </w:r>
      <w:proofErr w:type="spellEnd"/>
      <w:r>
        <w:rPr>
          <w:rStyle w:val="Ohne"/>
          <w:rFonts w:ascii="Book Antiqua" w:hAnsi="Book Antiqua"/>
          <w:sz w:val="24"/>
          <w:szCs w:val="24"/>
        </w:rPr>
        <w:t>: Exponent</w:t>
      </w:r>
      <w:r w:rsidR="00B726AC">
        <w:rPr>
          <w:rStyle w:val="Ohne"/>
          <w:rFonts w:ascii="Book Antiqua" w:hAnsi="Book Antiqua"/>
          <w:sz w:val="24"/>
          <w:szCs w:val="24"/>
        </w:rPr>
        <w:t>;</w:t>
      </w:r>
      <w:r>
        <w:rPr>
          <w:rStyle w:val="Ohne"/>
          <w:rFonts w:ascii="Book Antiqua" w:hAnsi="Book Antiqua"/>
          <w:sz w:val="24"/>
          <w:szCs w:val="24"/>
        </w:rPr>
        <w:t xml:space="preserve"> CI: Confidence interval. All parameters found to be significant in previous analyses were used for analysis with binary logistic regression. A history of gastric surgery, </w:t>
      </w:r>
      <w:proofErr w:type="spellStart"/>
      <w:r>
        <w:rPr>
          <w:rStyle w:val="Ohne"/>
          <w:rFonts w:ascii="Book Antiqua" w:hAnsi="Book Antiqua"/>
          <w:sz w:val="24"/>
          <w:szCs w:val="24"/>
        </w:rPr>
        <w:t>stenoses</w:t>
      </w:r>
      <w:proofErr w:type="spellEnd"/>
      <w:r>
        <w:rPr>
          <w:rStyle w:val="Ohne"/>
          <w:rFonts w:ascii="Book Antiqua" w:hAnsi="Book Antiqua"/>
          <w:sz w:val="24"/>
          <w:szCs w:val="24"/>
        </w:rPr>
        <w:t>, medical immunosuppression, levothyroxine therapy and sigmoid diverticulosis showed statistical significance as contributors to SIBO.</w:t>
      </w:r>
    </w:p>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pPr>
      <w:r>
        <w:rPr>
          <w:rStyle w:val="Ohne"/>
          <w:rFonts w:ascii="Arial Unicode MS" w:hAnsi="Arial Unicode MS"/>
          <w:sz w:val="24"/>
          <w:szCs w:val="24"/>
        </w:rPr>
        <w:br w:type="page"/>
      </w:r>
    </w:p>
    <w:p w:rsidR="00343223" w:rsidRDefault="00C30E23">
      <w:pPr>
        <w:pStyle w:val="a5"/>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left="0"/>
        <w:jc w:val="both"/>
        <w:rPr>
          <w:rStyle w:val="Ohne"/>
          <w:rFonts w:ascii="Book Antiqua" w:eastAsia="Book Antiqua" w:hAnsi="Book Antiqua" w:cs="Book Antiqua"/>
          <w:b/>
          <w:bCs/>
          <w:sz w:val="24"/>
          <w:szCs w:val="24"/>
        </w:rPr>
      </w:pPr>
      <w:r>
        <w:rPr>
          <w:rStyle w:val="Ohne"/>
          <w:rFonts w:ascii="Book Antiqua" w:hAnsi="Book Antiqua"/>
          <w:b/>
          <w:bCs/>
          <w:sz w:val="24"/>
          <w:szCs w:val="24"/>
        </w:rPr>
        <w:lastRenderedPageBreak/>
        <w:t xml:space="preserve">Table 7 Binary logistic regression for </w:t>
      </w:r>
      <w:proofErr w:type="spellStart"/>
      <w:r>
        <w:rPr>
          <w:rStyle w:val="Ohne"/>
          <w:rFonts w:ascii="Book Antiqua" w:hAnsi="Book Antiqua"/>
          <w:b/>
          <w:bCs/>
          <w:sz w:val="24"/>
          <w:szCs w:val="24"/>
        </w:rPr>
        <w:t>categorised</w:t>
      </w:r>
      <w:proofErr w:type="spellEnd"/>
      <w:r>
        <w:rPr>
          <w:rStyle w:val="Ohne"/>
          <w:rFonts w:ascii="Book Antiqua" w:hAnsi="Book Antiqua"/>
          <w:b/>
          <w:bCs/>
          <w:sz w:val="24"/>
          <w:szCs w:val="24"/>
        </w:rPr>
        <w:t xml:space="preserve"> variables</w:t>
      </w:r>
    </w:p>
    <w:tbl>
      <w:tblPr>
        <w:tblStyle w:val="TableNormal1"/>
        <w:tblW w:w="90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565"/>
        <w:gridCol w:w="1029"/>
        <w:gridCol w:w="1027"/>
        <w:gridCol w:w="1027"/>
        <w:gridCol w:w="1027"/>
        <w:gridCol w:w="1027"/>
        <w:gridCol w:w="1341"/>
      </w:tblGrid>
      <w:tr w:rsidR="00343223">
        <w:trPr>
          <w:trHeight w:val="422"/>
          <w:tblHeader/>
        </w:trPr>
        <w:tc>
          <w:tcPr>
            <w:tcW w:w="2563"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Equation variables</w:t>
            </w:r>
          </w:p>
        </w:tc>
        <w:tc>
          <w:tcPr>
            <w:tcW w:w="1028"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Regression coefficient B</w:t>
            </w:r>
          </w:p>
        </w:tc>
        <w:tc>
          <w:tcPr>
            <w:tcW w:w="1027"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Wald</w:t>
            </w:r>
          </w:p>
        </w:tc>
        <w:tc>
          <w:tcPr>
            <w:tcW w:w="1027"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Significance</w:t>
            </w:r>
          </w:p>
        </w:tc>
        <w:tc>
          <w:tcPr>
            <w:tcW w:w="1027" w:type="dxa"/>
            <w:vMerge w:val="restart"/>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proofErr w:type="spellStart"/>
            <w:r>
              <w:rPr>
                <w:rStyle w:val="OhneA"/>
                <w:rFonts w:ascii="Book Antiqua" w:hAnsi="Book Antiqua"/>
                <w:b/>
                <w:bCs/>
                <w:sz w:val="24"/>
                <w:szCs w:val="24"/>
              </w:rPr>
              <w:t>Exp</w:t>
            </w:r>
            <w:proofErr w:type="spellEnd"/>
            <w:r>
              <w:rPr>
                <w:rStyle w:val="OhneA"/>
                <w:rFonts w:ascii="Book Antiqua" w:hAnsi="Book Antiqua"/>
                <w:b/>
                <w:bCs/>
                <w:sz w:val="24"/>
                <w:szCs w:val="24"/>
              </w:rPr>
              <w:t xml:space="preserve"> (B)</w:t>
            </w:r>
          </w:p>
        </w:tc>
        <w:tc>
          <w:tcPr>
            <w:tcW w:w="2367" w:type="dxa"/>
            <w:gridSpan w:val="2"/>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 xml:space="preserve">95%CI for </w:t>
            </w:r>
            <w:proofErr w:type="spellStart"/>
            <w:r>
              <w:rPr>
                <w:rStyle w:val="OhneA"/>
                <w:rFonts w:ascii="Book Antiqua" w:hAnsi="Book Antiqua"/>
                <w:b/>
                <w:bCs/>
                <w:sz w:val="24"/>
                <w:szCs w:val="24"/>
              </w:rPr>
              <w:t>Exp</w:t>
            </w:r>
            <w:proofErr w:type="spellEnd"/>
            <w:r>
              <w:rPr>
                <w:rStyle w:val="OhneA"/>
                <w:rFonts w:ascii="Book Antiqua" w:hAnsi="Book Antiqua"/>
                <w:b/>
                <w:bCs/>
                <w:sz w:val="24"/>
                <w:szCs w:val="24"/>
              </w:rPr>
              <w:t xml:space="preserve"> (B)</w:t>
            </w:r>
          </w:p>
        </w:tc>
      </w:tr>
      <w:tr w:rsidR="00343223">
        <w:trPr>
          <w:trHeight w:val="961"/>
          <w:tblHeader/>
        </w:trPr>
        <w:tc>
          <w:tcPr>
            <w:tcW w:w="2563" w:type="dxa"/>
            <w:vMerge/>
            <w:tcBorders>
              <w:top w:val="single" w:sz="2" w:space="0" w:color="000000"/>
              <w:left w:val="nil"/>
              <w:bottom w:val="single" w:sz="2" w:space="0" w:color="000000"/>
              <w:right w:val="nil"/>
            </w:tcBorders>
            <w:shd w:val="clear" w:color="auto" w:fill="auto"/>
          </w:tcPr>
          <w:p w:rsidR="00343223" w:rsidRDefault="00343223"/>
        </w:tc>
        <w:tc>
          <w:tcPr>
            <w:tcW w:w="1028" w:type="dxa"/>
            <w:vMerge/>
            <w:tcBorders>
              <w:top w:val="single" w:sz="2" w:space="0" w:color="000000"/>
              <w:left w:val="nil"/>
              <w:bottom w:val="single" w:sz="2" w:space="0" w:color="000000"/>
              <w:right w:val="nil"/>
            </w:tcBorders>
            <w:shd w:val="clear" w:color="auto" w:fill="auto"/>
          </w:tcPr>
          <w:p w:rsidR="00343223" w:rsidRDefault="00343223"/>
        </w:tc>
        <w:tc>
          <w:tcPr>
            <w:tcW w:w="1027" w:type="dxa"/>
            <w:vMerge/>
            <w:tcBorders>
              <w:top w:val="single" w:sz="2" w:space="0" w:color="000000"/>
              <w:left w:val="nil"/>
              <w:bottom w:val="single" w:sz="2" w:space="0" w:color="000000"/>
              <w:right w:val="nil"/>
            </w:tcBorders>
            <w:shd w:val="clear" w:color="auto" w:fill="auto"/>
          </w:tcPr>
          <w:p w:rsidR="00343223" w:rsidRDefault="00343223"/>
        </w:tc>
        <w:tc>
          <w:tcPr>
            <w:tcW w:w="1027" w:type="dxa"/>
            <w:vMerge/>
            <w:tcBorders>
              <w:top w:val="single" w:sz="2" w:space="0" w:color="000000"/>
              <w:left w:val="nil"/>
              <w:bottom w:val="single" w:sz="2" w:space="0" w:color="000000"/>
              <w:right w:val="nil"/>
            </w:tcBorders>
            <w:shd w:val="clear" w:color="auto" w:fill="auto"/>
          </w:tcPr>
          <w:p w:rsidR="00343223" w:rsidRDefault="00343223"/>
        </w:tc>
        <w:tc>
          <w:tcPr>
            <w:tcW w:w="1027" w:type="dxa"/>
            <w:vMerge/>
            <w:tcBorders>
              <w:top w:val="single" w:sz="2" w:space="0" w:color="000000"/>
              <w:left w:val="nil"/>
              <w:bottom w:val="single" w:sz="2" w:space="0" w:color="000000"/>
              <w:right w:val="nil"/>
            </w:tcBorders>
            <w:shd w:val="clear" w:color="auto" w:fill="auto"/>
          </w:tcPr>
          <w:p w:rsidR="00343223" w:rsidRDefault="00343223"/>
        </w:tc>
        <w:tc>
          <w:tcPr>
            <w:tcW w:w="1027"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Lower Limit</w:t>
            </w:r>
          </w:p>
        </w:tc>
        <w:tc>
          <w:tcPr>
            <w:tcW w:w="1339"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b/>
                <w:bCs/>
                <w:sz w:val="24"/>
                <w:szCs w:val="24"/>
              </w:rPr>
              <w:t>Upper Limit</w:t>
            </w:r>
          </w:p>
        </w:tc>
      </w:tr>
      <w:tr w:rsidR="00343223">
        <w:tblPrEx>
          <w:shd w:val="clear" w:color="auto" w:fill="D0DDEF"/>
        </w:tblPrEx>
        <w:trPr>
          <w:trHeight w:val="442"/>
        </w:trPr>
        <w:tc>
          <w:tcPr>
            <w:tcW w:w="2563"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Impaired Acid Barrier</w:t>
            </w:r>
          </w:p>
        </w:tc>
        <w:tc>
          <w:tcPr>
            <w:tcW w:w="1028"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0.277</w:t>
            </w:r>
          </w:p>
        </w:tc>
        <w:tc>
          <w:tcPr>
            <w:tcW w:w="1027"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2.780</w:t>
            </w:r>
          </w:p>
        </w:tc>
        <w:tc>
          <w:tcPr>
            <w:tcW w:w="1027"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0.095</w:t>
            </w:r>
          </w:p>
        </w:tc>
        <w:tc>
          <w:tcPr>
            <w:tcW w:w="1027"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1.319</w:t>
            </w:r>
          </w:p>
        </w:tc>
        <w:tc>
          <w:tcPr>
            <w:tcW w:w="1027"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0.953</w:t>
            </w:r>
          </w:p>
        </w:tc>
        <w:tc>
          <w:tcPr>
            <w:tcW w:w="1339" w:type="dxa"/>
            <w:tcBorders>
              <w:top w:val="single" w:sz="2" w:space="0" w:color="000000"/>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1.827</w:t>
            </w:r>
          </w:p>
        </w:tc>
      </w:tr>
      <w:tr w:rsidR="00343223">
        <w:tblPrEx>
          <w:shd w:val="clear" w:color="auto" w:fill="D0DDEF"/>
        </w:tblPrEx>
        <w:trPr>
          <w:trHeight w:val="417"/>
        </w:trPr>
        <w:tc>
          <w:tcPr>
            <w:tcW w:w="25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Impaired Clearance</w:t>
            </w:r>
          </w:p>
        </w:tc>
        <w:tc>
          <w:tcPr>
            <w:tcW w:w="1028"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0.772</w:t>
            </w:r>
          </w:p>
        </w:tc>
        <w:tc>
          <w:tcPr>
            <w:tcW w:w="1027"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14.463</w:t>
            </w:r>
          </w:p>
        </w:tc>
        <w:tc>
          <w:tcPr>
            <w:tcW w:w="1027"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0.000</w:t>
            </w:r>
            <w:r>
              <w:rPr>
                <w:rStyle w:val="Ohne"/>
                <w:rFonts w:ascii="Book Antiqua" w:hAnsi="Book Antiqua"/>
                <w:sz w:val="24"/>
                <w:szCs w:val="24"/>
                <w:vertAlign w:val="superscript"/>
              </w:rPr>
              <w:t>1</w:t>
            </w:r>
          </w:p>
        </w:tc>
        <w:tc>
          <w:tcPr>
            <w:tcW w:w="1027"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2.164</w:t>
            </w:r>
          </w:p>
        </w:tc>
        <w:tc>
          <w:tcPr>
            <w:tcW w:w="1027"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1.454</w:t>
            </w:r>
          </w:p>
        </w:tc>
        <w:tc>
          <w:tcPr>
            <w:tcW w:w="1339"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3.221</w:t>
            </w:r>
          </w:p>
        </w:tc>
      </w:tr>
      <w:tr w:rsidR="00343223">
        <w:tblPrEx>
          <w:shd w:val="clear" w:color="auto" w:fill="D0DDEF"/>
        </w:tblPrEx>
        <w:trPr>
          <w:trHeight w:val="700"/>
        </w:trPr>
        <w:tc>
          <w:tcPr>
            <w:tcW w:w="2563"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Impaired Immune Response</w:t>
            </w:r>
          </w:p>
        </w:tc>
        <w:tc>
          <w:tcPr>
            <w:tcW w:w="1028"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0.453</w:t>
            </w:r>
          </w:p>
        </w:tc>
        <w:tc>
          <w:tcPr>
            <w:tcW w:w="1027"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5.161</w:t>
            </w:r>
          </w:p>
        </w:tc>
        <w:tc>
          <w:tcPr>
            <w:tcW w:w="1027"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0.023</w:t>
            </w:r>
            <w:r>
              <w:rPr>
                <w:rStyle w:val="Ohne"/>
                <w:rFonts w:ascii="Book Antiqua" w:hAnsi="Book Antiqua"/>
                <w:sz w:val="24"/>
                <w:szCs w:val="24"/>
                <w:vertAlign w:val="superscript"/>
              </w:rPr>
              <w:t>1</w:t>
            </w:r>
          </w:p>
        </w:tc>
        <w:tc>
          <w:tcPr>
            <w:tcW w:w="1027"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1.572</w:t>
            </w:r>
          </w:p>
        </w:tc>
        <w:tc>
          <w:tcPr>
            <w:tcW w:w="1027"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1.064</w:t>
            </w:r>
          </w:p>
        </w:tc>
        <w:tc>
          <w:tcPr>
            <w:tcW w:w="1339" w:type="dxa"/>
            <w:tcBorders>
              <w:top w:val="nil"/>
              <w:left w:val="nil"/>
              <w:bottom w:val="nil"/>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2.324</w:t>
            </w:r>
          </w:p>
        </w:tc>
      </w:tr>
      <w:tr w:rsidR="00343223">
        <w:tblPrEx>
          <w:shd w:val="clear" w:color="auto" w:fill="D0DDEF"/>
        </w:tblPrEx>
        <w:trPr>
          <w:trHeight w:val="417"/>
        </w:trPr>
        <w:tc>
          <w:tcPr>
            <w:tcW w:w="2563"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1A"/>
              <w:spacing w:line="360" w:lineRule="auto"/>
              <w:jc w:val="both"/>
            </w:pPr>
            <w:r>
              <w:rPr>
                <w:rStyle w:val="OhneA"/>
                <w:rFonts w:ascii="Book Antiqua" w:hAnsi="Book Antiqua"/>
                <w:sz w:val="24"/>
                <w:szCs w:val="24"/>
              </w:rPr>
              <w:t>Hypothyroidism</w:t>
            </w:r>
          </w:p>
        </w:tc>
        <w:tc>
          <w:tcPr>
            <w:tcW w:w="1028"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1.083</w:t>
            </w:r>
          </w:p>
        </w:tc>
        <w:tc>
          <w:tcPr>
            <w:tcW w:w="1027"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22.514</w:t>
            </w:r>
          </w:p>
        </w:tc>
        <w:tc>
          <w:tcPr>
            <w:tcW w:w="1027"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0.000</w:t>
            </w:r>
            <w:r>
              <w:rPr>
                <w:rStyle w:val="Ohne"/>
                <w:rFonts w:ascii="Book Antiqua" w:hAnsi="Book Antiqua"/>
                <w:sz w:val="24"/>
                <w:szCs w:val="24"/>
                <w:vertAlign w:val="superscript"/>
              </w:rPr>
              <w:t>1</w:t>
            </w:r>
          </w:p>
        </w:tc>
        <w:tc>
          <w:tcPr>
            <w:tcW w:w="1027"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2.953</w:t>
            </w:r>
          </w:p>
        </w:tc>
        <w:tc>
          <w:tcPr>
            <w:tcW w:w="1027"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1.888</w:t>
            </w:r>
          </w:p>
        </w:tc>
        <w:tc>
          <w:tcPr>
            <w:tcW w:w="1339"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343223" w:rsidRDefault="00C30E23">
            <w:pPr>
              <w:pStyle w:val="Tabellenstil2A"/>
              <w:spacing w:line="360" w:lineRule="auto"/>
              <w:jc w:val="both"/>
            </w:pPr>
            <w:r>
              <w:rPr>
                <w:rStyle w:val="OhneA"/>
                <w:rFonts w:ascii="Book Antiqua" w:hAnsi="Book Antiqua"/>
                <w:sz w:val="24"/>
                <w:szCs w:val="24"/>
              </w:rPr>
              <w:t>4.620</w:t>
            </w:r>
          </w:p>
        </w:tc>
      </w:tr>
    </w:tbl>
    <w:p w:rsidR="00343223" w:rsidRDefault="00C30E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Style w:val="Ohne"/>
          <w:rFonts w:ascii="Book Antiqua" w:eastAsia="Book Antiqua" w:hAnsi="Book Antiqua" w:cs="Book Antiqua"/>
          <w:sz w:val="24"/>
          <w:szCs w:val="24"/>
        </w:rPr>
      </w:pPr>
      <w:r>
        <w:rPr>
          <w:rStyle w:val="Ohne"/>
          <w:rFonts w:ascii="Book Antiqua" w:hAnsi="Book Antiqua"/>
          <w:sz w:val="24"/>
          <w:szCs w:val="24"/>
          <w:vertAlign w:val="superscript"/>
        </w:rPr>
        <w:t>1</w:t>
      </w:r>
      <w:r>
        <w:rPr>
          <w:rStyle w:val="Ohne"/>
          <w:rFonts w:ascii="Book Antiqua" w:hAnsi="Book Antiqua"/>
          <w:sz w:val="24"/>
          <w:szCs w:val="24"/>
        </w:rPr>
        <w:t xml:space="preserve">Regression analysis for </w:t>
      </w:r>
      <w:proofErr w:type="spellStart"/>
      <w:r>
        <w:rPr>
          <w:rStyle w:val="Ohne"/>
          <w:rFonts w:ascii="Book Antiqua" w:hAnsi="Book Antiqua"/>
          <w:sz w:val="24"/>
          <w:szCs w:val="24"/>
        </w:rPr>
        <w:t>categorised</w:t>
      </w:r>
      <w:proofErr w:type="spellEnd"/>
      <w:r>
        <w:rPr>
          <w:rStyle w:val="Ohne"/>
          <w:rFonts w:ascii="Book Antiqua" w:hAnsi="Book Antiqua"/>
          <w:sz w:val="24"/>
          <w:szCs w:val="24"/>
        </w:rPr>
        <w:t xml:space="preserve"> variables: CI: Confidence Interval. </w:t>
      </w:r>
      <w:proofErr w:type="spellStart"/>
      <w:r>
        <w:rPr>
          <w:rStyle w:val="Ohne"/>
          <w:rFonts w:ascii="Book Antiqua" w:hAnsi="Book Antiqua"/>
          <w:sz w:val="24"/>
          <w:szCs w:val="24"/>
        </w:rPr>
        <w:t>Exp</w:t>
      </w:r>
      <w:proofErr w:type="spellEnd"/>
      <w:r>
        <w:rPr>
          <w:rStyle w:val="Ohne"/>
          <w:rFonts w:ascii="Book Antiqua" w:hAnsi="Book Antiqua"/>
          <w:sz w:val="24"/>
          <w:szCs w:val="24"/>
        </w:rPr>
        <w:t xml:space="preserve"> (B): Exponent B. </w:t>
      </w:r>
      <w:r>
        <w:rPr>
          <w:rStyle w:val="Ohne"/>
          <w:rFonts w:ascii="Book Antiqua" w:hAnsi="Book Antiqua"/>
          <w:sz w:val="24"/>
          <w:szCs w:val="24"/>
          <w:vertAlign w:val="superscript"/>
        </w:rPr>
        <w:t>1</w:t>
      </w:r>
      <w:r>
        <w:rPr>
          <w:rStyle w:val="Ohne"/>
          <w:rFonts w:ascii="Book Antiqua" w:hAnsi="Book Antiqua"/>
          <w:sz w:val="24"/>
          <w:szCs w:val="24"/>
        </w:rPr>
        <w:t xml:space="preserve">Statistically significant with </w:t>
      </w:r>
      <w:r>
        <w:rPr>
          <w:rStyle w:val="Ohne"/>
          <w:rFonts w:ascii="Book Antiqua" w:hAnsi="Book Antiqua"/>
          <w:i/>
          <w:iCs/>
          <w:sz w:val="24"/>
          <w:szCs w:val="24"/>
        </w:rPr>
        <w:t>P</w:t>
      </w:r>
      <w:r>
        <w:rPr>
          <w:rStyle w:val="Ohne"/>
          <w:rFonts w:ascii="Book Antiqua" w:hAnsi="Book Antiqua"/>
          <w:sz w:val="24"/>
          <w:szCs w:val="24"/>
        </w:rPr>
        <w:t xml:space="preserve"> value &lt; 0.05 in binary logistic regression. A simplified model, which included a leading factor of each pathophysiological pathway, revealed that, in ascending order, impaired immune response, impaired intestinal clearance and hypothyroidism are the key pathways for the development of SIBO.</w:t>
      </w:r>
    </w:p>
    <w:p w:rsidR="00343223" w:rsidRDefault="00343223">
      <w:pPr>
        <w:pStyle w:val="a5"/>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left="0"/>
        <w:jc w:val="both"/>
        <w:rPr>
          <w:rFonts w:ascii="Book Antiqua" w:eastAsia="Book Antiqua" w:hAnsi="Book Antiqua" w:cs="Book Antiqua"/>
          <w:b/>
          <w:bCs/>
          <w:sz w:val="24"/>
          <w:szCs w:val="24"/>
        </w:rPr>
      </w:pPr>
    </w:p>
    <w:p w:rsidR="00343223" w:rsidRDefault="00343223">
      <w:pPr>
        <w:pStyle w:val="TextA"/>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jc w:val="both"/>
        <w:rPr>
          <w:rFonts w:ascii="Book Antiqua" w:eastAsia="Book Antiqua" w:hAnsi="Book Antiqua" w:cs="Book Antiqua"/>
          <w:sz w:val="24"/>
          <w:szCs w:val="24"/>
        </w:rPr>
      </w:pPr>
    </w:p>
    <w:p w:rsidR="00343223" w:rsidRDefault="00C30E23">
      <w:pPr>
        <w:pStyle w:val="TableTitle"/>
        <w:spacing w:line="360" w:lineRule="auto"/>
        <w:jc w:val="both"/>
      </w:pPr>
      <w:r>
        <w:rPr>
          <w:rStyle w:val="Ohne"/>
          <w:rFonts w:ascii="Arial Unicode MS" w:eastAsia="Arial Unicode MS" w:hAnsi="Arial Unicode MS" w:cs="Arial Unicode MS"/>
        </w:rPr>
        <w:br w:type="page"/>
      </w:r>
    </w:p>
    <w:p w:rsidR="00343223" w:rsidRDefault="00C30E23">
      <w:pPr>
        <w:pStyle w:val="TableTitle"/>
        <w:spacing w:line="360" w:lineRule="auto"/>
        <w:jc w:val="both"/>
        <w:rPr>
          <w:rStyle w:val="Ohne"/>
          <w:rFonts w:ascii="Book Antiqua" w:eastAsia="Book Antiqua" w:hAnsi="Book Antiqua" w:cs="Book Antiqua"/>
          <w:b/>
          <w:bCs/>
        </w:rPr>
      </w:pPr>
      <w:r>
        <w:rPr>
          <w:rStyle w:val="Ohne"/>
          <w:rFonts w:ascii="Book Antiqua" w:eastAsia="Book Antiqua" w:hAnsi="Book Antiqua" w:cs="Book Antiqua"/>
          <w:b/>
          <w:bCs/>
          <w:noProof/>
        </w:rPr>
        <w:lastRenderedPageBreak/>
        <w:drawing>
          <wp:anchor distT="152400" distB="152400" distL="152400" distR="152400" simplePos="0" relativeHeight="251659264" behindDoc="0" locked="0" layoutInCell="1" allowOverlap="1">
            <wp:simplePos x="0" y="0"/>
            <wp:positionH relativeFrom="page">
              <wp:posOffset>908050</wp:posOffset>
            </wp:positionH>
            <wp:positionV relativeFrom="line">
              <wp:posOffset>180337</wp:posOffset>
            </wp:positionV>
            <wp:extent cx="5742305" cy="430672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5742305" cy="4306729"/>
                    </a:xfrm>
                    <a:prstGeom prst="rect">
                      <a:avLst/>
                    </a:prstGeom>
                    <a:ln w="12700" cap="flat">
                      <a:noFill/>
                      <a:miter lim="400000"/>
                    </a:ln>
                    <a:effectLst/>
                  </pic:spPr>
                </pic:pic>
              </a:graphicData>
            </a:graphic>
          </wp:anchor>
        </w:drawing>
      </w:r>
    </w:p>
    <w:p w:rsidR="00343223" w:rsidRDefault="00C30E23">
      <w:pPr>
        <w:pStyle w:val="a5"/>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s>
        <w:spacing w:after="0" w:line="360" w:lineRule="auto"/>
        <w:ind w:left="0"/>
        <w:jc w:val="both"/>
      </w:pPr>
      <w:r>
        <w:rPr>
          <w:rStyle w:val="Ohne"/>
          <w:rFonts w:ascii="Book Antiqua" w:hAnsi="Book Antiqua"/>
          <w:b/>
          <w:bCs/>
          <w:sz w:val="24"/>
          <w:szCs w:val="24"/>
        </w:rPr>
        <w:t xml:space="preserve">Figure 1 Study flow chart. </w:t>
      </w:r>
      <w:r>
        <w:rPr>
          <w:rStyle w:val="Ohne"/>
          <w:rFonts w:ascii="Book Antiqua" w:hAnsi="Book Antiqua"/>
          <w:sz w:val="24"/>
          <w:szCs w:val="24"/>
        </w:rPr>
        <w:t>A total of</w:t>
      </w:r>
      <w:r>
        <w:rPr>
          <w:rStyle w:val="Ohne"/>
          <w:rFonts w:ascii="Book Antiqua" w:hAnsi="Book Antiqua"/>
          <w:b/>
          <w:bCs/>
          <w:sz w:val="24"/>
          <w:szCs w:val="24"/>
        </w:rPr>
        <w:t xml:space="preserve"> </w:t>
      </w:r>
      <w:r>
        <w:rPr>
          <w:rStyle w:val="Ohne"/>
          <w:rFonts w:ascii="Book Antiqua" w:hAnsi="Book Antiqua"/>
          <w:sz w:val="24"/>
          <w:szCs w:val="24"/>
        </w:rPr>
        <w:t xml:space="preserve">3715 hydrogen breath examinations </w:t>
      </w:r>
      <w:proofErr w:type="gramStart"/>
      <w:r>
        <w:rPr>
          <w:rStyle w:val="Ohne"/>
          <w:rFonts w:ascii="Book Antiqua" w:hAnsi="Book Antiqua"/>
          <w:sz w:val="24"/>
          <w:szCs w:val="24"/>
        </w:rPr>
        <w:t>was</w:t>
      </w:r>
      <w:proofErr w:type="gramEnd"/>
      <w:r>
        <w:rPr>
          <w:rStyle w:val="Ohne"/>
          <w:rFonts w:ascii="Book Antiqua" w:hAnsi="Book Antiqua"/>
          <w:sz w:val="24"/>
          <w:szCs w:val="24"/>
        </w:rPr>
        <w:t xml:space="preserve"> eligible; 1586 were excluded due to missing or insufficient clinical data. From the remaining 2129 records, 320 were excluded because of multiple breath tests in the same subject, so that a summary total of 1809 patients were included in our study. 175 (9.7%) showed SIBO in terms, while 1634 did not (90.3%).</w:t>
      </w:r>
    </w:p>
    <w:sectPr w:rsidR="00343223">
      <w:headerReference w:type="default" r:id="rId9"/>
      <w:pgSz w:w="11900" w:h="16840"/>
      <w:pgMar w:top="1440" w:right="1417" w:bottom="1134"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43" w:rsidRDefault="00226543">
      <w:r>
        <w:separator/>
      </w:r>
    </w:p>
  </w:endnote>
  <w:endnote w:type="continuationSeparator" w:id="0">
    <w:p w:rsidR="00226543" w:rsidRDefault="002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43" w:rsidRDefault="00226543">
      <w:r>
        <w:separator/>
      </w:r>
    </w:p>
  </w:footnote>
  <w:footnote w:type="continuationSeparator" w:id="0">
    <w:p w:rsidR="00226543" w:rsidRDefault="00226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23" w:rsidRDefault="00C30E23">
    <w:pPr>
      <w:pStyle w:val="a4"/>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3"/>
        <w:tab w:val="right" w:pos="9023"/>
      </w:tabs>
      <w:jc w:val="right"/>
    </w:pPr>
    <w:r>
      <w:fldChar w:fldCharType="begin"/>
    </w:r>
    <w:r>
      <w:instrText xml:space="preserve"> PAGE </w:instrText>
    </w:r>
    <w:r>
      <w:fldChar w:fldCharType="separate"/>
    </w:r>
    <w:r w:rsidR="001C369B">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43223"/>
    <w:rsid w:val="00022F41"/>
    <w:rsid w:val="000B6ECF"/>
    <w:rsid w:val="000C505C"/>
    <w:rsid w:val="001C369B"/>
    <w:rsid w:val="00226543"/>
    <w:rsid w:val="00343223"/>
    <w:rsid w:val="00934473"/>
    <w:rsid w:val="00B25FF6"/>
    <w:rsid w:val="00B33045"/>
    <w:rsid w:val="00B726AC"/>
    <w:rsid w:val="00C3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tabs>
        <w:tab w:val="center" w:pos="4536"/>
        <w:tab w:val="right" w:pos="9072"/>
      </w:tabs>
      <w:suppressAutoHyphen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after="200" w:line="276" w:lineRule="auto"/>
    </w:pPr>
    <w:rPr>
      <w:rFonts w:ascii="Calibri" w:hAnsi="Calibri" w:cs="Arial Unicode MS"/>
      <w:color w:val="000000"/>
      <w:sz w:val="22"/>
      <w:szCs w:val="22"/>
      <w:u w:color="000000"/>
    </w:rPr>
  </w:style>
  <w:style w:type="paragraph" w:customStyle="1" w:styleId="Standa">
    <w:name w:val="Standa"/>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Book Antiqua" w:eastAsia="Book Antiqua" w:hAnsi="Book Antiqua" w:cs="Book Antiqua"/>
      <w:color w:val="000000"/>
      <w:sz w:val="24"/>
      <w:szCs w:val="24"/>
      <w:u w:val="none" w:color="000000"/>
    </w:rPr>
  </w:style>
  <w:style w:type="paragraph" w:customStyle="1" w:styleId="berschriftA">
    <w:name w:val="Überschrift A"/>
    <w:pPr>
      <w:spacing w:before="100" w:after="100"/>
      <w:outlineLvl w:val="0"/>
    </w:pPr>
    <w:rPr>
      <w:rFonts w:eastAsia="Times New Roman"/>
      <w:b/>
      <w:bCs/>
      <w:color w:val="000000"/>
      <w:kern w:val="36"/>
      <w:sz w:val="48"/>
      <w:szCs w:val="48"/>
      <w:u w:color="000000"/>
    </w:rPr>
  </w:style>
  <w:style w:type="paragraph" w:customStyle="1" w:styleId="Default">
    <w:name w:val="Default"/>
    <w:rPr>
      <w:rFonts w:cs="Arial Unicode MS"/>
      <w:color w:val="000000"/>
      <w:sz w:val="24"/>
      <w:szCs w:val="24"/>
      <w:u w:color="000000"/>
      <w:lang w:val="de-DE"/>
    </w:rPr>
  </w:style>
  <w:style w:type="paragraph" w:styleId="a5">
    <w:name w:val="List Paragraph"/>
    <w:pPr>
      <w:spacing w:after="200" w:line="276" w:lineRule="auto"/>
      <w:ind w:left="720"/>
    </w:pPr>
    <w:rPr>
      <w:rFonts w:ascii="Calibri" w:hAnsi="Calibri" w:cs="Arial Unicode MS"/>
      <w:color w:val="000000"/>
      <w:sz w:val="22"/>
      <w:szCs w:val="22"/>
      <w:u w:color="000000"/>
    </w:rPr>
  </w:style>
  <w:style w:type="paragraph" w:customStyle="1" w:styleId="Tabellenstil1A">
    <w:name w:val="Tabellenstil 1 A"/>
    <w:rPr>
      <w:rFonts w:ascii="Calibri" w:hAnsi="Calibri" w:cs="Arial Unicode MS"/>
      <w:color w:val="000000"/>
      <w:sz w:val="22"/>
      <w:szCs w:val="22"/>
      <w:u w:color="000000"/>
    </w:rPr>
  </w:style>
  <w:style w:type="character" w:customStyle="1" w:styleId="OhneA">
    <w:name w:val="Ohne A"/>
    <w:rPr>
      <w:lang w:val="en-US"/>
    </w:rPr>
  </w:style>
  <w:style w:type="paragraph" w:customStyle="1" w:styleId="Tabellenstil2A">
    <w:name w:val="Tabellenstil 2 A"/>
    <w:rPr>
      <w:rFonts w:ascii="Calibri" w:hAnsi="Calibri" w:cs="Arial Unicode MS"/>
      <w:color w:val="000000"/>
      <w:sz w:val="22"/>
      <w:szCs w:val="22"/>
      <w:u w:color="000000"/>
    </w:rPr>
  </w:style>
  <w:style w:type="paragraph" w:customStyle="1" w:styleId="TableTitle">
    <w:name w:val="TableTitle"/>
    <w:pPr>
      <w:spacing w:line="300" w:lineRule="exact"/>
    </w:pPr>
    <w:rPr>
      <w:rFonts w:eastAsia="Times New Roman"/>
      <w:color w:val="000000"/>
      <w:sz w:val="24"/>
      <w:szCs w:val="24"/>
      <w:u w:color="000000"/>
    </w:rPr>
  </w:style>
  <w:style w:type="paragraph" w:styleId="a6">
    <w:name w:val="footer"/>
    <w:basedOn w:val="a"/>
    <w:link w:val="Char"/>
    <w:uiPriority w:val="99"/>
    <w:unhideWhenUsed/>
    <w:rsid w:val="00B25FF6"/>
    <w:pPr>
      <w:tabs>
        <w:tab w:val="center" w:pos="4153"/>
        <w:tab w:val="right" w:pos="8306"/>
      </w:tabs>
      <w:snapToGrid w:val="0"/>
    </w:pPr>
    <w:rPr>
      <w:sz w:val="18"/>
      <w:szCs w:val="18"/>
    </w:rPr>
  </w:style>
  <w:style w:type="character" w:customStyle="1" w:styleId="Char">
    <w:name w:val="页脚 Char"/>
    <w:basedOn w:val="a0"/>
    <w:link w:val="a6"/>
    <w:uiPriority w:val="99"/>
    <w:rsid w:val="00B25FF6"/>
    <w:rPr>
      <w:rFonts w:cs="Arial Unicode MS"/>
      <w:color w:val="000000"/>
      <w:sz w:val="18"/>
      <w:szCs w:val="18"/>
      <w:u w:color="000000"/>
    </w:rPr>
  </w:style>
  <w:style w:type="character" w:styleId="a7">
    <w:name w:val="Emphasis"/>
    <w:qFormat/>
    <w:rsid w:val="00B726A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tabs>
        <w:tab w:val="center" w:pos="4536"/>
        <w:tab w:val="right" w:pos="9072"/>
      </w:tabs>
      <w:suppressAutoHyphen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after="200" w:line="276" w:lineRule="auto"/>
    </w:pPr>
    <w:rPr>
      <w:rFonts w:ascii="Calibri" w:hAnsi="Calibri" w:cs="Arial Unicode MS"/>
      <w:color w:val="000000"/>
      <w:sz w:val="22"/>
      <w:szCs w:val="22"/>
      <w:u w:color="000000"/>
    </w:rPr>
  </w:style>
  <w:style w:type="paragraph" w:customStyle="1" w:styleId="Standa">
    <w:name w:val="Standa"/>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Book Antiqua" w:eastAsia="Book Antiqua" w:hAnsi="Book Antiqua" w:cs="Book Antiqua"/>
      <w:color w:val="000000"/>
      <w:sz w:val="24"/>
      <w:szCs w:val="24"/>
      <w:u w:val="none" w:color="000000"/>
    </w:rPr>
  </w:style>
  <w:style w:type="paragraph" w:customStyle="1" w:styleId="berschriftA">
    <w:name w:val="Überschrift A"/>
    <w:pPr>
      <w:spacing w:before="100" w:after="100"/>
      <w:outlineLvl w:val="0"/>
    </w:pPr>
    <w:rPr>
      <w:rFonts w:eastAsia="Times New Roman"/>
      <w:b/>
      <w:bCs/>
      <w:color w:val="000000"/>
      <w:kern w:val="36"/>
      <w:sz w:val="48"/>
      <w:szCs w:val="48"/>
      <w:u w:color="000000"/>
    </w:rPr>
  </w:style>
  <w:style w:type="paragraph" w:customStyle="1" w:styleId="Default">
    <w:name w:val="Default"/>
    <w:rPr>
      <w:rFonts w:cs="Arial Unicode MS"/>
      <w:color w:val="000000"/>
      <w:sz w:val="24"/>
      <w:szCs w:val="24"/>
      <w:u w:color="000000"/>
      <w:lang w:val="de-DE"/>
    </w:rPr>
  </w:style>
  <w:style w:type="paragraph" w:styleId="a5">
    <w:name w:val="List Paragraph"/>
    <w:pPr>
      <w:spacing w:after="200" w:line="276" w:lineRule="auto"/>
      <w:ind w:left="720"/>
    </w:pPr>
    <w:rPr>
      <w:rFonts w:ascii="Calibri" w:hAnsi="Calibri" w:cs="Arial Unicode MS"/>
      <w:color w:val="000000"/>
      <w:sz w:val="22"/>
      <w:szCs w:val="22"/>
      <w:u w:color="000000"/>
    </w:rPr>
  </w:style>
  <w:style w:type="paragraph" w:customStyle="1" w:styleId="Tabellenstil1A">
    <w:name w:val="Tabellenstil 1 A"/>
    <w:rPr>
      <w:rFonts w:ascii="Calibri" w:hAnsi="Calibri" w:cs="Arial Unicode MS"/>
      <w:color w:val="000000"/>
      <w:sz w:val="22"/>
      <w:szCs w:val="22"/>
      <w:u w:color="000000"/>
    </w:rPr>
  </w:style>
  <w:style w:type="character" w:customStyle="1" w:styleId="OhneA">
    <w:name w:val="Ohne A"/>
    <w:rPr>
      <w:lang w:val="en-US"/>
    </w:rPr>
  </w:style>
  <w:style w:type="paragraph" w:customStyle="1" w:styleId="Tabellenstil2A">
    <w:name w:val="Tabellenstil 2 A"/>
    <w:rPr>
      <w:rFonts w:ascii="Calibri" w:hAnsi="Calibri" w:cs="Arial Unicode MS"/>
      <w:color w:val="000000"/>
      <w:sz w:val="22"/>
      <w:szCs w:val="22"/>
      <w:u w:color="000000"/>
    </w:rPr>
  </w:style>
  <w:style w:type="paragraph" w:customStyle="1" w:styleId="TableTitle">
    <w:name w:val="TableTitle"/>
    <w:pPr>
      <w:spacing w:line="300" w:lineRule="exact"/>
    </w:pPr>
    <w:rPr>
      <w:rFonts w:eastAsia="Times New Roman"/>
      <w:color w:val="000000"/>
      <w:sz w:val="24"/>
      <w:szCs w:val="24"/>
      <w:u w:color="000000"/>
    </w:rPr>
  </w:style>
  <w:style w:type="paragraph" w:styleId="a6">
    <w:name w:val="footer"/>
    <w:basedOn w:val="a"/>
    <w:link w:val="Char"/>
    <w:uiPriority w:val="99"/>
    <w:unhideWhenUsed/>
    <w:rsid w:val="00B25FF6"/>
    <w:pPr>
      <w:tabs>
        <w:tab w:val="center" w:pos="4153"/>
        <w:tab w:val="right" w:pos="8306"/>
      </w:tabs>
      <w:snapToGrid w:val="0"/>
    </w:pPr>
    <w:rPr>
      <w:sz w:val="18"/>
      <w:szCs w:val="18"/>
    </w:rPr>
  </w:style>
  <w:style w:type="character" w:customStyle="1" w:styleId="Char">
    <w:name w:val="页脚 Char"/>
    <w:basedOn w:val="a0"/>
    <w:link w:val="a6"/>
    <w:uiPriority w:val="99"/>
    <w:rsid w:val="00B25FF6"/>
    <w:rPr>
      <w:rFonts w:cs="Arial Unicode MS"/>
      <w:color w:val="000000"/>
      <w:sz w:val="18"/>
      <w:szCs w:val="18"/>
      <w:u w:color="000000"/>
    </w:rPr>
  </w:style>
  <w:style w:type="character" w:styleId="a7">
    <w:name w:val="Emphasis"/>
    <w:qFormat/>
    <w:rsid w:val="00B726A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horsten.brechmann@ru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7452</Words>
  <Characters>42479</Characters>
  <Application>Microsoft Office Word</Application>
  <DocSecurity>0</DocSecurity>
  <Lines>353</Lines>
  <Paragraphs>99</Paragraphs>
  <ScaleCrop>false</ScaleCrop>
  <Company>Hewlett-Packard Company</Company>
  <LinksUpToDate>false</LinksUpToDate>
  <CharactersWithSpaces>49832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qiyuan</cp:lastModifiedBy>
  <cp:revision>3</cp:revision>
  <dcterms:created xsi:type="dcterms:W3CDTF">2016-11-16T01:06:00Z</dcterms:created>
  <dcterms:modified xsi:type="dcterms:W3CDTF">2016-11-16T02:59:00Z</dcterms:modified>
</cp:coreProperties>
</file>