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8CE" w:rsidRPr="0046748A" w:rsidRDefault="007F78CE" w:rsidP="00E33DF3">
      <w:pPr>
        <w:spacing w:line="480" w:lineRule="auto"/>
        <w:rPr>
          <w:rFonts w:ascii="Book Antiqua" w:eastAsia="Times New Roman" w:hAnsi="Book Antiqua"/>
          <w:b/>
          <w:sz w:val="24"/>
        </w:rPr>
      </w:pPr>
      <w:r w:rsidRPr="0046748A">
        <w:rPr>
          <w:rFonts w:ascii="Book Antiqua" w:eastAsia="Arial" w:hAnsi="Book Antiqua"/>
          <w:b/>
          <w:bCs/>
          <w:color w:val="222222"/>
          <w:sz w:val="24"/>
        </w:rPr>
        <w:t>Name of Journal</w:t>
      </w:r>
      <w:r w:rsidRPr="0046748A">
        <w:rPr>
          <w:rFonts w:ascii="Book Antiqua" w:eastAsia="Arial" w:hAnsi="Book Antiqua"/>
          <w:b/>
          <w:color w:val="222222"/>
          <w:sz w:val="24"/>
        </w:rPr>
        <w:t xml:space="preserve">: </w:t>
      </w:r>
      <w:r w:rsidRPr="0046748A">
        <w:rPr>
          <w:rFonts w:ascii="Book Antiqua" w:eastAsia="Arial" w:hAnsi="Book Antiqua"/>
          <w:b/>
          <w:i/>
          <w:color w:val="222222"/>
          <w:sz w:val="24"/>
        </w:rPr>
        <w:t>World Journal of Gastroenterology</w:t>
      </w:r>
    </w:p>
    <w:p w:rsidR="007F78CE" w:rsidRPr="0046748A" w:rsidRDefault="007F78CE" w:rsidP="00E33DF3">
      <w:pPr>
        <w:spacing w:line="480" w:lineRule="auto"/>
        <w:rPr>
          <w:rFonts w:ascii="Book Antiqua" w:hAnsi="Book Antiqua"/>
          <w:b/>
          <w:color w:val="222222"/>
          <w:sz w:val="24"/>
        </w:rPr>
      </w:pPr>
      <w:r w:rsidRPr="0046748A">
        <w:rPr>
          <w:rFonts w:ascii="Book Antiqua" w:eastAsia="Arial" w:hAnsi="Book Antiqua"/>
          <w:b/>
          <w:bCs/>
          <w:color w:val="222222"/>
          <w:sz w:val="24"/>
        </w:rPr>
        <w:t>ESPS Manuscript NO:</w:t>
      </w:r>
      <w:r w:rsidRPr="0046748A">
        <w:rPr>
          <w:rFonts w:ascii="Book Antiqua" w:eastAsia="Arial" w:hAnsi="Book Antiqua"/>
          <w:b/>
          <w:color w:val="222222"/>
          <w:sz w:val="24"/>
        </w:rPr>
        <w:t xml:space="preserve"> </w:t>
      </w:r>
      <w:r w:rsidRPr="0046748A">
        <w:rPr>
          <w:rFonts w:ascii="Book Antiqua" w:hAnsi="Book Antiqua"/>
          <w:b/>
          <w:color w:val="222222"/>
          <w:sz w:val="24"/>
        </w:rPr>
        <w:t>30234</w:t>
      </w:r>
    </w:p>
    <w:p w:rsidR="007F78CE" w:rsidRPr="0046748A" w:rsidRDefault="007F78CE" w:rsidP="00E33DF3">
      <w:pPr>
        <w:spacing w:line="480" w:lineRule="auto"/>
        <w:rPr>
          <w:rFonts w:ascii="Book Antiqua" w:hAnsi="Book Antiqua"/>
          <w:b/>
          <w:sz w:val="24"/>
        </w:rPr>
      </w:pPr>
      <w:r w:rsidRPr="0046748A">
        <w:rPr>
          <w:rFonts w:ascii="Book Antiqua" w:eastAsia="Arial" w:hAnsi="Book Antiqua"/>
          <w:b/>
          <w:bCs/>
          <w:sz w:val="24"/>
        </w:rPr>
        <w:t>Manuscript Type:</w:t>
      </w:r>
      <w:r w:rsidR="00051661" w:rsidRPr="0046748A">
        <w:rPr>
          <w:rFonts w:ascii="Book Antiqua" w:eastAsia="Arial" w:hAnsi="Book Antiqua"/>
          <w:b/>
          <w:sz w:val="24"/>
        </w:rPr>
        <w:t xml:space="preserve"> </w:t>
      </w:r>
      <w:r w:rsidR="00051661" w:rsidRPr="0046748A">
        <w:rPr>
          <w:rFonts w:ascii="Book Antiqua" w:hAnsi="Book Antiqua"/>
          <w:b/>
          <w:sz w:val="24"/>
        </w:rPr>
        <w:t>ORIGINAL ARTICLE</w:t>
      </w:r>
    </w:p>
    <w:p w:rsidR="0046748A" w:rsidRPr="0046748A" w:rsidRDefault="0046748A" w:rsidP="00E33DF3">
      <w:pPr>
        <w:spacing w:line="480" w:lineRule="auto"/>
        <w:rPr>
          <w:rFonts w:ascii="Book Antiqua" w:hAnsi="Book Antiqua"/>
          <w:b/>
          <w:sz w:val="24"/>
        </w:rPr>
      </w:pPr>
    </w:p>
    <w:p w:rsidR="007F78CE" w:rsidRPr="00DB4CA6" w:rsidRDefault="007F78CE" w:rsidP="00E33DF3">
      <w:pPr>
        <w:spacing w:line="480" w:lineRule="auto"/>
        <w:rPr>
          <w:rFonts w:ascii="Book Antiqua" w:eastAsiaTheme="minorEastAsia" w:hAnsi="Book Antiqua"/>
          <w:b/>
          <w:i/>
          <w:sz w:val="24"/>
        </w:rPr>
      </w:pPr>
      <w:r w:rsidRPr="00E33DF3">
        <w:rPr>
          <w:rFonts w:ascii="Book Antiqua" w:eastAsia="Arial" w:hAnsi="Book Antiqua"/>
          <w:b/>
          <w:i/>
          <w:sz w:val="24"/>
        </w:rPr>
        <w:t>Retrospective Study</w:t>
      </w:r>
    </w:p>
    <w:p w:rsidR="007F78CE" w:rsidRPr="0046748A" w:rsidRDefault="007F78CE" w:rsidP="00E33DF3">
      <w:pPr>
        <w:pStyle w:val="Title"/>
        <w:spacing w:before="0" w:after="0" w:line="480" w:lineRule="auto"/>
        <w:jc w:val="both"/>
        <w:outlineLvl w:val="9"/>
        <w:rPr>
          <w:rStyle w:val="Char2"/>
          <w:rFonts w:ascii="Book Antiqua" w:hAnsi="Book Antiqua"/>
          <w:color w:val="000000"/>
          <w:sz w:val="24"/>
        </w:rPr>
      </w:pPr>
      <w:r w:rsidRPr="0046748A">
        <w:rPr>
          <w:rFonts w:ascii="Book Antiqua" w:hAnsi="Book Antiqua"/>
          <w:sz w:val="24"/>
          <w:szCs w:val="24"/>
        </w:rPr>
        <w:t>Proteomic profiling of fetal esophageal epithelium, esophageal cancer, and tumor-adjacent esophageal epithelium and immunohistochemical characterization of a representative differential protein, PRX6</w:t>
      </w:r>
    </w:p>
    <w:p w:rsidR="007F78CE" w:rsidRPr="0046748A" w:rsidRDefault="007F78CE" w:rsidP="00E33DF3">
      <w:pPr>
        <w:spacing w:line="480" w:lineRule="auto"/>
        <w:rPr>
          <w:rFonts w:eastAsia="Times New Roman"/>
          <w:sz w:val="24"/>
        </w:rPr>
      </w:pPr>
    </w:p>
    <w:p w:rsidR="007F78CE" w:rsidRPr="0046748A" w:rsidRDefault="007F78CE" w:rsidP="00E33DF3">
      <w:pPr>
        <w:pStyle w:val="Title"/>
        <w:spacing w:before="0" w:after="0" w:line="480" w:lineRule="auto"/>
        <w:jc w:val="both"/>
        <w:outlineLvl w:val="9"/>
        <w:rPr>
          <w:rStyle w:val="Char2"/>
          <w:rFonts w:ascii="Book Antiqua" w:hAnsi="Book Antiqua"/>
          <w:color w:val="000000"/>
          <w:sz w:val="24"/>
        </w:rPr>
      </w:pPr>
      <w:r w:rsidRPr="0046748A">
        <w:rPr>
          <w:rFonts w:ascii="Book Antiqua" w:hAnsi="Book Antiqua"/>
          <w:b w:val="0"/>
          <w:bCs w:val="0"/>
          <w:sz w:val="24"/>
          <w:szCs w:val="24"/>
        </w:rPr>
        <w:t>Jun-Hui Guo</w:t>
      </w:r>
      <w:r w:rsidRPr="0046748A">
        <w:rPr>
          <w:rFonts w:ascii="Book Antiqua" w:eastAsia="Arial" w:hAnsi="Book Antiqua"/>
          <w:b w:val="0"/>
          <w:bCs w:val="0"/>
          <w:sz w:val="24"/>
          <w:szCs w:val="24"/>
        </w:rPr>
        <w:t xml:space="preserve"> </w:t>
      </w:r>
      <w:r w:rsidRPr="0046748A">
        <w:rPr>
          <w:rFonts w:ascii="Book Antiqua" w:eastAsia="Arial" w:hAnsi="Book Antiqua"/>
          <w:b w:val="0"/>
          <w:bCs w:val="0"/>
          <w:i/>
          <w:sz w:val="24"/>
          <w:szCs w:val="24"/>
        </w:rPr>
        <w:t>et al.</w:t>
      </w:r>
      <w:r w:rsidRPr="0046748A">
        <w:rPr>
          <w:rFonts w:ascii="Book Antiqua" w:eastAsia="Arial" w:hAnsi="Book Antiqua"/>
          <w:b w:val="0"/>
          <w:bCs w:val="0"/>
          <w:sz w:val="24"/>
          <w:szCs w:val="24"/>
        </w:rPr>
        <w:t xml:space="preserve"> </w:t>
      </w:r>
      <w:r w:rsidRPr="0046748A">
        <w:rPr>
          <w:rFonts w:ascii="Book Antiqua" w:hAnsi="Book Antiqua"/>
          <w:b w:val="0"/>
          <w:bCs w:val="0"/>
          <w:sz w:val="24"/>
          <w:szCs w:val="24"/>
        </w:rPr>
        <w:t xml:space="preserve">Proteomic profiling of </w:t>
      </w:r>
      <w:r w:rsidR="0046748A" w:rsidRPr="0046748A">
        <w:rPr>
          <w:rFonts w:ascii="Book Antiqua" w:hAnsi="Book Antiqua"/>
          <w:b w:val="0"/>
          <w:bCs w:val="0"/>
          <w:sz w:val="24"/>
          <w:szCs w:val="24"/>
        </w:rPr>
        <w:t xml:space="preserve">fetal esophagus, ESCC, NOR and </w:t>
      </w:r>
      <w:r w:rsidRPr="0046748A">
        <w:rPr>
          <w:rFonts w:ascii="Book Antiqua" w:hAnsi="Book Antiqua"/>
          <w:b w:val="0"/>
          <w:bCs w:val="0"/>
          <w:sz w:val="24"/>
          <w:szCs w:val="24"/>
        </w:rPr>
        <w:t>IHC characterization of a representative differential protein, PRX6</w:t>
      </w:r>
    </w:p>
    <w:p w:rsidR="007F78CE" w:rsidRPr="0046748A" w:rsidRDefault="007F78CE" w:rsidP="00E33DF3">
      <w:pPr>
        <w:spacing w:line="480" w:lineRule="auto"/>
        <w:rPr>
          <w:rFonts w:eastAsia="Times New Roman"/>
          <w:sz w:val="24"/>
        </w:rPr>
      </w:pPr>
    </w:p>
    <w:p w:rsidR="007F78CE" w:rsidRPr="0046748A" w:rsidRDefault="007F78CE" w:rsidP="00E33DF3">
      <w:pPr>
        <w:spacing w:line="480" w:lineRule="auto"/>
        <w:rPr>
          <w:rFonts w:ascii="Book Antiqua" w:hAnsi="Book Antiqua"/>
          <w:sz w:val="24"/>
        </w:rPr>
      </w:pPr>
      <w:r w:rsidRPr="0046748A">
        <w:rPr>
          <w:rFonts w:ascii="Book Antiqua" w:hAnsi="Book Antiqua"/>
          <w:sz w:val="24"/>
        </w:rPr>
        <w:t>Jun-Hui Guo, Guo-Lan Xing, Xin-Hui Fang,</w:t>
      </w:r>
      <w:r w:rsidR="0046748A" w:rsidRPr="0046748A">
        <w:rPr>
          <w:rFonts w:ascii="Book Antiqua" w:hAnsi="Book Antiqua" w:hint="eastAsia"/>
          <w:sz w:val="24"/>
        </w:rPr>
        <w:t xml:space="preserve"> </w:t>
      </w:r>
      <w:r w:rsidRPr="0046748A">
        <w:rPr>
          <w:rFonts w:ascii="Book Antiqua" w:hAnsi="Book Antiqua"/>
          <w:sz w:val="24"/>
        </w:rPr>
        <w:t>Hui-Fang Wu, Bo Zhang, Jin-Zhong Yu, Zong-Min Fan, Li-Dong Wang</w:t>
      </w:r>
    </w:p>
    <w:p w:rsidR="007F78CE" w:rsidRPr="0046748A" w:rsidRDefault="007F78CE" w:rsidP="00E33DF3">
      <w:pPr>
        <w:spacing w:line="480" w:lineRule="auto"/>
        <w:rPr>
          <w:rFonts w:ascii="Book Antiqua" w:eastAsiaTheme="minorEastAsia" w:hAnsi="Book Antiqua"/>
          <w:sz w:val="24"/>
        </w:rPr>
      </w:pPr>
    </w:p>
    <w:p w:rsidR="007F78CE" w:rsidRPr="0046748A" w:rsidRDefault="007F78CE" w:rsidP="00E33DF3">
      <w:pPr>
        <w:autoSpaceDE w:val="0"/>
        <w:autoSpaceDN w:val="0"/>
        <w:adjustRightInd w:val="0"/>
        <w:snapToGrid w:val="0"/>
        <w:spacing w:line="480" w:lineRule="auto"/>
        <w:rPr>
          <w:rFonts w:ascii="Book Antiqua" w:hAnsi="Book Antiqua"/>
          <w:sz w:val="24"/>
        </w:rPr>
      </w:pPr>
      <w:r w:rsidRPr="0046748A">
        <w:rPr>
          <w:rFonts w:ascii="Book Antiqua" w:hAnsi="Book Antiqua"/>
          <w:b/>
          <w:sz w:val="24"/>
        </w:rPr>
        <w:t>Jun-Hui Guo, Bo Zhang, Jin-Zhong Yu,</w:t>
      </w:r>
      <w:r w:rsidRPr="0046748A">
        <w:rPr>
          <w:rFonts w:ascii="Book Antiqua" w:hAnsi="Book Antiqua"/>
          <w:sz w:val="24"/>
        </w:rPr>
        <w:t xml:space="preserve"> The Second Affiliated Hospital of Henan University of Chinese Medicine, Zhengzhou 450000, Henan Province, China </w:t>
      </w:r>
    </w:p>
    <w:p w:rsidR="0046748A" w:rsidRPr="0046748A" w:rsidRDefault="0046748A" w:rsidP="00E33DF3">
      <w:pPr>
        <w:autoSpaceDE w:val="0"/>
        <w:autoSpaceDN w:val="0"/>
        <w:adjustRightInd w:val="0"/>
        <w:snapToGrid w:val="0"/>
        <w:spacing w:line="480" w:lineRule="auto"/>
        <w:rPr>
          <w:rFonts w:ascii="Book Antiqua" w:hAnsi="Book Antiqua"/>
          <w:sz w:val="24"/>
        </w:rPr>
      </w:pPr>
    </w:p>
    <w:p w:rsidR="007F78CE" w:rsidRPr="0046748A" w:rsidRDefault="007F78CE" w:rsidP="00E33DF3">
      <w:pPr>
        <w:spacing w:line="480" w:lineRule="auto"/>
        <w:rPr>
          <w:rFonts w:ascii="Book Antiqua" w:hAnsi="Book Antiqua"/>
          <w:sz w:val="24"/>
        </w:rPr>
      </w:pPr>
      <w:r w:rsidRPr="0046748A">
        <w:rPr>
          <w:rFonts w:ascii="Book Antiqua" w:hAnsi="Book Antiqua"/>
          <w:b/>
          <w:sz w:val="24"/>
        </w:rPr>
        <w:t xml:space="preserve">Guo-Lan Xing, Zong-Min Fan, Li-Dong Wang, </w:t>
      </w:r>
      <w:r w:rsidRPr="0046748A">
        <w:rPr>
          <w:rFonts w:ascii="Book Antiqua" w:hAnsi="Book Antiqua"/>
          <w:sz w:val="24"/>
        </w:rPr>
        <w:t xml:space="preserve">Henan Key Lab For Esophageal Cancer Res, The First Affiliated Hospital of Zhengzhou University, Zhengzhou 450052, Henan Province, China </w:t>
      </w:r>
    </w:p>
    <w:p w:rsidR="0046748A" w:rsidRPr="0046748A" w:rsidRDefault="0046748A" w:rsidP="00E33DF3">
      <w:pPr>
        <w:spacing w:line="480" w:lineRule="auto"/>
        <w:rPr>
          <w:rFonts w:ascii="Book Antiqua" w:hAnsi="Book Antiqua"/>
          <w:sz w:val="24"/>
        </w:rPr>
      </w:pPr>
    </w:p>
    <w:p w:rsidR="007F78CE" w:rsidRPr="0046748A" w:rsidRDefault="007F78CE" w:rsidP="00E33DF3">
      <w:pPr>
        <w:spacing w:line="480" w:lineRule="auto"/>
        <w:rPr>
          <w:rFonts w:ascii="Book Antiqua" w:hAnsi="Book Antiqua"/>
          <w:sz w:val="24"/>
        </w:rPr>
      </w:pPr>
      <w:r w:rsidRPr="0046748A">
        <w:rPr>
          <w:rFonts w:ascii="Book Antiqua" w:hAnsi="Book Antiqua"/>
          <w:b/>
          <w:sz w:val="24"/>
        </w:rPr>
        <w:t xml:space="preserve">Xin-Hui Fang, </w:t>
      </w:r>
      <w:r w:rsidRPr="0046748A">
        <w:rPr>
          <w:rFonts w:ascii="Book Antiqua" w:hAnsi="Book Antiqua"/>
          <w:sz w:val="24"/>
        </w:rPr>
        <w:t>Henan Province People’s Hospital, Zhengzhou 450003, Henan Province, China</w:t>
      </w:r>
    </w:p>
    <w:p w:rsidR="0046748A" w:rsidRPr="0046748A" w:rsidRDefault="0046748A" w:rsidP="00E33DF3">
      <w:pPr>
        <w:spacing w:line="480" w:lineRule="auto"/>
        <w:rPr>
          <w:rFonts w:ascii="Book Antiqua" w:hAnsi="Book Antiqua"/>
          <w:sz w:val="24"/>
        </w:rPr>
      </w:pPr>
    </w:p>
    <w:p w:rsidR="007F78CE" w:rsidRPr="0046748A" w:rsidRDefault="007F78CE" w:rsidP="00E33DF3">
      <w:pPr>
        <w:spacing w:line="480" w:lineRule="auto"/>
        <w:rPr>
          <w:rFonts w:ascii="Book Antiqua" w:hAnsi="Book Antiqua"/>
          <w:sz w:val="24"/>
        </w:rPr>
      </w:pPr>
      <w:r w:rsidRPr="0046748A">
        <w:rPr>
          <w:rFonts w:ascii="Book Antiqua" w:hAnsi="Book Antiqua"/>
          <w:b/>
          <w:sz w:val="24"/>
        </w:rPr>
        <w:t>Hui-Fang Wu,</w:t>
      </w:r>
      <w:r w:rsidRPr="0046748A">
        <w:rPr>
          <w:rFonts w:ascii="Book Antiqua" w:hAnsi="Book Antiqua"/>
          <w:sz w:val="24"/>
        </w:rPr>
        <w:t xml:space="preserve"> </w:t>
      </w:r>
      <w:r w:rsidR="0046748A" w:rsidRPr="0046748A">
        <w:rPr>
          <w:rFonts w:ascii="Book Antiqua" w:hAnsi="Book Antiqua"/>
          <w:sz w:val="24"/>
        </w:rPr>
        <w:t>the</w:t>
      </w:r>
      <w:r w:rsidRPr="0046748A">
        <w:rPr>
          <w:rFonts w:ascii="Book Antiqua" w:hAnsi="Book Antiqua"/>
          <w:sz w:val="24"/>
        </w:rPr>
        <w:t xml:space="preserve"> Second Affiliated Hospital of Zhengzhou University, Zhengzhou 450000, Henan Province, China</w:t>
      </w:r>
    </w:p>
    <w:p w:rsidR="007F78CE" w:rsidRPr="0046748A" w:rsidRDefault="007F78CE" w:rsidP="00E33DF3">
      <w:pPr>
        <w:spacing w:line="480" w:lineRule="auto"/>
        <w:rPr>
          <w:rFonts w:ascii="Book Antiqua" w:eastAsia="Times New Roman" w:hAnsi="Book Antiqua"/>
          <w:sz w:val="24"/>
        </w:rPr>
      </w:pPr>
    </w:p>
    <w:p w:rsidR="007F78CE" w:rsidRPr="0046748A" w:rsidRDefault="007F78CE" w:rsidP="00E33DF3">
      <w:pPr>
        <w:spacing w:line="480" w:lineRule="auto"/>
        <w:rPr>
          <w:rFonts w:ascii="Book Antiqua" w:hAnsi="Book Antiqua"/>
          <w:sz w:val="24"/>
        </w:rPr>
      </w:pPr>
      <w:r w:rsidRPr="0046748A">
        <w:rPr>
          <w:rFonts w:ascii="Book Antiqua" w:eastAsia="Arial" w:hAnsi="Book Antiqua"/>
          <w:b/>
          <w:sz w:val="24"/>
        </w:rPr>
        <w:t xml:space="preserve">Author contributions: </w:t>
      </w:r>
      <w:r w:rsidRPr="0046748A">
        <w:rPr>
          <w:rFonts w:ascii="Book Antiqua" w:hAnsi="Book Antiqua"/>
          <w:sz w:val="24"/>
        </w:rPr>
        <w:t>Guo</w:t>
      </w:r>
      <w:r w:rsidRPr="0046748A">
        <w:rPr>
          <w:rFonts w:ascii="Book Antiqua" w:eastAsia="Arial" w:hAnsi="Book Antiqua"/>
          <w:sz w:val="24"/>
        </w:rPr>
        <w:t xml:space="preserve"> </w:t>
      </w:r>
      <w:r w:rsidRPr="0046748A">
        <w:rPr>
          <w:rFonts w:ascii="Book Antiqua" w:hAnsi="Book Antiqua"/>
          <w:sz w:val="24"/>
        </w:rPr>
        <w:t xml:space="preserve">JH </w:t>
      </w:r>
      <w:r w:rsidRPr="0046748A">
        <w:rPr>
          <w:rFonts w:ascii="Book Antiqua" w:eastAsia="Arial" w:hAnsi="Book Antiqua"/>
          <w:sz w:val="24"/>
        </w:rPr>
        <w:t xml:space="preserve">designed and performed the research and wrote the paper; </w:t>
      </w:r>
      <w:r w:rsidRPr="0046748A">
        <w:rPr>
          <w:rFonts w:ascii="Book Antiqua" w:hAnsi="Book Antiqua"/>
          <w:sz w:val="24"/>
        </w:rPr>
        <w:t>Wang LD</w:t>
      </w:r>
      <w:r w:rsidRPr="0046748A">
        <w:rPr>
          <w:rFonts w:ascii="Book Antiqua" w:eastAsia="Arial" w:hAnsi="Book Antiqua"/>
          <w:sz w:val="24"/>
        </w:rPr>
        <w:t xml:space="preserve"> designed the research and supervised the report; </w:t>
      </w:r>
      <w:r w:rsidRPr="0046748A">
        <w:rPr>
          <w:rFonts w:ascii="Book Antiqua" w:hAnsi="Book Antiqua"/>
          <w:sz w:val="24"/>
        </w:rPr>
        <w:t>Xing</w:t>
      </w:r>
      <w:r w:rsidRPr="0046748A">
        <w:rPr>
          <w:rFonts w:ascii="Book Antiqua" w:eastAsia="Arial" w:hAnsi="Book Antiqua"/>
          <w:sz w:val="24"/>
        </w:rPr>
        <w:t xml:space="preserve"> </w:t>
      </w:r>
      <w:r w:rsidRPr="0046748A">
        <w:rPr>
          <w:rFonts w:ascii="Book Antiqua" w:hAnsi="Book Antiqua"/>
          <w:sz w:val="24"/>
        </w:rPr>
        <w:t xml:space="preserve">GL </w:t>
      </w:r>
      <w:r w:rsidRPr="0046748A">
        <w:rPr>
          <w:rFonts w:ascii="Book Antiqua" w:eastAsia="Arial" w:hAnsi="Book Antiqua"/>
          <w:sz w:val="24"/>
        </w:rPr>
        <w:t xml:space="preserve">designed the research and contributed to the analysis; </w:t>
      </w:r>
      <w:r w:rsidRPr="0046748A">
        <w:rPr>
          <w:rFonts w:ascii="Book Antiqua" w:hAnsi="Book Antiqua"/>
          <w:sz w:val="24"/>
        </w:rPr>
        <w:t>Fang XH</w:t>
      </w:r>
      <w:r w:rsidR="0046748A" w:rsidRPr="0046748A">
        <w:rPr>
          <w:rFonts w:ascii="Book Antiqua" w:hAnsi="Book Antiqua" w:hint="eastAsia"/>
          <w:sz w:val="24"/>
        </w:rPr>
        <w:t xml:space="preserve"> and</w:t>
      </w:r>
      <w:r w:rsidRPr="0046748A">
        <w:rPr>
          <w:rFonts w:ascii="Book Antiqua" w:hAnsi="Book Antiqua"/>
          <w:sz w:val="24"/>
        </w:rPr>
        <w:t xml:space="preserve"> Wu HF</w:t>
      </w:r>
      <w:r w:rsidRPr="0046748A">
        <w:rPr>
          <w:rFonts w:ascii="Book Antiqua" w:eastAsia="Arial" w:hAnsi="Book Antiqua"/>
          <w:sz w:val="24"/>
        </w:rPr>
        <w:t xml:space="preserve"> provided clinical advice; </w:t>
      </w:r>
      <w:r w:rsidR="0046748A" w:rsidRPr="0046748A">
        <w:rPr>
          <w:rFonts w:ascii="Book Antiqua" w:hAnsi="Book Antiqua"/>
          <w:sz w:val="24"/>
        </w:rPr>
        <w:t>Zhang B, Yu JZ</w:t>
      </w:r>
      <w:r w:rsidRPr="0046748A">
        <w:rPr>
          <w:rFonts w:ascii="Book Antiqua" w:hAnsi="Book Antiqua"/>
          <w:sz w:val="24"/>
        </w:rPr>
        <w:t xml:space="preserve"> and Fan ZM </w:t>
      </w:r>
      <w:r w:rsidRPr="0046748A">
        <w:rPr>
          <w:rFonts w:ascii="Book Antiqua" w:eastAsia="Arial" w:hAnsi="Book Antiqua"/>
          <w:sz w:val="24"/>
        </w:rPr>
        <w:t xml:space="preserve">supervised the </w:t>
      </w:r>
      <w:r w:rsidRPr="0046748A">
        <w:rPr>
          <w:rFonts w:ascii="Book Antiqua" w:hAnsi="Book Antiqua"/>
          <w:sz w:val="24"/>
        </w:rPr>
        <w:t>research</w:t>
      </w:r>
      <w:r w:rsidRPr="0046748A">
        <w:rPr>
          <w:rFonts w:ascii="Book Antiqua" w:eastAsia="Arial" w:hAnsi="Book Antiqua"/>
          <w:sz w:val="24"/>
        </w:rPr>
        <w:t>.</w:t>
      </w:r>
    </w:p>
    <w:p w:rsidR="0046748A" w:rsidRPr="0046748A" w:rsidRDefault="0046748A" w:rsidP="00E33DF3">
      <w:pPr>
        <w:spacing w:line="480" w:lineRule="auto"/>
        <w:rPr>
          <w:rFonts w:ascii="Book Antiqua" w:hAnsi="Book Antiqua"/>
          <w:sz w:val="24"/>
        </w:rPr>
      </w:pPr>
    </w:p>
    <w:p w:rsidR="007F78CE" w:rsidRPr="0046748A" w:rsidRDefault="007F78CE" w:rsidP="00E33DF3">
      <w:pPr>
        <w:spacing w:line="480" w:lineRule="auto"/>
        <w:rPr>
          <w:rFonts w:ascii="Book Antiqua" w:eastAsiaTheme="minorEastAsia" w:hAnsi="Book Antiqua"/>
          <w:sz w:val="24"/>
        </w:rPr>
      </w:pPr>
      <w:bookmarkStart w:id="0" w:name="page2"/>
      <w:bookmarkEnd w:id="0"/>
      <w:r w:rsidRPr="0046748A">
        <w:rPr>
          <w:rFonts w:ascii="Book Antiqua" w:eastAsia="Arial" w:hAnsi="Book Antiqua"/>
          <w:b/>
          <w:bCs/>
          <w:sz w:val="24"/>
        </w:rPr>
        <w:t>Institutional review board statement:</w:t>
      </w:r>
      <w:r w:rsidRPr="0046748A">
        <w:rPr>
          <w:rFonts w:ascii="Book Antiqua" w:eastAsia="Arial" w:hAnsi="Book Antiqua"/>
          <w:sz w:val="24"/>
        </w:rPr>
        <w:t xml:space="preserve"> This study was reviewed and approved by the</w:t>
      </w:r>
      <w:r w:rsidRPr="0046748A">
        <w:rPr>
          <w:rFonts w:ascii="Book Antiqua" w:hAnsi="Book Antiqua"/>
          <w:sz w:val="24"/>
        </w:rPr>
        <w:t xml:space="preserve"> </w:t>
      </w:r>
      <w:r w:rsidRPr="0046748A">
        <w:rPr>
          <w:rFonts w:ascii="Book Antiqua" w:eastAsia="Arial" w:hAnsi="Book Antiqua"/>
          <w:sz w:val="24"/>
        </w:rPr>
        <w:t xml:space="preserve">Ethics Committee of </w:t>
      </w:r>
      <w:r w:rsidRPr="0046748A">
        <w:rPr>
          <w:rFonts w:ascii="Book Antiqua" w:hAnsi="Book Antiqua"/>
          <w:sz w:val="24"/>
        </w:rPr>
        <w:t>The Second Affiliated Hospital of Henan University of Chinese Medicine</w:t>
      </w:r>
      <w:r w:rsidRPr="0046748A">
        <w:rPr>
          <w:rFonts w:ascii="Book Antiqua" w:eastAsia="Arial" w:hAnsi="Book Antiqua"/>
          <w:sz w:val="24"/>
        </w:rPr>
        <w:t>.</w:t>
      </w:r>
    </w:p>
    <w:p w:rsidR="0046748A" w:rsidRPr="0046748A" w:rsidRDefault="0046748A" w:rsidP="00E33DF3">
      <w:pPr>
        <w:spacing w:line="480" w:lineRule="auto"/>
        <w:rPr>
          <w:rFonts w:ascii="Book Antiqua" w:eastAsiaTheme="minorEastAsia" w:hAnsi="Book Antiqua"/>
          <w:sz w:val="24"/>
        </w:rPr>
      </w:pPr>
    </w:p>
    <w:p w:rsidR="007F78CE" w:rsidRPr="0046748A" w:rsidRDefault="007F78CE" w:rsidP="00E33DF3">
      <w:pPr>
        <w:autoSpaceDE w:val="0"/>
        <w:autoSpaceDN w:val="0"/>
        <w:adjustRightInd w:val="0"/>
        <w:spacing w:line="480" w:lineRule="auto"/>
        <w:rPr>
          <w:rFonts w:ascii="Book Antiqua" w:hAnsi="Book Antiqua"/>
          <w:sz w:val="24"/>
        </w:rPr>
      </w:pPr>
      <w:r w:rsidRPr="0046748A">
        <w:rPr>
          <w:rFonts w:ascii="Book Antiqua" w:eastAsia="Arial" w:hAnsi="Book Antiqua"/>
          <w:b/>
          <w:bCs/>
          <w:sz w:val="24"/>
        </w:rPr>
        <w:t>Informed consent statement:</w:t>
      </w:r>
      <w:r w:rsidRPr="0046748A">
        <w:rPr>
          <w:rFonts w:ascii="Book Antiqua" w:hAnsi="Book Antiqua"/>
          <w:sz w:val="24"/>
        </w:rPr>
        <w:t xml:space="preserve"> </w:t>
      </w:r>
      <w:r w:rsidRPr="0046748A">
        <w:rPr>
          <w:rFonts w:ascii="Book Antiqua" w:hAnsi="Book Antiqua"/>
          <w:kern w:val="0"/>
          <w:sz w:val="24"/>
        </w:rPr>
        <w:t>Fetal esophagus was obtained from Huixian and Huojia Family Planning Centers</w:t>
      </w:r>
      <w:r w:rsidRPr="0046748A">
        <w:rPr>
          <w:rFonts w:ascii="Book Antiqua" w:eastAsia="Arial" w:hAnsi="Book Antiqua"/>
          <w:sz w:val="24"/>
        </w:rPr>
        <w:t xml:space="preserve">. </w:t>
      </w:r>
      <w:r w:rsidRPr="0046748A">
        <w:rPr>
          <w:rFonts w:ascii="Book Antiqua" w:hAnsi="Book Antiqua"/>
          <w:bCs/>
          <w:sz w:val="24"/>
        </w:rPr>
        <w:t xml:space="preserve">Adult esophagus </w:t>
      </w:r>
      <w:r w:rsidRPr="0046748A">
        <w:rPr>
          <w:rFonts w:ascii="Book Antiqua" w:hAnsi="Book Antiqua"/>
          <w:kern w:val="0"/>
          <w:sz w:val="24"/>
        </w:rPr>
        <w:t>were obtained from Linzhou Central Hospital and Yaocun Esophageal Tumor Hospital of Henan Province.</w:t>
      </w:r>
      <w:r w:rsidRPr="0046748A">
        <w:rPr>
          <w:rFonts w:ascii="Book Antiqua" w:eastAsia="Arial" w:hAnsi="Book Antiqua"/>
          <w:sz w:val="24"/>
        </w:rPr>
        <w:t>For full disclosure, the details of</w:t>
      </w:r>
      <w:r w:rsidRPr="0046748A">
        <w:rPr>
          <w:rFonts w:ascii="Book Antiqua" w:hAnsi="Book Antiqua"/>
          <w:sz w:val="24"/>
        </w:rPr>
        <w:t xml:space="preserve"> </w:t>
      </w:r>
      <w:r w:rsidRPr="0046748A">
        <w:rPr>
          <w:rFonts w:ascii="Book Antiqua" w:eastAsia="Arial" w:hAnsi="Book Antiqua"/>
          <w:sz w:val="24"/>
        </w:rPr>
        <w:t>the study are published on the Journal of Zhengzhou University</w:t>
      </w:r>
      <w:r w:rsidRPr="0046748A">
        <w:rPr>
          <w:rFonts w:ascii="Book Antiqua" w:hAnsi="Book Antiqua"/>
          <w:sz w:val="24"/>
        </w:rPr>
        <w:t>.</w:t>
      </w:r>
    </w:p>
    <w:p w:rsidR="0046748A" w:rsidRPr="0046748A" w:rsidRDefault="0046748A" w:rsidP="00E33DF3">
      <w:pPr>
        <w:autoSpaceDE w:val="0"/>
        <w:autoSpaceDN w:val="0"/>
        <w:adjustRightInd w:val="0"/>
        <w:spacing w:line="480" w:lineRule="auto"/>
        <w:rPr>
          <w:rFonts w:ascii="Book Antiqua" w:eastAsia="Times New Roman" w:hAnsi="Book Antiqua"/>
          <w:sz w:val="24"/>
        </w:rPr>
      </w:pPr>
    </w:p>
    <w:p w:rsidR="007F78CE" w:rsidRPr="0046748A" w:rsidRDefault="007F78CE" w:rsidP="00E33DF3">
      <w:pPr>
        <w:spacing w:line="480" w:lineRule="auto"/>
        <w:rPr>
          <w:rFonts w:ascii="Book Antiqua" w:eastAsiaTheme="minorEastAsia" w:hAnsi="Book Antiqua"/>
          <w:sz w:val="24"/>
        </w:rPr>
      </w:pPr>
      <w:r w:rsidRPr="0046748A">
        <w:rPr>
          <w:rFonts w:ascii="Book Antiqua" w:eastAsia="Arial" w:hAnsi="Book Antiqua"/>
          <w:b/>
          <w:bCs/>
          <w:sz w:val="24"/>
        </w:rPr>
        <w:t xml:space="preserve">Conflict-of-interest statement: </w:t>
      </w:r>
      <w:r w:rsidRPr="0046748A">
        <w:rPr>
          <w:rFonts w:ascii="Book Antiqua" w:eastAsia="Arial" w:hAnsi="Book Antiqua"/>
          <w:sz w:val="24"/>
        </w:rPr>
        <w:t>We have no financial relationships to disclose.</w:t>
      </w:r>
    </w:p>
    <w:p w:rsidR="0046748A" w:rsidRPr="0046748A" w:rsidRDefault="0046748A" w:rsidP="00E33DF3">
      <w:pPr>
        <w:spacing w:line="480" w:lineRule="auto"/>
        <w:rPr>
          <w:rFonts w:ascii="Book Antiqua" w:eastAsiaTheme="minorEastAsia" w:hAnsi="Book Antiqua"/>
          <w:sz w:val="24"/>
        </w:rPr>
      </w:pPr>
    </w:p>
    <w:p w:rsidR="007F78CE" w:rsidRPr="0046748A" w:rsidRDefault="007F78CE" w:rsidP="00E33DF3">
      <w:pPr>
        <w:spacing w:line="480" w:lineRule="auto"/>
        <w:rPr>
          <w:rFonts w:ascii="Book Antiqua" w:eastAsiaTheme="minorEastAsia" w:hAnsi="Book Antiqua"/>
          <w:sz w:val="24"/>
        </w:rPr>
      </w:pPr>
      <w:r w:rsidRPr="0046748A">
        <w:rPr>
          <w:rFonts w:ascii="Book Antiqua" w:eastAsia="Arial" w:hAnsi="Book Antiqua"/>
          <w:b/>
          <w:bCs/>
          <w:sz w:val="24"/>
        </w:rPr>
        <w:t>Data sharing statement:</w:t>
      </w:r>
      <w:r w:rsidRPr="0046748A">
        <w:rPr>
          <w:rFonts w:ascii="Book Antiqua" w:eastAsia="Arial" w:hAnsi="Book Antiqua"/>
          <w:sz w:val="24"/>
        </w:rPr>
        <w:t xml:space="preserve"> No additional data are available.</w:t>
      </w:r>
    </w:p>
    <w:p w:rsidR="0046748A" w:rsidRPr="0046748A" w:rsidRDefault="0046748A" w:rsidP="00E33DF3">
      <w:pPr>
        <w:spacing w:line="480" w:lineRule="auto"/>
        <w:rPr>
          <w:rFonts w:ascii="Book Antiqua" w:eastAsiaTheme="minorEastAsia" w:hAnsi="Book Antiqua"/>
          <w:sz w:val="24"/>
        </w:rPr>
      </w:pPr>
    </w:p>
    <w:p w:rsidR="007F78CE" w:rsidRPr="0046748A" w:rsidRDefault="007F78CE" w:rsidP="00E33DF3">
      <w:pPr>
        <w:spacing w:line="384" w:lineRule="auto"/>
        <w:rPr>
          <w:rFonts w:ascii="Book Antiqua" w:eastAsiaTheme="minorEastAsia" w:hAnsi="Book Antiqua"/>
          <w:sz w:val="24"/>
        </w:rPr>
      </w:pPr>
      <w:r w:rsidRPr="0046748A">
        <w:rPr>
          <w:rFonts w:ascii="Book Antiqua" w:hAnsi="Book Antiqua"/>
          <w:b/>
          <w:bCs/>
          <w:sz w:val="24"/>
        </w:rPr>
        <w:t xml:space="preserve">Open-access: </w:t>
      </w:r>
      <w:r w:rsidRPr="0046748A">
        <w:rPr>
          <w:rFonts w:ascii="Book Antiqua" w:eastAsia="Arial" w:hAnsi="Book Antiqua"/>
          <w:sz w:val="24"/>
        </w:rPr>
        <w:t xml:space="preserve">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0046748A" w:rsidRPr="0046748A">
          <w:rPr>
            <w:rStyle w:val="Hyperlink"/>
            <w:rFonts w:ascii="Book Antiqua" w:eastAsia="Arial" w:hAnsi="Book Antiqua"/>
            <w:sz w:val="24"/>
          </w:rPr>
          <w:t>http://creativecommons.org/licenses/by-nc/4.0/</w:t>
        </w:r>
      </w:hyperlink>
    </w:p>
    <w:p w:rsidR="0046748A" w:rsidRPr="0046748A" w:rsidRDefault="0046748A" w:rsidP="00E33DF3">
      <w:pPr>
        <w:spacing w:line="384" w:lineRule="auto"/>
        <w:rPr>
          <w:rFonts w:ascii="Book Antiqua" w:eastAsiaTheme="minorEastAsia" w:hAnsi="Book Antiqua"/>
          <w:sz w:val="24"/>
        </w:rPr>
      </w:pPr>
    </w:p>
    <w:p w:rsidR="007F78CE" w:rsidRPr="0046748A" w:rsidRDefault="007F78CE" w:rsidP="00E33DF3">
      <w:pPr>
        <w:spacing w:line="480" w:lineRule="auto"/>
        <w:rPr>
          <w:rFonts w:ascii="Book Antiqua" w:eastAsia="Arial" w:hAnsi="Book Antiqua"/>
          <w:sz w:val="24"/>
        </w:rPr>
      </w:pPr>
      <w:r w:rsidRPr="0046748A">
        <w:rPr>
          <w:rFonts w:ascii="Book Antiqua" w:eastAsia="Arial" w:hAnsi="Book Antiqua"/>
          <w:b/>
          <w:bCs/>
          <w:sz w:val="24"/>
        </w:rPr>
        <w:t>Correspondence to:</w:t>
      </w:r>
      <w:r w:rsidRPr="0046748A">
        <w:rPr>
          <w:rFonts w:ascii="Book Antiqua" w:eastAsia="Arial" w:hAnsi="Book Antiqua"/>
          <w:sz w:val="24"/>
        </w:rPr>
        <w:t xml:space="preserve"> </w:t>
      </w:r>
      <w:r w:rsidRPr="0046748A">
        <w:rPr>
          <w:rFonts w:ascii="Book Antiqua" w:hAnsi="Book Antiqua"/>
          <w:b/>
          <w:sz w:val="24"/>
        </w:rPr>
        <w:t xml:space="preserve">Li-Dong Wang, Professor, </w:t>
      </w:r>
      <w:r w:rsidRPr="0046748A">
        <w:rPr>
          <w:rFonts w:ascii="Book Antiqua" w:hAnsi="Book Antiqua"/>
          <w:sz w:val="24"/>
        </w:rPr>
        <w:t>Henan Key Lab For Esophageal Cancer Res, The First Affiliated Hospital of Zhengzhou University, No. 40 Daxue Road, Zhengzhou 450052, Henan Province, China</w:t>
      </w:r>
      <w:r w:rsidRPr="0046748A">
        <w:rPr>
          <w:rFonts w:ascii="Book Antiqua" w:eastAsia="Arial" w:hAnsi="Book Antiqua"/>
          <w:sz w:val="24"/>
        </w:rPr>
        <w:t>.</w:t>
      </w:r>
      <w:r w:rsidR="0046748A" w:rsidRPr="0046748A">
        <w:rPr>
          <w:rFonts w:ascii="Book Antiqua" w:eastAsiaTheme="minorEastAsia" w:hAnsi="Book Antiqua" w:hint="eastAsia"/>
          <w:sz w:val="24"/>
        </w:rPr>
        <w:t xml:space="preserve"> </w:t>
      </w:r>
      <w:r w:rsidR="0046748A" w:rsidRPr="0046748A">
        <w:rPr>
          <w:rFonts w:ascii="Book Antiqua" w:hAnsi="Book Antiqua"/>
          <w:sz w:val="24"/>
        </w:rPr>
        <w:t>ldwang2007</w:t>
      </w:r>
      <w:r w:rsidRPr="0046748A">
        <w:rPr>
          <w:rFonts w:ascii="Book Antiqua" w:eastAsia="Arial" w:hAnsi="Book Antiqua"/>
          <w:sz w:val="24"/>
        </w:rPr>
        <w:t>@</w:t>
      </w:r>
      <w:r w:rsidRPr="0046748A">
        <w:rPr>
          <w:rFonts w:ascii="Book Antiqua" w:hAnsi="Book Antiqua"/>
          <w:sz w:val="24"/>
        </w:rPr>
        <w:t>126</w:t>
      </w:r>
      <w:r w:rsidRPr="0046748A">
        <w:rPr>
          <w:rFonts w:ascii="Book Antiqua" w:eastAsia="Arial" w:hAnsi="Book Antiqua"/>
          <w:sz w:val="24"/>
        </w:rPr>
        <w:t>.</w:t>
      </w:r>
      <w:r w:rsidRPr="0046748A">
        <w:rPr>
          <w:rFonts w:ascii="Book Antiqua" w:hAnsi="Book Antiqua"/>
          <w:sz w:val="24"/>
        </w:rPr>
        <w:t>com</w:t>
      </w:r>
    </w:p>
    <w:p w:rsidR="007F78CE" w:rsidRPr="0046748A" w:rsidRDefault="007F78CE" w:rsidP="00E33DF3">
      <w:pPr>
        <w:spacing w:line="480" w:lineRule="auto"/>
        <w:rPr>
          <w:rFonts w:ascii="Book Antiqua" w:hAnsi="Book Antiqua"/>
          <w:sz w:val="24"/>
        </w:rPr>
      </w:pPr>
      <w:r w:rsidRPr="0046748A">
        <w:rPr>
          <w:rFonts w:ascii="Book Antiqua" w:eastAsia="Arial" w:hAnsi="Book Antiqua"/>
          <w:b/>
          <w:sz w:val="24"/>
        </w:rPr>
        <w:t>Telephone</w:t>
      </w:r>
      <w:r w:rsidRPr="0046748A">
        <w:rPr>
          <w:rFonts w:ascii="Book Antiqua" w:eastAsia="Arial" w:hAnsi="Book Antiqua"/>
          <w:sz w:val="24"/>
        </w:rPr>
        <w:t xml:space="preserve">: </w:t>
      </w:r>
      <w:r w:rsidR="0046748A" w:rsidRPr="0046748A">
        <w:rPr>
          <w:rFonts w:ascii="Book Antiqua" w:hAnsi="Book Antiqua"/>
          <w:sz w:val="24"/>
        </w:rPr>
        <w:t>+86-</w:t>
      </w:r>
      <w:r w:rsidRPr="0046748A">
        <w:rPr>
          <w:rFonts w:ascii="Book Antiqua" w:hAnsi="Book Antiqua"/>
          <w:sz w:val="24"/>
        </w:rPr>
        <w:t>371-66658335</w:t>
      </w:r>
    </w:p>
    <w:p w:rsidR="007F78CE" w:rsidRPr="0046748A" w:rsidRDefault="007F78CE" w:rsidP="00E33DF3">
      <w:pPr>
        <w:spacing w:line="480" w:lineRule="auto"/>
        <w:rPr>
          <w:rFonts w:ascii="Book Antiqua" w:hAnsi="Book Antiqua"/>
          <w:sz w:val="24"/>
        </w:rPr>
      </w:pPr>
      <w:r w:rsidRPr="0046748A">
        <w:rPr>
          <w:rFonts w:ascii="Book Antiqua" w:eastAsia="Arial" w:hAnsi="Book Antiqua"/>
          <w:b/>
          <w:sz w:val="24"/>
        </w:rPr>
        <w:t>Fax</w:t>
      </w:r>
      <w:r w:rsidRPr="0046748A">
        <w:rPr>
          <w:rFonts w:ascii="Book Antiqua" w:eastAsia="Arial" w:hAnsi="Book Antiqua"/>
          <w:sz w:val="24"/>
        </w:rPr>
        <w:t xml:space="preserve">: </w:t>
      </w:r>
      <w:r w:rsidR="0046748A" w:rsidRPr="0046748A">
        <w:rPr>
          <w:rFonts w:ascii="Book Antiqua" w:hAnsi="Book Antiqua"/>
          <w:sz w:val="24"/>
        </w:rPr>
        <w:t>+86-</w:t>
      </w:r>
      <w:r w:rsidRPr="0046748A">
        <w:rPr>
          <w:rFonts w:ascii="Book Antiqua" w:hAnsi="Book Antiqua"/>
          <w:sz w:val="24"/>
        </w:rPr>
        <w:t>371-66658335</w:t>
      </w:r>
    </w:p>
    <w:p w:rsidR="0046748A" w:rsidRPr="0046748A" w:rsidRDefault="0046748A" w:rsidP="00E33DF3">
      <w:pPr>
        <w:spacing w:line="480" w:lineRule="auto"/>
        <w:rPr>
          <w:rFonts w:ascii="Book Antiqua" w:eastAsia="Arial" w:hAnsi="Book Antiqua"/>
          <w:sz w:val="24"/>
        </w:rPr>
      </w:pPr>
    </w:p>
    <w:p w:rsidR="007F78CE" w:rsidRPr="0046748A" w:rsidRDefault="007F78CE" w:rsidP="00E33DF3">
      <w:pPr>
        <w:spacing w:line="480" w:lineRule="auto"/>
        <w:rPr>
          <w:rFonts w:ascii="Book Antiqua" w:eastAsia="Times New Roman" w:hAnsi="Book Antiqua"/>
          <w:sz w:val="24"/>
        </w:rPr>
      </w:pPr>
      <w:bookmarkStart w:id="1" w:name="page3"/>
      <w:bookmarkEnd w:id="1"/>
      <w:r w:rsidRPr="0046748A">
        <w:rPr>
          <w:rFonts w:ascii="Book Antiqua" w:eastAsia="Arial" w:hAnsi="Book Antiqua"/>
          <w:b/>
          <w:bCs/>
          <w:sz w:val="24"/>
        </w:rPr>
        <w:t xml:space="preserve">Received: </w:t>
      </w:r>
      <w:r w:rsidRPr="0046748A">
        <w:rPr>
          <w:rFonts w:ascii="Book Antiqua" w:hAnsi="Book Antiqua"/>
          <w:sz w:val="24"/>
        </w:rPr>
        <w:t>September</w:t>
      </w:r>
      <w:r w:rsidRPr="0046748A">
        <w:rPr>
          <w:rFonts w:ascii="Book Antiqua" w:eastAsia="Arial" w:hAnsi="Book Antiqua"/>
          <w:sz w:val="24"/>
        </w:rPr>
        <w:t xml:space="preserve"> </w:t>
      </w:r>
      <w:r w:rsidRPr="0046748A">
        <w:rPr>
          <w:rFonts w:ascii="Book Antiqua" w:hAnsi="Book Antiqua"/>
          <w:sz w:val="24"/>
        </w:rPr>
        <w:t>20</w:t>
      </w:r>
      <w:r w:rsidRPr="0046748A">
        <w:rPr>
          <w:rFonts w:ascii="Book Antiqua" w:eastAsia="Arial" w:hAnsi="Book Antiqua"/>
          <w:sz w:val="24"/>
        </w:rPr>
        <w:t>, 201</w:t>
      </w:r>
      <w:r w:rsidRPr="0046748A">
        <w:rPr>
          <w:rFonts w:ascii="Book Antiqua" w:hAnsi="Book Antiqua"/>
          <w:sz w:val="24"/>
        </w:rPr>
        <w:t>6</w:t>
      </w:r>
    </w:p>
    <w:p w:rsidR="007F78CE" w:rsidRPr="0046748A" w:rsidRDefault="007F78CE" w:rsidP="00E33DF3">
      <w:pPr>
        <w:spacing w:line="480" w:lineRule="auto"/>
        <w:rPr>
          <w:rFonts w:ascii="Book Antiqua" w:eastAsia="Times New Roman" w:hAnsi="Book Antiqua"/>
          <w:sz w:val="24"/>
        </w:rPr>
      </w:pPr>
      <w:r w:rsidRPr="0046748A">
        <w:rPr>
          <w:rFonts w:ascii="Book Antiqua" w:eastAsia="Arial" w:hAnsi="Book Antiqua"/>
          <w:b/>
          <w:bCs/>
          <w:sz w:val="24"/>
        </w:rPr>
        <w:t>Peer-review started:</w:t>
      </w:r>
      <w:r w:rsidRPr="0046748A">
        <w:rPr>
          <w:rFonts w:ascii="Book Antiqua" w:eastAsia="Arial" w:hAnsi="Book Antiqua"/>
          <w:sz w:val="24"/>
        </w:rPr>
        <w:t xml:space="preserve"> </w:t>
      </w:r>
      <w:r w:rsidRPr="0046748A">
        <w:rPr>
          <w:rFonts w:ascii="Book Antiqua" w:hAnsi="Book Antiqua"/>
          <w:sz w:val="24"/>
        </w:rPr>
        <w:t>September</w:t>
      </w:r>
      <w:r w:rsidRPr="0046748A">
        <w:rPr>
          <w:rFonts w:ascii="Book Antiqua" w:eastAsia="Arial" w:hAnsi="Book Antiqua"/>
          <w:sz w:val="24"/>
        </w:rPr>
        <w:t xml:space="preserve"> </w:t>
      </w:r>
      <w:r w:rsidRPr="0046748A">
        <w:rPr>
          <w:rFonts w:ascii="Book Antiqua" w:hAnsi="Book Antiqua"/>
          <w:sz w:val="24"/>
        </w:rPr>
        <w:t>22</w:t>
      </w:r>
      <w:r w:rsidRPr="0046748A">
        <w:rPr>
          <w:rFonts w:ascii="Book Antiqua" w:eastAsia="Arial" w:hAnsi="Book Antiqua"/>
          <w:sz w:val="24"/>
        </w:rPr>
        <w:t>, 201</w:t>
      </w:r>
      <w:r w:rsidRPr="0046748A">
        <w:rPr>
          <w:rFonts w:ascii="Book Antiqua" w:hAnsi="Book Antiqua"/>
          <w:sz w:val="24"/>
        </w:rPr>
        <w:t>6</w:t>
      </w:r>
    </w:p>
    <w:p w:rsidR="007F78CE" w:rsidRPr="0046748A" w:rsidRDefault="007F78CE" w:rsidP="00E33DF3">
      <w:pPr>
        <w:spacing w:line="480" w:lineRule="auto"/>
        <w:rPr>
          <w:rFonts w:ascii="Book Antiqua" w:eastAsia="Times New Roman" w:hAnsi="Book Antiqua"/>
          <w:sz w:val="24"/>
        </w:rPr>
      </w:pPr>
      <w:r w:rsidRPr="0046748A">
        <w:rPr>
          <w:rFonts w:ascii="Book Antiqua" w:eastAsia="Arial" w:hAnsi="Book Antiqua"/>
          <w:b/>
          <w:bCs/>
          <w:sz w:val="24"/>
        </w:rPr>
        <w:t xml:space="preserve">First decision: </w:t>
      </w:r>
      <w:r w:rsidRPr="0046748A">
        <w:rPr>
          <w:rFonts w:ascii="Book Antiqua" w:hAnsi="Book Antiqua"/>
          <w:sz w:val="24"/>
        </w:rPr>
        <w:t>October</w:t>
      </w:r>
      <w:r w:rsidRPr="0046748A">
        <w:rPr>
          <w:rFonts w:ascii="Book Antiqua" w:eastAsia="Arial" w:hAnsi="Book Antiqua"/>
          <w:sz w:val="24"/>
        </w:rPr>
        <w:t xml:space="preserve"> </w:t>
      </w:r>
      <w:r w:rsidRPr="0046748A">
        <w:rPr>
          <w:rFonts w:ascii="Book Antiqua" w:hAnsi="Book Antiqua"/>
          <w:sz w:val="24"/>
        </w:rPr>
        <w:t>2</w:t>
      </w:r>
      <w:r w:rsidRPr="0046748A">
        <w:rPr>
          <w:rFonts w:ascii="Book Antiqua" w:eastAsia="Arial" w:hAnsi="Book Antiqua"/>
          <w:sz w:val="24"/>
        </w:rPr>
        <w:t>0, 201</w:t>
      </w:r>
      <w:r w:rsidRPr="0046748A">
        <w:rPr>
          <w:rFonts w:ascii="Book Antiqua" w:hAnsi="Book Antiqua"/>
          <w:sz w:val="24"/>
        </w:rPr>
        <w:t>6</w:t>
      </w:r>
    </w:p>
    <w:p w:rsidR="007F78CE" w:rsidRPr="0046748A" w:rsidRDefault="007F78CE" w:rsidP="00E33DF3">
      <w:pPr>
        <w:spacing w:line="480" w:lineRule="auto"/>
        <w:rPr>
          <w:rFonts w:ascii="Book Antiqua" w:eastAsia="Times New Roman" w:hAnsi="Book Antiqua"/>
          <w:sz w:val="24"/>
        </w:rPr>
      </w:pPr>
      <w:r w:rsidRPr="0046748A">
        <w:rPr>
          <w:rFonts w:ascii="Book Antiqua" w:eastAsia="Arial" w:hAnsi="Book Antiqua"/>
          <w:b/>
          <w:bCs/>
          <w:sz w:val="24"/>
        </w:rPr>
        <w:t xml:space="preserve">Revised: </w:t>
      </w:r>
      <w:r w:rsidRPr="0046748A">
        <w:rPr>
          <w:rFonts w:ascii="Book Antiqua" w:hAnsi="Book Antiqua"/>
          <w:sz w:val="24"/>
        </w:rPr>
        <w:t>November</w:t>
      </w:r>
      <w:r w:rsidRPr="0046748A">
        <w:rPr>
          <w:rFonts w:ascii="Book Antiqua" w:eastAsia="Arial" w:hAnsi="Book Antiqua"/>
          <w:sz w:val="24"/>
        </w:rPr>
        <w:t xml:space="preserve"> </w:t>
      </w:r>
      <w:r w:rsidRPr="0046748A">
        <w:rPr>
          <w:rFonts w:ascii="Book Antiqua" w:hAnsi="Book Antiqua"/>
          <w:sz w:val="24"/>
        </w:rPr>
        <w:t>3</w:t>
      </w:r>
      <w:r w:rsidRPr="0046748A">
        <w:rPr>
          <w:rFonts w:ascii="Book Antiqua" w:eastAsia="Arial" w:hAnsi="Book Antiqua"/>
          <w:sz w:val="24"/>
        </w:rPr>
        <w:t>, 201</w:t>
      </w:r>
      <w:r w:rsidRPr="0046748A">
        <w:rPr>
          <w:rFonts w:ascii="Book Antiqua" w:hAnsi="Book Antiqua"/>
          <w:sz w:val="24"/>
        </w:rPr>
        <w:t>6</w:t>
      </w:r>
    </w:p>
    <w:p w:rsidR="007F78CE" w:rsidRPr="005357C1" w:rsidRDefault="007F78CE" w:rsidP="005357C1">
      <w:pPr>
        <w:spacing w:line="360" w:lineRule="auto"/>
        <w:rPr>
          <w:rFonts w:ascii="Book Antiqua" w:hAnsi="Book Antiqua"/>
          <w:color w:val="000000"/>
          <w:sz w:val="24"/>
        </w:rPr>
      </w:pPr>
      <w:r w:rsidRPr="0046748A">
        <w:rPr>
          <w:rFonts w:ascii="Book Antiqua" w:eastAsia="Arial" w:hAnsi="Book Antiqua"/>
          <w:b/>
          <w:bCs/>
          <w:sz w:val="24"/>
        </w:rPr>
        <w:lastRenderedPageBreak/>
        <w:t>Accepted:</w:t>
      </w:r>
      <w:r w:rsidR="005357C1" w:rsidRPr="005357C1">
        <w:rPr>
          <w:rFonts w:ascii="Book Antiqua" w:hAnsi="Book Antiqua"/>
          <w:color w:val="000000"/>
          <w:sz w:val="24"/>
        </w:rPr>
        <w:t xml:space="preserve"> </w:t>
      </w:r>
      <w:r w:rsidR="005357C1">
        <w:rPr>
          <w:rFonts w:ascii="Book Antiqua" w:hAnsi="Book Antiqua"/>
          <w:color w:val="000000"/>
          <w:sz w:val="24"/>
        </w:rPr>
        <w:t>December 8, 2016</w:t>
      </w:r>
      <w:bookmarkStart w:id="2" w:name="_GoBack"/>
      <w:bookmarkEnd w:id="2"/>
      <w:r w:rsidRPr="0046748A">
        <w:rPr>
          <w:rFonts w:ascii="Book Antiqua" w:eastAsia="Arial" w:hAnsi="Book Antiqua"/>
          <w:sz w:val="24"/>
        </w:rPr>
        <w:t xml:space="preserve"> </w:t>
      </w:r>
    </w:p>
    <w:p w:rsidR="007F78CE" w:rsidRPr="0046748A" w:rsidRDefault="007F78CE" w:rsidP="00E33DF3">
      <w:pPr>
        <w:spacing w:line="480" w:lineRule="auto"/>
        <w:rPr>
          <w:rFonts w:ascii="Book Antiqua" w:eastAsia="Arial" w:hAnsi="Book Antiqua"/>
          <w:sz w:val="24"/>
        </w:rPr>
      </w:pPr>
      <w:r w:rsidRPr="0046748A">
        <w:rPr>
          <w:rFonts w:ascii="Book Antiqua" w:eastAsia="Arial" w:hAnsi="Book Antiqua"/>
          <w:b/>
          <w:bCs/>
          <w:sz w:val="24"/>
        </w:rPr>
        <w:t>Article in press:</w:t>
      </w:r>
      <w:r w:rsidRPr="0046748A">
        <w:rPr>
          <w:rFonts w:ascii="Book Antiqua" w:eastAsia="Arial" w:hAnsi="Book Antiqua"/>
          <w:sz w:val="24"/>
        </w:rPr>
        <w:t xml:space="preserve"> </w:t>
      </w:r>
    </w:p>
    <w:p w:rsidR="007F78CE" w:rsidRPr="0046748A" w:rsidRDefault="007F78CE" w:rsidP="00E33DF3">
      <w:pPr>
        <w:spacing w:line="480" w:lineRule="auto"/>
        <w:rPr>
          <w:rFonts w:ascii="Book Antiqua" w:hAnsi="Book Antiqua"/>
          <w:b/>
          <w:bCs/>
          <w:color w:val="000000"/>
          <w:sz w:val="24"/>
        </w:rPr>
      </w:pPr>
      <w:r w:rsidRPr="0046748A">
        <w:rPr>
          <w:rFonts w:ascii="Book Antiqua" w:eastAsia="Arial" w:hAnsi="Book Antiqua"/>
          <w:b/>
          <w:bCs/>
          <w:sz w:val="24"/>
        </w:rPr>
        <w:t>Published online:</w:t>
      </w:r>
    </w:p>
    <w:p w:rsidR="0046748A" w:rsidRPr="0046748A" w:rsidRDefault="0046748A" w:rsidP="00E33DF3">
      <w:pPr>
        <w:pStyle w:val="Heading1"/>
        <w:spacing w:before="0" w:after="0" w:line="480" w:lineRule="auto"/>
        <w:rPr>
          <w:rFonts w:ascii="Book Antiqua" w:hAnsi="Book Antiqua"/>
          <w:b w:val="0"/>
          <w:bCs w:val="0"/>
          <w:sz w:val="24"/>
          <w:szCs w:val="24"/>
          <w:lang w:eastAsia="zh-CN"/>
        </w:rPr>
      </w:pPr>
    </w:p>
    <w:p w:rsidR="0046748A" w:rsidRPr="0046748A" w:rsidRDefault="0046748A" w:rsidP="00E33DF3">
      <w:pPr>
        <w:widowControl/>
        <w:rPr>
          <w:rFonts w:ascii="Book Antiqua" w:hAnsi="Book Antiqua"/>
          <w:kern w:val="44"/>
          <w:sz w:val="24"/>
          <w:lang w:val="x-none"/>
        </w:rPr>
      </w:pPr>
      <w:r w:rsidRPr="0046748A">
        <w:rPr>
          <w:rFonts w:ascii="Book Antiqua" w:hAnsi="Book Antiqua"/>
          <w:b/>
          <w:bCs/>
          <w:sz w:val="24"/>
        </w:rPr>
        <w:br w:type="page"/>
      </w:r>
    </w:p>
    <w:p w:rsidR="007F78CE" w:rsidRPr="0046748A" w:rsidRDefault="007F78CE" w:rsidP="00E33DF3">
      <w:pPr>
        <w:pStyle w:val="Heading1"/>
        <w:spacing w:before="0" w:after="0" w:line="480" w:lineRule="auto"/>
        <w:rPr>
          <w:rFonts w:ascii="Book Antiqua" w:hAnsi="Book Antiqua"/>
          <w:sz w:val="24"/>
          <w:szCs w:val="24"/>
        </w:rPr>
      </w:pPr>
      <w:r w:rsidRPr="0046748A">
        <w:rPr>
          <w:rFonts w:ascii="Book Antiqua" w:hAnsi="Book Antiqua"/>
          <w:sz w:val="24"/>
          <w:szCs w:val="24"/>
        </w:rPr>
        <w:lastRenderedPageBreak/>
        <w:t>A</w:t>
      </w:r>
      <w:r w:rsidR="0046748A" w:rsidRPr="0046748A">
        <w:rPr>
          <w:rFonts w:ascii="Book Antiqua" w:hAnsi="Book Antiqua"/>
          <w:sz w:val="24"/>
          <w:szCs w:val="24"/>
        </w:rPr>
        <w:t>bstract</w:t>
      </w:r>
    </w:p>
    <w:p w:rsidR="0046748A" w:rsidRPr="0046748A" w:rsidRDefault="0046748A" w:rsidP="00E33DF3">
      <w:pPr>
        <w:autoSpaceDE w:val="0"/>
        <w:autoSpaceDN w:val="0"/>
        <w:adjustRightInd w:val="0"/>
        <w:spacing w:line="480" w:lineRule="auto"/>
        <w:rPr>
          <w:rFonts w:ascii="Book Antiqua" w:hAnsi="Book Antiqua"/>
          <w:b/>
          <w:i/>
          <w:color w:val="000000"/>
          <w:sz w:val="24"/>
        </w:rPr>
      </w:pPr>
      <w:r w:rsidRPr="0046748A">
        <w:rPr>
          <w:rFonts w:ascii="Book Antiqua" w:hAnsi="Book Antiqua"/>
          <w:b/>
          <w:i/>
          <w:color w:val="000000"/>
          <w:sz w:val="24"/>
        </w:rPr>
        <w:t>AIM</w:t>
      </w:r>
    </w:p>
    <w:p w:rsidR="007F78CE" w:rsidRPr="0046748A" w:rsidRDefault="0046748A" w:rsidP="00E33DF3">
      <w:pPr>
        <w:autoSpaceDE w:val="0"/>
        <w:autoSpaceDN w:val="0"/>
        <w:adjustRightInd w:val="0"/>
        <w:spacing w:line="480" w:lineRule="auto"/>
        <w:rPr>
          <w:rFonts w:ascii="Book Antiqua" w:hAnsi="Book Antiqua"/>
          <w:color w:val="000000"/>
          <w:sz w:val="24"/>
        </w:rPr>
      </w:pPr>
      <w:r w:rsidRPr="0046748A">
        <w:rPr>
          <w:rFonts w:ascii="Book Antiqua" w:hAnsi="Book Antiqua"/>
          <w:color w:val="000000"/>
          <w:sz w:val="24"/>
        </w:rPr>
        <w:t xml:space="preserve">To </w:t>
      </w:r>
      <w:r w:rsidR="007F78CE" w:rsidRPr="0046748A">
        <w:rPr>
          <w:rFonts w:ascii="Book Antiqua" w:hAnsi="Book Antiqua"/>
          <w:color w:val="000000"/>
          <w:sz w:val="24"/>
        </w:rPr>
        <w:t xml:space="preserve">improve the understanding of the molecular mechanism of esophageal cancer development and provide molecular markers for screening populations at high risk for esophageal cancer and early diagnosis of this malignancy. </w:t>
      </w:r>
    </w:p>
    <w:p w:rsidR="0046748A" w:rsidRPr="0046748A" w:rsidRDefault="0046748A" w:rsidP="00E33DF3">
      <w:pPr>
        <w:autoSpaceDE w:val="0"/>
        <w:autoSpaceDN w:val="0"/>
        <w:adjustRightInd w:val="0"/>
        <w:spacing w:line="480" w:lineRule="auto"/>
        <w:rPr>
          <w:rFonts w:ascii="Book Antiqua" w:hAnsi="Book Antiqua"/>
          <w:color w:val="000000"/>
          <w:sz w:val="24"/>
        </w:rPr>
      </w:pPr>
    </w:p>
    <w:p w:rsidR="0046748A" w:rsidRPr="0046748A" w:rsidRDefault="0046748A" w:rsidP="00E33DF3">
      <w:pPr>
        <w:autoSpaceDE w:val="0"/>
        <w:autoSpaceDN w:val="0"/>
        <w:adjustRightInd w:val="0"/>
        <w:spacing w:line="480" w:lineRule="auto"/>
        <w:rPr>
          <w:rFonts w:ascii="Book Antiqua" w:hAnsi="Book Antiqua"/>
          <w:b/>
          <w:i/>
          <w:color w:val="000000"/>
          <w:sz w:val="24"/>
        </w:rPr>
      </w:pPr>
      <w:r w:rsidRPr="0046748A">
        <w:rPr>
          <w:rFonts w:ascii="Book Antiqua" w:hAnsi="Book Antiqua"/>
          <w:b/>
          <w:i/>
          <w:color w:val="000000"/>
          <w:sz w:val="24"/>
        </w:rPr>
        <w:t>METHODS</w:t>
      </w:r>
    </w:p>
    <w:p w:rsidR="007F78CE" w:rsidRPr="0046748A" w:rsidRDefault="007F78CE" w:rsidP="00E33DF3">
      <w:pPr>
        <w:autoSpaceDE w:val="0"/>
        <w:autoSpaceDN w:val="0"/>
        <w:adjustRightInd w:val="0"/>
        <w:spacing w:line="480" w:lineRule="auto"/>
        <w:rPr>
          <w:rFonts w:ascii="Book Antiqua" w:hAnsi="Book Antiqua"/>
          <w:color w:val="000000"/>
          <w:sz w:val="24"/>
        </w:rPr>
      </w:pPr>
      <w:r w:rsidRPr="0046748A">
        <w:rPr>
          <w:rFonts w:ascii="Book Antiqua" w:hAnsi="Book Antiqua"/>
          <w:color w:val="000000"/>
          <w:sz w:val="24"/>
        </w:rPr>
        <w:t>Two-dimensional electrophoresis combined with mass spectrometry were adopted to screen differentially expressed proteins in nine cases of fetal esophageal epithelium, eight cases of esophageal cancer, and eight cases of tumor-adjacent normal esophageal epithelium collected from fetuses of different gestational age or esophageal cancer patients from a high risk area</w:t>
      </w:r>
      <w:r w:rsidR="0046748A" w:rsidRPr="0046748A">
        <w:rPr>
          <w:rFonts w:ascii="Book Antiqua" w:hAnsi="Book Antiqua"/>
          <w:color w:val="000000"/>
          <w:sz w:val="24"/>
        </w:rPr>
        <w:t xml:space="preserve"> of esophageal cancer in China.</w:t>
      </w:r>
      <w:r w:rsidR="0046748A" w:rsidRPr="0046748A">
        <w:rPr>
          <w:rFonts w:ascii="Book Antiqua" w:hAnsi="Book Antiqua" w:hint="eastAsia"/>
          <w:color w:val="000000"/>
          <w:sz w:val="24"/>
        </w:rPr>
        <w:t xml:space="preserve"> </w:t>
      </w:r>
      <w:r w:rsidRPr="0046748A">
        <w:rPr>
          <w:rFonts w:ascii="Book Antiqua" w:hAnsi="Book Antiqua"/>
          <w:color w:val="000000"/>
          <w:sz w:val="24"/>
        </w:rPr>
        <w:t>Immunohistochemistry (avidin-biotin-horseradish peroxidase complex method) was used to detect the expression of peroxiredoxin 6 (PRX6) in 91 cases of esophageal cancer, tumor-adjacent normal esophageal tissue, basal cell hyperplasia, dysplasia,</w:t>
      </w:r>
      <w:r w:rsidRPr="0046748A">
        <w:rPr>
          <w:rFonts w:ascii="Book Antiqua" w:hAnsi="Book Antiqua"/>
          <w:sz w:val="24"/>
        </w:rPr>
        <w:t xml:space="preserve"> and </w:t>
      </w:r>
      <w:r w:rsidRPr="0046748A">
        <w:rPr>
          <w:rFonts w:ascii="Book Antiqua" w:hAnsi="Book Antiqua"/>
          <w:color w:val="000000"/>
          <w:sz w:val="24"/>
        </w:rPr>
        <w:t xml:space="preserve">carcinoma in situ as well as 65 cases of esophageal epithelium from fetuses at a gestational age of 3-9 </w:t>
      </w:r>
      <w:r w:rsidR="0046748A" w:rsidRPr="0046748A">
        <w:rPr>
          <w:rFonts w:ascii="Book Antiqua" w:hAnsi="Book Antiqua" w:hint="eastAsia"/>
          <w:color w:val="000000"/>
          <w:sz w:val="24"/>
        </w:rPr>
        <w:t>mo</w:t>
      </w:r>
      <w:r w:rsidRPr="0046748A">
        <w:rPr>
          <w:rFonts w:ascii="Book Antiqua" w:hAnsi="Book Antiqua"/>
          <w:color w:val="000000"/>
          <w:sz w:val="24"/>
        </w:rPr>
        <w:t>.</w:t>
      </w:r>
    </w:p>
    <w:p w:rsidR="0046748A" w:rsidRPr="0046748A" w:rsidRDefault="0046748A" w:rsidP="00E33DF3">
      <w:pPr>
        <w:autoSpaceDE w:val="0"/>
        <w:autoSpaceDN w:val="0"/>
        <w:adjustRightInd w:val="0"/>
        <w:spacing w:line="480" w:lineRule="auto"/>
        <w:rPr>
          <w:rFonts w:ascii="Book Antiqua" w:hAnsi="Book Antiqua"/>
          <w:color w:val="000000"/>
          <w:sz w:val="24"/>
        </w:rPr>
      </w:pPr>
    </w:p>
    <w:p w:rsidR="0046748A" w:rsidRPr="0046748A" w:rsidRDefault="007F78CE" w:rsidP="00E33DF3">
      <w:pPr>
        <w:autoSpaceDE w:val="0"/>
        <w:autoSpaceDN w:val="0"/>
        <w:adjustRightInd w:val="0"/>
        <w:spacing w:line="480" w:lineRule="auto"/>
        <w:rPr>
          <w:rFonts w:ascii="Book Antiqua" w:hAnsi="Book Antiqua"/>
          <w:b/>
          <w:i/>
          <w:color w:val="000000"/>
          <w:sz w:val="24"/>
        </w:rPr>
      </w:pPr>
      <w:r w:rsidRPr="0046748A">
        <w:rPr>
          <w:rFonts w:ascii="Book Antiqua" w:hAnsi="Book Antiqua"/>
          <w:b/>
          <w:i/>
          <w:color w:val="000000"/>
          <w:sz w:val="24"/>
        </w:rPr>
        <w:t>RESULTS</w:t>
      </w:r>
    </w:p>
    <w:p w:rsidR="007F78CE" w:rsidRPr="0046748A" w:rsidRDefault="007F78CE" w:rsidP="00E33DF3">
      <w:pPr>
        <w:autoSpaceDE w:val="0"/>
        <w:autoSpaceDN w:val="0"/>
        <w:adjustRightInd w:val="0"/>
        <w:spacing w:line="480" w:lineRule="auto"/>
        <w:rPr>
          <w:rFonts w:ascii="Book Antiqua" w:hAnsi="Book Antiqua"/>
          <w:color w:val="000000"/>
          <w:sz w:val="24"/>
        </w:rPr>
      </w:pPr>
      <w:r w:rsidRPr="0046748A">
        <w:rPr>
          <w:rFonts w:ascii="Book Antiqua" w:hAnsi="Book Antiqua"/>
          <w:color w:val="000000"/>
          <w:sz w:val="24"/>
          <w:lang w:val="fr-FR"/>
        </w:rPr>
        <w:t xml:space="preserve">After </w:t>
      </w:r>
      <w:r w:rsidRPr="0046748A">
        <w:rPr>
          <w:rFonts w:ascii="Book Antiqua" w:hAnsi="Book Antiqua"/>
          <w:sz w:val="24"/>
        </w:rPr>
        <w:t>peptide mass fingerprint</w:t>
      </w:r>
      <w:r w:rsidRPr="0046748A">
        <w:rPr>
          <w:rFonts w:ascii="Book Antiqua" w:hAnsi="Book Antiqua"/>
          <w:color w:val="000000"/>
          <w:sz w:val="24"/>
          <w:lang w:val="fr-FR"/>
        </w:rPr>
        <w:t xml:space="preserve"> analysis and </w:t>
      </w:r>
      <w:r w:rsidRPr="0046748A">
        <w:rPr>
          <w:rFonts w:ascii="Book Antiqua" w:hAnsi="Book Antiqua"/>
          <w:sz w:val="24"/>
          <w:lang w:val="fr-FR"/>
        </w:rPr>
        <w:t xml:space="preserve">search of protein databases, a </w:t>
      </w:r>
      <w:r w:rsidRPr="0046748A">
        <w:rPr>
          <w:rFonts w:ascii="Book Antiqua" w:hAnsi="Book Antiqua"/>
          <w:sz w:val="24"/>
          <w:lang w:val="fr-FR"/>
        </w:rPr>
        <w:lastRenderedPageBreak/>
        <w:t>total of 21 differential proteins were identified</w:t>
      </w:r>
      <w:r w:rsidRPr="0046748A">
        <w:rPr>
          <w:rFonts w:ascii="Book Antiqua" w:hAnsi="Book Antiqua"/>
          <w:color w:val="000000"/>
          <w:sz w:val="24"/>
        </w:rPr>
        <w:t>, of which some represent a protein isoform. Varying degrees of expression of PRX6 protein, which was localized mainly in the cytoplasm, were detected in adult and fetal normal esophageal tissues, precancerous lesions, and esophageal cancer</w:t>
      </w:r>
      <w:r w:rsidRPr="0046748A">
        <w:rPr>
          <w:rFonts w:ascii="Book Antiqua" w:hAnsi="Book Antiqua"/>
          <w:bCs/>
          <w:color w:val="000000"/>
          <w:sz w:val="24"/>
        </w:rPr>
        <w:t>.</w:t>
      </w:r>
      <w:r w:rsidRPr="0046748A">
        <w:rPr>
          <w:rFonts w:ascii="Book Antiqua" w:hAnsi="Book Antiqua"/>
          <w:color w:val="000000"/>
          <w:sz w:val="24"/>
        </w:rPr>
        <w:t xml:space="preserve"> With the progression of esophageal lesions, PRX6 protein expression showed a declining trend (</w:t>
      </w:r>
      <w:r w:rsidRPr="0046748A">
        <w:rPr>
          <w:rFonts w:ascii="Book Antiqua" w:hAnsi="Book Antiqua"/>
          <w:bCs/>
          <w:i/>
          <w:color w:val="000000"/>
          <w:sz w:val="24"/>
        </w:rPr>
        <w:t>P</w:t>
      </w:r>
      <w:r w:rsidRPr="0046748A">
        <w:rPr>
          <w:rFonts w:ascii="Book Antiqua" w:hAnsi="Book Antiqua"/>
          <w:bCs/>
          <w:color w:val="000000"/>
          <w:sz w:val="24"/>
        </w:rPr>
        <w:t xml:space="preserve"> &lt; 0.05</w:t>
      </w:r>
      <w:r w:rsidRPr="0046748A">
        <w:rPr>
          <w:rFonts w:ascii="Book Antiqua" w:hAnsi="Book Antiqua"/>
          <w:color w:val="000000"/>
          <w:sz w:val="24"/>
        </w:rPr>
        <w:t xml:space="preserve">). In fetal epithelium from fetuses at a gestational age of 3-6 </w:t>
      </w:r>
      <w:r w:rsidR="00E11849">
        <w:rPr>
          <w:rFonts w:ascii="Book Antiqua" w:hAnsi="Book Antiqua"/>
          <w:color w:val="000000"/>
          <w:sz w:val="24"/>
        </w:rPr>
        <w:t>mo</w:t>
      </w:r>
      <w:r w:rsidRPr="0046748A">
        <w:rPr>
          <w:rFonts w:ascii="Book Antiqua" w:hAnsi="Book Antiqua"/>
          <w:color w:val="000000"/>
          <w:sz w:val="24"/>
        </w:rPr>
        <w:t>, PRX6 protein expression showed a declining trend with age (</w:t>
      </w:r>
      <w:r w:rsidRPr="0046748A">
        <w:rPr>
          <w:rFonts w:ascii="Book Antiqua" w:hAnsi="Book Antiqua"/>
          <w:bCs/>
          <w:i/>
          <w:color w:val="000000"/>
          <w:sz w:val="24"/>
        </w:rPr>
        <w:t>P</w:t>
      </w:r>
      <w:r w:rsidRPr="0046748A">
        <w:rPr>
          <w:rFonts w:ascii="Book Antiqua" w:hAnsi="Book Antiqua"/>
          <w:bCs/>
          <w:color w:val="000000"/>
          <w:sz w:val="24"/>
        </w:rPr>
        <w:t xml:space="preserve"> &lt; 0.05</w:t>
      </w:r>
      <w:r w:rsidRPr="0046748A">
        <w:rPr>
          <w:rFonts w:ascii="Book Antiqua" w:hAnsi="Book Antiqua"/>
          <w:color w:val="000000"/>
          <w:sz w:val="24"/>
        </w:rPr>
        <w:t>). PRX6 protein expression was significantly higher in well differentiated esophageal cancer tissues than in poorly differentiated esophageal cancer tissues (</w:t>
      </w:r>
      <w:r w:rsidRPr="0046748A">
        <w:rPr>
          <w:rFonts w:ascii="Book Antiqua" w:hAnsi="Book Antiqua"/>
          <w:bCs/>
          <w:i/>
          <w:color w:val="000000"/>
          <w:sz w:val="24"/>
        </w:rPr>
        <w:t>P</w:t>
      </w:r>
      <w:r w:rsidRPr="0046748A">
        <w:rPr>
          <w:rFonts w:ascii="Book Antiqua" w:hAnsi="Book Antiqua"/>
          <w:bCs/>
          <w:color w:val="000000"/>
          <w:sz w:val="24"/>
        </w:rPr>
        <w:t xml:space="preserve"> &lt; 0.05)</w:t>
      </w:r>
      <w:r w:rsidRPr="0046748A">
        <w:rPr>
          <w:rFonts w:ascii="Book Antiqua" w:hAnsi="Book Antiqua"/>
          <w:color w:val="000000"/>
          <w:sz w:val="24"/>
        </w:rPr>
        <w:t>.</w:t>
      </w:r>
    </w:p>
    <w:p w:rsidR="0046748A" w:rsidRPr="0046748A" w:rsidRDefault="0046748A" w:rsidP="00E33DF3">
      <w:pPr>
        <w:autoSpaceDE w:val="0"/>
        <w:autoSpaceDN w:val="0"/>
        <w:adjustRightInd w:val="0"/>
        <w:spacing w:line="480" w:lineRule="auto"/>
        <w:rPr>
          <w:rFonts w:ascii="Book Antiqua" w:hAnsi="Book Antiqua"/>
          <w:bCs/>
          <w:color w:val="000000"/>
          <w:sz w:val="24"/>
        </w:rPr>
      </w:pPr>
    </w:p>
    <w:p w:rsidR="0046748A" w:rsidRPr="0046748A" w:rsidRDefault="0046748A" w:rsidP="00E33DF3">
      <w:pPr>
        <w:autoSpaceDE w:val="0"/>
        <w:autoSpaceDN w:val="0"/>
        <w:adjustRightInd w:val="0"/>
        <w:spacing w:line="480" w:lineRule="auto"/>
        <w:rPr>
          <w:rFonts w:ascii="Book Antiqua" w:hAnsi="Book Antiqua"/>
          <w:b/>
          <w:i/>
          <w:color w:val="000000"/>
          <w:sz w:val="24"/>
        </w:rPr>
      </w:pPr>
      <w:r w:rsidRPr="0046748A">
        <w:rPr>
          <w:rFonts w:ascii="Book Antiqua" w:hAnsi="Book Antiqua"/>
          <w:b/>
          <w:i/>
          <w:color w:val="000000"/>
          <w:sz w:val="24"/>
        </w:rPr>
        <w:t>CONCLUSION</w:t>
      </w:r>
    </w:p>
    <w:p w:rsidR="007F78CE" w:rsidRPr="0046748A" w:rsidRDefault="007F78CE" w:rsidP="00E33DF3">
      <w:pPr>
        <w:autoSpaceDE w:val="0"/>
        <w:autoSpaceDN w:val="0"/>
        <w:adjustRightInd w:val="0"/>
        <w:spacing w:line="480" w:lineRule="auto"/>
        <w:rPr>
          <w:rFonts w:ascii="Book Antiqua" w:hAnsi="Book Antiqua"/>
          <w:color w:val="000000"/>
          <w:sz w:val="24"/>
        </w:rPr>
      </w:pPr>
      <w:r w:rsidRPr="0046748A">
        <w:rPr>
          <w:rFonts w:ascii="Book Antiqua" w:hAnsi="Book Antiqua"/>
          <w:color w:val="000000"/>
          <w:sz w:val="24"/>
        </w:rPr>
        <w:t>Our results suggest that the development and progression of esophageal cancer are a result of interactions of many genetic changes (accumulation or superposition). PRX6 protein, one of differential proteins identified, is associated with fetal esophageal development and esophageal cancer differentiation.</w:t>
      </w:r>
    </w:p>
    <w:p w:rsidR="007F78CE" w:rsidRPr="0046748A" w:rsidRDefault="007F78CE" w:rsidP="00E33DF3">
      <w:pPr>
        <w:autoSpaceDE w:val="0"/>
        <w:autoSpaceDN w:val="0"/>
        <w:adjustRightInd w:val="0"/>
        <w:spacing w:line="480" w:lineRule="auto"/>
        <w:rPr>
          <w:rFonts w:ascii="Book Antiqua" w:hAnsi="Book Antiqua"/>
          <w:color w:val="000000"/>
          <w:sz w:val="24"/>
        </w:rPr>
      </w:pPr>
    </w:p>
    <w:p w:rsidR="007F78CE" w:rsidRPr="0046748A" w:rsidRDefault="007F78CE" w:rsidP="00E33DF3">
      <w:pPr>
        <w:spacing w:line="480" w:lineRule="auto"/>
        <w:rPr>
          <w:rFonts w:ascii="Book Antiqua" w:hAnsi="Book Antiqua"/>
          <w:sz w:val="24"/>
        </w:rPr>
      </w:pPr>
      <w:r w:rsidRPr="0046748A">
        <w:rPr>
          <w:rFonts w:ascii="Book Antiqua" w:hAnsi="Book Antiqua"/>
          <w:b/>
          <w:sz w:val="24"/>
        </w:rPr>
        <w:t>Key</w:t>
      </w:r>
      <w:r w:rsidR="0046748A" w:rsidRPr="0046748A">
        <w:rPr>
          <w:rFonts w:ascii="Book Antiqua" w:hAnsi="Book Antiqua" w:hint="eastAsia"/>
          <w:b/>
          <w:sz w:val="24"/>
        </w:rPr>
        <w:t xml:space="preserve"> </w:t>
      </w:r>
      <w:r w:rsidRPr="0046748A">
        <w:rPr>
          <w:rFonts w:ascii="Book Antiqua" w:hAnsi="Book Antiqua"/>
          <w:b/>
          <w:sz w:val="24"/>
        </w:rPr>
        <w:t xml:space="preserve">words: </w:t>
      </w:r>
      <w:r w:rsidR="0046748A" w:rsidRPr="0046748A">
        <w:rPr>
          <w:rFonts w:ascii="Book Antiqua" w:hAnsi="Book Antiqua"/>
          <w:sz w:val="24"/>
        </w:rPr>
        <w:t xml:space="preserve">Fetal </w:t>
      </w:r>
      <w:r w:rsidRPr="0046748A">
        <w:rPr>
          <w:rFonts w:ascii="Book Antiqua" w:hAnsi="Book Antiqua"/>
          <w:sz w:val="24"/>
        </w:rPr>
        <w:t xml:space="preserve">esophageal epithelium; </w:t>
      </w:r>
      <w:r w:rsidR="0046748A" w:rsidRPr="0046748A">
        <w:rPr>
          <w:rFonts w:ascii="Book Antiqua" w:hAnsi="Book Antiqua"/>
          <w:sz w:val="24"/>
        </w:rPr>
        <w:t xml:space="preserve">Esophageal </w:t>
      </w:r>
      <w:r w:rsidRPr="0046748A">
        <w:rPr>
          <w:rFonts w:ascii="Book Antiqua" w:hAnsi="Book Antiqua"/>
          <w:sz w:val="24"/>
        </w:rPr>
        <w:t xml:space="preserve">squamous cell carcinoma; </w:t>
      </w:r>
      <w:r w:rsidR="0046748A" w:rsidRPr="0046748A">
        <w:rPr>
          <w:rFonts w:ascii="Book Antiqua" w:hAnsi="Book Antiqua"/>
          <w:sz w:val="24"/>
        </w:rPr>
        <w:t>Tumor</w:t>
      </w:r>
      <w:r w:rsidRPr="0046748A">
        <w:rPr>
          <w:rFonts w:ascii="Book Antiqua" w:hAnsi="Book Antiqua"/>
          <w:sz w:val="24"/>
        </w:rPr>
        <w:t xml:space="preserve">-adjacent esophageal epithelium; </w:t>
      </w:r>
      <w:r w:rsidR="0046748A" w:rsidRPr="0046748A">
        <w:rPr>
          <w:rFonts w:ascii="Book Antiqua" w:hAnsi="Book Antiqua"/>
          <w:sz w:val="24"/>
        </w:rPr>
        <w:t>Proteomics</w:t>
      </w:r>
    </w:p>
    <w:p w:rsidR="007F78CE" w:rsidRPr="0046748A" w:rsidRDefault="007F78CE" w:rsidP="00E33DF3">
      <w:pPr>
        <w:spacing w:line="480" w:lineRule="auto"/>
        <w:rPr>
          <w:rFonts w:ascii="Book Antiqua" w:hAnsi="Book Antiqua"/>
          <w:sz w:val="24"/>
        </w:rPr>
      </w:pPr>
    </w:p>
    <w:p w:rsidR="0046748A" w:rsidRPr="0046748A" w:rsidRDefault="007F78CE" w:rsidP="00E33DF3">
      <w:pPr>
        <w:spacing w:line="412" w:lineRule="auto"/>
        <w:rPr>
          <w:rFonts w:ascii="Book Antiqua" w:eastAsiaTheme="minorEastAsia" w:hAnsi="Book Antiqua"/>
          <w:sz w:val="24"/>
        </w:rPr>
      </w:pPr>
      <w:r w:rsidRPr="0046748A">
        <w:rPr>
          <w:rFonts w:ascii="Book Antiqua" w:eastAsia="Arial" w:hAnsi="Book Antiqua"/>
          <w:b/>
          <w:bCs/>
          <w:sz w:val="24"/>
        </w:rPr>
        <w:t>© The Author(s) 201</w:t>
      </w:r>
      <w:r w:rsidRPr="0046748A">
        <w:rPr>
          <w:rFonts w:ascii="Book Antiqua" w:hAnsi="Book Antiqua"/>
          <w:b/>
          <w:bCs/>
          <w:sz w:val="24"/>
        </w:rPr>
        <w:t>6</w:t>
      </w:r>
      <w:r w:rsidRPr="0046748A">
        <w:rPr>
          <w:rFonts w:ascii="Book Antiqua" w:eastAsia="Arial" w:hAnsi="Book Antiqua"/>
          <w:b/>
          <w:bCs/>
          <w:sz w:val="24"/>
        </w:rPr>
        <w:t>.</w:t>
      </w:r>
      <w:r w:rsidRPr="0046748A">
        <w:rPr>
          <w:rFonts w:ascii="Book Antiqua" w:eastAsia="Arial" w:hAnsi="Book Antiqua"/>
          <w:sz w:val="24"/>
        </w:rPr>
        <w:t xml:space="preserve"> Published by Baishideng Publishing Group Inc. All </w:t>
      </w:r>
      <w:r w:rsidRPr="0046748A">
        <w:rPr>
          <w:rFonts w:ascii="Book Antiqua" w:eastAsia="Arial" w:hAnsi="Book Antiqua"/>
          <w:sz w:val="24"/>
        </w:rPr>
        <w:lastRenderedPageBreak/>
        <w:t>rights reserved.</w:t>
      </w:r>
    </w:p>
    <w:p w:rsidR="007F78CE" w:rsidRPr="0046748A" w:rsidRDefault="007F78CE" w:rsidP="00E33DF3">
      <w:pPr>
        <w:spacing w:line="352" w:lineRule="exact"/>
        <w:rPr>
          <w:rFonts w:ascii="Book Antiqua" w:eastAsia="Times New Roman" w:hAnsi="Book Antiqua"/>
          <w:sz w:val="24"/>
        </w:rPr>
      </w:pPr>
    </w:p>
    <w:p w:rsidR="007F78CE" w:rsidRPr="0046748A" w:rsidRDefault="007F78CE" w:rsidP="00E33DF3">
      <w:pPr>
        <w:autoSpaceDE w:val="0"/>
        <w:autoSpaceDN w:val="0"/>
        <w:adjustRightInd w:val="0"/>
        <w:spacing w:line="480" w:lineRule="auto"/>
        <w:rPr>
          <w:rFonts w:ascii="Book Antiqua" w:hAnsi="Book Antiqua"/>
          <w:color w:val="000000"/>
          <w:sz w:val="24"/>
        </w:rPr>
      </w:pPr>
      <w:r w:rsidRPr="0046748A">
        <w:rPr>
          <w:rFonts w:ascii="Book Antiqua" w:eastAsia="Arial" w:hAnsi="Book Antiqua"/>
          <w:b/>
          <w:bCs/>
          <w:sz w:val="24"/>
        </w:rPr>
        <w:t>Core tip:</w:t>
      </w:r>
      <w:r w:rsidRPr="0046748A">
        <w:rPr>
          <w:rFonts w:ascii="Book Antiqua" w:eastAsia="Arial" w:hAnsi="Book Antiqua"/>
          <w:sz w:val="24"/>
        </w:rPr>
        <w:t xml:space="preserve"> This is a retrospective study to </w:t>
      </w:r>
      <w:r w:rsidRPr="0046748A">
        <w:rPr>
          <w:rFonts w:ascii="Book Antiqua" w:hAnsi="Book Antiqua"/>
          <w:color w:val="000000"/>
          <w:kern w:val="0"/>
          <w:sz w:val="24"/>
        </w:rPr>
        <w:t xml:space="preserve">identify 21 significantly differentially expressed proteins that may be related to the </w:t>
      </w:r>
      <w:r w:rsidRPr="0046748A">
        <w:rPr>
          <w:rFonts w:ascii="Book Antiqua" w:hAnsi="Book Antiqua"/>
          <w:color w:val="000000"/>
          <w:sz w:val="24"/>
        </w:rPr>
        <w:t>development and growth of fetal esophageal epithelium or the development and progression of esophageal cancer, PRX6 protein,one of them,which was localized mainly in the cytoplasm, were detected in adult and fetal normal esophageal tissues, precancerous lesions, and esophageal cancer</w:t>
      </w:r>
      <w:r w:rsidRPr="0046748A">
        <w:rPr>
          <w:rFonts w:ascii="Book Antiqua" w:hAnsi="Book Antiqua"/>
          <w:bCs/>
          <w:color w:val="000000"/>
          <w:sz w:val="24"/>
        </w:rPr>
        <w:t>.</w:t>
      </w:r>
      <w:r w:rsidRPr="0046748A">
        <w:rPr>
          <w:rFonts w:ascii="Book Antiqua" w:hAnsi="Book Antiqua"/>
          <w:color w:val="000000"/>
          <w:sz w:val="24"/>
        </w:rPr>
        <w:t xml:space="preserve"> With the progression of esophageal lesions, PRX6 protein expression showed a declining trend (</w:t>
      </w:r>
      <w:r w:rsidRPr="0046748A">
        <w:rPr>
          <w:rFonts w:ascii="Book Antiqua" w:hAnsi="Book Antiqua"/>
          <w:bCs/>
          <w:i/>
          <w:color w:val="000000"/>
          <w:sz w:val="24"/>
        </w:rPr>
        <w:t>P</w:t>
      </w:r>
      <w:r w:rsidRPr="0046748A">
        <w:rPr>
          <w:rFonts w:ascii="Book Antiqua" w:hAnsi="Book Antiqua"/>
          <w:bCs/>
          <w:color w:val="000000"/>
          <w:sz w:val="24"/>
        </w:rPr>
        <w:t xml:space="preserve"> &lt; 0.05</w:t>
      </w:r>
      <w:r w:rsidRPr="0046748A">
        <w:rPr>
          <w:rFonts w:ascii="Book Antiqua" w:hAnsi="Book Antiqua"/>
          <w:color w:val="000000"/>
          <w:sz w:val="24"/>
        </w:rPr>
        <w:t xml:space="preserve">). In fetal epithelium from fetuses at a gestational age of 3-6 </w:t>
      </w:r>
      <w:r w:rsidR="00E33DF3">
        <w:rPr>
          <w:rFonts w:ascii="Book Antiqua" w:hAnsi="Book Antiqua" w:hint="eastAsia"/>
          <w:color w:val="000000"/>
          <w:sz w:val="24"/>
        </w:rPr>
        <w:t>mo</w:t>
      </w:r>
      <w:r w:rsidRPr="0046748A">
        <w:rPr>
          <w:rFonts w:ascii="Book Antiqua" w:hAnsi="Book Antiqua"/>
          <w:color w:val="000000"/>
          <w:sz w:val="24"/>
        </w:rPr>
        <w:t>, PRX6 protein expression showed a declining trend with age (</w:t>
      </w:r>
      <w:r w:rsidRPr="0046748A">
        <w:rPr>
          <w:rFonts w:ascii="Book Antiqua" w:hAnsi="Book Antiqua"/>
          <w:bCs/>
          <w:i/>
          <w:color w:val="000000"/>
          <w:sz w:val="24"/>
        </w:rPr>
        <w:t>P</w:t>
      </w:r>
      <w:r w:rsidRPr="0046748A">
        <w:rPr>
          <w:rFonts w:ascii="Book Antiqua" w:hAnsi="Book Antiqua"/>
          <w:bCs/>
          <w:color w:val="000000"/>
          <w:sz w:val="24"/>
        </w:rPr>
        <w:t xml:space="preserve"> &lt; 0.05</w:t>
      </w:r>
      <w:r w:rsidRPr="0046748A">
        <w:rPr>
          <w:rFonts w:ascii="Book Antiqua" w:hAnsi="Book Antiqua"/>
          <w:color w:val="000000"/>
          <w:sz w:val="24"/>
        </w:rPr>
        <w:t>). PRX6 protein expression was significantly higher in well differentiated esophageal cancer tissues than in poorly differentiated esophageal cancer tissues (</w:t>
      </w:r>
      <w:r w:rsidRPr="0046748A">
        <w:rPr>
          <w:rFonts w:ascii="Book Antiqua" w:hAnsi="Book Antiqua"/>
          <w:bCs/>
          <w:i/>
          <w:color w:val="000000"/>
          <w:sz w:val="24"/>
        </w:rPr>
        <w:t>P</w:t>
      </w:r>
      <w:r w:rsidRPr="0046748A">
        <w:rPr>
          <w:rFonts w:ascii="Book Antiqua" w:hAnsi="Book Antiqua"/>
          <w:bCs/>
          <w:color w:val="000000"/>
          <w:sz w:val="24"/>
        </w:rPr>
        <w:t xml:space="preserve"> &lt; 0.05)</w:t>
      </w:r>
      <w:r w:rsidRPr="0046748A">
        <w:rPr>
          <w:rFonts w:ascii="Book Antiqua" w:hAnsi="Book Antiqua"/>
          <w:color w:val="000000"/>
          <w:sz w:val="24"/>
        </w:rPr>
        <w:t>.</w:t>
      </w:r>
      <w:r w:rsidR="00E33DF3">
        <w:rPr>
          <w:rFonts w:ascii="Book Antiqua" w:hAnsi="Book Antiqua" w:hint="eastAsia"/>
          <w:color w:val="000000"/>
          <w:sz w:val="24"/>
        </w:rPr>
        <w:t xml:space="preserve"> </w:t>
      </w:r>
      <w:r w:rsidRPr="0046748A">
        <w:rPr>
          <w:rFonts w:ascii="Book Antiqua" w:hAnsi="Book Antiqua"/>
          <w:color w:val="000000"/>
          <w:sz w:val="24"/>
        </w:rPr>
        <w:t>PRX6 protein, one of differential proteins identified, is associated with fetal esophageal development and esophageal cancer differentiation.</w:t>
      </w:r>
    </w:p>
    <w:p w:rsidR="007F78CE" w:rsidRPr="0046748A" w:rsidRDefault="007F78CE" w:rsidP="00E33DF3">
      <w:pPr>
        <w:spacing w:line="393" w:lineRule="exact"/>
        <w:rPr>
          <w:rFonts w:ascii="Book Antiqua" w:hAnsi="Book Antiqua"/>
          <w:sz w:val="24"/>
        </w:rPr>
      </w:pPr>
    </w:p>
    <w:p w:rsidR="007F78CE" w:rsidRPr="0046748A" w:rsidRDefault="0046748A" w:rsidP="00E33DF3">
      <w:pPr>
        <w:spacing w:line="480" w:lineRule="auto"/>
        <w:rPr>
          <w:rFonts w:ascii="Book Antiqua" w:hAnsi="Book Antiqua"/>
          <w:sz w:val="24"/>
        </w:rPr>
      </w:pPr>
      <w:r w:rsidRPr="0046748A">
        <w:rPr>
          <w:rFonts w:ascii="Book Antiqua" w:hAnsi="Book Antiqua"/>
          <w:sz w:val="24"/>
        </w:rPr>
        <w:t>Guo</w:t>
      </w:r>
      <w:r w:rsidRPr="0046748A">
        <w:rPr>
          <w:rFonts w:ascii="Book Antiqua" w:hAnsi="Book Antiqua" w:hint="eastAsia"/>
          <w:sz w:val="24"/>
        </w:rPr>
        <w:t xml:space="preserve"> JH, </w:t>
      </w:r>
      <w:r w:rsidRPr="0046748A">
        <w:rPr>
          <w:rFonts w:ascii="Book Antiqua" w:hAnsi="Book Antiqua"/>
          <w:sz w:val="24"/>
        </w:rPr>
        <w:t>Xing</w:t>
      </w:r>
      <w:r w:rsidRPr="0046748A">
        <w:rPr>
          <w:rFonts w:ascii="Book Antiqua" w:hAnsi="Book Antiqua" w:hint="eastAsia"/>
          <w:sz w:val="24"/>
        </w:rPr>
        <w:t xml:space="preserve"> GL, </w:t>
      </w:r>
      <w:r w:rsidRPr="0046748A">
        <w:rPr>
          <w:rFonts w:ascii="Book Antiqua" w:hAnsi="Book Antiqua"/>
          <w:sz w:val="24"/>
        </w:rPr>
        <w:t>Fang</w:t>
      </w:r>
      <w:r w:rsidRPr="0046748A">
        <w:rPr>
          <w:rFonts w:ascii="Book Antiqua" w:hAnsi="Book Antiqua" w:hint="eastAsia"/>
          <w:sz w:val="24"/>
        </w:rPr>
        <w:t xml:space="preserve"> XH, </w:t>
      </w:r>
      <w:r w:rsidRPr="0046748A">
        <w:rPr>
          <w:rFonts w:ascii="Book Antiqua" w:hAnsi="Book Antiqua"/>
          <w:sz w:val="24"/>
        </w:rPr>
        <w:t>Wu</w:t>
      </w:r>
      <w:r w:rsidRPr="0046748A">
        <w:rPr>
          <w:rFonts w:ascii="Book Antiqua" w:hAnsi="Book Antiqua" w:hint="eastAsia"/>
          <w:sz w:val="24"/>
        </w:rPr>
        <w:t xml:space="preserve"> HF, </w:t>
      </w:r>
      <w:r w:rsidRPr="0046748A">
        <w:rPr>
          <w:rFonts w:ascii="Book Antiqua" w:hAnsi="Book Antiqua"/>
          <w:sz w:val="24"/>
        </w:rPr>
        <w:t>Zhang</w:t>
      </w:r>
      <w:r w:rsidRPr="0046748A">
        <w:rPr>
          <w:rFonts w:ascii="Book Antiqua" w:hAnsi="Book Antiqua" w:hint="eastAsia"/>
          <w:sz w:val="24"/>
        </w:rPr>
        <w:t xml:space="preserve"> B, </w:t>
      </w:r>
      <w:r w:rsidRPr="0046748A">
        <w:rPr>
          <w:rFonts w:ascii="Book Antiqua" w:hAnsi="Book Antiqua"/>
          <w:sz w:val="24"/>
        </w:rPr>
        <w:t>Yu</w:t>
      </w:r>
      <w:r w:rsidRPr="0046748A">
        <w:rPr>
          <w:rFonts w:ascii="Book Antiqua" w:hAnsi="Book Antiqua" w:hint="eastAsia"/>
          <w:sz w:val="24"/>
        </w:rPr>
        <w:t xml:space="preserve"> J, </w:t>
      </w:r>
      <w:r w:rsidRPr="0046748A">
        <w:rPr>
          <w:rFonts w:ascii="Book Antiqua" w:hAnsi="Book Antiqua"/>
          <w:sz w:val="24"/>
        </w:rPr>
        <w:t>Fan</w:t>
      </w:r>
      <w:r w:rsidRPr="0046748A">
        <w:rPr>
          <w:rFonts w:ascii="Book Antiqua" w:hAnsi="Book Antiqua" w:hint="eastAsia"/>
          <w:sz w:val="24"/>
        </w:rPr>
        <w:t xml:space="preserve"> ZM, </w:t>
      </w:r>
      <w:r w:rsidRPr="0046748A">
        <w:rPr>
          <w:rFonts w:ascii="Book Antiqua" w:hAnsi="Book Antiqua"/>
          <w:sz w:val="24"/>
        </w:rPr>
        <w:t>Wang</w:t>
      </w:r>
      <w:r w:rsidRPr="0046748A">
        <w:rPr>
          <w:rFonts w:ascii="Book Antiqua" w:hAnsi="Book Antiqua" w:hint="eastAsia"/>
          <w:sz w:val="24"/>
        </w:rPr>
        <w:t xml:space="preserve"> LD. </w:t>
      </w:r>
      <w:r w:rsidRPr="0046748A">
        <w:rPr>
          <w:rFonts w:ascii="Book Antiqua" w:hAnsi="Book Antiqua"/>
          <w:sz w:val="24"/>
        </w:rPr>
        <w:t>Proteomic profiling of fetal esophageal epithelium, esophageal cancer, and tumor-adjacent esophageal epithelium and immunohistochemical characterization of a representative differential protein, PRX6</w:t>
      </w:r>
      <w:r w:rsidRPr="0046748A">
        <w:rPr>
          <w:rFonts w:ascii="Book Antiqua" w:hAnsi="Book Antiqua" w:hint="eastAsia"/>
          <w:sz w:val="24"/>
        </w:rPr>
        <w:t xml:space="preserve">. </w:t>
      </w:r>
      <w:r w:rsidR="007F78CE" w:rsidRPr="0046748A">
        <w:rPr>
          <w:rFonts w:ascii="Book Antiqua" w:eastAsia="Arial" w:hAnsi="Book Antiqua"/>
          <w:i/>
          <w:sz w:val="24"/>
        </w:rPr>
        <w:t>World J Gastroenterol</w:t>
      </w:r>
      <w:r w:rsidR="007F78CE" w:rsidRPr="0046748A">
        <w:rPr>
          <w:rFonts w:ascii="Book Antiqua" w:eastAsia="Arial" w:hAnsi="Book Antiqua"/>
          <w:sz w:val="24"/>
        </w:rPr>
        <w:t xml:space="preserve"> 201</w:t>
      </w:r>
      <w:r w:rsidR="007F78CE" w:rsidRPr="0046748A">
        <w:rPr>
          <w:rFonts w:ascii="Book Antiqua" w:hAnsi="Book Antiqua"/>
          <w:sz w:val="24"/>
        </w:rPr>
        <w:t>6</w:t>
      </w:r>
      <w:r w:rsidR="007F78CE" w:rsidRPr="0046748A">
        <w:rPr>
          <w:rFonts w:ascii="Book Antiqua" w:eastAsia="Arial" w:hAnsi="Book Antiqua"/>
          <w:sz w:val="24"/>
        </w:rPr>
        <w:t>; In press</w:t>
      </w:r>
    </w:p>
    <w:p w:rsidR="007F78CE" w:rsidRPr="0046748A" w:rsidRDefault="007F78CE" w:rsidP="00E33DF3">
      <w:pPr>
        <w:spacing w:line="480" w:lineRule="auto"/>
        <w:rPr>
          <w:rFonts w:ascii="Book Antiqua" w:hAnsi="Book Antiqua"/>
          <w:sz w:val="24"/>
        </w:rPr>
      </w:pPr>
    </w:p>
    <w:p w:rsidR="007F78CE" w:rsidRPr="0046748A" w:rsidRDefault="007F78CE" w:rsidP="00E33DF3">
      <w:pPr>
        <w:pStyle w:val="Heading1"/>
        <w:spacing w:before="0" w:after="0"/>
        <w:rPr>
          <w:rFonts w:ascii="Book Antiqua" w:hAnsi="Book Antiqua"/>
          <w:sz w:val="24"/>
          <w:szCs w:val="24"/>
        </w:rPr>
      </w:pPr>
      <w:r w:rsidRPr="0046748A">
        <w:rPr>
          <w:rFonts w:ascii="Book Antiqua" w:hAnsi="Book Antiqua"/>
          <w:b w:val="0"/>
          <w:bCs w:val="0"/>
          <w:sz w:val="24"/>
          <w:szCs w:val="24"/>
        </w:rPr>
        <w:br w:type="page"/>
      </w:r>
      <w:r w:rsidRPr="0046748A">
        <w:rPr>
          <w:rFonts w:ascii="Book Antiqua" w:hAnsi="Book Antiqua"/>
          <w:sz w:val="24"/>
          <w:szCs w:val="24"/>
        </w:rPr>
        <w:lastRenderedPageBreak/>
        <w:t>INTRODUCTION</w:t>
      </w:r>
    </w:p>
    <w:p w:rsidR="007F78CE" w:rsidRPr="0046748A" w:rsidRDefault="007F78CE" w:rsidP="00E33DF3">
      <w:pPr>
        <w:tabs>
          <w:tab w:val="left" w:pos="709"/>
        </w:tabs>
        <w:spacing w:line="360" w:lineRule="auto"/>
        <w:rPr>
          <w:rFonts w:ascii="Book Antiqua" w:hAnsi="Book Antiqua"/>
          <w:color w:val="000000"/>
          <w:sz w:val="24"/>
        </w:rPr>
      </w:pPr>
      <w:r w:rsidRPr="0046748A">
        <w:rPr>
          <w:rFonts w:ascii="Book Antiqua" w:hAnsi="Book Antiqua"/>
          <w:color w:val="000000"/>
          <w:sz w:val="24"/>
        </w:rPr>
        <w:t xml:space="preserve">Esophageal cancer is one of the most common thoracic malignancies that pose a serious threat to human health. There are </w:t>
      </w:r>
      <w:r w:rsidR="0046748A" w:rsidRPr="0046748A">
        <w:rPr>
          <w:rFonts w:ascii="Book Antiqua" w:hAnsi="Book Antiqua" w:hint="eastAsia"/>
          <w:color w:val="000000"/>
          <w:sz w:val="24"/>
        </w:rPr>
        <w:t xml:space="preserve">about </w:t>
      </w:r>
      <w:r w:rsidRPr="0046748A">
        <w:rPr>
          <w:rFonts w:ascii="Book Antiqua" w:hAnsi="Book Antiqua"/>
          <w:color w:val="000000"/>
          <w:sz w:val="24"/>
        </w:rPr>
        <w:t xml:space="preserve">400000 newly diagnosed cases of esophageal cancer and </w:t>
      </w:r>
      <w:r w:rsidR="0046748A" w:rsidRPr="0046748A">
        <w:rPr>
          <w:rFonts w:ascii="Book Antiqua" w:hAnsi="Book Antiqua" w:hint="eastAsia"/>
          <w:color w:val="000000"/>
          <w:sz w:val="24"/>
        </w:rPr>
        <w:t xml:space="preserve">about </w:t>
      </w:r>
      <w:r w:rsidRPr="0046748A">
        <w:rPr>
          <w:rFonts w:ascii="Book Antiqua" w:hAnsi="Book Antiqua"/>
          <w:color w:val="000000"/>
          <w:sz w:val="24"/>
        </w:rPr>
        <w:t>300000 cases of esophageal cancer related death worldwide each year, with the majority of patients diagnosed in developing countries. China is one of the countries or regions with high incidence and mortality rates of esophageal cancer. Since the 1990s, the overall incidence and mortality rates of esophageal cancer have declined in China; however, esophageal cancer is still the leading cause of cancer related death in northern Henan Province and Chaoshan area of Guangdong Province, both of which are high risk areas of esophageal cancer in China. Squamous cell carcinoma is the most important histological subtype of esophageal cancer in China. Esophageal cancer, especially esophageal squamous cell carcinoma, is still a key research field for thoracic surgical workers in China. Although China has a high incidence of esophageal cancer, &gt;</w:t>
      </w:r>
      <w:r w:rsidR="0046748A" w:rsidRPr="0046748A">
        <w:rPr>
          <w:rFonts w:ascii="Book Antiqua" w:hAnsi="Book Antiqua" w:hint="eastAsia"/>
          <w:color w:val="000000"/>
          <w:sz w:val="24"/>
        </w:rPr>
        <w:t xml:space="preserve"> </w:t>
      </w:r>
      <w:r w:rsidRPr="0046748A">
        <w:rPr>
          <w:rFonts w:ascii="Book Antiqua" w:hAnsi="Book Antiqua"/>
          <w:color w:val="000000"/>
          <w:sz w:val="24"/>
        </w:rPr>
        <w:t xml:space="preserve">90% of patients are diagnosed at a middle or late stage. As a result, the 5-year survival rate for Chinese esophageal cancer patients had no obvious decline over the past decades. In patients with early esophageal cancer who have undergone surgical or minimally invasive endoscopic treatment, the 5-year survival rate can reach &gt; 90%. Therefore, early diagnosis is very important for its prognosis. Clarifying the molecular mechanisms underlying the development and progression of esophageal cancer and identifying biological markers for screening high-risk populations are therefore of great clinical importance for early diagnosis. In the present study, we collected fetal esophageal tissues, esophageal cancer tissues, different degrees of precancerous lesions, and tumor-adjacent normal esophageal epithelial tissues from fetuses of different gestational age or esophageal cancer patients from a high risk area of esophageal cancer in China, and utilized the proteomic technology to analyze the differential protein expression profiles in </w:t>
      </w:r>
      <w:r w:rsidRPr="0046748A">
        <w:rPr>
          <w:rFonts w:ascii="Book Antiqua" w:hAnsi="Book Antiqua"/>
          <w:color w:val="000000"/>
          <w:sz w:val="24"/>
        </w:rPr>
        <w:lastRenderedPageBreak/>
        <w:t xml:space="preserve">the development and growth of fetal esophageal epithelium and the development and progression of esophageal cancer, with an aim to clarify the molecular mechanism of esophageal cancer development. </w:t>
      </w:r>
    </w:p>
    <w:p w:rsidR="0046748A" w:rsidRPr="0046748A" w:rsidRDefault="0046748A" w:rsidP="00E33DF3">
      <w:pPr>
        <w:tabs>
          <w:tab w:val="left" w:pos="709"/>
        </w:tabs>
        <w:spacing w:line="360" w:lineRule="auto"/>
        <w:rPr>
          <w:rFonts w:ascii="Book Antiqua" w:hAnsi="Book Antiqua"/>
          <w:color w:val="000000"/>
          <w:sz w:val="24"/>
        </w:rPr>
      </w:pPr>
    </w:p>
    <w:p w:rsidR="007F78CE" w:rsidRPr="0046748A" w:rsidRDefault="007F78CE" w:rsidP="00E33DF3">
      <w:pPr>
        <w:pStyle w:val="Heading1"/>
        <w:spacing w:before="0" w:after="0"/>
        <w:rPr>
          <w:rFonts w:ascii="Book Antiqua" w:hAnsi="Book Antiqua"/>
          <w:sz w:val="24"/>
          <w:szCs w:val="24"/>
        </w:rPr>
      </w:pPr>
      <w:r w:rsidRPr="0046748A">
        <w:rPr>
          <w:rFonts w:ascii="Book Antiqua" w:hAnsi="Book Antiqua"/>
          <w:sz w:val="24"/>
          <w:szCs w:val="24"/>
        </w:rPr>
        <w:t>MATERIALS AND METHODS</w:t>
      </w:r>
    </w:p>
    <w:p w:rsidR="007F78CE" w:rsidRPr="0046748A" w:rsidRDefault="007F78CE" w:rsidP="00E33DF3">
      <w:pPr>
        <w:pStyle w:val="Subtitle"/>
        <w:spacing w:before="0" w:after="0"/>
        <w:jc w:val="both"/>
        <w:outlineLvl w:val="9"/>
        <w:rPr>
          <w:rFonts w:ascii="Book Antiqua" w:hAnsi="Book Antiqua"/>
          <w:i/>
          <w:sz w:val="24"/>
          <w:szCs w:val="24"/>
        </w:rPr>
      </w:pPr>
      <w:r w:rsidRPr="0046748A">
        <w:rPr>
          <w:rFonts w:ascii="Book Antiqua" w:hAnsi="Book Antiqua"/>
          <w:i/>
          <w:sz w:val="24"/>
          <w:szCs w:val="24"/>
        </w:rPr>
        <w:t xml:space="preserve">Specimens </w:t>
      </w:r>
    </w:p>
    <w:p w:rsidR="007F78CE" w:rsidRPr="0046748A" w:rsidRDefault="007F78CE" w:rsidP="00E33DF3">
      <w:pPr>
        <w:spacing w:line="360" w:lineRule="auto"/>
        <w:rPr>
          <w:rFonts w:ascii="Book Antiqua" w:hAnsi="Book Antiqua"/>
          <w:color w:val="000000"/>
          <w:kern w:val="0"/>
          <w:sz w:val="24"/>
        </w:rPr>
      </w:pPr>
      <w:r w:rsidRPr="0046748A">
        <w:rPr>
          <w:rFonts w:ascii="Book Antiqua" w:hAnsi="Book Antiqua"/>
          <w:color w:val="000000"/>
          <w:sz w:val="24"/>
        </w:rPr>
        <w:t xml:space="preserve">Esophageal cancer specimens were collected from 91 patients who underwent surgery at the Yaocun Esophageal Cancer Hospital (Linzhou, Henan Province, China) from </w:t>
      </w:r>
      <w:r w:rsidRPr="0046748A">
        <w:rPr>
          <w:rFonts w:ascii="Book Antiqua" w:hAnsi="Book Antiqua"/>
          <w:color w:val="000000"/>
          <w:kern w:val="0"/>
          <w:sz w:val="24"/>
        </w:rPr>
        <w:t>2000 to 2005. All patients did not undergo either chemotherapy or radiotherapy. There were 51 men and 40 women, with a median age of 58 years (range, 35-78 years).</w:t>
      </w:r>
    </w:p>
    <w:p w:rsidR="007F78CE" w:rsidRPr="0046748A" w:rsidRDefault="007F78CE" w:rsidP="00E33DF3">
      <w:pPr>
        <w:spacing w:line="360" w:lineRule="auto"/>
        <w:ind w:firstLineChars="100" w:firstLine="240"/>
        <w:rPr>
          <w:rFonts w:ascii="Book Antiqua" w:hAnsi="Book Antiqua"/>
          <w:color w:val="000000"/>
          <w:sz w:val="24"/>
        </w:rPr>
      </w:pPr>
      <w:r w:rsidRPr="0046748A">
        <w:rPr>
          <w:rFonts w:ascii="Book Antiqua" w:hAnsi="Book Antiqua"/>
          <w:color w:val="000000"/>
          <w:sz w:val="24"/>
        </w:rPr>
        <w:t xml:space="preserve">Tumor-adjacent normal esophageal mucosal epithelial tissues were collected under a microscope. A solitary lesion was considered only when the lesion was separated from other lesions by ≥ 1 cm of morphologically normal esophageal epithelium. Tumor-adjacent esophageal epithelium was regarded as normal regardless of whether it was completely or only partially normal. </w:t>
      </w:r>
    </w:p>
    <w:p w:rsidR="007F78CE" w:rsidRPr="0046748A" w:rsidRDefault="007F78CE" w:rsidP="00E33DF3">
      <w:pPr>
        <w:autoSpaceDE w:val="0"/>
        <w:autoSpaceDN w:val="0"/>
        <w:adjustRightInd w:val="0"/>
        <w:spacing w:line="360" w:lineRule="auto"/>
        <w:ind w:firstLineChars="100" w:firstLine="240"/>
        <w:rPr>
          <w:rFonts w:ascii="Book Antiqua" w:hAnsi="Book Antiqua"/>
          <w:color w:val="000000"/>
          <w:sz w:val="24"/>
        </w:rPr>
      </w:pPr>
      <w:r w:rsidRPr="0046748A">
        <w:rPr>
          <w:rFonts w:ascii="Book Antiqua" w:hAnsi="Book Antiqua"/>
          <w:color w:val="000000"/>
          <w:sz w:val="24"/>
        </w:rPr>
        <w:t>Fetal esophageal tissue specimens were collected from 65 fetuses (30 males and 35 females), and they had a gestational age of 3 (</w:t>
      </w:r>
      <w:r w:rsidRPr="0046748A">
        <w:rPr>
          <w:rFonts w:ascii="Book Antiqua" w:hAnsi="Book Antiqua"/>
          <w:i/>
          <w:color w:val="000000"/>
          <w:sz w:val="24"/>
        </w:rPr>
        <w:t>n</w:t>
      </w:r>
      <w:r w:rsidRPr="0046748A">
        <w:rPr>
          <w:rFonts w:ascii="Book Antiqua" w:hAnsi="Book Antiqua"/>
          <w:color w:val="000000"/>
          <w:sz w:val="24"/>
        </w:rPr>
        <w:t xml:space="preserve"> = 7), 4 (</w:t>
      </w:r>
      <w:r w:rsidRPr="0046748A">
        <w:rPr>
          <w:rFonts w:ascii="Book Antiqua" w:hAnsi="Book Antiqua"/>
          <w:i/>
          <w:color w:val="000000"/>
          <w:sz w:val="24"/>
        </w:rPr>
        <w:t>n</w:t>
      </w:r>
      <w:r w:rsidRPr="0046748A">
        <w:rPr>
          <w:rFonts w:ascii="Book Antiqua" w:hAnsi="Book Antiqua"/>
          <w:color w:val="000000"/>
          <w:sz w:val="24"/>
        </w:rPr>
        <w:t xml:space="preserve"> = 13), 5 (</w:t>
      </w:r>
      <w:r w:rsidRPr="0046748A">
        <w:rPr>
          <w:rFonts w:ascii="Book Antiqua" w:hAnsi="Book Antiqua"/>
          <w:i/>
          <w:color w:val="000000"/>
          <w:sz w:val="24"/>
        </w:rPr>
        <w:t>n</w:t>
      </w:r>
      <w:r w:rsidRPr="0046748A">
        <w:rPr>
          <w:rFonts w:ascii="Book Antiqua" w:hAnsi="Book Antiqua"/>
          <w:color w:val="000000"/>
          <w:sz w:val="24"/>
        </w:rPr>
        <w:t xml:space="preserve"> = 9), 6 (</w:t>
      </w:r>
      <w:r w:rsidRPr="0046748A">
        <w:rPr>
          <w:rFonts w:ascii="Book Antiqua" w:hAnsi="Book Antiqua"/>
          <w:i/>
          <w:color w:val="000000"/>
          <w:sz w:val="24"/>
        </w:rPr>
        <w:t>n</w:t>
      </w:r>
      <w:r w:rsidRPr="0046748A">
        <w:rPr>
          <w:rFonts w:ascii="Book Antiqua" w:hAnsi="Book Antiqua"/>
          <w:color w:val="000000"/>
          <w:sz w:val="24"/>
        </w:rPr>
        <w:t xml:space="preserve"> = 10), 7 (</w:t>
      </w:r>
      <w:r w:rsidRPr="0046748A">
        <w:rPr>
          <w:rFonts w:ascii="Book Antiqua" w:hAnsi="Book Antiqua"/>
          <w:i/>
          <w:color w:val="000000"/>
          <w:sz w:val="24"/>
        </w:rPr>
        <w:t>n</w:t>
      </w:r>
      <w:r w:rsidRPr="0046748A">
        <w:rPr>
          <w:rFonts w:ascii="Book Antiqua" w:hAnsi="Book Antiqua"/>
          <w:color w:val="000000"/>
          <w:sz w:val="24"/>
        </w:rPr>
        <w:t xml:space="preserve"> = 10), 8 (</w:t>
      </w:r>
      <w:r w:rsidRPr="0046748A">
        <w:rPr>
          <w:rFonts w:ascii="Book Antiqua" w:hAnsi="Book Antiqua"/>
          <w:i/>
          <w:color w:val="000000"/>
          <w:sz w:val="24"/>
        </w:rPr>
        <w:t>n</w:t>
      </w:r>
      <w:r w:rsidRPr="0046748A">
        <w:rPr>
          <w:rFonts w:ascii="Book Antiqua" w:hAnsi="Book Antiqua"/>
          <w:color w:val="000000"/>
          <w:sz w:val="24"/>
        </w:rPr>
        <w:t xml:space="preserve"> = 10), or 9 (</w:t>
      </w:r>
      <w:r w:rsidRPr="0046748A">
        <w:rPr>
          <w:rFonts w:ascii="Book Antiqua" w:hAnsi="Book Antiqua"/>
          <w:i/>
          <w:color w:val="000000"/>
          <w:sz w:val="24"/>
        </w:rPr>
        <w:t>n</w:t>
      </w:r>
      <w:r w:rsidRPr="0046748A">
        <w:rPr>
          <w:rFonts w:ascii="Book Antiqua" w:hAnsi="Book Antiqua"/>
          <w:color w:val="000000"/>
          <w:sz w:val="24"/>
        </w:rPr>
        <w:t xml:space="preserve"> = 6) months. All fetuses were legally aborted fetuses or fetuses induced with misoprostol in the Family Planning Service Center of Hui County (Henan Province, China). Their parents had no prior history of usage of special drugs. The age of fetuses was determined based on the date of the last menstrual period, the crown-heal length, and the morphology of the hand and foot</w:t>
      </w:r>
      <w:r w:rsidRPr="0046748A">
        <w:rPr>
          <w:rFonts w:ascii="Book Antiqua" w:hAnsi="Book Antiqua"/>
          <w:color w:val="000000"/>
          <w:sz w:val="24"/>
          <w:vertAlign w:val="superscript"/>
        </w:rPr>
        <w:t>[1]</w:t>
      </w:r>
      <w:r w:rsidRPr="0046748A">
        <w:rPr>
          <w:rFonts w:ascii="Book Antiqua" w:hAnsi="Book Antiqua"/>
          <w:color w:val="000000"/>
          <w:sz w:val="24"/>
        </w:rPr>
        <w:t>.</w:t>
      </w:r>
    </w:p>
    <w:p w:rsidR="0046748A" w:rsidRPr="0046748A" w:rsidRDefault="0046748A" w:rsidP="00E33DF3">
      <w:pPr>
        <w:autoSpaceDE w:val="0"/>
        <w:autoSpaceDN w:val="0"/>
        <w:adjustRightInd w:val="0"/>
        <w:spacing w:line="360" w:lineRule="auto"/>
        <w:ind w:firstLineChars="100" w:firstLine="240"/>
        <w:rPr>
          <w:rFonts w:ascii="Book Antiqua" w:hAnsi="Book Antiqua"/>
          <w:color w:val="000000"/>
          <w:sz w:val="24"/>
        </w:rPr>
      </w:pPr>
    </w:p>
    <w:p w:rsidR="007F78CE" w:rsidRPr="0046748A" w:rsidRDefault="007F78CE" w:rsidP="00E33DF3">
      <w:pPr>
        <w:pStyle w:val="Subtitle"/>
        <w:spacing w:before="0" w:after="0"/>
        <w:jc w:val="both"/>
        <w:outlineLvl w:val="9"/>
        <w:rPr>
          <w:rFonts w:ascii="Book Antiqua" w:hAnsi="Book Antiqua"/>
          <w:i/>
          <w:sz w:val="24"/>
          <w:szCs w:val="24"/>
        </w:rPr>
      </w:pPr>
      <w:r w:rsidRPr="0046748A">
        <w:rPr>
          <w:rFonts w:ascii="Book Antiqua" w:hAnsi="Book Antiqua"/>
          <w:i/>
          <w:sz w:val="24"/>
          <w:szCs w:val="24"/>
        </w:rPr>
        <w:t xml:space="preserve">Equipment and reagents </w:t>
      </w:r>
    </w:p>
    <w:p w:rsidR="007F78CE" w:rsidRPr="0046748A" w:rsidRDefault="007F78CE" w:rsidP="00E33DF3">
      <w:pPr>
        <w:autoSpaceDE w:val="0"/>
        <w:autoSpaceDN w:val="0"/>
        <w:adjustRightInd w:val="0"/>
        <w:spacing w:line="360" w:lineRule="auto"/>
        <w:rPr>
          <w:rFonts w:ascii="Book Antiqua" w:hAnsi="Book Antiqua"/>
          <w:color w:val="000000"/>
          <w:sz w:val="24"/>
        </w:rPr>
      </w:pPr>
      <w:r w:rsidRPr="0046748A">
        <w:rPr>
          <w:rFonts w:ascii="Book Antiqua" w:hAnsi="Book Antiqua"/>
          <w:color w:val="000000"/>
          <w:sz w:val="24"/>
        </w:rPr>
        <w:t xml:space="preserve">WK600 nitric oxide laser gas analyzer (Weck, </w:t>
      </w:r>
      <w:r w:rsidR="0046748A" w:rsidRPr="0046748A">
        <w:rPr>
          <w:rFonts w:ascii="Book Antiqua" w:hAnsi="Book Antiqua"/>
          <w:color w:val="000000"/>
          <w:sz w:val="24"/>
        </w:rPr>
        <w:t>United States</w:t>
      </w:r>
      <w:r w:rsidRPr="0046748A">
        <w:rPr>
          <w:rFonts w:ascii="Book Antiqua" w:hAnsi="Book Antiqua"/>
          <w:color w:val="000000"/>
          <w:sz w:val="24"/>
        </w:rPr>
        <w:t xml:space="preserve">), Voyager DE Pro MALDI-TOF mass spectrometer (Applied Biosystems, </w:t>
      </w:r>
      <w:r w:rsidR="0046748A" w:rsidRPr="0046748A">
        <w:rPr>
          <w:rFonts w:ascii="Book Antiqua" w:hAnsi="Book Antiqua"/>
          <w:color w:val="000000"/>
          <w:sz w:val="24"/>
        </w:rPr>
        <w:t>United States</w:t>
      </w:r>
      <w:r w:rsidRPr="0046748A">
        <w:rPr>
          <w:rFonts w:ascii="Book Antiqua" w:hAnsi="Book Antiqua"/>
          <w:color w:val="000000"/>
          <w:sz w:val="24"/>
        </w:rPr>
        <w:t xml:space="preserve">), and GS-800 Calibrated Densitometer (Bio-Rad, </w:t>
      </w:r>
      <w:r w:rsidR="0046748A" w:rsidRPr="0046748A">
        <w:rPr>
          <w:rFonts w:ascii="Book Antiqua" w:hAnsi="Book Antiqua"/>
          <w:color w:val="000000"/>
          <w:sz w:val="24"/>
        </w:rPr>
        <w:t>United States</w:t>
      </w:r>
      <w:r w:rsidRPr="0046748A">
        <w:rPr>
          <w:rFonts w:ascii="Book Antiqua" w:hAnsi="Book Antiqua"/>
          <w:color w:val="000000"/>
          <w:sz w:val="24"/>
        </w:rPr>
        <w:t xml:space="preserve">) were used. Mouse </w:t>
      </w:r>
      <w:r w:rsidRPr="0046748A">
        <w:rPr>
          <w:rFonts w:ascii="Book Antiqua" w:hAnsi="Book Antiqua"/>
          <w:color w:val="000000"/>
          <w:sz w:val="24"/>
        </w:rPr>
        <w:lastRenderedPageBreak/>
        <w:t>anti-PRX6 monoclonal antibody was purchased from Chemicon (</w:t>
      </w:r>
      <w:r w:rsidR="0046748A" w:rsidRPr="0046748A">
        <w:rPr>
          <w:rFonts w:ascii="Book Antiqua" w:hAnsi="Book Antiqua"/>
          <w:color w:val="000000"/>
          <w:sz w:val="24"/>
        </w:rPr>
        <w:t>United States</w:t>
      </w:r>
      <w:r w:rsidRPr="0046748A">
        <w:rPr>
          <w:rFonts w:ascii="Book Antiqua" w:hAnsi="Book Antiqua"/>
          <w:color w:val="000000"/>
          <w:sz w:val="24"/>
        </w:rPr>
        <w:t>); ABC kit was purchased from Vector Laboratories (</w:t>
      </w:r>
      <w:r w:rsidR="0046748A" w:rsidRPr="0046748A">
        <w:rPr>
          <w:rFonts w:ascii="Book Antiqua" w:hAnsi="Book Antiqua"/>
          <w:color w:val="000000"/>
          <w:sz w:val="24"/>
        </w:rPr>
        <w:t>United States</w:t>
      </w:r>
      <w:r w:rsidRPr="0046748A">
        <w:rPr>
          <w:rFonts w:ascii="Book Antiqua" w:hAnsi="Book Antiqua"/>
          <w:color w:val="000000"/>
          <w:sz w:val="24"/>
        </w:rPr>
        <w:t>); DAB substrate kit was purchased from Beijing Zhong Shan-Golden Bridge Biological Technology Co., LTD (China); and lyophilized bovine serum albumin was purchased from Sigma (</w:t>
      </w:r>
      <w:r w:rsidR="0046748A" w:rsidRPr="0046748A">
        <w:rPr>
          <w:rFonts w:ascii="Book Antiqua" w:hAnsi="Book Antiqua"/>
          <w:color w:val="000000"/>
          <w:sz w:val="24"/>
        </w:rPr>
        <w:t>United States</w:t>
      </w:r>
      <w:r w:rsidRPr="0046748A">
        <w:rPr>
          <w:rFonts w:ascii="Book Antiqua" w:hAnsi="Book Antiqua"/>
          <w:color w:val="000000"/>
          <w:sz w:val="24"/>
        </w:rPr>
        <w:t>).</w:t>
      </w:r>
    </w:p>
    <w:p w:rsidR="007F78CE" w:rsidRPr="0046748A" w:rsidRDefault="007F78CE" w:rsidP="00E33DF3">
      <w:pPr>
        <w:autoSpaceDE w:val="0"/>
        <w:autoSpaceDN w:val="0"/>
        <w:adjustRightInd w:val="0"/>
        <w:spacing w:line="360" w:lineRule="auto"/>
        <w:rPr>
          <w:rFonts w:ascii="Book Antiqua" w:hAnsi="Book Antiqua"/>
          <w:color w:val="000000"/>
          <w:sz w:val="24"/>
        </w:rPr>
      </w:pPr>
    </w:p>
    <w:p w:rsidR="007F78CE" w:rsidRPr="0046748A" w:rsidRDefault="007F78CE" w:rsidP="00E33DF3">
      <w:pPr>
        <w:pStyle w:val="Subtitle"/>
        <w:spacing w:before="0" w:after="0"/>
        <w:jc w:val="both"/>
        <w:outlineLvl w:val="9"/>
        <w:rPr>
          <w:rFonts w:ascii="Book Antiqua" w:hAnsi="Book Antiqua"/>
          <w:i/>
          <w:sz w:val="24"/>
          <w:szCs w:val="24"/>
        </w:rPr>
      </w:pPr>
      <w:r w:rsidRPr="0046748A">
        <w:rPr>
          <w:rFonts w:ascii="Book Antiqua" w:hAnsi="Book Antiqua"/>
          <w:i/>
          <w:sz w:val="24"/>
          <w:szCs w:val="24"/>
        </w:rPr>
        <w:t>P</w:t>
      </w:r>
      <w:r w:rsidRPr="0046748A">
        <w:rPr>
          <w:rStyle w:val="Char2"/>
          <w:rFonts w:ascii="Book Antiqua" w:hAnsi="Book Antiqua"/>
          <w:i/>
          <w:color w:val="000000"/>
          <w:sz w:val="24"/>
        </w:rPr>
        <w:t>roteomic analysis</w:t>
      </w:r>
    </w:p>
    <w:p w:rsidR="007F78CE" w:rsidRPr="0046748A" w:rsidRDefault="007F78CE" w:rsidP="00E33DF3">
      <w:pPr>
        <w:autoSpaceDE w:val="0"/>
        <w:autoSpaceDN w:val="0"/>
        <w:adjustRightInd w:val="0"/>
        <w:spacing w:line="360" w:lineRule="auto"/>
        <w:rPr>
          <w:rFonts w:ascii="Book Antiqua" w:hAnsi="Book Antiqua"/>
          <w:color w:val="000000"/>
          <w:sz w:val="24"/>
        </w:rPr>
      </w:pPr>
      <w:r w:rsidRPr="0046748A">
        <w:rPr>
          <w:rFonts w:ascii="Book Antiqua" w:hAnsi="Book Antiqua"/>
          <w:color w:val="000000"/>
          <w:sz w:val="24"/>
        </w:rPr>
        <w:t>Proteomic analysis was performed based on the study flow chart presented in Figure 1.</w:t>
      </w:r>
    </w:p>
    <w:p w:rsidR="0046748A" w:rsidRPr="0046748A" w:rsidRDefault="0046748A" w:rsidP="00E33DF3">
      <w:pPr>
        <w:autoSpaceDE w:val="0"/>
        <w:autoSpaceDN w:val="0"/>
        <w:adjustRightInd w:val="0"/>
        <w:spacing w:line="360" w:lineRule="auto"/>
        <w:rPr>
          <w:rFonts w:ascii="Book Antiqua" w:hAnsi="Book Antiqua"/>
          <w:color w:val="000000"/>
          <w:sz w:val="24"/>
        </w:rPr>
      </w:pPr>
    </w:p>
    <w:p w:rsidR="007F78CE" w:rsidRPr="0046748A" w:rsidRDefault="007F78CE" w:rsidP="00E33DF3">
      <w:pPr>
        <w:spacing w:line="360" w:lineRule="auto"/>
        <w:rPr>
          <w:rFonts w:ascii="Book Antiqua" w:hAnsi="Book Antiqua"/>
          <w:color w:val="000000"/>
          <w:sz w:val="24"/>
        </w:rPr>
      </w:pPr>
      <w:r w:rsidRPr="0046748A">
        <w:rPr>
          <w:rFonts w:ascii="Book Antiqua" w:hAnsi="Book Antiqua"/>
          <w:b/>
          <w:color w:val="000000"/>
          <w:sz w:val="24"/>
        </w:rPr>
        <w:t xml:space="preserve">Solid-phase isoelectric focusing electrophoresis: </w:t>
      </w:r>
      <w:r w:rsidRPr="0046748A">
        <w:rPr>
          <w:rFonts w:ascii="Book Antiqua" w:hAnsi="Book Antiqua"/>
          <w:color w:val="000000"/>
          <w:sz w:val="24"/>
        </w:rPr>
        <w:t>Following removal of cover film, dried immobilized pH gradient (IPG, pH 3-10) strips (17 cm long) were plated in a fixed-length strip holder</w:t>
      </w:r>
      <w:r w:rsidRPr="0046748A">
        <w:rPr>
          <w:rFonts w:ascii="Book Antiqua" w:hAnsi="Book Antiqua"/>
          <w:sz w:val="24"/>
        </w:rPr>
        <w:t xml:space="preserve"> </w:t>
      </w:r>
      <w:r w:rsidRPr="0046748A">
        <w:rPr>
          <w:rFonts w:ascii="Book Antiqua" w:hAnsi="Book Antiqua"/>
          <w:color w:val="000000"/>
          <w:sz w:val="24"/>
        </w:rPr>
        <w:t>with the gel side down. After dispelling the air, 2 mL of cover fluid (mineral oil) was applied to minimize evaporation. The holder was then covered and placed on the IPG electrode platform, and isoelectric focusing electrophoresis was performed according to the protocol described in Table III</w:t>
      </w:r>
      <w:r w:rsidRPr="0046748A">
        <w:rPr>
          <w:rStyle w:val="javascript"/>
          <w:rFonts w:ascii="Book Antiqua" w:hAnsi="Book Antiqua"/>
          <w:color w:val="000000"/>
          <w:sz w:val="24"/>
        </w:rPr>
        <w:t xml:space="preserve">-1. After </w:t>
      </w:r>
      <w:r w:rsidRPr="0046748A">
        <w:rPr>
          <w:rFonts w:ascii="Book Antiqua" w:hAnsi="Book Antiqua"/>
          <w:color w:val="000000"/>
          <w:sz w:val="24"/>
        </w:rPr>
        <w:t xml:space="preserve">electrophoresis was completed, </w:t>
      </w:r>
      <w:r w:rsidRPr="0046748A">
        <w:rPr>
          <w:rStyle w:val="javascript"/>
          <w:rFonts w:ascii="Book Antiqua" w:hAnsi="Book Antiqua"/>
          <w:color w:val="000000"/>
          <w:sz w:val="24"/>
        </w:rPr>
        <w:t xml:space="preserve">Milli-Q water-wetted filter paper was used to wipe the mineral oil, and the strips were placed in a rehydration tray with </w:t>
      </w:r>
      <w:r w:rsidRPr="0046748A">
        <w:rPr>
          <w:rFonts w:ascii="Book Antiqua" w:hAnsi="Book Antiqua"/>
          <w:color w:val="000000"/>
          <w:sz w:val="24"/>
        </w:rPr>
        <w:t>the gel side up. Eight milliliters of equilibrium buffer I consisting of 6 mol/L urea, 2% SDS, 0.375 mol/L Tris-HCl (pH</w:t>
      </w:r>
      <w:r w:rsidR="0046748A" w:rsidRPr="0046748A">
        <w:rPr>
          <w:rFonts w:ascii="Book Antiqua" w:hAnsi="Book Antiqua" w:hint="eastAsia"/>
          <w:color w:val="000000"/>
          <w:sz w:val="24"/>
        </w:rPr>
        <w:t xml:space="preserve"> </w:t>
      </w:r>
      <w:r w:rsidRPr="0046748A">
        <w:rPr>
          <w:rFonts w:ascii="Book Antiqua" w:hAnsi="Book Antiqua"/>
          <w:color w:val="000000"/>
          <w:sz w:val="24"/>
        </w:rPr>
        <w:t xml:space="preserve">8.8), 20% glycerol and 2% DTT was then added. After shaking on a horizontal rotator at 15 rpm for 15 min, </w:t>
      </w:r>
      <w:r w:rsidRPr="0046748A">
        <w:rPr>
          <w:rStyle w:val="javascript"/>
          <w:rFonts w:ascii="Book Antiqua" w:hAnsi="Book Antiqua"/>
          <w:color w:val="000000"/>
          <w:sz w:val="24"/>
        </w:rPr>
        <w:t xml:space="preserve">the strips were taken out and put into </w:t>
      </w:r>
      <w:r w:rsidRPr="0046748A">
        <w:rPr>
          <w:rFonts w:ascii="Book Antiqua" w:hAnsi="Book Antiqua"/>
          <w:color w:val="000000"/>
          <w:sz w:val="24"/>
        </w:rPr>
        <w:t>equilibrium buffer II consisting of</w:t>
      </w:r>
      <w:r w:rsidRPr="0046748A">
        <w:rPr>
          <w:rStyle w:val="javascript"/>
          <w:rFonts w:ascii="Book Antiqua" w:hAnsi="Book Antiqua"/>
          <w:color w:val="000000"/>
          <w:sz w:val="24"/>
        </w:rPr>
        <w:t xml:space="preserve"> </w:t>
      </w:r>
      <w:r w:rsidRPr="0046748A">
        <w:rPr>
          <w:rFonts w:ascii="Book Antiqua" w:hAnsi="Book Antiqua"/>
          <w:color w:val="000000"/>
          <w:sz w:val="24"/>
        </w:rPr>
        <w:t>6 mol/L urea, 2% SDS, 0.375 mol/L Tris-HCl (pH</w:t>
      </w:r>
      <w:r w:rsidR="0046748A" w:rsidRPr="0046748A">
        <w:rPr>
          <w:rFonts w:ascii="Book Antiqua" w:hAnsi="Book Antiqua" w:hint="eastAsia"/>
          <w:color w:val="000000"/>
          <w:sz w:val="24"/>
        </w:rPr>
        <w:t xml:space="preserve"> </w:t>
      </w:r>
      <w:r w:rsidRPr="0046748A">
        <w:rPr>
          <w:rFonts w:ascii="Book Antiqua" w:hAnsi="Book Antiqua"/>
          <w:color w:val="000000"/>
          <w:sz w:val="24"/>
        </w:rPr>
        <w:t>8.8), 20% glycerol and 2.5% iodoacetamide for 15 min. The strips were finally dried and used for the second dimension electrophoresis.</w:t>
      </w:r>
    </w:p>
    <w:p w:rsidR="007F78CE" w:rsidRPr="0046748A" w:rsidRDefault="007F78CE" w:rsidP="00E33DF3">
      <w:pPr>
        <w:spacing w:line="360" w:lineRule="auto"/>
        <w:rPr>
          <w:rFonts w:ascii="Book Antiqua" w:hAnsi="Book Antiqua"/>
          <w:color w:val="000000"/>
          <w:sz w:val="24"/>
        </w:rPr>
      </w:pPr>
    </w:p>
    <w:p w:rsidR="007F78CE" w:rsidRPr="0046748A" w:rsidRDefault="007F78CE" w:rsidP="00E33DF3">
      <w:pPr>
        <w:spacing w:line="360" w:lineRule="auto"/>
        <w:rPr>
          <w:rStyle w:val="javascript"/>
          <w:rFonts w:ascii="Book Antiqua" w:hAnsi="Book Antiqua"/>
          <w:sz w:val="24"/>
        </w:rPr>
      </w:pPr>
      <w:r w:rsidRPr="0046748A">
        <w:rPr>
          <w:rFonts w:ascii="Book Antiqua" w:hAnsi="Book Antiqua"/>
          <w:b/>
          <w:color w:val="000000"/>
          <w:sz w:val="24"/>
        </w:rPr>
        <w:t xml:space="preserve">Sodium dodecyl sulfate-polyacrylamide gel electrophoresis: </w:t>
      </w:r>
      <w:r w:rsidR="0046748A" w:rsidRPr="0046748A">
        <w:rPr>
          <w:rFonts w:ascii="Book Antiqua" w:hAnsi="Book Antiqua"/>
          <w:color w:val="000000"/>
          <w:sz w:val="24"/>
        </w:rPr>
        <w:t>Sodium dodecyl sulfate-polyacrylamide gel electrophoresis (SDS-PAGE)</w:t>
      </w:r>
      <w:r w:rsidR="0046748A" w:rsidRPr="0046748A">
        <w:rPr>
          <w:rFonts w:ascii="Book Antiqua" w:hAnsi="Book Antiqua" w:hint="eastAsia"/>
          <w:color w:val="000000"/>
          <w:sz w:val="24"/>
        </w:rPr>
        <w:t xml:space="preserve"> </w:t>
      </w:r>
      <w:r w:rsidRPr="0046748A">
        <w:rPr>
          <w:rFonts w:ascii="Book Antiqua" w:hAnsi="Book Antiqua"/>
          <w:color w:val="000000"/>
          <w:sz w:val="24"/>
        </w:rPr>
        <w:t>was performed using Tris-glycine-SDS buffer (5</w:t>
      </w:r>
      <w:r w:rsidR="00E11849">
        <w:rPr>
          <w:rFonts w:ascii="Book Antiqua" w:hAnsi="Book Antiqua" w:hint="eastAsia"/>
          <w:color w:val="000000"/>
          <w:sz w:val="24"/>
        </w:rPr>
        <w:t xml:space="preserve"> </w:t>
      </w:r>
      <w:r w:rsidRPr="0046748A">
        <w:rPr>
          <w:rFonts w:ascii="Book Antiqua" w:hAnsi="Book Antiqua"/>
          <w:color w:val="000000"/>
          <w:sz w:val="24"/>
        </w:rPr>
        <w:t>×: Tris 15.1 g, glycine 94 g, and SDS 5 g, dissolved in 1000 mL</w:t>
      </w:r>
      <w:r w:rsidRPr="0046748A">
        <w:rPr>
          <w:rStyle w:val="javascript"/>
          <w:rFonts w:ascii="Book Antiqua" w:hAnsi="Book Antiqua"/>
          <w:color w:val="000000"/>
          <w:sz w:val="24"/>
        </w:rPr>
        <w:t xml:space="preserve"> Milli-Q water). </w:t>
      </w:r>
      <w:r w:rsidRPr="0046748A">
        <w:rPr>
          <w:rFonts w:ascii="Book Antiqua" w:hAnsi="Book Antiqua"/>
          <w:color w:val="000000"/>
          <w:sz w:val="24"/>
        </w:rPr>
        <w:t xml:space="preserve">SDS-PAGE gels were prepared </w:t>
      </w:r>
      <w:r w:rsidRPr="0046748A">
        <w:rPr>
          <w:rFonts w:ascii="Book Antiqua" w:hAnsi="Book Antiqua"/>
          <w:color w:val="000000"/>
          <w:sz w:val="24"/>
        </w:rPr>
        <w:lastRenderedPageBreak/>
        <w:t>according to Table III-2. The gel was poured and allowed to polymerize. Pre-stained protein markers (10-15 μL)</w:t>
      </w:r>
      <w:r w:rsidRPr="0046748A">
        <w:rPr>
          <w:rFonts w:ascii="Book Antiqua" w:hAnsi="Book Antiqua"/>
          <w:sz w:val="24"/>
        </w:rPr>
        <w:t xml:space="preserve"> </w:t>
      </w:r>
      <w:r w:rsidRPr="0046748A">
        <w:rPr>
          <w:rFonts w:ascii="Book Antiqua" w:hAnsi="Book Antiqua"/>
          <w:color w:val="000000"/>
          <w:sz w:val="24"/>
        </w:rPr>
        <w:t>were spotted on 0.25 cm</w:t>
      </w:r>
      <w:r w:rsidRPr="0046748A">
        <w:rPr>
          <w:rFonts w:ascii="Book Antiqua" w:hAnsi="Book Antiqua"/>
          <w:color w:val="000000"/>
          <w:sz w:val="24"/>
          <w:vertAlign w:val="superscript"/>
        </w:rPr>
        <w:t xml:space="preserve">2 </w:t>
      </w:r>
      <w:r w:rsidRPr="0046748A">
        <w:rPr>
          <w:rFonts w:ascii="Book Antiqua" w:hAnsi="Book Antiqua"/>
          <w:color w:val="000000"/>
          <w:sz w:val="24"/>
        </w:rPr>
        <w:t>Whatman filter paper (3 mm), which was subsequently placed on the “+” end of the IPG strip. IPG strips were then imbedded in the second dimension</w:t>
      </w:r>
      <w:r w:rsidRPr="0046748A">
        <w:rPr>
          <w:rFonts w:ascii="Book Antiqua" w:hAnsi="Book Antiqua"/>
          <w:sz w:val="24"/>
        </w:rPr>
        <w:t xml:space="preserve"> and </w:t>
      </w:r>
      <w:r w:rsidRPr="0046748A">
        <w:rPr>
          <w:rFonts w:ascii="Book Antiqua" w:hAnsi="Book Antiqua"/>
          <w:color w:val="000000"/>
          <w:sz w:val="24"/>
        </w:rPr>
        <w:t>sealed using 0.5% agarose sealing solution (low melting-point agarose 0.5 g and 10 μL 1% bromophenol blue, dissolved in 100 mL 1 × electrophoresis buffer). Electrophoresis was carried out at a constant current of 10 mA per gel</w:t>
      </w:r>
      <w:r w:rsidRPr="0046748A">
        <w:rPr>
          <w:rStyle w:val="javascript"/>
          <w:rFonts w:ascii="Book Antiqua" w:hAnsi="Book Antiqua"/>
          <w:color w:val="000000"/>
          <w:sz w:val="24"/>
        </w:rPr>
        <w:t xml:space="preserve"> for 30 min, which was then raised to 40 mA. After </w:t>
      </w:r>
      <w:r w:rsidRPr="0046748A">
        <w:rPr>
          <w:rFonts w:ascii="Book Antiqua" w:hAnsi="Book Antiqua"/>
          <w:color w:val="000000"/>
          <w:sz w:val="24"/>
        </w:rPr>
        <w:t>electrophoresis was completed, gels were removed and stained</w:t>
      </w:r>
      <w:r w:rsidRPr="0046748A">
        <w:rPr>
          <w:rStyle w:val="javascript"/>
          <w:rFonts w:ascii="Book Antiqua" w:hAnsi="Book Antiqua"/>
          <w:color w:val="000000"/>
          <w:sz w:val="24"/>
        </w:rPr>
        <w:t>.</w:t>
      </w:r>
    </w:p>
    <w:p w:rsidR="007F78CE" w:rsidRPr="0046748A" w:rsidRDefault="007F78CE" w:rsidP="00E33DF3">
      <w:pPr>
        <w:spacing w:line="360" w:lineRule="auto"/>
        <w:rPr>
          <w:b/>
          <w:sz w:val="24"/>
        </w:rPr>
      </w:pPr>
    </w:p>
    <w:p w:rsidR="007F78CE" w:rsidRPr="0046748A" w:rsidRDefault="007F78CE" w:rsidP="00E33DF3">
      <w:pPr>
        <w:spacing w:line="360" w:lineRule="auto"/>
        <w:rPr>
          <w:rStyle w:val="javascript"/>
          <w:rFonts w:ascii="Book Antiqua" w:hAnsi="Book Antiqua"/>
          <w:sz w:val="24"/>
          <w:lang w:val="fr-FR"/>
        </w:rPr>
      </w:pPr>
      <w:r w:rsidRPr="0046748A">
        <w:rPr>
          <w:rFonts w:ascii="Book Antiqua" w:hAnsi="Book Antiqua"/>
          <w:b/>
          <w:color w:val="000000"/>
          <w:sz w:val="24"/>
        </w:rPr>
        <w:t xml:space="preserve">Silver nitrate staining and </w:t>
      </w:r>
      <w:r w:rsidR="0046748A" w:rsidRPr="0046748A">
        <w:rPr>
          <w:rFonts w:ascii="Book Antiqua" w:hAnsi="Book Antiqua"/>
          <w:b/>
          <w:color w:val="000000"/>
          <w:sz w:val="24"/>
        </w:rPr>
        <w:t xml:space="preserve">coomassie </w:t>
      </w:r>
      <w:r w:rsidRPr="0046748A">
        <w:rPr>
          <w:rFonts w:ascii="Book Antiqua" w:hAnsi="Book Antiqua"/>
          <w:b/>
          <w:color w:val="000000"/>
          <w:sz w:val="24"/>
        </w:rPr>
        <w:t>blue staining:</w:t>
      </w:r>
      <w:r w:rsidRPr="0046748A">
        <w:rPr>
          <w:rFonts w:ascii="Book Antiqua" w:hAnsi="Book Antiqua"/>
          <w:color w:val="000000"/>
          <w:sz w:val="24"/>
        </w:rPr>
        <w:t xml:space="preserve"> Silver nitrate staining was performed as described previously</w:t>
      </w:r>
      <w:r w:rsidRPr="0046748A">
        <w:rPr>
          <w:rFonts w:ascii="Book Antiqua" w:hAnsi="Book Antiqua"/>
          <w:color w:val="000000"/>
          <w:sz w:val="24"/>
          <w:vertAlign w:val="superscript"/>
        </w:rPr>
        <w:t>[35]</w:t>
      </w:r>
      <w:r w:rsidRPr="0046748A">
        <w:rPr>
          <w:rFonts w:ascii="Book Antiqua" w:hAnsi="Book Antiqua"/>
          <w:color w:val="000000"/>
          <w:sz w:val="24"/>
        </w:rPr>
        <w:t xml:space="preserve">. </w:t>
      </w:r>
      <w:r w:rsidRPr="0046748A">
        <w:rPr>
          <w:rFonts w:ascii="Book Antiqua" w:hAnsi="Book Antiqua"/>
          <w:color w:val="000000"/>
          <w:sz w:val="24"/>
          <w:lang w:val="fr-FR"/>
        </w:rPr>
        <w:t>For</w:t>
      </w:r>
      <w:r w:rsidRPr="0046748A">
        <w:rPr>
          <w:rFonts w:ascii="Book Antiqua" w:hAnsi="Book Antiqua"/>
          <w:color w:val="000000"/>
          <w:sz w:val="24"/>
        </w:rPr>
        <w:t xml:space="preserve"> Coomassie blue staining,</w:t>
      </w:r>
      <w:r w:rsidRPr="0046748A">
        <w:rPr>
          <w:rFonts w:ascii="Book Antiqua" w:hAnsi="Book Antiqua"/>
          <w:color w:val="000000"/>
          <w:sz w:val="24"/>
          <w:lang w:val="fr-FR"/>
        </w:rPr>
        <w:t xml:space="preserve"> </w:t>
      </w:r>
      <w:r w:rsidRPr="0046748A">
        <w:rPr>
          <w:rFonts w:ascii="Book Antiqua" w:hAnsi="Book Antiqua"/>
          <w:color w:val="000000"/>
          <w:sz w:val="24"/>
        </w:rPr>
        <w:t xml:space="preserve">SDS-PAGE gels were placed </w:t>
      </w:r>
      <w:r w:rsidRPr="0046748A">
        <w:rPr>
          <w:rFonts w:ascii="Book Antiqua" w:hAnsi="Book Antiqua"/>
          <w:color w:val="000000"/>
          <w:sz w:val="24"/>
          <w:lang w:val="fr-FR"/>
        </w:rPr>
        <w:t xml:space="preserve">in </w:t>
      </w:r>
      <w:r w:rsidRPr="0046748A">
        <w:rPr>
          <w:rFonts w:ascii="Book Antiqua" w:hAnsi="Book Antiqua"/>
          <w:color w:val="000000"/>
          <w:sz w:val="24"/>
        </w:rPr>
        <w:t>Coomassie blue solution</w:t>
      </w:r>
      <w:r w:rsidRPr="0046748A">
        <w:rPr>
          <w:rFonts w:ascii="Book Antiqua" w:hAnsi="Book Antiqua"/>
          <w:color w:val="000000"/>
          <w:sz w:val="24"/>
          <w:lang w:val="fr-FR"/>
        </w:rPr>
        <w:t xml:space="preserve"> (</w:t>
      </w:r>
      <w:r w:rsidRPr="0046748A">
        <w:rPr>
          <w:rFonts w:ascii="Book Antiqua" w:hAnsi="Book Antiqua"/>
          <w:color w:val="000000"/>
          <w:sz w:val="24"/>
        </w:rPr>
        <w:t>Coomassie blue</w:t>
      </w:r>
      <w:r w:rsidRPr="0046748A">
        <w:rPr>
          <w:rFonts w:ascii="Book Antiqua" w:hAnsi="Book Antiqua"/>
          <w:color w:val="000000"/>
          <w:sz w:val="24"/>
          <w:lang w:val="fr-FR"/>
        </w:rPr>
        <w:t xml:space="preserve"> R-250 1.16 g, absolute ethanol 500 mL, and glacial acetic acid 100 mL, dissovled in</w:t>
      </w:r>
      <w:r w:rsidRPr="0046748A">
        <w:rPr>
          <w:rStyle w:val="javascript"/>
          <w:rFonts w:ascii="Book Antiqua" w:hAnsi="Book Antiqua"/>
          <w:color w:val="000000"/>
          <w:sz w:val="24"/>
          <w:lang w:val="fr-FR"/>
        </w:rPr>
        <w:t>1000 mL</w:t>
      </w:r>
      <w:r w:rsidRPr="0046748A">
        <w:rPr>
          <w:rFonts w:ascii="Book Antiqua" w:hAnsi="Book Antiqua"/>
          <w:color w:val="000000"/>
          <w:sz w:val="24"/>
          <w:lang w:val="fr-FR"/>
        </w:rPr>
        <w:t xml:space="preserve"> </w:t>
      </w:r>
      <w:r w:rsidRPr="0046748A">
        <w:rPr>
          <w:rStyle w:val="javascript"/>
          <w:rFonts w:ascii="Book Antiqua" w:hAnsi="Book Antiqua"/>
          <w:color w:val="000000"/>
          <w:sz w:val="24"/>
          <w:lang w:val="fr-FR"/>
        </w:rPr>
        <w:t>Milli-Q</w:t>
      </w:r>
      <w:r w:rsidRPr="0046748A">
        <w:rPr>
          <w:rStyle w:val="javascript"/>
          <w:rFonts w:ascii="Book Antiqua" w:hAnsi="Book Antiqua"/>
          <w:color w:val="000000"/>
          <w:sz w:val="24"/>
        </w:rPr>
        <w:t xml:space="preserve"> water</w:t>
      </w:r>
      <w:r w:rsidRPr="0046748A">
        <w:rPr>
          <w:rStyle w:val="javascript"/>
          <w:rFonts w:ascii="Book Antiqua" w:hAnsi="Book Antiqua"/>
          <w:color w:val="000000"/>
          <w:sz w:val="24"/>
          <w:lang w:val="fr-FR"/>
        </w:rPr>
        <w:t xml:space="preserve">) and incubated at room temperature for 2 h. The gels were then put into destaing solution (30% </w:t>
      </w:r>
      <w:r w:rsidRPr="0046748A">
        <w:rPr>
          <w:rFonts w:ascii="Book Antiqua" w:hAnsi="Book Antiqua"/>
          <w:color w:val="000000"/>
          <w:sz w:val="24"/>
          <w:lang w:val="fr-FR"/>
        </w:rPr>
        <w:t>absolute ethanol</w:t>
      </w:r>
      <w:r w:rsidRPr="0046748A">
        <w:rPr>
          <w:rStyle w:val="javascript"/>
          <w:rFonts w:ascii="Book Antiqua" w:hAnsi="Book Antiqua"/>
          <w:color w:val="000000"/>
          <w:sz w:val="24"/>
          <w:lang w:val="fr-FR"/>
        </w:rPr>
        <w:t xml:space="preserve"> and 10% </w:t>
      </w:r>
      <w:r w:rsidRPr="0046748A">
        <w:rPr>
          <w:rFonts w:ascii="Book Antiqua" w:hAnsi="Book Antiqua"/>
          <w:color w:val="000000"/>
          <w:sz w:val="24"/>
          <w:lang w:val="fr-FR"/>
        </w:rPr>
        <w:t>glacial acetic acid</w:t>
      </w:r>
      <w:r w:rsidRPr="0046748A">
        <w:rPr>
          <w:rStyle w:val="javascript"/>
          <w:rFonts w:ascii="Book Antiqua" w:hAnsi="Book Antiqua"/>
          <w:color w:val="000000"/>
          <w:sz w:val="24"/>
          <w:lang w:val="fr-FR"/>
        </w:rPr>
        <w:t>) until the backgroud staining was removed.</w:t>
      </w:r>
    </w:p>
    <w:p w:rsidR="007F78CE" w:rsidRPr="0046748A" w:rsidRDefault="007F78CE" w:rsidP="00E33DF3">
      <w:pPr>
        <w:spacing w:line="360" w:lineRule="auto"/>
        <w:rPr>
          <w:rStyle w:val="javascript"/>
          <w:rFonts w:ascii="Book Antiqua" w:hAnsi="Book Antiqua"/>
          <w:b/>
          <w:color w:val="000000"/>
          <w:sz w:val="24"/>
        </w:rPr>
      </w:pPr>
    </w:p>
    <w:p w:rsidR="007F78CE" w:rsidRPr="0046748A" w:rsidRDefault="007F78CE" w:rsidP="00E33DF3">
      <w:pPr>
        <w:spacing w:line="360" w:lineRule="auto"/>
        <w:rPr>
          <w:sz w:val="24"/>
          <w:lang w:val="fr-FR"/>
        </w:rPr>
      </w:pPr>
      <w:r w:rsidRPr="0046748A">
        <w:rPr>
          <w:rFonts w:ascii="Book Antiqua" w:hAnsi="Book Antiqua"/>
          <w:b/>
          <w:color w:val="000000"/>
          <w:sz w:val="24"/>
          <w:lang w:val="fr-FR"/>
        </w:rPr>
        <w:t>Image scanning and analysis</w:t>
      </w:r>
      <w:r w:rsidRPr="0046748A">
        <w:rPr>
          <w:rFonts w:ascii="Book Antiqua" w:hAnsi="Book Antiqua"/>
          <w:b/>
          <w:color w:val="000000"/>
          <w:sz w:val="24"/>
        </w:rPr>
        <w:t>:</w:t>
      </w:r>
      <w:r w:rsidRPr="0046748A">
        <w:rPr>
          <w:rFonts w:ascii="Book Antiqua" w:hAnsi="Book Antiqua"/>
          <w:color w:val="000000"/>
          <w:sz w:val="24"/>
          <w:lang w:val="fr-FR"/>
        </w:rPr>
        <w:t xml:space="preserve"> Stained</w:t>
      </w:r>
      <w:r w:rsidRPr="0046748A">
        <w:rPr>
          <w:rFonts w:ascii="Book Antiqua" w:hAnsi="Book Antiqua"/>
          <w:b/>
          <w:color w:val="000000"/>
          <w:sz w:val="24"/>
          <w:lang w:val="fr-FR"/>
        </w:rPr>
        <w:t xml:space="preserve"> </w:t>
      </w:r>
      <w:r w:rsidRPr="0046748A">
        <w:rPr>
          <w:rFonts w:ascii="Book Antiqua" w:hAnsi="Book Antiqua"/>
          <w:color w:val="000000"/>
          <w:sz w:val="24"/>
        </w:rPr>
        <w:t>SDS-PAGE gels were</w:t>
      </w:r>
      <w:r w:rsidRPr="0046748A">
        <w:rPr>
          <w:rFonts w:ascii="Book Antiqua" w:hAnsi="Book Antiqua"/>
          <w:color w:val="000000"/>
          <w:sz w:val="24"/>
          <w:lang w:val="fr-FR"/>
        </w:rPr>
        <w:t xml:space="preserve"> scanned using a GS-800 </w:t>
      </w:r>
      <w:r w:rsidRPr="0046748A">
        <w:rPr>
          <w:rFonts w:ascii="Book Antiqua" w:hAnsi="Book Antiqua"/>
          <w:color w:val="000000"/>
          <w:kern w:val="0"/>
          <w:sz w:val="24"/>
          <w:lang w:val="fr-FR"/>
        </w:rPr>
        <w:t>calibrated densitometer</w:t>
      </w:r>
      <w:r w:rsidRPr="0046748A">
        <w:rPr>
          <w:rFonts w:ascii="Book Antiqua" w:hAnsi="Book Antiqua"/>
          <w:color w:val="000000"/>
          <w:kern w:val="0"/>
          <w:sz w:val="24"/>
        </w:rPr>
        <w:t xml:space="preserve"> at an optical resolution of </w:t>
      </w:r>
      <w:r w:rsidRPr="0046748A">
        <w:rPr>
          <w:rFonts w:ascii="Book Antiqua" w:hAnsi="Book Antiqua"/>
          <w:color w:val="000000"/>
          <w:kern w:val="0"/>
          <w:sz w:val="24"/>
          <w:lang w:val="fr-FR"/>
        </w:rPr>
        <w:t>300 DPI and pixel of 8 bits. Images were analyzed with PDQuest</w:t>
      </w:r>
      <w:r w:rsidR="0046748A" w:rsidRPr="0046748A">
        <w:rPr>
          <w:rFonts w:ascii="Book Antiqua" w:hAnsi="Book Antiqua" w:hint="eastAsia"/>
          <w:color w:val="000000"/>
          <w:kern w:val="0"/>
          <w:sz w:val="24"/>
          <w:lang w:val="fr-FR"/>
        </w:rPr>
        <w:t xml:space="preserve"> </w:t>
      </w:r>
      <w:r w:rsidRPr="0046748A">
        <w:rPr>
          <w:rFonts w:ascii="Book Antiqua" w:hAnsi="Book Antiqua"/>
          <w:color w:val="000000"/>
          <w:kern w:val="0"/>
          <w:sz w:val="24"/>
          <w:lang w:val="fr-FR"/>
        </w:rPr>
        <w:t xml:space="preserve">7.1.1 software. Image analysis included detecting spots on gels, editing spot and editing match, and correction of molecular weight (Mr) and isoelectric point (pI) of protein spots. </w:t>
      </w:r>
    </w:p>
    <w:p w:rsidR="007F78CE" w:rsidRPr="0046748A" w:rsidRDefault="007F78CE" w:rsidP="00E33DF3">
      <w:pPr>
        <w:spacing w:line="360" w:lineRule="auto"/>
        <w:rPr>
          <w:rFonts w:ascii="Book Antiqua" w:hAnsi="Book Antiqua"/>
          <w:b/>
          <w:color w:val="000000"/>
          <w:sz w:val="24"/>
          <w:lang w:val="fr-FR"/>
        </w:rPr>
      </w:pPr>
    </w:p>
    <w:p w:rsidR="007F78CE" w:rsidRPr="0046748A" w:rsidRDefault="007F78CE" w:rsidP="00E33DF3">
      <w:pPr>
        <w:spacing w:line="360" w:lineRule="auto"/>
        <w:rPr>
          <w:rFonts w:ascii="Book Antiqua" w:hAnsi="Book Antiqua"/>
          <w:b/>
          <w:color w:val="000000"/>
          <w:sz w:val="24"/>
          <w:lang w:val="fr-FR"/>
        </w:rPr>
      </w:pPr>
      <w:r w:rsidRPr="0046748A">
        <w:rPr>
          <w:rFonts w:ascii="Book Antiqua" w:hAnsi="Book Antiqua"/>
          <w:b/>
          <w:color w:val="000000"/>
          <w:sz w:val="24"/>
          <w:lang w:val="fr-FR"/>
        </w:rPr>
        <w:t xml:space="preserve">Tryptic digestion of in-gel proteins: </w:t>
      </w:r>
      <w:r w:rsidRPr="0046748A">
        <w:rPr>
          <w:rFonts w:ascii="Book Antiqua" w:hAnsi="Book Antiqua"/>
          <w:color w:val="000000"/>
          <w:sz w:val="24"/>
          <w:lang w:val="fr-FR"/>
        </w:rPr>
        <w:t>For</w:t>
      </w:r>
      <w:r w:rsidRPr="0046748A">
        <w:rPr>
          <w:rFonts w:ascii="Book Antiqua" w:hAnsi="Book Antiqua"/>
          <w:b/>
          <w:color w:val="000000"/>
          <w:sz w:val="24"/>
          <w:lang w:val="fr-FR"/>
        </w:rPr>
        <w:t xml:space="preserve"> </w:t>
      </w:r>
      <w:r w:rsidRPr="0046748A">
        <w:rPr>
          <w:rFonts w:ascii="Book Antiqua" w:hAnsi="Book Antiqua"/>
          <w:color w:val="000000"/>
          <w:sz w:val="24"/>
          <w:lang w:val="fr-FR"/>
        </w:rPr>
        <w:t>2-D gels used for mass spectrometry (MS) analysis, the loading amount of protein</w:t>
      </w:r>
      <w:r w:rsidRPr="0046748A">
        <w:rPr>
          <w:rFonts w:ascii="Book Antiqua" w:hAnsi="Book Antiqua"/>
          <w:color w:val="000000"/>
          <w:kern w:val="0"/>
          <w:sz w:val="24"/>
          <w:lang w:val="fr-FR"/>
        </w:rPr>
        <w:t xml:space="preserve"> was raised to 1 mg. </w:t>
      </w:r>
      <w:r w:rsidRPr="0046748A">
        <w:rPr>
          <w:rFonts w:ascii="Book Antiqua" w:hAnsi="Book Antiqua"/>
          <w:color w:val="000000"/>
          <w:sz w:val="24"/>
          <w:lang w:val="fr-FR"/>
        </w:rPr>
        <w:t>2-D gel eclectrophoresis was performed as described above</w:t>
      </w:r>
      <w:r w:rsidRPr="0046748A">
        <w:rPr>
          <w:rFonts w:ascii="Book Antiqua" w:hAnsi="Book Antiqua"/>
          <w:color w:val="000000"/>
          <w:kern w:val="0"/>
          <w:sz w:val="24"/>
          <w:lang w:val="fr-FR"/>
        </w:rPr>
        <w:t>. To ensure the integrity and purity of protein spots, protein spots were cut and subjected to tryptic digesion in 2 weeks after staining</w:t>
      </w:r>
      <w:r w:rsidRPr="0046748A">
        <w:rPr>
          <w:rFonts w:ascii="Book Antiqua" w:hAnsi="Book Antiqua"/>
          <w:color w:val="000000"/>
          <w:kern w:val="0"/>
          <w:sz w:val="24"/>
          <w:vertAlign w:val="superscript"/>
          <w:lang w:val="fr-FR"/>
        </w:rPr>
        <w:t>[43]</w:t>
      </w:r>
      <w:r w:rsidRPr="0046748A">
        <w:rPr>
          <w:rFonts w:ascii="Book Antiqua" w:hAnsi="Book Antiqua"/>
          <w:color w:val="000000"/>
          <w:kern w:val="0"/>
          <w:sz w:val="24"/>
          <w:lang w:val="fr-FR"/>
        </w:rPr>
        <w:t xml:space="preserve">. </w:t>
      </w:r>
    </w:p>
    <w:p w:rsidR="007F78CE" w:rsidRPr="0046748A" w:rsidRDefault="007F78CE" w:rsidP="00E33DF3">
      <w:pPr>
        <w:spacing w:line="360" w:lineRule="auto"/>
        <w:rPr>
          <w:rFonts w:ascii="Book Antiqua" w:hAnsi="Book Antiqua"/>
          <w:b/>
          <w:color w:val="000000"/>
          <w:sz w:val="24"/>
          <w:lang w:val="fr-FR"/>
        </w:rPr>
      </w:pPr>
    </w:p>
    <w:p w:rsidR="007F78CE" w:rsidRPr="0046748A" w:rsidRDefault="007F78CE" w:rsidP="00E33DF3">
      <w:pPr>
        <w:spacing w:line="360" w:lineRule="auto"/>
        <w:rPr>
          <w:rFonts w:ascii="Book Antiqua" w:hAnsi="Book Antiqua"/>
          <w:color w:val="000000"/>
          <w:sz w:val="24"/>
        </w:rPr>
      </w:pPr>
      <w:r w:rsidRPr="0046748A">
        <w:rPr>
          <w:rFonts w:ascii="Book Antiqua" w:hAnsi="Book Antiqua"/>
          <w:b/>
          <w:color w:val="000000"/>
          <w:sz w:val="24"/>
          <w:lang w:val="fr-FR"/>
        </w:rPr>
        <w:lastRenderedPageBreak/>
        <w:t xml:space="preserve">MALDI-TOF-MS analysis: </w:t>
      </w:r>
      <w:r w:rsidRPr="0046748A">
        <w:rPr>
          <w:rFonts w:ascii="Book Antiqua" w:hAnsi="Book Antiqua"/>
          <w:color w:val="000000"/>
          <w:sz w:val="24"/>
          <w:lang w:val="fr-FR"/>
        </w:rPr>
        <w:t xml:space="preserve">MALDI-TOF-MS analysis of tryptic digested fragments was performed by the Mass Spectrometry Laboratory of Shanghai Jikang Biochemical Technology Co., Ltd (Shanghai, China). Briefly, </w:t>
      </w:r>
      <w:r w:rsidRPr="0046748A">
        <w:rPr>
          <w:rFonts w:ascii="Book Antiqua" w:hAnsi="Book Antiqua"/>
          <w:color w:val="000000"/>
          <w:sz w:val="24"/>
        </w:rPr>
        <w:t>α</w:t>
      </w:r>
      <w:r w:rsidRPr="0046748A">
        <w:rPr>
          <w:rFonts w:ascii="Book Antiqua" w:hAnsi="Book Antiqua"/>
          <w:color w:val="000000"/>
          <w:sz w:val="24"/>
          <w:lang w:val="fr-FR"/>
        </w:rPr>
        <w:t xml:space="preserve">-cyano-4-hydroxycinnamic acid was dissolved in 50% acetonitrile containing 0.1% trifluoroacetic acid to prepare a saturated solution, and 1 </w:t>
      </w:r>
      <w:r w:rsidRPr="0046748A">
        <w:rPr>
          <w:rFonts w:ascii="Book Antiqua" w:hAnsi="Book Antiqua"/>
          <w:color w:val="000000"/>
          <w:sz w:val="24"/>
        </w:rPr>
        <w:t>μ</w:t>
      </w:r>
      <w:r w:rsidRPr="0046748A">
        <w:rPr>
          <w:rFonts w:ascii="Book Antiqua" w:hAnsi="Book Antiqua"/>
          <w:color w:val="000000"/>
          <w:sz w:val="24"/>
          <w:lang w:val="fr-FR"/>
        </w:rPr>
        <w:t xml:space="preserve">L of the solution was mixed with 1 </w:t>
      </w:r>
      <w:r w:rsidRPr="0046748A">
        <w:rPr>
          <w:rFonts w:ascii="Book Antiqua" w:hAnsi="Book Antiqua"/>
          <w:color w:val="000000"/>
          <w:sz w:val="24"/>
        </w:rPr>
        <w:t>μ</w:t>
      </w:r>
      <w:r w:rsidRPr="0046748A">
        <w:rPr>
          <w:rFonts w:ascii="Book Antiqua" w:hAnsi="Book Antiqua"/>
          <w:color w:val="000000"/>
          <w:sz w:val="24"/>
          <w:lang w:val="fr-FR"/>
        </w:rPr>
        <w:t xml:space="preserve">L of tryptic digested fragments. The mixture (1 </w:t>
      </w:r>
      <w:r w:rsidRPr="0046748A">
        <w:rPr>
          <w:rFonts w:ascii="Book Antiqua" w:hAnsi="Book Antiqua"/>
          <w:color w:val="000000"/>
          <w:sz w:val="24"/>
        </w:rPr>
        <w:t>μ</w:t>
      </w:r>
      <w:r w:rsidRPr="0046748A">
        <w:rPr>
          <w:rFonts w:ascii="Book Antiqua" w:hAnsi="Book Antiqua"/>
          <w:color w:val="000000"/>
          <w:sz w:val="24"/>
          <w:lang w:val="fr-FR"/>
        </w:rPr>
        <w:t>L) was loaded onto the mass spectrometer. Positive-ion mass spectra were measured. Two peaks of self-digested trypsin (842.51 and 2211.1046) were used as internal standards</w:t>
      </w:r>
      <w:r w:rsidRPr="0046748A">
        <w:rPr>
          <w:rFonts w:ascii="Book Antiqua" w:hAnsi="Book Antiqua"/>
          <w:color w:val="000000"/>
          <w:sz w:val="24"/>
        </w:rPr>
        <w:t>.</w:t>
      </w:r>
    </w:p>
    <w:p w:rsidR="007F78CE" w:rsidRPr="0046748A" w:rsidRDefault="007F78CE" w:rsidP="00E33DF3">
      <w:pPr>
        <w:spacing w:line="360" w:lineRule="auto"/>
        <w:rPr>
          <w:rFonts w:ascii="Book Antiqua" w:hAnsi="Book Antiqua"/>
          <w:b/>
          <w:color w:val="000000"/>
          <w:sz w:val="24"/>
          <w:lang w:val="fr-FR"/>
        </w:rPr>
      </w:pPr>
    </w:p>
    <w:p w:rsidR="007F78CE" w:rsidRPr="0046748A" w:rsidRDefault="007F78CE" w:rsidP="00E33DF3">
      <w:pPr>
        <w:pStyle w:val="Subtitle"/>
        <w:spacing w:before="0" w:after="0"/>
        <w:jc w:val="both"/>
        <w:outlineLvl w:val="9"/>
        <w:rPr>
          <w:rFonts w:ascii="Book Antiqua" w:hAnsi="Book Antiqua"/>
          <w:i/>
          <w:sz w:val="24"/>
          <w:szCs w:val="24"/>
        </w:rPr>
      </w:pPr>
      <w:r w:rsidRPr="0046748A">
        <w:rPr>
          <w:rFonts w:ascii="Book Antiqua" w:hAnsi="Book Antiqua"/>
          <w:i/>
          <w:sz w:val="24"/>
          <w:szCs w:val="24"/>
        </w:rPr>
        <w:t xml:space="preserve">Immunohistochemistry </w:t>
      </w:r>
    </w:p>
    <w:p w:rsidR="007F78CE" w:rsidRPr="0046748A" w:rsidRDefault="007F78CE" w:rsidP="00E33DF3">
      <w:pPr>
        <w:autoSpaceDE w:val="0"/>
        <w:autoSpaceDN w:val="0"/>
        <w:adjustRightInd w:val="0"/>
        <w:spacing w:line="360" w:lineRule="auto"/>
        <w:rPr>
          <w:rFonts w:ascii="Book Antiqua" w:hAnsi="Book Antiqua"/>
          <w:color w:val="000000"/>
          <w:sz w:val="24"/>
        </w:rPr>
      </w:pPr>
      <w:r w:rsidRPr="0046748A">
        <w:rPr>
          <w:rFonts w:ascii="Book Antiqua" w:hAnsi="Book Antiqua"/>
          <w:color w:val="000000"/>
          <w:sz w:val="24"/>
        </w:rPr>
        <w:t>The avidin-biotin- horseradish peroxidase complex (ABC) method was used. Briefly, paraffin embedded sections were dewaxed, rehydrated through graded ethanol solutions, and washed three times with PBS. After endogenous peroxidase activity was blocked with 0.3% H</w:t>
      </w:r>
      <w:r w:rsidRPr="0046748A">
        <w:rPr>
          <w:rFonts w:ascii="Book Antiqua" w:hAnsi="Book Antiqua"/>
          <w:color w:val="000000"/>
          <w:sz w:val="24"/>
          <w:vertAlign w:val="subscript"/>
        </w:rPr>
        <w:t>2</w:t>
      </w:r>
      <w:r w:rsidRPr="0046748A">
        <w:rPr>
          <w:rFonts w:ascii="Book Antiqua" w:hAnsi="Book Antiqua"/>
          <w:color w:val="000000"/>
          <w:sz w:val="24"/>
        </w:rPr>
        <w:t>O</w:t>
      </w:r>
      <w:r w:rsidRPr="0046748A">
        <w:rPr>
          <w:rFonts w:ascii="Book Antiqua" w:hAnsi="Book Antiqua"/>
          <w:color w:val="000000"/>
          <w:sz w:val="24"/>
          <w:vertAlign w:val="subscript"/>
        </w:rPr>
        <w:t>2</w:t>
      </w:r>
      <w:r w:rsidRPr="0046748A">
        <w:rPr>
          <w:rFonts w:ascii="Book Antiqua" w:hAnsi="Book Antiqua"/>
          <w:color w:val="000000"/>
          <w:sz w:val="24"/>
        </w:rPr>
        <w:t xml:space="preserve">, sections were incubated with normal horse/goat serum (1:50) for 20 min, followed by incubation with a primary antibody diluted with 2% BSA (sPLA2, 1:200; PRX6, 1:500) at 4 °C overnight. Sections were then incubated with a secondary antibody diluted with 2% BSA (1:200) for 45 min and ABC (1:1:50) for 30 min at room temperature. Following DAB coloration, sections were counterstained with hematoxylin for 15-30 s and mounted. A negative control was run by replacing the primary antibody with PBS, and p53-positive esophageal cancer tissue was used as a positive control. Staining intensity was scored as follows: 0 (no staining); 1 (light yellow granules on the membrane or in the cytoplasm); 2 (yellow granules); 3 (brown granules). </w:t>
      </w:r>
      <w:r w:rsidRPr="0046748A">
        <w:rPr>
          <w:rFonts w:ascii="Book Antiqua" w:hAnsi="Book Antiqua"/>
          <w:color w:val="000000"/>
          <w:kern w:val="0"/>
          <w:sz w:val="24"/>
        </w:rPr>
        <w:t xml:space="preserve">Five hundred </w:t>
      </w:r>
      <w:r w:rsidRPr="0046748A">
        <w:rPr>
          <w:rFonts w:ascii="Book Antiqua" w:hAnsi="Book Antiqua"/>
          <w:color w:val="000000"/>
          <w:sz w:val="24"/>
        </w:rPr>
        <w:t>cells were counted in five microscopic fields per slide to calculate the percentage of stained cells, which was scored as follows: 0 (&lt;</w:t>
      </w:r>
      <w:r w:rsidR="0046748A" w:rsidRPr="0046748A">
        <w:rPr>
          <w:rFonts w:ascii="Book Antiqua" w:hAnsi="Book Antiqua" w:hint="eastAsia"/>
          <w:color w:val="000000"/>
          <w:sz w:val="24"/>
        </w:rPr>
        <w:t xml:space="preserve"> </w:t>
      </w:r>
      <w:r w:rsidRPr="0046748A">
        <w:rPr>
          <w:rFonts w:ascii="Book Antiqua" w:hAnsi="Book Antiqua"/>
          <w:color w:val="000000"/>
          <w:sz w:val="24"/>
        </w:rPr>
        <w:t>5%); 1 (5%-25%); 2 (25%-75%); 3 (&gt;</w:t>
      </w:r>
      <w:r w:rsidR="0046748A" w:rsidRPr="0046748A">
        <w:rPr>
          <w:rFonts w:ascii="Book Antiqua" w:hAnsi="Book Antiqua" w:hint="eastAsia"/>
          <w:color w:val="000000"/>
          <w:sz w:val="24"/>
        </w:rPr>
        <w:t xml:space="preserve"> </w:t>
      </w:r>
      <w:r w:rsidRPr="0046748A">
        <w:rPr>
          <w:rFonts w:ascii="Book Antiqua" w:hAnsi="Book Antiqua"/>
          <w:color w:val="000000"/>
          <w:sz w:val="24"/>
        </w:rPr>
        <w:t>75%). Negative, positive and strongly positive staining was considered when the sum of the score of staining intensity score and the score of the percentage of stained cells was 0, 1-4, and &gt;</w:t>
      </w:r>
      <w:r w:rsidR="0046748A" w:rsidRPr="0046748A">
        <w:rPr>
          <w:rFonts w:ascii="Book Antiqua" w:hAnsi="Book Antiqua" w:hint="eastAsia"/>
          <w:color w:val="000000"/>
          <w:sz w:val="24"/>
        </w:rPr>
        <w:t xml:space="preserve"> </w:t>
      </w:r>
      <w:r w:rsidRPr="0046748A">
        <w:rPr>
          <w:rFonts w:ascii="Book Antiqua" w:hAnsi="Book Antiqua"/>
          <w:color w:val="000000"/>
          <w:sz w:val="24"/>
        </w:rPr>
        <w:t>4, respectively.</w:t>
      </w:r>
    </w:p>
    <w:p w:rsidR="007F78CE" w:rsidRPr="0046748A" w:rsidRDefault="007F78CE" w:rsidP="00E33DF3">
      <w:pPr>
        <w:pStyle w:val="Subtitle"/>
        <w:spacing w:before="0" w:after="0"/>
        <w:jc w:val="both"/>
        <w:outlineLvl w:val="9"/>
        <w:rPr>
          <w:rFonts w:ascii="Book Antiqua" w:hAnsi="Book Antiqua"/>
          <w:i/>
          <w:sz w:val="24"/>
          <w:szCs w:val="24"/>
        </w:rPr>
      </w:pPr>
      <w:r w:rsidRPr="0046748A">
        <w:rPr>
          <w:rStyle w:val="Char2"/>
          <w:rFonts w:ascii="Book Antiqua" w:hAnsi="Book Antiqua"/>
          <w:i/>
          <w:sz w:val="24"/>
        </w:rPr>
        <w:lastRenderedPageBreak/>
        <w:t>Quality control</w:t>
      </w:r>
    </w:p>
    <w:p w:rsidR="007F78CE" w:rsidRPr="0046748A" w:rsidRDefault="007F78CE" w:rsidP="00E33DF3">
      <w:pPr>
        <w:autoSpaceDE w:val="0"/>
        <w:autoSpaceDN w:val="0"/>
        <w:adjustRightInd w:val="0"/>
        <w:spacing w:line="360" w:lineRule="auto"/>
        <w:rPr>
          <w:rFonts w:ascii="Book Antiqua" w:hAnsi="Book Antiqua"/>
          <w:sz w:val="24"/>
          <w:lang w:val="fr-FR"/>
        </w:rPr>
      </w:pPr>
      <w:r w:rsidRPr="0046748A">
        <w:rPr>
          <w:rFonts w:ascii="Book Antiqua" w:hAnsi="Book Antiqua"/>
          <w:sz w:val="24"/>
          <w:lang w:val="fr-FR"/>
        </w:rPr>
        <w:t xml:space="preserve">Differential protein spots that were present on 2-D gels for esophageal cancer and fetal esophageal tissues but not on gels for normal esophageal epithelial tissues were chosen for further analysis. To ensure the reproduciblity of 2-D gel electrophresis, 2-D gel electrophresis for each sample was repeated at least twice. </w:t>
      </w:r>
    </w:p>
    <w:p w:rsidR="0046748A" w:rsidRPr="0046748A" w:rsidRDefault="0046748A" w:rsidP="00E33DF3">
      <w:pPr>
        <w:autoSpaceDE w:val="0"/>
        <w:autoSpaceDN w:val="0"/>
        <w:adjustRightInd w:val="0"/>
        <w:spacing w:line="360" w:lineRule="auto"/>
        <w:rPr>
          <w:rFonts w:ascii="Book Antiqua" w:hAnsi="Book Antiqua"/>
          <w:sz w:val="24"/>
          <w:lang w:val="fr-FR"/>
        </w:rPr>
      </w:pPr>
    </w:p>
    <w:p w:rsidR="007F78CE" w:rsidRPr="0046748A" w:rsidRDefault="007F78CE" w:rsidP="00E33DF3">
      <w:pPr>
        <w:pStyle w:val="Subtitle"/>
        <w:spacing w:before="0" w:after="0"/>
        <w:jc w:val="both"/>
        <w:outlineLvl w:val="9"/>
        <w:rPr>
          <w:rFonts w:ascii="Book Antiqua" w:hAnsi="Book Antiqua"/>
          <w:i/>
          <w:sz w:val="24"/>
          <w:szCs w:val="24"/>
          <w:lang w:val="fr-FR"/>
        </w:rPr>
      </w:pPr>
      <w:bookmarkStart w:id="3" w:name="_Toc193881249"/>
      <w:bookmarkStart w:id="4" w:name="_Toc193881086"/>
      <w:bookmarkStart w:id="5" w:name="_Toc193880976"/>
      <w:r w:rsidRPr="0046748A">
        <w:rPr>
          <w:rFonts w:ascii="Book Antiqua" w:hAnsi="Book Antiqua"/>
          <w:i/>
          <w:sz w:val="24"/>
          <w:szCs w:val="24"/>
          <w:lang w:val="fr-FR"/>
        </w:rPr>
        <w:t>Statistical analysis</w:t>
      </w:r>
    </w:p>
    <w:p w:rsidR="007F78CE" w:rsidRPr="0046748A" w:rsidRDefault="007F78CE" w:rsidP="00E33DF3">
      <w:pPr>
        <w:autoSpaceDE w:val="0"/>
        <w:autoSpaceDN w:val="0"/>
        <w:adjustRightInd w:val="0"/>
        <w:spacing w:line="360" w:lineRule="auto"/>
        <w:rPr>
          <w:rFonts w:ascii="Book Antiqua" w:hAnsi="Book Antiqua"/>
          <w:color w:val="000000"/>
          <w:sz w:val="24"/>
        </w:rPr>
      </w:pPr>
      <w:r w:rsidRPr="0046748A">
        <w:rPr>
          <w:rFonts w:ascii="Book Antiqua" w:hAnsi="Book Antiqua"/>
          <w:bCs/>
          <w:color w:val="000000"/>
          <w:sz w:val="24"/>
          <w:lang w:val="fr-FR"/>
        </w:rPr>
        <w:t>Statistical analyses</w:t>
      </w:r>
      <w:r w:rsidRPr="0046748A">
        <w:rPr>
          <w:rFonts w:ascii="Book Antiqua" w:hAnsi="Book Antiqua"/>
          <w:color w:val="000000"/>
          <w:sz w:val="24"/>
          <w:lang w:val="fr-FR"/>
        </w:rPr>
        <w:t xml:space="preserve"> were performed using SPSS10.0 software. </w:t>
      </w:r>
      <w:r w:rsidRPr="0046748A">
        <w:rPr>
          <w:rFonts w:ascii="Book Antiqua" w:hAnsi="Book Antiqua"/>
          <w:color w:val="000000"/>
          <w:sz w:val="24"/>
        </w:rPr>
        <w:t>Kruskal-Wallis and Mann-Whitney tests were used for comparing intergroup differences, with s</w:t>
      </w:r>
      <w:bookmarkEnd w:id="3"/>
      <w:bookmarkEnd w:id="4"/>
      <w:bookmarkEnd w:id="5"/>
      <w:r w:rsidRPr="0046748A">
        <w:rPr>
          <w:rFonts w:ascii="Book Antiqua" w:hAnsi="Book Antiqua"/>
          <w:color w:val="000000"/>
          <w:sz w:val="24"/>
        </w:rPr>
        <w:t xml:space="preserve">tatistical significance set at </w:t>
      </w:r>
      <w:r w:rsidRPr="0046748A">
        <w:rPr>
          <w:color w:val="000000"/>
          <w:sz w:val="24"/>
        </w:rPr>
        <w:t>ɑ</w:t>
      </w:r>
      <w:r w:rsidRPr="0046748A">
        <w:rPr>
          <w:rFonts w:ascii="Book Antiqua" w:hAnsi="Book Antiqua"/>
          <w:color w:val="000000"/>
          <w:sz w:val="24"/>
        </w:rPr>
        <w:t xml:space="preserve"> = </w:t>
      </w:r>
      <w:r w:rsidRPr="0046748A">
        <w:rPr>
          <w:rFonts w:ascii="Book Antiqua" w:hAnsi="Book Antiqua"/>
          <w:bCs/>
          <w:color w:val="000000"/>
          <w:sz w:val="24"/>
        </w:rPr>
        <w:t>0.05</w:t>
      </w:r>
      <w:r w:rsidRPr="0046748A">
        <w:rPr>
          <w:rFonts w:ascii="Book Antiqua" w:hAnsi="Book Antiqua"/>
          <w:color w:val="000000"/>
          <w:sz w:val="24"/>
        </w:rPr>
        <w:t>.</w:t>
      </w:r>
    </w:p>
    <w:p w:rsidR="0046748A" w:rsidRPr="0046748A" w:rsidRDefault="0046748A" w:rsidP="00E33DF3">
      <w:pPr>
        <w:autoSpaceDE w:val="0"/>
        <w:autoSpaceDN w:val="0"/>
        <w:adjustRightInd w:val="0"/>
        <w:spacing w:line="360" w:lineRule="auto"/>
        <w:rPr>
          <w:rFonts w:ascii="Book Antiqua" w:hAnsi="Book Antiqua"/>
          <w:color w:val="000000"/>
          <w:kern w:val="0"/>
          <w:sz w:val="24"/>
        </w:rPr>
      </w:pPr>
    </w:p>
    <w:p w:rsidR="007F78CE" w:rsidRPr="0046748A" w:rsidRDefault="007F78CE" w:rsidP="00E33DF3">
      <w:pPr>
        <w:pStyle w:val="Heading1"/>
        <w:spacing w:before="0" w:after="0"/>
        <w:rPr>
          <w:rFonts w:ascii="Book Antiqua" w:hAnsi="Book Antiqua"/>
          <w:sz w:val="24"/>
          <w:szCs w:val="24"/>
        </w:rPr>
      </w:pPr>
      <w:r w:rsidRPr="0046748A">
        <w:rPr>
          <w:rFonts w:ascii="Book Antiqua" w:hAnsi="Book Antiqua"/>
          <w:sz w:val="24"/>
          <w:szCs w:val="24"/>
        </w:rPr>
        <w:t>RESULTS</w:t>
      </w:r>
    </w:p>
    <w:p w:rsidR="007F78CE" w:rsidRPr="0046748A" w:rsidRDefault="007F78CE" w:rsidP="00E33DF3">
      <w:pPr>
        <w:pStyle w:val="Subtitle"/>
        <w:spacing w:before="0" w:after="0"/>
        <w:jc w:val="both"/>
        <w:outlineLvl w:val="9"/>
        <w:rPr>
          <w:rFonts w:ascii="Book Antiqua" w:hAnsi="Book Antiqua"/>
          <w:i/>
          <w:sz w:val="24"/>
          <w:szCs w:val="24"/>
        </w:rPr>
      </w:pPr>
      <w:r w:rsidRPr="0046748A">
        <w:rPr>
          <w:rFonts w:ascii="Book Antiqua" w:hAnsi="Book Antiqua"/>
          <w:i/>
          <w:sz w:val="24"/>
          <w:szCs w:val="24"/>
        </w:rPr>
        <w:t>Selection of landmark protein spots on 2-D gel images</w:t>
      </w:r>
    </w:p>
    <w:p w:rsidR="007F78CE" w:rsidRPr="0046748A" w:rsidRDefault="007F78CE" w:rsidP="00E33DF3">
      <w:pPr>
        <w:pStyle w:val="NormalIndent"/>
        <w:jc w:val="both"/>
        <w:rPr>
          <w:rFonts w:ascii="Book Antiqua" w:hAnsi="Book Antiqua"/>
          <w:b w:val="0"/>
          <w:sz w:val="24"/>
          <w:szCs w:val="24"/>
        </w:rPr>
      </w:pPr>
      <w:r w:rsidRPr="0046748A">
        <w:rPr>
          <w:rFonts w:ascii="Book Antiqua" w:hAnsi="Book Antiqua"/>
          <w:b w:val="0"/>
          <w:sz w:val="24"/>
          <w:szCs w:val="24"/>
        </w:rPr>
        <w:t>By comparing differnt 2-D gel images for different samples, four landmark protein spots (A-D) that were present on all gel images were selected (Figures 2 and 3). Comparison of these spots with protein markers showed that their Mr was 40.2 KD, 14.2 KD, 16.8 KD and 28 KD, respectively, and PDQuest7.1.1 software determined their PI as 5.9, 7.1, 3.4 and 4.2, respectively.</w:t>
      </w:r>
    </w:p>
    <w:p w:rsidR="0046748A" w:rsidRPr="0046748A" w:rsidRDefault="0046748A" w:rsidP="00E33DF3">
      <w:pPr>
        <w:pStyle w:val="NormalIndent"/>
        <w:jc w:val="both"/>
        <w:rPr>
          <w:rFonts w:ascii="Book Antiqua" w:hAnsi="Book Antiqua"/>
          <w:b w:val="0"/>
          <w:sz w:val="24"/>
          <w:szCs w:val="24"/>
        </w:rPr>
      </w:pPr>
    </w:p>
    <w:p w:rsidR="007F78CE" w:rsidRPr="0046748A" w:rsidRDefault="007F78CE" w:rsidP="00E33DF3">
      <w:pPr>
        <w:pStyle w:val="Subtitle"/>
        <w:spacing w:before="0" w:after="0"/>
        <w:jc w:val="both"/>
        <w:outlineLvl w:val="9"/>
        <w:rPr>
          <w:rFonts w:ascii="Book Antiqua" w:hAnsi="Book Antiqua"/>
          <w:i/>
          <w:sz w:val="24"/>
          <w:szCs w:val="24"/>
        </w:rPr>
      </w:pPr>
      <w:r w:rsidRPr="0046748A">
        <w:rPr>
          <w:rFonts w:ascii="Book Antiqua" w:hAnsi="Book Antiqua"/>
          <w:i/>
          <w:sz w:val="24"/>
          <w:szCs w:val="24"/>
        </w:rPr>
        <w:t>Peptide mass fingerprint analysis and search of protein databases</w:t>
      </w:r>
    </w:p>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lang w:val="fr-FR"/>
        </w:rPr>
        <w:t xml:space="preserve">Protein spots that were signficantly differntially expressed on 2-D gel images were cut and then subjected to in-gel tryptic digestion and MALDI-TOF analysis to obtain the </w:t>
      </w:r>
      <w:r w:rsidR="0046748A" w:rsidRPr="0046748A">
        <w:rPr>
          <w:rFonts w:ascii="Book Antiqua" w:hAnsi="Book Antiqua"/>
          <w:color w:val="000000"/>
          <w:sz w:val="24"/>
          <w:lang w:val="fr-FR"/>
        </w:rPr>
        <w:t>Peptide mass fingerprint (PMF)</w:t>
      </w:r>
      <w:r w:rsidRPr="0046748A">
        <w:rPr>
          <w:rFonts w:ascii="Book Antiqua" w:hAnsi="Book Antiqua"/>
          <w:color w:val="000000"/>
          <w:sz w:val="24"/>
          <w:lang w:val="fr-FR"/>
        </w:rPr>
        <w:t xml:space="preserve">. PMF analysis and </w:t>
      </w:r>
      <w:r w:rsidRPr="0046748A">
        <w:rPr>
          <w:rFonts w:ascii="Book Antiqua" w:hAnsi="Book Antiqua"/>
          <w:sz w:val="24"/>
          <w:lang w:val="fr-FR"/>
        </w:rPr>
        <w:t>search of protein databases</w:t>
      </w:r>
      <w:r w:rsidRPr="0046748A">
        <w:rPr>
          <w:rFonts w:ascii="Book Antiqua" w:hAnsi="Book Antiqua"/>
          <w:color w:val="000000"/>
          <w:sz w:val="24"/>
          <w:lang w:val="fr-FR"/>
        </w:rPr>
        <w:t xml:space="preserve"> were then performed to identify differentially expressed portein spots. Table 1 lists the name of proteins, their theoretical and observed pI and Mr,</w:t>
      </w:r>
      <w:r w:rsidRPr="0046748A">
        <w:rPr>
          <w:rFonts w:ascii="Book Antiqua" w:hAnsi="Book Antiqua"/>
          <w:sz w:val="24"/>
          <w:lang w:val="fr-FR"/>
        </w:rPr>
        <w:t xml:space="preserve"> </w:t>
      </w:r>
      <w:r w:rsidRPr="0046748A">
        <w:rPr>
          <w:rFonts w:ascii="Book Antiqua" w:hAnsi="Book Antiqua"/>
          <w:color w:val="000000"/>
          <w:sz w:val="24"/>
          <w:lang w:val="fr-FR"/>
        </w:rPr>
        <w:t xml:space="preserve">number of matched peptide fragments, sequence coverage and MOWSE score. When searching protein databases, we strictly restricted the above parameters to improve the accuracy of database search. </w:t>
      </w:r>
      <w:r w:rsidRPr="0046748A">
        <w:rPr>
          <w:rFonts w:ascii="Book Antiqua" w:hAnsi="Book Antiqua"/>
          <w:color w:val="000000"/>
          <w:sz w:val="24"/>
          <w:lang w:val="fr-FR"/>
        </w:rPr>
        <w:lastRenderedPageBreak/>
        <w:t xml:space="preserve">After PMF analysis and </w:t>
      </w:r>
      <w:r w:rsidRPr="0046748A">
        <w:rPr>
          <w:rFonts w:ascii="Book Antiqua" w:hAnsi="Book Antiqua"/>
          <w:sz w:val="24"/>
          <w:lang w:val="fr-FR"/>
        </w:rPr>
        <w:t>search of protein databases, a total of 21 differential proteins were identified</w:t>
      </w:r>
      <w:r w:rsidRPr="0046748A">
        <w:rPr>
          <w:rFonts w:ascii="Book Antiqua" w:hAnsi="Book Antiqua"/>
          <w:color w:val="000000"/>
          <w:sz w:val="24"/>
        </w:rPr>
        <w:t>, of which some represent a protein isoform.</w:t>
      </w:r>
    </w:p>
    <w:p w:rsidR="0046748A" w:rsidRPr="0046748A" w:rsidRDefault="0046748A" w:rsidP="00E33DF3">
      <w:pPr>
        <w:spacing w:line="360" w:lineRule="auto"/>
        <w:rPr>
          <w:rFonts w:ascii="Book Antiqua" w:hAnsi="Book Antiqua"/>
          <w:color w:val="000000"/>
          <w:sz w:val="24"/>
          <w:lang w:val="fr-FR"/>
        </w:rPr>
      </w:pPr>
    </w:p>
    <w:p w:rsidR="007F78CE" w:rsidRPr="0046748A" w:rsidRDefault="007F78CE" w:rsidP="00E33DF3">
      <w:pPr>
        <w:pStyle w:val="Subtitle"/>
        <w:spacing w:before="0" w:after="0"/>
        <w:jc w:val="both"/>
        <w:outlineLvl w:val="9"/>
        <w:rPr>
          <w:rFonts w:ascii="Book Antiqua" w:hAnsi="Book Antiqua"/>
          <w:i/>
          <w:sz w:val="24"/>
          <w:szCs w:val="24"/>
        </w:rPr>
      </w:pPr>
      <w:r w:rsidRPr="0046748A">
        <w:rPr>
          <w:rFonts w:ascii="Book Antiqua" w:hAnsi="Book Antiqua"/>
          <w:i/>
          <w:sz w:val="24"/>
          <w:szCs w:val="24"/>
        </w:rPr>
        <w:t>Immunohistochemical staining for peroxiredoxin 6 (PRX6)</w:t>
      </w:r>
    </w:p>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PRX6 protein was stained brown and mainly localized on the membrane, occasionally in the cytoplasm and nucleus (Figure 4).</w:t>
      </w:r>
    </w:p>
    <w:p w:rsidR="007F78CE" w:rsidRPr="0046748A" w:rsidRDefault="007F78CE" w:rsidP="00E33DF3">
      <w:pPr>
        <w:autoSpaceDE w:val="0"/>
        <w:autoSpaceDN w:val="0"/>
        <w:adjustRightInd w:val="0"/>
        <w:spacing w:line="360" w:lineRule="auto"/>
        <w:ind w:firstLineChars="270" w:firstLine="648"/>
        <w:rPr>
          <w:rFonts w:ascii="Book Antiqua" w:hAnsi="Book Antiqua"/>
          <w:color w:val="000000"/>
          <w:sz w:val="24"/>
        </w:rPr>
      </w:pPr>
      <w:r w:rsidRPr="0046748A">
        <w:rPr>
          <w:rFonts w:ascii="Book Antiqua" w:hAnsi="Book Antiqua"/>
          <w:color w:val="000000"/>
          <w:sz w:val="24"/>
        </w:rPr>
        <w:t>In morphologically normal adult esophageal epithelial tissues, moderate staining of PRX6 protein was observed. With the progression of esophageal lesions, the positive rate of PRX6 protein expression showed a declining trend, especially prominent in dysplasia (DYS) and carcinoma in situ (CIS) (Figure 1), in which weak staining of PRX6 protein predominated. In tumor-adjacent esophageal epithelial tissues, the rate of strongly positive staining</w:t>
      </w:r>
      <w:r w:rsidRPr="0046748A">
        <w:rPr>
          <w:rFonts w:ascii="Book Antiqua" w:hAnsi="Book Antiqua"/>
          <w:bCs/>
          <w:color w:val="000000"/>
          <w:sz w:val="24"/>
        </w:rPr>
        <w:t xml:space="preserve"> </w:t>
      </w:r>
      <w:r w:rsidRPr="0046748A">
        <w:rPr>
          <w:rFonts w:ascii="Book Antiqua" w:hAnsi="Book Antiqua"/>
          <w:color w:val="000000"/>
          <w:sz w:val="24"/>
        </w:rPr>
        <w:t>(≥</w:t>
      </w:r>
      <w:r w:rsidR="0046748A" w:rsidRPr="0046748A">
        <w:rPr>
          <w:rFonts w:ascii="Book Antiqua" w:hAnsi="Book Antiqua" w:hint="eastAsia"/>
          <w:color w:val="000000"/>
          <w:sz w:val="24"/>
        </w:rPr>
        <w:t xml:space="preserve"> </w:t>
      </w:r>
      <w:r w:rsidRPr="0046748A">
        <w:rPr>
          <w:rFonts w:ascii="Book Antiqua" w:hAnsi="Book Antiqua"/>
          <w:color w:val="000000"/>
          <w:sz w:val="24"/>
        </w:rPr>
        <w:t>4 points) decreased from 43% in normal epithelium (NOR) to 35% in basal cell hyperplasia (BCH). In DYS,</w:t>
      </w:r>
      <w:r w:rsidRPr="0046748A">
        <w:rPr>
          <w:rFonts w:ascii="Book Antiqua" w:hAnsi="Book Antiqua"/>
          <w:bCs/>
          <w:color w:val="000000"/>
          <w:sz w:val="24"/>
        </w:rPr>
        <w:t xml:space="preserve"> moderately or weakly </w:t>
      </w:r>
      <w:r w:rsidRPr="0046748A">
        <w:rPr>
          <w:rFonts w:ascii="Book Antiqua" w:hAnsi="Book Antiqua"/>
          <w:color w:val="000000"/>
          <w:sz w:val="24"/>
        </w:rPr>
        <w:t>positive staining</w:t>
      </w:r>
      <w:r w:rsidRPr="0046748A">
        <w:rPr>
          <w:rFonts w:ascii="Book Antiqua" w:hAnsi="Book Antiqua"/>
          <w:bCs/>
          <w:color w:val="000000"/>
          <w:sz w:val="24"/>
        </w:rPr>
        <w:t xml:space="preserve"> of</w:t>
      </w:r>
      <w:r w:rsidRPr="0046748A">
        <w:rPr>
          <w:rFonts w:ascii="Book Antiqua" w:hAnsi="Book Antiqua"/>
          <w:color w:val="000000"/>
          <w:sz w:val="24"/>
        </w:rPr>
        <w:t xml:space="preserve"> PRX6 protein (&lt;</w:t>
      </w:r>
      <w:r w:rsidR="0046748A" w:rsidRPr="0046748A">
        <w:rPr>
          <w:rFonts w:ascii="Book Antiqua" w:hAnsi="Book Antiqua" w:hint="eastAsia"/>
          <w:color w:val="000000"/>
          <w:sz w:val="24"/>
        </w:rPr>
        <w:t xml:space="preserve"> </w:t>
      </w:r>
      <w:r w:rsidRPr="0046748A">
        <w:rPr>
          <w:rFonts w:ascii="Book Antiqua" w:hAnsi="Book Antiqua"/>
          <w:color w:val="000000"/>
          <w:sz w:val="24"/>
        </w:rPr>
        <w:t>4 points) predominated. The majority of CIS lesions (79%) showed no staining for PRX6 protein, with weak staining predominating. Interestingly, cancer cells in SCC showed varying degrees of PRX6 staining, with strongly positive staining</w:t>
      </w:r>
      <w:r w:rsidRPr="0046748A">
        <w:rPr>
          <w:rFonts w:ascii="Book Antiqua" w:hAnsi="Book Antiqua"/>
          <w:bCs/>
          <w:color w:val="000000"/>
          <w:sz w:val="24"/>
        </w:rPr>
        <w:t xml:space="preserve"> </w:t>
      </w:r>
      <w:r w:rsidRPr="0046748A">
        <w:rPr>
          <w:rFonts w:ascii="Book Antiqua" w:hAnsi="Book Antiqua"/>
          <w:color w:val="000000"/>
          <w:sz w:val="24"/>
        </w:rPr>
        <w:t>(≥4 points) predominating. In seven cases of well differentiated SCC, varying degrees of PRX6 staining were observed. With the decrease in the differentiation degree of SCC, PRX6 protein expression gradually declined (</w:t>
      </w:r>
      <w:r w:rsidRPr="0046748A">
        <w:rPr>
          <w:rFonts w:ascii="Book Antiqua" w:hAnsi="Book Antiqua"/>
          <w:bCs/>
          <w:i/>
          <w:color w:val="000000"/>
          <w:sz w:val="24"/>
        </w:rPr>
        <w:t>P</w:t>
      </w:r>
      <w:r w:rsidRPr="0046748A">
        <w:rPr>
          <w:rFonts w:ascii="Book Antiqua" w:hAnsi="Book Antiqua"/>
          <w:bCs/>
          <w:color w:val="000000"/>
          <w:sz w:val="24"/>
        </w:rPr>
        <w:t xml:space="preserve"> &lt; 0.05) </w:t>
      </w:r>
      <w:r w:rsidRPr="0046748A">
        <w:rPr>
          <w:rFonts w:ascii="Book Antiqua" w:hAnsi="Book Antiqua"/>
          <w:color w:val="000000"/>
          <w:sz w:val="24"/>
        </w:rPr>
        <w:t>(Table 2).</w:t>
      </w:r>
    </w:p>
    <w:p w:rsidR="007F78CE" w:rsidRPr="0046748A" w:rsidRDefault="007F78CE" w:rsidP="00E33DF3">
      <w:pPr>
        <w:autoSpaceDE w:val="0"/>
        <w:autoSpaceDN w:val="0"/>
        <w:adjustRightInd w:val="0"/>
        <w:spacing w:line="360" w:lineRule="auto"/>
        <w:ind w:firstLineChars="270" w:firstLine="648"/>
        <w:rPr>
          <w:rFonts w:ascii="Book Antiqua" w:hAnsi="Book Antiqua"/>
          <w:color w:val="000000"/>
          <w:sz w:val="24"/>
        </w:rPr>
      </w:pPr>
      <w:r w:rsidRPr="0046748A">
        <w:rPr>
          <w:rFonts w:ascii="Book Antiqua" w:hAnsi="Book Antiqua"/>
          <w:bCs/>
          <w:color w:val="000000"/>
          <w:sz w:val="24"/>
        </w:rPr>
        <w:t>In fetal esophageal epithelial tissues, the positive rate of</w:t>
      </w:r>
      <w:r w:rsidRPr="0046748A">
        <w:rPr>
          <w:rFonts w:ascii="Book Antiqua" w:hAnsi="Book Antiqua"/>
          <w:color w:val="000000"/>
          <w:sz w:val="24"/>
        </w:rPr>
        <w:t xml:space="preserve"> PRX6 protein was </w:t>
      </w:r>
      <w:r w:rsidRPr="0046748A">
        <w:rPr>
          <w:rFonts w:ascii="Book Antiqua" w:hAnsi="Book Antiqua"/>
          <w:bCs/>
          <w:color w:val="000000"/>
          <w:sz w:val="24"/>
        </w:rPr>
        <w:t>87%</w:t>
      </w:r>
      <w:r w:rsidRPr="0046748A">
        <w:rPr>
          <w:rFonts w:ascii="Book Antiqua" w:hAnsi="Book Antiqua"/>
          <w:color w:val="000000"/>
          <w:sz w:val="24"/>
        </w:rPr>
        <w:t>. In</w:t>
      </w:r>
      <w:r w:rsidRPr="0046748A">
        <w:rPr>
          <w:rFonts w:ascii="Book Antiqua" w:hAnsi="Book Antiqua"/>
          <w:bCs/>
          <w:color w:val="000000"/>
          <w:sz w:val="24"/>
        </w:rPr>
        <w:t xml:space="preserve"> esophageal epithelial tissues from fetuses at a gestational age of 4-6 mo, </w:t>
      </w:r>
      <w:r w:rsidRPr="0046748A">
        <w:rPr>
          <w:rFonts w:ascii="Book Antiqua" w:hAnsi="Book Antiqua"/>
          <w:color w:val="000000"/>
          <w:sz w:val="24"/>
        </w:rPr>
        <w:t>strongly positive staining</w:t>
      </w:r>
      <w:r w:rsidRPr="0046748A">
        <w:rPr>
          <w:rFonts w:ascii="Book Antiqua" w:hAnsi="Book Antiqua"/>
          <w:bCs/>
          <w:color w:val="000000"/>
          <w:sz w:val="24"/>
        </w:rPr>
        <w:t xml:space="preserve"> of</w:t>
      </w:r>
      <w:r w:rsidRPr="0046748A">
        <w:rPr>
          <w:rFonts w:ascii="Book Antiqua" w:hAnsi="Book Antiqua"/>
          <w:color w:val="000000"/>
          <w:sz w:val="24"/>
        </w:rPr>
        <w:t xml:space="preserve"> PRX6 protein (≥</w:t>
      </w:r>
      <w:r w:rsidR="0046748A" w:rsidRPr="0046748A">
        <w:rPr>
          <w:rFonts w:ascii="Book Antiqua" w:hAnsi="Book Antiqua" w:hint="eastAsia"/>
          <w:color w:val="000000"/>
          <w:sz w:val="24"/>
        </w:rPr>
        <w:t xml:space="preserve"> </w:t>
      </w:r>
      <w:r w:rsidRPr="0046748A">
        <w:rPr>
          <w:rFonts w:ascii="Book Antiqua" w:hAnsi="Book Antiqua"/>
          <w:color w:val="000000"/>
          <w:sz w:val="24"/>
        </w:rPr>
        <w:t>4 points) predominated.</w:t>
      </w:r>
      <w:r w:rsidRPr="0046748A">
        <w:rPr>
          <w:rFonts w:ascii="Book Antiqua" w:hAnsi="Book Antiqua"/>
          <w:bCs/>
          <w:color w:val="000000"/>
          <w:sz w:val="24"/>
        </w:rPr>
        <w:t xml:space="preserve"> </w:t>
      </w:r>
      <w:r w:rsidRPr="0046748A">
        <w:rPr>
          <w:rFonts w:ascii="Book Antiqua" w:hAnsi="Book Antiqua"/>
          <w:color w:val="000000"/>
          <w:sz w:val="24"/>
        </w:rPr>
        <w:t>In</w:t>
      </w:r>
      <w:r w:rsidRPr="0046748A">
        <w:rPr>
          <w:rFonts w:ascii="Book Antiqua" w:hAnsi="Book Antiqua"/>
          <w:bCs/>
          <w:color w:val="000000"/>
          <w:sz w:val="24"/>
        </w:rPr>
        <w:t xml:space="preserve"> esophageal epithelial tissues from fetuses at a gestational age of 3, 7 or 8 mo, moderately or weakly </w:t>
      </w:r>
      <w:r w:rsidRPr="0046748A">
        <w:rPr>
          <w:rFonts w:ascii="Book Antiqua" w:hAnsi="Book Antiqua"/>
          <w:color w:val="000000"/>
          <w:sz w:val="24"/>
        </w:rPr>
        <w:t>positive staining</w:t>
      </w:r>
      <w:r w:rsidRPr="0046748A">
        <w:rPr>
          <w:rFonts w:ascii="Book Antiqua" w:hAnsi="Book Antiqua"/>
          <w:bCs/>
          <w:color w:val="000000"/>
          <w:sz w:val="24"/>
        </w:rPr>
        <w:t xml:space="preserve"> </w:t>
      </w:r>
      <w:r w:rsidRPr="0046748A">
        <w:rPr>
          <w:rFonts w:ascii="Book Antiqua" w:hAnsi="Book Antiqua"/>
          <w:color w:val="000000"/>
          <w:sz w:val="24"/>
        </w:rPr>
        <w:t>(&lt;</w:t>
      </w:r>
      <w:r w:rsidR="0046748A" w:rsidRPr="0046748A">
        <w:rPr>
          <w:rFonts w:ascii="Book Antiqua" w:hAnsi="Book Antiqua" w:hint="eastAsia"/>
          <w:color w:val="000000"/>
          <w:sz w:val="24"/>
        </w:rPr>
        <w:t xml:space="preserve"> </w:t>
      </w:r>
      <w:r w:rsidRPr="0046748A">
        <w:rPr>
          <w:rFonts w:ascii="Book Antiqua" w:hAnsi="Book Antiqua"/>
          <w:color w:val="000000"/>
          <w:sz w:val="24"/>
        </w:rPr>
        <w:t>4 points) predominated. In</w:t>
      </w:r>
      <w:r w:rsidRPr="0046748A">
        <w:rPr>
          <w:rFonts w:ascii="Book Antiqua" w:hAnsi="Book Antiqua"/>
          <w:bCs/>
          <w:color w:val="000000"/>
          <w:sz w:val="24"/>
        </w:rPr>
        <w:t xml:space="preserve"> esophageal epithelial tissues from fetuses at a gestational age of 8 mo,</w:t>
      </w:r>
      <w:r w:rsidRPr="0046748A">
        <w:rPr>
          <w:rFonts w:ascii="Book Antiqua" w:hAnsi="Book Antiqua"/>
          <w:color w:val="000000"/>
          <w:sz w:val="24"/>
        </w:rPr>
        <w:t xml:space="preserve"> both strongly positive staining and negative staining can be observed (Table 2). Statistical analysis showed that PRX6 protein expression in</w:t>
      </w:r>
      <w:r w:rsidRPr="0046748A">
        <w:rPr>
          <w:rFonts w:ascii="Book Antiqua" w:hAnsi="Book Antiqua"/>
          <w:bCs/>
          <w:color w:val="000000"/>
          <w:sz w:val="24"/>
        </w:rPr>
        <w:t xml:space="preserve"> esophageal epithelial tissues from fetuses at a gestational age of 4 or 7 mo</w:t>
      </w:r>
      <w:r w:rsidRPr="0046748A">
        <w:rPr>
          <w:rFonts w:ascii="Book Antiqua" w:hAnsi="Book Antiqua"/>
          <w:color w:val="000000"/>
          <w:sz w:val="24"/>
        </w:rPr>
        <w:t xml:space="preserve"> differed </w:t>
      </w:r>
      <w:r w:rsidRPr="0046748A">
        <w:rPr>
          <w:rFonts w:ascii="Book Antiqua" w:hAnsi="Book Antiqua"/>
          <w:color w:val="000000"/>
          <w:sz w:val="24"/>
        </w:rPr>
        <w:lastRenderedPageBreak/>
        <w:t xml:space="preserve">significantly compared with that </w:t>
      </w:r>
      <w:r w:rsidRPr="0046748A">
        <w:rPr>
          <w:rFonts w:ascii="Book Antiqua" w:hAnsi="Book Antiqua"/>
          <w:bCs/>
          <w:color w:val="000000"/>
          <w:sz w:val="24"/>
        </w:rPr>
        <w:t>from fetuses of other gestation age groups</w:t>
      </w:r>
      <w:r w:rsidRPr="0046748A">
        <w:rPr>
          <w:rFonts w:ascii="Book Antiqua" w:hAnsi="Book Antiqua"/>
          <w:color w:val="000000"/>
          <w:sz w:val="24"/>
        </w:rPr>
        <w:t xml:space="preserve"> (</w:t>
      </w:r>
      <w:r w:rsidRPr="0046748A">
        <w:rPr>
          <w:rFonts w:ascii="Book Antiqua" w:hAnsi="Book Antiqua"/>
          <w:i/>
          <w:color w:val="000000"/>
          <w:sz w:val="24"/>
        </w:rPr>
        <w:t>P</w:t>
      </w:r>
      <w:r w:rsidRPr="0046748A">
        <w:rPr>
          <w:rFonts w:ascii="Book Antiqua" w:hAnsi="Book Antiqua"/>
          <w:color w:val="000000"/>
          <w:sz w:val="24"/>
        </w:rPr>
        <w:t xml:space="preserve"> &lt; 0.05). </w:t>
      </w:r>
    </w:p>
    <w:p w:rsidR="0046748A" w:rsidRPr="0046748A" w:rsidRDefault="0046748A" w:rsidP="00E33DF3">
      <w:pPr>
        <w:autoSpaceDE w:val="0"/>
        <w:autoSpaceDN w:val="0"/>
        <w:adjustRightInd w:val="0"/>
        <w:spacing w:line="360" w:lineRule="auto"/>
        <w:ind w:firstLineChars="270" w:firstLine="648"/>
        <w:rPr>
          <w:rFonts w:ascii="Book Antiqua" w:hAnsi="Book Antiqua"/>
          <w:color w:val="000000"/>
          <w:sz w:val="24"/>
        </w:rPr>
      </w:pPr>
    </w:p>
    <w:p w:rsidR="007F78CE" w:rsidRPr="0046748A" w:rsidRDefault="007F78CE" w:rsidP="00E33DF3">
      <w:pPr>
        <w:pStyle w:val="Heading1"/>
        <w:spacing w:before="0" w:after="0"/>
        <w:rPr>
          <w:rFonts w:ascii="Book Antiqua" w:hAnsi="Book Antiqua"/>
          <w:sz w:val="24"/>
          <w:szCs w:val="24"/>
        </w:rPr>
      </w:pPr>
      <w:r w:rsidRPr="0046748A">
        <w:rPr>
          <w:rFonts w:ascii="Book Antiqua" w:hAnsi="Book Antiqua"/>
          <w:sz w:val="24"/>
          <w:szCs w:val="24"/>
        </w:rPr>
        <w:t>DISCUSSION</w:t>
      </w:r>
    </w:p>
    <w:p w:rsidR="007F78CE" w:rsidRPr="0046748A" w:rsidRDefault="007F78CE" w:rsidP="00E33DF3">
      <w:pPr>
        <w:autoSpaceDE w:val="0"/>
        <w:autoSpaceDN w:val="0"/>
        <w:adjustRightInd w:val="0"/>
        <w:spacing w:line="360" w:lineRule="auto"/>
        <w:rPr>
          <w:rFonts w:ascii="Book Antiqua" w:hAnsi="Book Antiqua"/>
          <w:color w:val="000000"/>
          <w:kern w:val="0"/>
          <w:sz w:val="24"/>
        </w:rPr>
      </w:pPr>
      <w:r w:rsidRPr="0046748A">
        <w:rPr>
          <w:rFonts w:ascii="Book Antiqua" w:hAnsi="Book Antiqua"/>
          <w:color w:val="000000"/>
          <w:kern w:val="0"/>
          <w:sz w:val="24"/>
        </w:rPr>
        <w:t xml:space="preserve">The development and progression of esophageal cancer are a multi-stage process involving many genes. Proteomics is the study of the entire set of proteins expressed by a single cell or tissue. With the aid of proteomics, changes in protein molecules directly related to tumor development and progression can be identified, thus allowing to find markers for early diagnosis of tumors and monitoring of curative effects. This study utilized the 2-DE based proteomic technology to identify differentially expressed proteins in </w:t>
      </w:r>
      <w:r w:rsidRPr="0046748A">
        <w:rPr>
          <w:rFonts w:ascii="Book Antiqua" w:hAnsi="Book Antiqua"/>
          <w:color w:val="000000"/>
          <w:sz w:val="24"/>
        </w:rPr>
        <w:t>fetal esophageal tissues, esophageal cancer tissues, and tumor-adjacent normal esophageal epithelial tissues from fetuses of different gestational age or esophageal cancer patients from a high risk area of esophageal cancer in China</w:t>
      </w:r>
      <w:r w:rsidRPr="0046748A">
        <w:rPr>
          <w:rFonts w:ascii="Book Antiqua" w:hAnsi="Book Antiqua"/>
          <w:color w:val="000000"/>
          <w:kern w:val="0"/>
          <w:sz w:val="24"/>
        </w:rPr>
        <w:t xml:space="preserve">. As a result, a total of 21 significantly differentially expressed proteins were identified, which may be related to the </w:t>
      </w:r>
      <w:r w:rsidRPr="0046748A">
        <w:rPr>
          <w:rFonts w:ascii="Book Antiqua" w:hAnsi="Book Antiqua"/>
          <w:color w:val="000000"/>
          <w:sz w:val="24"/>
        </w:rPr>
        <w:t>development and growth of fetal esophageal epithelium or the development and progression of esophageal cancer</w:t>
      </w:r>
      <w:r w:rsidRPr="0046748A">
        <w:rPr>
          <w:rFonts w:ascii="Book Antiqua" w:hAnsi="Book Antiqua"/>
          <w:color w:val="000000"/>
          <w:kern w:val="0"/>
          <w:sz w:val="24"/>
        </w:rPr>
        <w:t>.</w:t>
      </w:r>
    </w:p>
    <w:p w:rsidR="007F78CE" w:rsidRPr="0046748A" w:rsidRDefault="007F78CE" w:rsidP="00E33DF3">
      <w:pPr>
        <w:spacing w:line="360" w:lineRule="auto"/>
        <w:ind w:firstLineChars="270" w:firstLine="648"/>
        <w:rPr>
          <w:rFonts w:ascii="Book Antiqua" w:hAnsi="Book Antiqua"/>
          <w:color w:val="000000"/>
          <w:sz w:val="24"/>
        </w:rPr>
      </w:pPr>
      <w:r w:rsidRPr="0046748A">
        <w:rPr>
          <w:rFonts w:ascii="Book Antiqua" w:hAnsi="Book Antiqua"/>
          <w:color w:val="000000"/>
          <w:sz w:val="24"/>
        </w:rPr>
        <w:t>PRX6 protein belongs to the antioxidant peroxiredoxin family, which is ubiquitously expressed in prokaryotes and eukaryotes</w:t>
      </w:r>
      <w:r w:rsidRPr="0046748A">
        <w:rPr>
          <w:rFonts w:ascii="Book Antiqua" w:hAnsi="Book Antiqua"/>
          <w:color w:val="000000"/>
          <w:sz w:val="24"/>
          <w:vertAlign w:val="superscript"/>
        </w:rPr>
        <w:t>[11]</w:t>
      </w:r>
      <w:r w:rsidRPr="0046748A">
        <w:rPr>
          <w:rFonts w:ascii="Book Antiqua" w:hAnsi="Book Antiqua"/>
          <w:color w:val="000000"/>
          <w:sz w:val="24"/>
        </w:rPr>
        <w:t xml:space="preserve"> and has six mammalian members. </w:t>
      </w:r>
      <w:r w:rsidRPr="0046748A">
        <w:rPr>
          <w:rFonts w:ascii="Book Antiqua" w:hAnsi="Book Antiqua"/>
          <w:bCs/>
          <w:color w:val="000000"/>
          <w:kern w:val="0"/>
          <w:sz w:val="24"/>
        </w:rPr>
        <w:t xml:space="preserve">Mireille Chevallet </w:t>
      </w:r>
      <w:r w:rsidRPr="0046748A">
        <w:rPr>
          <w:rFonts w:ascii="Book Antiqua" w:hAnsi="Book Antiqua"/>
          <w:bCs/>
          <w:i/>
          <w:color w:val="000000"/>
          <w:kern w:val="0"/>
          <w:sz w:val="24"/>
        </w:rPr>
        <w:t>et al</w:t>
      </w:r>
      <w:r w:rsidRPr="0046748A">
        <w:rPr>
          <w:rFonts w:ascii="Book Antiqua" w:hAnsi="Book Antiqua"/>
          <w:color w:val="000000"/>
          <w:sz w:val="24"/>
          <w:vertAlign w:val="superscript"/>
        </w:rPr>
        <w:t>[12]</w:t>
      </w:r>
      <w:r w:rsidRPr="0046748A">
        <w:rPr>
          <w:rFonts w:ascii="Book Antiqua" w:hAnsi="Book Antiqua"/>
          <w:color w:val="000000"/>
          <w:sz w:val="24"/>
        </w:rPr>
        <w:t xml:space="preserve"> found that PRX6 expression continued to rise within 1-24 h after oxidative stress. Besides antioxidant properties, peroxiredoxins can also be radiation protective, stimulate cell proliferation, and participate in cell signal transduction. This study found that PRX6 expression was elevated in esophageal cancer tissues where cell metabolism and proliferation are active, suggesting that increased PRX6 may inhibit the excessive production of reactive oxygen species and maintain cell homeostasis to protect cells from damage. Similar to our results, PRX protein expression was also found to be elevated in malignant mesothelioma, lung </w:t>
      </w:r>
      <w:r w:rsidRPr="0046748A">
        <w:rPr>
          <w:rFonts w:ascii="Book Antiqua" w:hAnsi="Book Antiqua"/>
          <w:color w:val="000000"/>
          <w:sz w:val="24"/>
        </w:rPr>
        <w:lastRenderedPageBreak/>
        <w:t>cancer, and oral cancer</w:t>
      </w:r>
      <w:r w:rsidRPr="0046748A">
        <w:rPr>
          <w:rFonts w:ascii="Book Antiqua" w:hAnsi="Book Antiqua"/>
          <w:color w:val="000000"/>
          <w:sz w:val="24"/>
          <w:vertAlign w:val="superscript"/>
        </w:rPr>
        <w:t>[13]</w:t>
      </w:r>
      <w:r w:rsidRPr="0046748A">
        <w:rPr>
          <w:rFonts w:ascii="Book Antiqua" w:hAnsi="Book Antiqua"/>
          <w:color w:val="000000"/>
          <w:sz w:val="24"/>
        </w:rPr>
        <w:t xml:space="preserve">. In our previous </w:t>
      </w:r>
      <w:r w:rsidRPr="0046748A">
        <w:rPr>
          <w:rFonts w:ascii="Book Antiqua" w:hAnsi="Book Antiqua"/>
          <w:color w:val="000000"/>
          <w:kern w:val="0"/>
          <w:sz w:val="24"/>
        </w:rPr>
        <w:t xml:space="preserve">proteomic </w:t>
      </w:r>
      <w:r w:rsidRPr="0046748A">
        <w:rPr>
          <w:rFonts w:ascii="Book Antiqua" w:hAnsi="Book Antiqua"/>
          <w:color w:val="000000"/>
          <w:sz w:val="24"/>
        </w:rPr>
        <w:t>study of esophageal squamous cell carcinoma, PRX1 protein expression was found to be up-regulated, but PRX2 protein expression was down-regulated</w:t>
      </w:r>
      <w:r w:rsidRPr="0046748A">
        <w:rPr>
          <w:rFonts w:ascii="Book Antiqua" w:hAnsi="Book Antiqua"/>
          <w:color w:val="000000"/>
          <w:sz w:val="24"/>
          <w:vertAlign w:val="superscript"/>
        </w:rPr>
        <w:t>[14]</w:t>
      </w:r>
      <w:r w:rsidRPr="0046748A">
        <w:rPr>
          <w:rFonts w:ascii="Book Antiqua" w:hAnsi="Book Antiqua"/>
          <w:color w:val="000000"/>
          <w:sz w:val="24"/>
        </w:rPr>
        <w:t>, indicating that the development and progression of esophageal squamous cell carcinoma involves the changes in a variety of antioxidant proteins, and different antioxidant proteins or protein isoforms may have different functions in the development and progression of esophageal cancer. Further studies should be performed to clarify the exact mechanisms of these antioxidant proteins.</w:t>
      </w:r>
    </w:p>
    <w:p w:rsidR="007F78CE" w:rsidRPr="0046748A" w:rsidRDefault="007F78CE" w:rsidP="00E33DF3">
      <w:pPr>
        <w:spacing w:line="360" w:lineRule="auto"/>
        <w:ind w:firstLineChars="270" w:firstLine="648"/>
        <w:rPr>
          <w:rFonts w:ascii="Book Antiqua" w:hAnsi="Book Antiqua"/>
          <w:color w:val="000000"/>
          <w:sz w:val="24"/>
        </w:rPr>
      </w:pPr>
      <w:r w:rsidRPr="0046748A">
        <w:rPr>
          <w:rFonts w:ascii="Book Antiqua" w:hAnsi="Book Antiqua"/>
          <w:color w:val="000000"/>
          <w:sz w:val="24"/>
        </w:rPr>
        <w:t>The most important finding of this study is that the expression of PRX6 protein decreased with the progression of esophageal lesions. In tumor-adjacent normal esophageal epithelial tissues, PRX6 protein was highly expressed; however, PRX6 protein expression was significantly reduced in CIS. PRX6 protein expression was positively correlated with the degree of tumor differentiation in esophageal squamous cell cancer. With the decrease in tumor differentiation, PRX6 protein expression decreased. In the fetal esophageal epithelium, PRX6 protein expression showed a fluctuating pattern with the increase of gestational age. The intensity of PRX6 protein expression was positively correlated with the degree of differentiation of epithelial cells. PRX6 protein expression was highly expressed in well differentiated epithelial cells, but lowly expressed or not expressed in lowly differentiated epithelial cells.</w:t>
      </w:r>
    </w:p>
    <w:p w:rsidR="007F78CE" w:rsidRPr="0046748A" w:rsidRDefault="007F78CE" w:rsidP="00E33DF3">
      <w:pPr>
        <w:spacing w:line="360" w:lineRule="auto"/>
        <w:ind w:firstLineChars="270" w:firstLine="648"/>
        <w:rPr>
          <w:rFonts w:ascii="Book Antiqua" w:hAnsi="Book Antiqua"/>
          <w:color w:val="000000"/>
          <w:sz w:val="24"/>
        </w:rPr>
      </w:pPr>
      <w:r w:rsidRPr="0046748A">
        <w:rPr>
          <w:rFonts w:ascii="Book Antiqua" w:hAnsi="Book Antiqua"/>
          <w:color w:val="000000"/>
          <w:sz w:val="24"/>
        </w:rPr>
        <w:t xml:space="preserve">Both fetal esophageal epithelium and carcinoma tissues have active cell proliferation and metabolism, which may result in increased peroxide generation. PRX6 protein in fetal esophageal epithelium and carcinoma tissues may have antioxidant effects by eliminating peroxides produced by the cell metabolism, thus protecting cells from damage. Loss of expression of PRX6 protein in CIS may promote cell proliferation and facilitate the progression of precancerous lesions. However, the dynamic expression pattern of PRX6 protein in esophageal precancerous lesions and fetal </w:t>
      </w:r>
      <w:r w:rsidRPr="0046748A">
        <w:rPr>
          <w:rFonts w:ascii="Book Antiqua" w:hAnsi="Book Antiqua"/>
          <w:color w:val="000000"/>
          <w:sz w:val="24"/>
        </w:rPr>
        <w:lastRenderedPageBreak/>
        <w:t>esophageal epithelium suggests that PRX6 protein is associated with the multistage evolution of esophageal cancer and may inhibit cell proliferation and promote the differentiation of esophageal epithelial cells. Loss of expression of PRX6 protein in CIS is likely to promote cell proliferation and facilitate the progression of precancerous lesions. In poorly differentiated carcinoma tissue, loss of PRX6 protein may lead to rapid cell proliferation. Under certain conditions, PRX6 protein may also be involved in the induction of differentiation of cancer cells, thus resulting in the formation of highly differentiated carcinoma tissue. In fetal esophageal epithelium, PRX6 protein expression showed no significant correlation with gestational age, but was, to some extent, associated with the morphology of epithelial cells. In the base layer where cells are arranged neatly, the level of PRX6 protein expression was high. In contrast, when the arrangement of epithelial cells was disorderly, PRX6 protein exhibited low expression. These findings suggest that PRX6 protein may play an important role in the process of differentiation of fetal esophageal epithelial cells. We speculate that PRX6 protein may promote the trans-differentiation from precancerous lesions to normal esophageal epithelium. However, the precise role of PRX6 protein in cell differentiation requires further research.</w:t>
      </w:r>
    </w:p>
    <w:p w:rsidR="007F78CE" w:rsidRPr="0046748A" w:rsidRDefault="007F78CE" w:rsidP="00E33DF3">
      <w:pPr>
        <w:spacing w:line="360" w:lineRule="auto"/>
        <w:ind w:firstLineChars="270" w:firstLine="648"/>
        <w:rPr>
          <w:rFonts w:ascii="Book Antiqua" w:hAnsi="Book Antiqua"/>
          <w:color w:val="000000"/>
          <w:sz w:val="24"/>
        </w:rPr>
      </w:pPr>
      <w:r w:rsidRPr="0046748A">
        <w:rPr>
          <w:rFonts w:ascii="Book Antiqua" w:hAnsi="Book Antiqua"/>
          <w:color w:val="000000"/>
          <w:kern w:val="0"/>
          <w:sz w:val="24"/>
        </w:rPr>
        <w:t>This study utilized the 2-DE based proteomic technology to</w:t>
      </w:r>
      <w:r w:rsidRPr="0046748A">
        <w:rPr>
          <w:rFonts w:ascii="Book Antiqua" w:hAnsi="Book Antiqua"/>
          <w:color w:val="000000"/>
          <w:sz w:val="24"/>
        </w:rPr>
        <w:t xml:space="preserve"> analyze the differential protein expression profiles</w:t>
      </w:r>
      <w:r w:rsidRPr="0046748A">
        <w:rPr>
          <w:rFonts w:ascii="Book Antiqua" w:hAnsi="Book Antiqua"/>
          <w:color w:val="000000"/>
          <w:kern w:val="0"/>
          <w:sz w:val="24"/>
        </w:rPr>
        <w:t xml:space="preserve"> in </w:t>
      </w:r>
      <w:r w:rsidRPr="0046748A">
        <w:rPr>
          <w:rFonts w:ascii="Book Antiqua" w:hAnsi="Book Antiqua"/>
          <w:color w:val="000000"/>
          <w:sz w:val="24"/>
        </w:rPr>
        <w:t>fetal esophageal tissues, esophageal cancer tissues, and tumor-adjacent normal esophageal epithelial tissues from fetuses of different gestational age or esophageal cancer patients from a high risk area of esophageal cancer in China</w:t>
      </w:r>
      <w:r w:rsidRPr="0046748A">
        <w:rPr>
          <w:rFonts w:ascii="Book Antiqua" w:hAnsi="Book Antiqua"/>
          <w:color w:val="000000"/>
          <w:kern w:val="0"/>
          <w:sz w:val="24"/>
        </w:rPr>
        <w:t xml:space="preserve">, and identified 21 significantly differentially expressed proteins that may be related to the </w:t>
      </w:r>
      <w:r w:rsidRPr="0046748A">
        <w:rPr>
          <w:rFonts w:ascii="Book Antiqua" w:hAnsi="Book Antiqua"/>
          <w:color w:val="000000"/>
          <w:sz w:val="24"/>
        </w:rPr>
        <w:t xml:space="preserve">development and growth of fetal esophageal epithelium or the development and progression of esophageal cancer, such as Dermatonontin, S100A9, HSP27, and PRX6. Our results suggest that the development and progression of esophageal cancer are a result of interactions of many genetic changes (accumulation or superposition). These proteins are related not only to esophageal cancer, but </w:t>
      </w:r>
      <w:r w:rsidRPr="0046748A">
        <w:rPr>
          <w:rFonts w:ascii="Book Antiqua" w:hAnsi="Book Antiqua"/>
          <w:color w:val="000000"/>
          <w:sz w:val="24"/>
        </w:rPr>
        <w:lastRenderedPageBreak/>
        <w:t xml:space="preserve">also to other tumors. The identification of proteins associated with esophageal cancer and fetal esophageal development can improve the understanding of the molecular mechanism of esophageal cancer development and may help provide a fetal esophageal model for esophageal cancer. PRX6 protein plays an important role in the induction of differentiation of esophageal epithelial cells, and PRX6 protein expression level may be used as an important marker for evaluating cell differentiation. In this regard, further research of molecular mechanism of PRX6 is of great significance. </w:t>
      </w:r>
    </w:p>
    <w:p w:rsidR="007F78CE" w:rsidRPr="0046748A" w:rsidRDefault="007F78CE" w:rsidP="00E33DF3">
      <w:pPr>
        <w:spacing w:line="360" w:lineRule="auto"/>
        <w:ind w:firstLineChars="270" w:firstLine="648"/>
        <w:rPr>
          <w:rFonts w:ascii="Book Antiqua" w:hAnsi="Book Antiqua"/>
          <w:color w:val="000000"/>
          <w:sz w:val="24"/>
        </w:rPr>
      </w:pPr>
    </w:p>
    <w:p w:rsidR="007F78CE" w:rsidRPr="0046748A" w:rsidRDefault="007F78CE" w:rsidP="00E33DF3">
      <w:pPr>
        <w:spacing w:line="360" w:lineRule="auto"/>
        <w:rPr>
          <w:rFonts w:ascii="Book Antiqua" w:hAnsi="Book Antiqua"/>
          <w:b/>
          <w:color w:val="000000"/>
          <w:sz w:val="24"/>
        </w:rPr>
      </w:pPr>
      <w:r w:rsidRPr="0046748A">
        <w:rPr>
          <w:rFonts w:ascii="Book Antiqua" w:hAnsi="Book Antiqua"/>
          <w:b/>
          <w:color w:val="000000"/>
          <w:sz w:val="24"/>
        </w:rPr>
        <w:t>COMMENTS</w:t>
      </w:r>
    </w:p>
    <w:p w:rsidR="007F78CE" w:rsidRPr="0046748A" w:rsidRDefault="007F78CE" w:rsidP="00E33DF3">
      <w:pPr>
        <w:spacing w:line="360" w:lineRule="auto"/>
        <w:rPr>
          <w:rFonts w:ascii="Book Antiqua" w:hAnsi="Book Antiqua"/>
          <w:b/>
          <w:bCs/>
          <w:i/>
          <w:color w:val="000000"/>
          <w:sz w:val="24"/>
        </w:rPr>
      </w:pPr>
      <w:r w:rsidRPr="0046748A">
        <w:rPr>
          <w:rFonts w:ascii="Book Antiqua" w:hAnsi="Book Antiqua"/>
          <w:b/>
          <w:bCs/>
          <w:i/>
          <w:color w:val="000000"/>
          <w:sz w:val="24"/>
        </w:rPr>
        <w:t>Background</w:t>
      </w:r>
    </w:p>
    <w:p w:rsidR="007F78CE" w:rsidRPr="0046748A" w:rsidRDefault="007F78CE" w:rsidP="00E33DF3">
      <w:pPr>
        <w:spacing w:line="360" w:lineRule="auto"/>
        <w:rPr>
          <w:rFonts w:ascii="Book Antiqua" w:hAnsi="Book Antiqua"/>
          <w:sz w:val="24"/>
        </w:rPr>
      </w:pPr>
      <w:r w:rsidRPr="0046748A">
        <w:rPr>
          <w:rFonts w:ascii="Book Antiqua" w:hAnsi="Book Antiqua"/>
          <w:sz w:val="24"/>
        </w:rPr>
        <w:t>The fetal esophageal epithelium is developed from unmatured monolayer columnar epithelium gradually into a matured stratified squamous epithelium, differentiated from immature gradually to mature, epithelial cells differentiated from the active division and proliferation epithelial stem cells gradually matured into stratified squamous epithelium; The adult esophageal epithelial carcinogenesis is the differentiation of mature epithelial tissue in the role of carcinogenic factors, the emergence of hyperplasia and abnormal differentiation eventually developed into cancer. Obviously, the two have the opposite differentiation process. To find the protein molecules that are differentially or identically expressed in the process of maturation and differentiation of fetal esophageal epithelium and carcinogenesis of adult esophageal epithelium, to strengthen the understanding of molecular mechanism of esophageal carcinogenesis,</w:t>
      </w:r>
      <w:r w:rsidR="00E33DF3">
        <w:rPr>
          <w:rFonts w:ascii="Book Antiqua" w:hAnsi="Book Antiqua" w:hint="eastAsia"/>
          <w:sz w:val="24"/>
        </w:rPr>
        <w:t xml:space="preserve"> </w:t>
      </w:r>
      <w:r w:rsidRPr="0046748A">
        <w:rPr>
          <w:rFonts w:ascii="Book Antiqua" w:hAnsi="Book Antiqua"/>
          <w:sz w:val="24"/>
        </w:rPr>
        <w:t>so as to provide an important theoretical basis for the screening and detection of early molecular markers in high-risk population.</w:t>
      </w:r>
    </w:p>
    <w:p w:rsidR="007F78CE" w:rsidRPr="0046748A" w:rsidRDefault="007F78CE" w:rsidP="00E33DF3">
      <w:pPr>
        <w:spacing w:line="360" w:lineRule="auto"/>
        <w:rPr>
          <w:rFonts w:ascii="Book Antiqua" w:hAnsi="Book Antiqua"/>
          <w:sz w:val="24"/>
        </w:rPr>
      </w:pPr>
    </w:p>
    <w:p w:rsidR="007F78CE" w:rsidRPr="0046748A" w:rsidRDefault="007F78CE" w:rsidP="00E33DF3">
      <w:pPr>
        <w:spacing w:line="360" w:lineRule="auto"/>
        <w:rPr>
          <w:rFonts w:ascii="Book Antiqua" w:hAnsi="Book Antiqua"/>
          <w:b/>
          <w:bCs/>
          <w:i/>
          <w:color w:val="000000"/>
          <w:sz w:val="24"/>
        </w:rPr>
      </w:pPr>
      <w:r w:rsidRPr="0046748A">
        <w:rPr>
          <w:rFonts w:ascii="Book Antiqua" w:hAnsi="Book Antiqua"/>
          <w:b/>
          <w:bCs/>
          <w:i/>
          <w:color w:val="000000"/>
          <w:sz w:val="24"/>
        </w:rPr>
        <w:t>Research frontiers</w:t>
      </w:r>
    </w:p>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 xml:space="preserve">Clarifying the molecular mechanisms underlying the development and progression of esophageal cancer and identifying biological markers for </w:t>
      </w:r>
      <w:r w:rsidRPr="0046748A">
        <w:rPr>
          <w:rFonts w:ascii="Book Antiqua" w:hAnsi="Book Antiqua"/>
          <w:color w:val="000000"/>
          <w:sz w:val="24"/>
        </w:rPr>
        <w:lastRenderedPageBreak/>
        <w:t xml:space="preserve">screening high-risk populations are therefore of great clinical importance for early diagnosis. Autilized the proteomic technology to analyze the differential protein expression profiles in the development and growth of fetal esophageal epithelium and the development and progression of esophageal cancer, with an aim to clarify the molecular mechanism of esophageal cancer development. </w:t>
      </w:r>
    </w:p>
    <w:p w:rsidR="007F78CE" w:rsidRPr="0046748A" w:rsidRDefault="007F78CE" w:rsidP="00E33DF3">
      <w:pPr>
        <w:spacing w:line="360" w:lineRule="auto"/>
        <w:rPr>
          <w:rFonts w:ascii="Book Antiqua" w:hAnsi="Book Antiqua"/>
          <w:color w:val="000000"/>
          <w:sz w:val="24"/>
        </w:rPr>
      </w:pPr>
    </w:p>
    <w:p w:rsidR="007F78CE" w:rsidRPr="0046748A" w:rsidRDefault="007F78CE" w:rsidP="00E33DF3">
      <w:pPr>
        <w:spacing w:line="360" w:lineRule="auto"/>
        <w:rPr>
          <w:rFonts w:ascii="Book Antiqua" w:hAnsi="Book Antiqua"/>
          <w:b/>
          <w:i/>
          <w:color w:val="000000"/>
          <w:kern w:val="0"/>
          <w:sz w:val="24"/>
        </w:rPr>
      </w:pPr>
      <w:r w:rsidRPr="0046748A">
        <w:rPr>
          <w:rFonts w:ascii="Book Antiqua" w:hAnsi="Book Antiqua"/>
          <w:b/>
          <w:i/>
          <w:color w:val="000000"/>
          <w:kern w:val="0"/>
          <w:sz w:val="24"/>
        </w:rPr>
        <w:t>Innovations and breakthroughs</w:t>
      </w:r>
    </w:p>
    <w:p w:rsidR="007F78CE" w:rsidRPr="0046748A" w:rsidRDefault="00E33DF3" w:rsidP="00E33DF3">
      <w:pPr>
        <w:spacing w:line="360" w:lineRule="auto"/>
        <w:rPr>
          <w:rFonts w:ascii="Book Antiqua" w:hAnsi="Book Antiqua"/>
          <w:sz w:val="24"/>
        </w:rPr>
      </w:pPr>
      <w:r>
        <w:rPr>
          <w:rFonts w:ascii="Book Antiqua" w:hAnsi="Book Antiqua" w:hint="eastAsia"/>
          <w:sz w:val="24"/>
        </w:rPr>
        <w:t>The authors</w:t>
      </w:r>
      <w:r w:rsidR="007F78CE" w:rsidRPr="0046748A">
        <w:rPr>
          <w:rFonts w:ascii="Book Antiqua" w:hAnsi="Book Antiqua"/>
          <w:sz w:val="24"/>
        </w:rPr>
        <w:t xml:space="preserve"> identified 21 differentially expressed proteins by PMF and database analysis in the study, and some proteins contained different isoforms.</w:t>
      </w:r>
    </w:p>
    <w:p w:rsidR="007F78CE" w:rsidRPr="00E33DF3" w:rsidRDefault="007F78CE" w:rsidP="00E33DF3">
      <w:pPr>
        <w:spacing w:line="360" w:lineRule="auto"/>
        <w:rPr>
          <w:rFonts w:ascii="Book Antiqua" w:hAnsi="Book Antiqua"/>
          <w:sz w:val="24"/>
        </w:rPr>
      </w:pPr>
    </w:p>
    <w:p w:rsidR="007F78CE" w:rsidRPr="0046748A" w:rsidRDefault="007F78CE" w:rsidP="00E33DF3">
      <w:pPr>
        <w:spacing w:line="360" w:lineRule="auto"/>
        <w:rPr>
          <w:rFonts w:ascii="Book Antiqua" w:hAnsi="Book Antiqua"/>
          <w:b/>
          <w:i/>
          <w:color w:val="000000"/>
          <w:kern w:val="0"/>
          <w:sz w:val="24"/>
        </w:rPr>
      </w:pPr>
      <w:r w:rsidRPr="0046748A">
        <w:rPr>
          <w:rFonts w:ascii="Book Antiqua" w:hAnsi="Book Antiqua"/>
          <w:b/>
          <w:i/>
          <w:color w:val="000000"/>
          <w:kern w:val="0"/>
          <w:sz w:val="24"/>
        </w:rPr>
        <w:t>Applications</w:t>
      </w:r>
    </w:p>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 xml:space="preserve">PRX6 protein expression level may be used as an important marker for evaluating cell differentiation. In this regard, further research of molecular mechanism of PRX6 is of great significance. </w:t>
      </w:r>
    </w:p>
    <w:p w:rsidR="007F78CE" w:rsidRPr="0046748A" w:rsidRDefault="007F78CE" w:rsidP="00E33DF3">
      <w:pPr>
        <w:spacing w:line="360" w:lineRule="auto"/>
        <w:rPr>
          <w:rFonts w:ascii="Book Antiqua" w:hAnsi="Book Antiqua"/>
          <w:bCs/>
          <w:color w:val="000000"/>
          <w:kern w:val="0"/>
          <w:sz w:val="24"/>
        </w:rPr>
      </w:pPr>
    </w:p>
    <w:p w:rsidR="007F78CE" w:rsidRPr="00E33DF3" w:rsidRDefault="007F78CE" w:rsidP="00E33DF3">
      <w:pPr>
        <w:spacing w:line="360" w:lineRule="auto"/>
        <w:rPr>
          <w:rFonts w:ascii="Book Antiqua" w:hAnsi="Book Antiqua"/>
          <w:b/>
          <w:i/>
          <w:kern w:val="0"/>
          <w:sz w:val="24"/>
        </w:rPr>
      </w:pPr>
      <w:r w:rsidRPr="00E33DF3">
        <w:rPr>
          <w:rFonts w:ascii="Book Antiqua" w:hAnsi="Book Antiqua"/>
          <w:b/>
          <w:i/>
          <w:kern w:val="0"/>
          <w:sz w:val="24"/>
        </w:rPr>
        <w:t>Terminology</w:t>
      </w:r>
    </w:p>
    <w:p w:rsidR="007F78CE" w:rsidRPr="00E33DF3" w:rsidRDefault="007F78CE" w:rsidP="00E33DF3">
      <w:pPr>
        <w:spacing w:line="360" w:lineRule="auto"/>
        <w:rPr>
          <w:rFonts w:ascii="Book Antiqua" w:hAnsi="Book Antiqua"/>
          <w:sz w:val="24"/>
        </w:rPr>
      </w:pPr>
      <w:r w:rsidRPr="00E33DF3">
        <w:rPr>
          <w:rFonts w:ascii="Book Antiqua" w:hAnsi="Book Antiqua"/>
          <w:sz w:val="24"/>
          <w:lang w:val="fr-FR"/>
        </w:rPr>
        <w:t>MALDI-TOF-MS</w:t>
      </w:r>
      <w:r w:rsidRPr="00E33DF3">
        <w:rPr>
          <w:rFonts w:ascii="Book Antiqua" w:hAnsi="Book Antiqua"/>
          <w:sz w:val="24"/>
        </w:rPr>
        <w:t>:Matrix-assisted laser desorption/ Ionization time of flight mass spectrometry.</w:t>
      </w:r>
    </w:p>
    <w:p w:rsidR="007F78CE" w:rsidRPr="0046748A" w:rsidRDefault="007F78CE" w:rsidP="00E33DF3">
      <w:pPr>
        <w:spacing w:line="360" w:lineRule="auto"/>
        <w:rPr>
          <w:rFonts w:ascii="Book Antiqua" w:hAnsi="Book Antiqua"/>
          <w:color w:val="333333"/>
          <w:sz w:val="24"/>
        </w:rPr>
      </w:pPr>
    </w:p>
    <w:p w:rsidR="007F78CE" w:rsidRPr="0046748A" w:rsidRDefault="007F78CE" w:rsidP="00E33DF3">
      <w:pPr>
        <w:spacing w:line="360" w:lineRule="auto"/>
        <w:rPr>
          <w:rFonts w:ascii="Book Antiqua" w:hAnsi="Book Antiqua" w:cs="Arial"/>
          <w:b/>
          <w:bCs/>
          <w:i/>
          <w:color w:val="333333"/>
          <w:sz w:val="24"/>
        </w:rPr>
      </w:pPr>
      <w:r w:rsidRPr="0046748A">
        <w:rPr>
          <w:rFonts w:ascii="Book Antiqua" w:hAnsi="Book Antiqua" w:cs="Arial"/>
          <w:b/>
          <w:bCs/>
          <w:i/>
          <w:color w:val="333333"/>
          <w:sz w:val="24"/>
        </w:rPr>
        <w:t>Peer-review</w:t>
      </w:r>
    </w:p>
    <w:p w:rsidR="007F78CE" w:rsidRPr="0046748A" w:rsidRDefault="007F78CE" w:rsidP="00E33DF3">
      <w:pPr>
        <w:spacing w:line="360" w:lineRule="auto"/>
        <w:rPr>
          <w:rFonts w:ascii="Book Antiqua" w:hAnsi="Book Antiqua" w:cs="Arial"/>
          <w:color w:val="333333"/>
          <w:sz w:val="24"/>
          <w:shd w:val="clear" w:color="auto" w:fill="FFFFFF"/>
        </w:rPr>
      </w:pPr>
      <w:r w:rsidRPr="0046748A">
        <w:rPr>
          <w:rFonts w:ascii="Book Antiqua" w:hAnsi="Book Antiqua" w:cs="Arial"/>
          <w:sz w:val="24"/>
        </w:rPr>
        <w:t>This is an excellent study.</w:t>
      </w:r>
      <w:r w:rsidR="00162153">
        <w:rPr>
          <w:rFonts w:ascii="Book Antiqua" w:hAnsi="Book Antiqua" w:cs="Arial" w:hint="eastAsia"/>
          <w:sz w:val="24"/>
        </w:rPr>
        <w:t xml:space="preserve"> </w:t>
      </w:r>
      <w:r w:rsidRPr="0046748A">
        <w:rPr>
          <w:rFonts w:ascii="Book Antiqua" w:hAnsi="Book Antiqua" w:cs="Arial"/>
          <w:sz w:val="24"/>
        </w:rPr>
        <w:t>In this study,</w:t>
      </w:r>
      <w:r w:rsidR="00162153">
        <w:rPr>
          <w:rFonts w:ascii="Book Antiqua" w:hAnsi="Book Antiqua" w:cs="Arial" w:hint="eastAsia"/>
          <w:sz w:val="24"/>
        </w:rPr>
        <w:t xml:space="preserve"> </w:t>
      </w:r>
      <w:r w:rsidRPr="0046748A">
        <w:rPr>
          <w:rFonts w:ascii="Book Antiqua" w:hAnsi="Book Antiqua" w:cs="Arial"/>
          <w:sz w:val="24"/>
        </w:rPr>
        <w:t>the authors analyzed the differential protein</w:t>
      </w:r>
      <w:r w:rsidR="00162153">
        <w:rPr>
          <w:rFonts w:ascii="Book Antiqua" w:hAnsi="Book Antiqua" w:cs="Arial"/>
          <w:sz w:val="24"/>
        </w:rPr>
        <w:t xml:space="preserve"> expression profiles in fetal. </w:t>
      </w:r>
    </w:p>
    <w:p w:rsidR="0046748A" w:rsidRDefault="0046748A" w:rsidP="00E33DF3">
      <w:pPr>
        <w:widowControl/>
        <w:rPr>
          <w:rFonts w:ascii="Book Antiqua" w:hAnsi="Book Antiqua"/>
          <w:b/>
          <w:sz w:val="24"/>
        </w:rPr>
      </w:pPr>
      <w:r>
        <w:rPr>
          <w:rFonts w:ascii="Book Antiqua" w:hAnsi="Book Antiqua"/>
          <w:b/>
          <w:sz w:val="24"/>
        </w:rPr>
        <w:br w:type="page"/>
      </w:r>
    </w:p>
    <w:p w:rsidR="007F78CE" w:rsidRDefault="007F78CE" w:rsidP="00E33DF3">
      <w:pPr>
        <w:spacing w:line="360" w:lineRule="auto"/>
        <w:rPr>
          <w:rFonts w:ascii="Book Antiqua" w:hAnsi="Book Antiqua"/>
          <w:color w:val="000000"/>
          <w:kern w:val="0"/>
          <w:sz w:val="24"/>
          <w:lang w:val="nl-NL"/>
        </w:rPr>
      </w:pPr>
      <w:r w:rsidRPr="0046748A">
        <w:rPr>
          <w:rFonts w:ascii="Book Antiqua" w:hAnsi="Book Antiqua"/>
          <w:b/>
          <w:sz w:val="24"/>
        </w:rPr>
        <w:lastRenderedPageBreak/>
        <w:t>REFERENCES</w:t>
      </w:r>
    </w:p>
    <w:p w:rsidR="00F8233C" w:rsidRPr="00F95494" w:rsidRDefault="00F8233C" w:rsidP="00E33DF3">
      <w:pPr>
        <w:widowControl/>
        <w:spacing w:line="360" w:lineRule="auto"/>
        <w:rPr>
          <w:rFonts w:ascii="Book Antiqua" w:hAnsi="Book Antiqua" w:cs="SimSun"/>
          <w:kern w:val="0"/>
          <w:sz w:val="24"/>
        </w:rPr>
      </w:pPr>
      <w:r>
        <w:rPr>
          <w:rFonts w:ascii="Book Antiqua" w:hAnsi="Book Antiqua" w:cs="SimSun"/>
          <w:kern w:val="0"/>
          <w:sz w:val="24"/>
        </w:rPr>
        <w:t xml:space="preserve">1 </w:t>
      </w:r>
      <w:r w:rsidRPr="00F95494">
        <w:rPr>
          <w:rFonts w:ascii="Book Antiqua" w:hAnsi="Book Antiqua" w:cs="SimSun"/>
          <w:b/>
          <w:kern w:val="0"/>
          <w:sz w:val="24"/>
        </w:rPr>
        <w:t>Sheng KL,</w:t>
      </w:r>
      <w:r w:rsidRPr="00F95494">
        <w:rPr>
          <w:rFonts w:ascii="Book Antiqua" w:hAnsi="Book Antiqua" w:cs="SimSun"/>
          <w:kern w:val="0"/>
          <w:sz w:val="24"/>
        </w:rPr>
        <w:t xml:space="preserve"> Zhu SY, Liu YS. Observation of human fetal eosphageal epihtelium.</w:t>
      </w:r>
      <w:r w:rsidRPr="00F95494">
        <w:rPr>
          <w:rFonts w:ascii="Book Antiqua" w:hAnsi="Book Antiqua" w:cs="SimSun"/>
          <w:i/>
          <w:kern w:val="0"/>
          <w:sz w:val="24"/>
        </w:rPr>
        <w:t xml:space="preserve"> Acta Anat Sin</w:t>
      </w:r>
      <w:r w:rsidRPr="00F95494">
        <w:rPr>
          <w:rFonts w:ascii="Book Antiqua" w:hAnsi="Book Antiqua" w:cs="SimSun"/>
          <w:kern w:val="0"/>
          <w:sz w:val="24"/>
        </w:rPr>
        <w:t xml:space="preserve"> 1999; </w:t>
      </w:r>
      <w:r w:rsidRPr="00F95494">
        <w:rPr>
          <w:rFonts w:ascii="Book Antiqua" w:hAnsi="Book Antiqua" w:cs="SimSun"/>
          <w:b/>
          <w:kern w:val="0"/>
          <w:sz w:val="24"/>
        </w:rPr>
        <w:t>30</w:t>
      </w:r>
      <w:r>
        <w:rPr>
          <w:rFonts w:ascii="Book Antiqua" w:hAnsi="Book Antiqua" w:cs="SimSun"/>
          <w:kern w:val="0"/>
          <w:sz w:val="24"/>
        </w:rPr>
        <w:t>: 158-160</w:t>
      </w:r>
      <w:r w:rsidRPr="00F95494">
        <w:rPr>
          <w:rFonts w:ascii="Book Antiqua" w:hAnsi="Book Antiqua" w:cs="SimSun"/>
          <w:kern w:val="0"/>
          <w:sz w:val="24"/>
        </w:rPr>
        <w:t xml:space="preserve"> [DOI: 10.16098/j.issn.0529-1356.1999.02.017]</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2 </w:t>
      </w:r>
      <w:r w:rsidRPr="00F95494">
        <w:rPr>
          <w:rFonts w:ascii="Book Antiqua" w:hAnsi="Book Antiqua" w:cs="SimSun"/>
          <w:b/>
          <w:bCs/>
          <w:kern w:val="0"/>
          <w:sz w:val="24"/>
        </w:rPr>
        <w:t>Superti-Furga A</w:t>
      </w:r>
      <w:r w:rsidRPr="00F95494">
        <w:rPr>
          <w:rFonts w:ascii="Book Antiqua" w:hAnsi="Book Antiqua" w:cs="SimSun"/>
          <w:kern w:val="0"/>
          <w:sz w:val="24"/>
        </w:rPr>
        <w:t>, Rocchi M, Schäfer BW, Gitzelmann R. Complementary DNA sequence and chromosomal mapping of a human proteoglycan-binding cell-adhesion protein (dermatopontin). </w:t>
      </w:r>
      <w:r w:rsidRPr="00F95494">
        <w:rPr>
          <w:rFonts w:ascii="Book Antiqua" w:hAnsi="Book Antiqua" w:cs="SimSun"/>
          <w:i/>
          <w:iCs/>
          <w:kern w:val="0"/>
          <w:sz w:val="24"/>
        </w:rPr>
        <w:t>Genomics</w:t>
      </w:r>
      <w:r w:rsidRPr="00F95494">
        <w:rPr>
          <w:rFonts w:ascii="Book Antiqua" w:hAnsi="Book Antiqua" w:cs="SimSun"/>
          <w:kern w:val="0"/>
          <w:sz w:val="24"/>
        </w:rPr>
        <w:t> 1993; </w:t>
      </w:r>
      <w:r w:rsidRPr="00F95494">
        <w:rPr>
          <w:rFonts w:ascii="Book Antiqua" w:hAnsi="Book Antiqua" w:cs="SimSun"/>
          <w:b/>
          <w:bCs/>
          <w:kern w:val="0"/>
          <w:sz w:val="24"/>
        </w:rPr>
        <w:t>17</w:t>
      </w:r>
      <w:r w:rsidRPr="00F95494">
        <w:rPr>
          <w:rFonts w:ascii="Book Antiqua" w:hAnsi="Book Antiqua" w:cs="SimSun"/>
          <w:kern w:val="0"/>
          <w:sz w:val="24"/>
        </w:rPr>
        <w:t>: 463-467 [PMID: 8104875 DOI: 10.1006/geno.1993.1348]</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3 </w:t>
      </w:r>
      <w:r w:rsidRPr="00F95494">
        <w:rPr>
          <w:rFonts w:ascii="Book Antiqua" w:hAnsi="Book Antiqua" w:cs="SimSun"/>
          <w:b/>
          <w:bCs/>
          <w:kern w:val="0"/>
          <w:sz w:val="24"/>
        </w:rPr>
        <w:t>Catherino WH</w:t>
      </w:r>
      <w:r w:rsidRPr="00F95494">
        <w:rPr>
          <w:rFonts w:ascii="Book Antiqua" w:hAnsi="Book Antiqua" w:cs="SimSun"/>
          <w:kern w:val="0"/>
          <w:sz w:val="24"/>
        </w:rPr>
        <w:t>, Leppert PC, Stenmark MH, Payson M, Potlog-Nahari C, Nieman LK, Segars JH. Reduced dermatopontin expression is a molecular link between uterine leiomyomas and keloids. </w:t>
      </w:r>
      <w:r w:rsidRPr="00F95494">
        <w:rPr>
          <w:rFonts w:ascii="Book Antiqua" w:hAnsi="Book Antiqua" w:cs="SimSun"/>
          <w:i/>
          <w:iCs/>
          <w:kern w:val="0"/>
          <w:sz w:val="24"/>
        </w:rPr>
        <w:t>Genes Chromosomes Cancer</w:t>
      </w:r>
      <w:r w:rsidRPr="00F95494">
        <w:rPr>
          <w:rFonts w:ascii="Book Antiqua" w:hAnsi="Book Antiqua" w:cs="SimSun"/>
          <w:kern w:val="0"/>
          <w:sz w:val="24"/>
        </w:rPr>
        <w:t> 2004; </w:t>
      </w:r>
      <w:r w:rsidRPr="00F95494">
        <w:rPr>
          <w:rFonts w:ascii="Book Antiqua" w:hAnsi="Book Antiqua" w:cs="SimSun"/>
          <w:b/>
          <w:bCs/>
          <w:kern w:val="0"/>
          <w:sz w:val="24"/>
        </w:rPr>
        <w:t>40</w:t>
      </w:r>
      <w:r w:rsidRPr="00F95494">
        <w:rPr>
          <w:rFonts w:ascii="Book Antiqua" w:hAnsi="Book Antiqua" w:cs="SimSun"/>
          <w:kern w:val="0"/>
          <w:sz w:val="24"/>
        </w:rPr>
        <w:t>: 204-217 [PMID: 15139000 DOI: 10.1002/gcc.20035]</w:t>
      </w:r>
    </w:p>
    <w:p w:rsidR="00F8233C" w:rsidRPr="00F95494" w:rsidRDefault="00F8233C" w:rsidP="00E33DF3">
      <w:pPr>
        <w:widowControl/>
        <w:spacing w:line="360" w:lineRule="auto"/>
        <w:rPr>
          <w:rFonts w:ascii="Book Antiqua" w:hAnsi="Book Antiqua" w:cs="SimSun"/>
          <w:kern w:val="0"/>
          <w:sz w:val="24"/>
        </w:rPr>
      </w:pPr>
      <w:r>
        <w:rPr>
          <w:rFonts w:ascii="Book Antiqua" w:hAnsi="Book Antiqua" w:cs="SimSun"/>
          <w:kern w:val="0"/>
          <w:sz w:val="24"/>
        </w:rPr>
        <w:t xml:space="preserve">4 </w:t>
      </w:r>
      <w:r w:rsidRPr="00F95494">
        <w:rPr>
          <w:rFonts w:ascii="Book Antiqua" w:hAnsi="Book Antiqua" w:cs="SimSun"/>
          <w:b/>
          <w:kern w:val="0"/>
          <w:sz w:val="24"/>
        </w:rPr>
        <w:t>Takeuchi T,</w:t>
      </w:r>
      <w:r w:rsidRPr="00F95494">
        <w:rPr>
          <w:rFonts w:ascii="Book Antiqua" w:hAnsi="Book Antiqua" w:cs="SimSun"/>
          <w:kern w:val="0"/>
          <w:sz w:val="24"/>
        </w:rPr>
        <w:t xml:space="preserve"> Suzuki M, Kumagai J, Kamijo T, Sakai M, Kitamura T. Extracellular matrix Dermatopontin modulates prostate cell growth in vivo.</w:t>
      </w:r>
      <w:r w:rsidRPr="00F95494">
        <w:rPr>
          <w:rFonts w:ascii="Book Antiqua" w:hAnsi="Book Antiqua" w:cs="SimSun"/>
          <w:i/>
          <w:kern w:val="0"/>
          <w:sz w:val="24"/>
        </w:rPr>
        <w:t xml:space="preserve"> J Endocrinol </w:t>
      </w:r>
      <w:r w:rsidRPr="00F95494">
        <w:rPr>
          <w:rFonts w:ascii="Book Antiqua" w:hAnsi="Book Antiqua" w:cs="SimSun"/>
          <w:kern w:val="0"/>
          <w:sz w:val="24"/>
        </w:rPr>
        <w:t xml:space="preserve">2006; </w:t>
      </w:r>
      <w:r w:rsidRPr="00F95494">
        <w:rPr>
          <w:rFonts w:ascii="Book Antiqua" w:hAnsi="Book Antiqua" w:cs="SimSun"/>
          <w:b/>
          <w:kern w:val="0"/>
          <w:sz w:val="24"/>
        </w:rPr>
        <w:t>190</w:t>
      </w:r>
      <w:r>
        <w:rPr>
          <w:rFonts w:ascii="Book Antiqua" w:hAnsi="Book Antiqua" w:cs="SimSun"/>
          <w:kern w:val="0"/>
          <w:sz w:val="24"/>
        </w:rPr>
        <w:t>: 351-361</w:t>
      </w:r>
      <w:r w:rsidRPr="00F95494">
        <w:rPr>
          <w:rFonts w:ascii="Book Antiqua" w:hAnsi="Book Antiqua" w:cs="SimSun"/>
          <w:kern w:val="0"/>
          <w:sz w:val="24"/>
        </w:rPr>
        <w:t xml:space="preserve"> [MID: 16899568 DOI: 10.1677/joe.1.06619]</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5 </w:t>
      </w:r>
      <w:r w:rsidRPr="00F95494">
        <w:rPr>
          <w:rFonts w:ascii="Book Antiqua" w:hAnsi="Book Antiqua" w:cs="SimSun"/>
          <w:b/>
          <w:bCs/>
          <w:kern w:val="0"/>
          <w:sz w:val="24"/>
        </w:rPr>
        <w:t>Tsibris JC</w:t>
      </w:r>
      <w:r w:rsidRPr="00F95494">
        <w:rPr>
          <w:rFonts w:ascii="Book Antiqua" w:hAnsi="Book Antiqua" w:cs="SimSun"/>
          <w:kern w:val="0"/>
          <w:sz w:val="24"/>
        </w:rPr>
        <w:t>, Segars J, Coppola D, Mane S, Wilbanks GD, O'Brien WF, Spellacy WN. Insights from gene arrays on the development and growth regulation of uterine leiomyomata. </w:t>
      </w:r>
      <w:r w:rsidRPr="00F95494">
        <w:rPr>
          <w:rFonts w:ascii="Book Antiqua" w:hAnsi="Book Antiqua" w:cs="SimSun"/>
          <w:i/>
          <w:iCs/>
          <w:kern w:val="0"/>
          <w:sz w:val="24"/>
        </w:rPr>
        <w:t>Fertil Steril</w:t>
      </w:r>
      <w:r w:rsidRPr="00F95494">
        <w:rPr>
          <w:rFonts w:ascii="Book Antiqua" w:hAnsi="Book Antiqua" w:cs="SimSun"/>
          <w:kern w:val="0"/>
          <w:sz w:val="24"/>
        </w:rPr>
        <w:t> 2002; </w:t>
      </w:r>
      <w:r w:rsidRPr="00F95494">
        <w:rPr>
          <w:rFonts w:ascii="Book Antiqua" w:hAnsi="Book Antiqua" w:cs="SimSun"/>
          <w:b/>
          <w:bCs/>
          <w:kern w:val="0"/>
          <w:sz w:val="24"/>
        </w:rPr>
        <w:t>78</w:t>
      </w:r>
      <w:r w:rsidRPr="00F95494">
        <w:rPr>
          <w:rFonts w:ascii="Book Antiqua" w:hAnsi="Book Antiqua" w:cs="SimSun"/>
          <w:kern w:val="0"/>
          <w:sz w:val="24"/>
        </w:rPr>
        <w:t>: 114-121 [PMID: 12095500]</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6 </w:t>
      </w:r>
      <w:r w:rsidRPr="00F95494">
        <w:rPr>
          <w:rFonts w:ascii="Book Antiqua" w:hAnsi="Book Antiqua" w:cs="SimSun"/>
          <w:b/>
          <w:bCs/>
          <w:kern w:val="0"/>
          <w:sz w:val="24"/>
        </w:rPr>
        <w:t>Donato R</w:t>
      </w:r>
      <w:r w:rsidRPr="00F95494">
        <w:rPr>
          <w:rFonts w:ascii="Book Antiqua" w:hAnsi="Book Antiqua" w:cs="SimSun"/>
          <w:kern w:val="0"/>
          <w:sz w:val="24"/>
        </w:rPr>
        <w:t>. S100: a multigenic family of calcium-modulated proteins of the EF-hand type with intracellular and extracellular functional roles. </w:t>
      </w:r>
      <w:r w:rsidRPr="00F95494">
        <w:rPr>
          <w:rFonts w:ascii="Book Antiqua" w:hAnsi="Book Antiqua" w:cs="SimSun"/>
          <w:i/>
          <w:iCs/>
          <w:kern w:val="0"/>
          <w:sz w:val="24"/>
        </w:rPr>
        <w:t>Int J Biochem Cell Biol</w:t>
      </w:r>
      <w:r w:rsidRPr="00F95494">
        <w:rPr>
          <w:rFonts w:ascii="Book Antiqua" w:hAnsi="Book Antiqua" w:cs="SimSun"/>
          <w:kern w:val="0"/>
          <w:sz w:val="24"/>
        </w:rPr>
        <w:t> 2001; </w:t>
      </w:r>
      <w:r w:rsidRPr="00F95494">
        <w:rPr>
          <w:rFonts w:ascii="Book Antiqua" w:hAnsi="Book Antiqua" w:cs="SimSun"/>
          <w:b/>
          <w:bCs/>
          <w:kern w:val="0"/>
          <w:sz w:val="24"/>
        </w:rPr>
        <w:t>33</w:t>
      </w:r>
      <w:r w:rsidRPr="00F95494">
        <w:rPr>
          <w:rFonts w:ascii="Book Antiqua" w:hAnsi="Book Antiqua" w:cs="SimSun"/>
          <w:kern w:val="0"/>
          <w:sz w:val="24"/>
        </w:rPr>
        <w:t>: 637-668 [PMID: 11390274]</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7 </w:t>
      </w:r>
      <w:r w:rsidRPr="00F95494">
        <w:rPr>
          <w:rFonts w:ascii="Book Antiqua" w:hAnsi="Book Antiqua" w:cs="SimSun"/>
          <w:b/>
          <w:bCs/>
          <w:kern w:val="0"/>
          <w:sz w:val="24"/>
        </w:rPr>
        <w:t>Stulík J</w:t>
      </w:r>
      <w:r w:rsidRPr="00F95494">
        <w:rPr>
          <w:rFonts w:ascii="Book Antiqua" w:hAnsi="Book Antiqua" w:cs="SimSun"/>
          <w:kern w:val="0"/>
          <w:sz w:val="24"/>
        </w:rPr>
        <w:t>, Osterreicher J, Koupilová K, Knízek A, Bures J, Jandík P, Langr F, Dedic K, Jungblut PR. The analysis of S100A9 and S100A8 expression in matched sets of macroscopically normal colon mucosa and colorectal carcinoma: the S100A9 and S100A8 positive cells underlie and invade tumor mass. </w:t>
      </w:r>
      <w:r w:rsidRPr="00F95494">
        <w:rPr>
          <w:rFonts w:ascii="Book Antiqua" w:hAnsi="Book Antiqua" w:cs="SimSun"/>
          <w:i/>
          <w:iCs/>
          <w:kern w:val="0"/>
          <w:sz w:val="24"/>
        </w:rPr>
        <w:t>Electrophoresis</w:t>
      </w:r>
      <w:r w:rsidRPr="00F95494">
        <w:rPr>
          <w:rFonts w:ascii="Book Antiqua" w:hAnsi="Book Antiqua" w:cs="SimSun"/>
          <w:kern w:val="0"/>
          <w:sz w:val="24"/>
        </w:rPr>
        <w:t> </w:t>
      </w:r>
      <w:r>
        <w:rPr>
          <w:rFonts w:ascii="Book Antiqua" w:hAnsi="Book Antiqua" w:cs="SimSun" w:hint="eastAsia"/>
          <w:kern w:val="0"/>
          <w:sz w:val="24"/>
        </w:rPr>
        <w:t>1999</w:t>
      </w:r>
      <w:r w:rsidRPr="00F95494">
        <w:rPr>
          <w:rFonts w:ascii="Book Antiqua" w:hAnsi="Book Antiqua" w:cs="SimSun"/>
          <w:kern w:val="0"/>
          <w:sz w:val="24"/>
        </w:rPr>
        <w:t>; </w:t>
      </w:r>
      <w:r w:rsidRPr="00F95494">
        <w:rPr>
          <w:rFonts w:ascii="Book Antiqua" w:hAnsi="Book Antiqua" w:cs="SimSun"/>
          <w:b/>
          <w:bCs/>
          <w:kern w:val="0"/>
          <w:sz w:val="24"/>
        </w:rPr>
        <w:t>20</w:t>
      </w:r>
      <w:r w:rsidRPr="00F95494">
        <w:rPr>
          <w:rFonts w:ascii="Book Antiqua" w:hAnsi="Book Antiqua" w:cs="SimSun"/>
          <w:kern w:val="0"/>
          <w:sz w:val="24"/>
        </w:rPr>
        <w:t>: 1047-1054 [PMID: 10344284 DOI: 10.1002/(SICI)1522-2683(19990101)20]</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8 </w:t>
      </w:r>
      <w:r w:rsidRPr="00F95494">
        <w:rPr>
          <w:rFonts w:ascii="Book Antiqua" w:hAnsi="Book Antiqua" w:cs="SimSun"/>
          <w:b/>
          <w:bCs/>
          <w:kern w:val="0"/>
          <w:sz w:val="24"/>
        </w:rPr>
        <w:t>Jungblut PR</w:t>
      </w:r>
      <w:r w:rsidRPr="00F95494">
        <w:rPr>
          <w:rFonts w:ascii="Book Antiqua" w:hAnsi="Book Antiqua" w:cs="SimSun"/>
          <w:kern w:val="0"/>
          <w:sz w:val="24"/>
        </w:rPr>
        <w:t xml:space="preserve">, Zimny-Arndt U, Zeindl-Eberhart E, Stulik J, Koupilova K, Pleissner KP, Otto A, Müller EC, Sokolowska-Köhler W, Grabher G, Stöffler G. </w:t>
      </w:r>
      <w:r w:rsidRPr="00F95494">
        <w:rPr>
          <w:rFonts w:ascii="Book Antiqua" w:hAnsi="Book Antiqua" w:cs="SimSun"/>
          <w:kern w:val="0"/>
          <w:sz w:val="24"/>
        </w:rPr>
        <w:lastRenderedPageBreak/>
        <w:t>Proteomics in human disease: cancer, heart and infectious diseases. </w:t>
      </w:r>
      <w:r w:rsidRPr="00F95494">
        <w:rPr>
          <w:rFonts w:ascii="Book Antiqua" w:hAnsi="Book Antiqua" w:cs="SimSun"/>
          <w:i/>
          <w:iCs/>
          <w:kern w:val="0"/>
          <w:sz w:val="24"/>
        </w:rPr>
        <w:t>Electrophoresis</w:t>
      </w:r>
      <w:r w:rsidRPr="00F95494">
        <w:rPr>
          <w:rFonts w:ascii="Book Antiqua" w:hAnsi="Book Antiqua" w:cs="SimSun"/>
          <w:kern w:val="0"/>
          <w:sz w:val="24"/>
        </w:rPr>
        <w:t> 1999; </w:t>
      </w:r>
      <w:r w:rsidRPr="00F95494">
        <w:rPr>
          <w:rFonts w:ascii="Book Antiqua" w:hAnsi="Book Antiqua" w:cs="SimSun"/>
          <w:b/>
          <w:bCs/>
          <w:kern w:val="0"/>
          <w:sz w:val="24"/>
        </w:rPr>
        <w:t>20</w:t>
      </w:r>
      <w:r w:rsidRPr="00F95494">
        <w:rPr>
          <w:rFonts w:ascii="Book Antiqua" w:hAnsi="Book Antiqua" w:cs="SimSun"/>
          <w:kern w:val="0"/>
          <w:sz w:val="24"/>
        </w:rPr>
        <w:t>: 2100-2110 [PMID: 10451122 DOI: 10.1002/(SICI)1522-2683(19990701)20]</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9 </w:t>
      </w:r>
      <w:r w:rsidRPr="00F95494">
        <w:rPr>
          <w:rFonts w:ascii="Book Antiqua" w:hAnsi="Book Antiqua" w:cs="SimSun"/>
          <w:b/>
          <w:bCs/>
          <w:kern w:val="0"/>
          <w:sz w:val="24"/>
        </w:rPr>
        <w:t>Ott HW</w:t>
      </w:r>
      <w:r w:rsidRPr="00F95494">
        <w:rPr>
          <w:rFonts w:ascii="Book Antiqua" w:hAnsi="Book Antiqua" w:cs="SimSun"/>
          <w:kern w:val="0"/>
          <w:sz w:val="24"/>
        </w:rPr>
        <w:t>, Lindner H, Sarg B, Mueller-Holzner E, Abendstein B, Bergant A, Fessler S, Schwaerzler P, Zeimet A, Marth C, Illmensee K. Calgranulins in cystic fluid and serum from patients with ovarian carcinomas. </w:t>
      </w:r>
      <w:r w:rsidRPr="00F95494">
        <w:rPr>
          <w:rFonts w:ascii="Book Antiqua" w:hAnsi="Book Antiqua" w:cs="SimSun"/>
          <w:i/>
          <w:iCs/>
          <w:kern w:val="0"/>
          <w:sz w:val="24"/>
        </w:rPr>
        <w:t>Cancer Res</w:t>
      </w:r>
      <w:r w:rsidRPr="00F95494">
        <w:rPr>
          <w:rFonts w:ascii="Book Antiqua" w:hAnsi="Book Antiqua" w:cs="SimSun"/>
          <w:kern w:val="0"/>
          <w:sz w:val="24"/>
        </w:rPr>
        <w:t> 2003; </w:t>
      </w:r>
      <w:r w:rsidRPr="00F95494">
        <w:rPr>
          <w:rFonts w:ascii="Book Antiqua" w:hAnsi="Book Antiqua" w:cs="SimSun"/>
          <w:b/>
          <w:bCs/>
          <w:kern w:val="0"/>
          <w:sz w:val="24"/>
        </w:rPr>
        <w:t>63</w:t>
      </w:r>
      <w:r w:rsidRPr="00F95494">
        <w:rPr>
          <w:rFonts w:ascii="Book Antiqua" w:hAnsi="Book Antiqua" w:cs="SimSun"/>
          <w:kern w:val="0"/>
          <w:sz w:val="24"/>
        </w:rPr>
        <w:t>: 7507-7514 [PMID: 14612552]</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10 </w:t>
      </w:r>
      <w:r w:rsidRPr="00F95494">
        <w:rPr>
          <w:rFonts w:ascii="Book Antiqua" w:hAnsi="Book Antiqua" w:cs="SimSun"/>
          <w:b/>
          <w:bCs/>
          <w:kern w:val="0"/>
          <w:sz w:val="24"/>
        </w:rPr>
        <w:t>Arai K</w:t>
      </w:r>
      <w:r w:rsidRPr="00F95494">
        <w:rPr>
          <w:rFonts w:ascii="Book Antiqua" w:hAnsi="Book Antiqua" w:cs="SimSun"/>
          <w:kern w:val="0"/>
          <w:sz w:val="24"/>
        </w:rPr>
        <w:t>, Teratani T, Nozawa R, Yamada T. Immunohistochemical investigation of S100A9 expression in pulmonary adenocarcinoma: S100A9 expression is associated with tumor differentiation. </w:t>
      </w:r>
      <w:r w:rsidRPr="00F95494">
        <w:rPr>
          <w:rFonts w:ascii="Book Antiqua" w:hAnsi="Book Antiqua" w:cs="SimSun"/>
          <w:i/>
          <w:iCs/>
          <w:kern w:val="0"/>
          <w:sz w:val="24"/>
        </w:rPr>
        <w:t>Oncol Rep</w:t>
      </w:r>
      <w:r w:rsidRPr="00F95494">
        <w:rPr>
          <w:rFonts w:ascii="Book Antiqua" w:hAnsi="Book Antiqua" w:cs="SimSun"/>
          <w:kern w:val="0"/>
          <w:sz w:val="24"/>
        </w:rPr>
        <w:t> </w:t>
      </w:r>
      <w:r>
        <w:rPr>
          <w:rFonts w:ascii="Book Antiqua" w:hAnsi="Book Antiqua" w:cs="SimSun" w:hint="eastAsia"/>
          <w:kern w:val="0"/>
          <w:sz w:val="24"/>
        </w:rPr>
        <w:t>2001</w:t>
      </w:r>
      <w:r w:rsidRPr="00F95494">
        <w:rPr>
          <w:rFonts w:ascii="Book Antiqua" w:hAnsi="Book Antiqua" w:cs="SimSun"/>
          <w:kern w:val="0"/>
          <w:sz w:val="24"/>
        </w:rPr>
        <w:t>; </w:t>
      </w:r>
      <w:r w:rsidRPr="00F95494">
        <w:rPr>
          <w:rFonts w:ascii="Book Antiqua" w:hAnsi="Book Antiqua" w:cs="SimSun"/>
          <w:b/>
          <w:bCs/>
          <w:kern w:val="0"/>
          <w:sz w:val="24"/>
        </w:rPr>
        <w:t>8</w:t>
      </w:r>
      <w:r w:rsidRPr="00F95494">
        <w:rPr>
          <w:rFonts w:ascii="Book Antiqua" w:hAnsi="Book Antiqua" w:cs="SimSun"/>
          <w:kern w:val="0"/>
          <w:sz w:val="24"/>
        </w:rPr>
        <w:t>: 591-596 [PMID: 11295086]</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11 </w:t>
      </w:r>
      <w:r w:rsidRPr="00F95494">
        <w:rPr>
          <w:rFonts w:ascii="Book Antiqua" w:hAnsi="Book Antiqua" w:cs="SimSun"/>
          <w:b/>
          <w:bCs/>
          <w:kern w:val="0"/>
          <w:sz w:val="24"/>
        </w:rPr>
        <w:t>Rhee SG</w:t>
      </w:r>
      <w:r w:rsidRPr="00F95494">
        <w:rPr>
          <w:rFonts w:ascii="Book Antiqua" w:hAnsi="Book Antiqua" w:cs="SimSun"/>
          <w:kern w:val="0"/>
          <w:sz w:val="24"/>
        </w:rPr>
        <w:t>, Kang SW, Chang TS, Jeong W, Kim K. Peroxiredoxin, a novel family of peroxidases. </w:t>
      </w:r>
      <w:r w:rsidRPr="00F95494">
        <w:rPr>
          <w:rFonts w:ascii="Book Antiqua" w:hAnsi="Book Antiqua" w:cs="SimSun"/>
          <w:i/>
          <w:iCs/>
          <w:kern w:val="0"/>
          <w:sz w:val="24"/>
        </w:rPr>
        <w:t>IUBMB Life</w:t>
      </w:r>
      <w:r w:rsidRPr="00F95494">
        <w:rPr>
          <w:rFonts w:ascii="Book Antiqua" w:hAnsi="Book Antiqua" w:cs="SimSun"/>
          <w:kern w:val="0"/>
          <w:sz w:val="24"/>
        </w:rPr>
        <w:t> 2001; </w:t>
      </w:r>
      <w:r w:rsidRPr="00F95494">
        <w:rPr>
          <w:rFonts w:ascii="Book Antiqua" w:hAnsi="Book Antiqua" w:cs="SimSun"/>
          <w:b/>
          <w:bCs/>
          <w:kern w:val="0"/>
          <w:sz w:val="24"/>
        </w:rPr>
        <w:t>52</w:t>
      </w:r>
      <w:r w:rsidRPr="00F95494">
        <w:rPr>
          <w:rFonts w:ascii="Book Antiqua" w:hAnsi="Book Antiqua" w:cs="SimSun"/>
          <w:kern w:val="0"/>
          <w:sz w:val="24"/>
        </w:rPr>
        <w:t>: 35-41 [PMID: 11795591 DOI: 10.1080/15216540252774748]</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12 </w:t>
      </w:r>
      <w:r w:rsidRPr="00F95494">
        <w:rPr>
          <w:rFonts w:ascii="Book Antiqua" w:hAnsi="Book Antiqua" w:cs="SimSun"/>
          <w:b/>
          <w:bCs/>
          <w:kern w:val="0"/>
          <w:sz w:val="24"/>
        </w:rPr>
        <w:t>Susin SA</w:t>
      </w:r>
      <w:r w:rsidRPr="00F95494">
        <w:rPr>
          <w:rFonts w:ascii="Book Antiqua" w:hAnsi="Book Antiqua" w:cs="SimSun"/>
          <w:kern w:val="0"/>
          <w:sz w:val="24"/>
        </w:rPr>
        <w:t>, Zamzami N, Castedo M, Hirsch T, Marchetti P, Macho A, Daugas E, Geuskens M, Kroemer G. Bcl-2 inhibits the mitochondrial release of an apoptogenic protease. </w:t>
      </w:r>
      <w:r w:rsidRPr="00F95494">
        <w:rPr>
          <w:rFonts w:ascii="Book Antiqua" w:hAnsi="Book Antiqua" w:cs="SimSun"/>
          <w:i/>
          <w:iCs/>
          <w:kern w:val="0"/>
          <w:sz w:val="24"/>
        </w:rPr>
        <w:t>J Exp Med</w:t>
      </w:r>
      <w:r w:rsidRPr="00F95494">
        <w:rPr>
          <w:rFonts w:ascii="Book Antiqua" w:hAnsi="Book Antiqua" w:cs="SimSun"/>
          <w:kern w:val="0"/>
          <w:sz w:val="24"/>
        </w:rPr>
        <w:t> 1996; </w:t>
      </w:r>
      <w:r w:rsidRPr="00F95494">
        <w:rPr>
          <w:rFonts w:ascii="Book Antiqua" w:hAnsi="Book Antiqua" w:cs="SimSun"/>
          <w:b/>
          <w:bCs/>
          <w:kern w:val="0"/>
          <w:sz w:val="24"/>
        </w:rPr>
        <w:t>184</w:t>
      </w:r>
      <w:r w:rsidRPr="00F95494">
        <w:rPr>
          <w:rFonts w:ascii="Book Antiqua" w:hAnsi="Book Antiqua" w:cs="SimSun"/>
          <w:kern w:val="0"/>
          <w:sz w:val="24"/>
        </w:rPr>
        <w:t>: 1331-1341 [PMID: 8879205]</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13 </w:t>
      </w:r>
      <w:r w:rsidRPr="00F95494">
        <w:rPr>
          <w:rFonts w:ascii="Book Antiqua" w:hAnsi="Book Antiqua" w:cs="SimSun"/>
          <w:b/>
          <w:bCs/>
          <w:kern w:val="0"/>
          <w:sz w:val="24"/>
        </w:rPr>
        <w:t>Kinnula VL</w:t>
      </w:r>
      <w:r w:rsidRPr="00F95494">
        <w:rPr>
          <w:rFonts w:ascii="Book Antiqua" w:hAnsi="Book Antiqua" w:cs="SimSun"/>
          <w:kern w:val="0"/>
          <w:sz w:val="24"/>
        </w:rPr>
        <w:t>, Lehtonen S, Sormunen R, Kaarteenaho-Wiik R, Kang SW, Rhee SG, Soini Y. Overexpression of peroxiredoxins I, II, III, V, and VI in malignant mesothelioma. </w:t>
      </w:r>
      <w:r w:rsidRPr="00F95494">
        <w:rPr>
          <w:rFonts w:ascii="Book Antiqua" w:hAnsi="Book Antiqua" w:cs="SimSun"/>
          <w:i/>
          <w:iCs/>
          <w:kern w:val="0"/>
          <w:sz w:val="24"/>
        </w:rPr>
        <w:t>J Pathol</w:t>
      </w:r>
      <w:r w:rsidRPr="00F95494">
        <w:rPr>
          <w:rFonts w:ascii="Book Antiqua" w:hAnsi="Book Antiqua" w:cs="SimSun"/>
          <w:kern w:val="0"/>
          <w:sz w:val="24"/>
        </w:rPr>
        <w:t> 2002; </w:t>
      </w:r>
      <w:r w:rsidRPr="00F95494">
        <w:rPr>
          <w:rFonts w:ascii="Book Antiqua" w:hAnsi="Book Antiqua" w:cs="SimSun"/>
          <w:b/>
          <w:bCs/>
          <w:kern w:val="0"/>
          <w:sz w:val="24"/>
        </w:rPr>
        <w:t>196</w:t>
      </w:r>
      <w:r w:rsidRPr="00F95494">
        <w:rPr>
          <w:rFonts w:ascii="Book Antiqua" w:hAnsi="Book Antiqua" w:cs="SimSun"/>
          <w:kern w:val="0"/>
          <w:sz w:val="24"/>
        </w:rPr>
        <w:t>: 316-323 [PMID: 11857495 DOI: 10.1002/path.1042]</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14 </w:t>
      </w:r>
      <w:r w:rsidRPr="00F95494">
        <w:rPr>
          <w:rFonts w:ascii="Book Antiqua" w:hAnsi="Book Antiqua" w:cs="SimSun"/>
          <w:b/>
          <w:bCs/>
          <w:kern w:val="0"/>
          <w:sz w:val="24"/>
        </w:rPr>
        <w:t>Qi Y</w:t>
      </w:r>
      <w:r w:rsidRPr="00F95494">
        <w:rPr>
          <w:rFonts w:ascii="Book Antiqua" w:hAnsi="Book Antiqua" w:cs="SimSun"/>
          <w:kern w:val="0"/>
          <w:sz w:val="24"/>
        </w:rPr>
        <w:t>, Chiu JF, Wang L, Kwong DL, He QY. Comparative proteomic analysis of esophageal squamous cell carcinoma. </w:t>
      </w:r>
      <w:r w:rsidRPr="00F95494">
        <w:rPr>
          <w:rFonts w:ascii="Book Antiqua" w:hAnsi="Book Antiqua" w:cs="SimSun"/>
          <w:i/>
          <w:iCs/>
          <w:kern w:val="0"/>
          <w:sz w:val="24"/>
        </w:rPr>
        <w:t>Proteomics</w:t>
      </w:r>
      <w:r w:rsidRPr="00F95494">
        <w:rPr>
          <w:rFonts w:ascii="Book Antiqua" w:hAnsi="Book Antiqua" w:cs="SimSun"/>
          <w:kern w:val="0"/>
          <w:sz w:val="24"/>
        </w:rPr>
        <w:t> 2005; </w:t>
      </w:r>
      <w:r w:rsidRPr="00F95494">
        <w:rPr>
          <w:rFonts w:ascii="Book Antiqua" w:hAnsi="Book Antiqua" w:cs="SimSun"/>
          <w:b/>
          <w:bCs/>
          <w:kern w:val="0"/>
          <w:sz w:val="24"/>
        </w:rPr>
        <w:t>5</w:t>
      </w:r>
      <w:r w:rsidRPr="00F95494">
        <w:rPr>
          <w:rFonts w:ascii="Book Antiqua" w:hAnsi="Book Antiqua" w:cs="SimSun"/>
          <w:kern w:val="0"/>
          <w:sz w:val="24"/>
        </w:rPr>
        <w:t>: 2960-2971 [PMID: 15986332 DOI: 10.1002/pmic.200401175]</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15 </w:t>
      </w:r>
      <w:r w:rsidRPr="00F95494">
        <w:rPr>
          <w:rFonts w:ascii="Book Antiqua" w:hAnsi="Book Antiqua" w:cs="SimSun"/>
          <w:b/>
          <w:bCs/>
          <w:kern w:val="0"/>
          <w:sz w:val="24"/>
        </w:rPr>
        <w:t>Hartl FU</w:t>
      </w:r>
      <w:r w:rsidRPr="00F95494">
        <w:rPr>
          <w:rFonts w:ascii="Book Antiqua" w:hAnsi="Book Antiqua" w:cs="SimSun"/>
          <w:kern w:val="0"/>
          <w:sz w:val="24"/>
        </w:rPr>
        <w:t>. Molecular chaperones in cellular protein folding. </w:t>
      </w:r>
      <w:r w:rsidRPr="00F95494">
        <w:rPr>
          <w:rFonts w:ascii="Book Antiqua" w:hAnsi="Book Antiqua" w:cs="SimSun"/>
          <w:i/>
          <w:iCs/>
          <w:kern w:val="0"/>
          <w:sz w:val="24"/>
        </w:rPr>
        <w:t>Nature</w:t>
      </w:r>
      <w:r w:rsidRPr="00F95494">
        <w:rPr>
          <w:rFonts w:ascii="Book Antiqua" w:hAnsi="Book Antiqua" w:cs="SimSun"/>
          <w:kern w:val="0"/>
          <w:sz w:val="24"/>
        </w:rPr>
        <w:t> 1996; </w:t>
      </w:r>
      <w:r w:rsidRPr="00F95494">
        <w:rPr>
          <w:rFonts w:ascii="Book Antiqua" w:hAnsi="Book Antiqua" w:cs="SimSun"/>
          <w:b/>
          <w:bCs/>
          <w:kern w:val="0"/>
          <w:sz w:val="24"/>
        </w:rPr>
        <w:t>381</w:t>
      </w:r>
      <w:r w:rsidRPr="00F95494">
        <w:rPr>
          <w:rFonts w:ascii="Book Antiqua" w:hAnsi="Book Antiqua" w:cs="SimSun"/>
          <w:kern w:val="0"/>
          <w:sz w:val="24"/>
        </w:rPr>
        <w:t>: 571-579 [PMID: 8637592 DOI: 10.1038/381571a0]</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16 </w:t>
      </w:r>
      <w:r w:rsidRPr="00F95494">
        <w:rPr>
          <w:rFonts w:ascii="Book Antiqua" w:hAnsi="Book Antiqua" w:cs="SimSun"/>
          <w:b/>
          <w:bCs/>
          <w:kern w:val="0"/>
          <w:sz w:val="24"/>
        </w:rPr>
        <w:t>Aldrian S</w:t>
      </w:r>
      <w:r w:rsidRPr="00F95494">
        <w:rPr>
          <w:rFonts w:ascii="Book Antiqua" w:hAnsi="Book Antiqua" w:cs="SimSun"/>
          <w:kern w:val="0"/>
          <w:sz w:val="24"/>
        </w:rPr>
        <w:t>, Trautinger F, Fröhlich I, Berger W, Micksche M, Kindas-Mügge I. Overexpression of Hsp27 affects the metastatic phenotype of human melanoma cells in vitro. </w:t>
      </w:r>
      <w:r w:rsidRPr="00F95494">
        <w:rPr>
          <w:rFonts w:ascii="Book Antiqua" w:hAnsi="Book Antiqua" w:cs="SimSun"/>
          <w:i/>
          <w:iCs/>
          <w:kern w:val="0"/>
          <w:sz w:val="24"/>
        </w:rPr>
        <w:t>Cell Stress Chaperones</w:t>
      </w:r>
      <w:r w:rsidRPr="00F95494">
        <w:rPr>
          <w:rFonts w:ascii="Book Antiqua" w:hAnsi="Book Antiqua" w:cs="SimSun"/>
          <w:kern w:val="0"/>
          <w:sz w:val="24"/>
        </w:rPr>
        <w:t> 2002; </w:t>
      </w:r>
      <w:r w:rsidRPr="00F95494">
        <w:rPr>
          <w:rFonts w:ascii="Book Antiqua" w:hAnsi="Book Antiqua" w:cs="SimSun"/>
          <w:b/>
          <w:bCs/>
          <w:kern w:val="0"/>
          <w:sz w:val="24"/>
        </w:rPr>
        <w:t>7</w:t>
      </w:r>
      <w:r w:rsidRPr="00F95494">
        <w:rPr>
          <w:rFonts w:ascii="Book Antiqua" w:hAnsi="Book Antiqua" w:cs="SimSun"/>
          <w:kern w:val="0"/>
          <w:sz w:val="24"/>
        </w:rPr>
        <w:t>: 177-185 [PMID: 12380685]</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lastRenderedPageBreak/>
        <w:t>17 </w:t>
      </w:r>
      <w:r w:rsidRPr="00F95494">
        <w:rPr>
          <w:rFonts w:ascii="Book Antiqua" w:hAnsi="Book Antiqua" w:cs="SimSun"/>
          <w:b/>
          <w:bCs/>
          <w:kern w:val="0"/>
          <w:sz w:val="24"/>
        </w:rPr>
        <w:t>Lemieux P</w:t>
      </w:r>
      <w:r w:rsidRPr="00F95494">
        <w:rPr>
          <w:rFonts w:ascii="Book Antiqua" w:hAnsi="Book Antiqua" w:cs="SimSun"/>
          <w:kern w:val="0"/>
          <w:sz w:val="24"/>
        </w:rPr>
        <w:t>, Oesterreich S, Lawrence JA, Steeg PS, Hilsenbeck SG, Harvey JM, Fuqua SA. The small heat shock protein hsp27 increases invasiveness but decreases motility of breast cancer cells. </w:t>
      </w:r>
      <w:r w:rsidRPr="00F95494">
        <w:rPr>
          <w:rFonts w:ascii="Book Antiqua" w:hAnsi="Book Antiqua" w:cs="SimSun"/>
          <w:i/>
          <w:iCs/>
          <w:kern w:val="0"/>
          <w:sz w:val="24"/>
        </w:rPr>
        <w:t>Invasion Metastasis</w:t>
      </w:r>
      <w:r w:rsidRPr="00F95494">
        <w:rPr>
          <w:rFonts w:ascii="Book Antiqua" w:hAnsi="Book Antiqua" w:cs="SimSun"/>
          <w:kern w:val="0"/>
          <w:sz w:val="24"/>
        </w:rPr>
        <w:t> 1997; </w:t>
      </w:r>
      <w:r w:rsidRPr="00F95494">
        <w:rPr>
          <w:rFonts w:ascii="Book Antiqua" w:hAnsi="Book Antiqua" w:cs="SimSun"/>
          <w:b/>
          <w:bCs/>
          <w:kern w:val="0"/>
          <w:sz w:val="24"/>
        </w:rPr>
        <w:t>17</w:t>
      </w:r>
      <w:r w:rsidRPr="00F95494">
        <w:rPr>
          <w:rFonts w:ascii="Book Antiqua" w:hAnsi="Book Antiqua" w:cs="SimSun"/>
          <w:kern w:val="0"/>
          <w:sz w:val="24"/>
        </w:rPr>
        <w:t>: 113-123 [PMID: 9702938]</w:t>
      </w:r>
    </w:p>
    <w:p w:rsidR="00F8233C" w:rsidRPr="00F95494" w:rsidRDefault="00F8233C" w:rsidP="00E33DF3">
      <w:pPr>
        <w:widowControl/>
        <w:spacing w:line="360" w:lineRule="auto"/>
        <w:rPr>
          <w:rFonts w:ascii="Book Antiqua" w:hAnsi="Book Antiqua" w:cs="SimSun"/>
          <w:kern w:val="0"/>
          <w:sz w:val="24"/>
        </w:rPr>
      </w:pPr>
      <w:r w:rsidRPr="00F95494">
        <w:rPr>
          <w:rFonts w:ascii="Book Antiqua" w:hAnsi="Book Antiqua" w:cs="SimSun"/>
          <w:kern w:val="0"/>
          <w:sz w:val="24"/>
        </w:rPr>
        <w:t>18 </w:t>
      </w:r>
      <w:r w:rsidRPr="00F95494">
        <w:rPr>
          <w:rFonts w:ascii="Book Antiqua" w:hAnsi="Book Antiqua" w:cs="SimSun"/>
          <w:b/>
          <w:bCs/>
          <w:kern w:val="0"/>
          <w:sz w:val="24"/>
        </w:rPr>
        <w:t>Wang LD</w:t>
      </w:r>
      <w:r w:rsidRPr="00F95494">
        <w:rPr>
          <w:rFonts w:ascii="Book Antiqua" w:hAnsi="Book Antiqua" w:cs="SimSun"/>
          <w:kern w:val="0"/>
          <w:sz w:val="24"/>
        </w:rPr>
        <w:t>, Qiu SL, Yang GR, Lipkin M, Newmark HL, Yang CS. A randomized double-blind intervention study on the effect of calcium supplementation on esophageal precancerous lesions in a high-risk population in China. </w:t>
      </w:r>
      <w:r w:rsidRPr="00F95494">
        <w:rPr>
          <w:rFonts w:ascii="Book Antiqua" w:hAnsi="Book Antiqua" w:cs="SimSun"/>
          <w:i/>
          <w:iCs/>
          <w:kern w:val="0"/>
          <w:sz w:val="24"/>
        </w:rPr>
        <w:t>Cancer Epidemiol Biomarkers Prev</w:t>
      </w:r>
      <w:r w:rsidRPr="00F95494">
        <w:rPr>
          <w:rFonts w:ascii="Book Antiqua" w:hAnsi="Book Antiqua" w:cs="SimSun"/>
          <w:kern w:val="0"/>
          <w:sz w:val="24"/>
        </w:rPr>
        <w:t> </w:t>
      </w:r>
      <w:r>
        <w:rPr>
          <w:rFonts w:ascii="Book Antiqua" w:hAnsi="Book Antiqua" w:cs="SimSun" w:hint="eastAsia"/>
          <w:kern w:val="0"/>
          <w:sz w:val="24"/>
        </w:rPr>
        <w:t>1993</w:t>
      </w:r>
      <w:r w:rsidRPr="00F95494">
        <w:rPr>
          <w:rFonts w:ascii="Book Antiqua" w:hAnsi="Book Antiqua" w:cs="SimSun"/>
          <w:kern w:val="0"/>
          <w:sz w:val="24"/>
        </w:rPr>
        <w:t>; </w:t>
      </w:r>
      <w:r w:rsidRPr="00F95494">
        <w:rPr>
          <w:rFonts w:ascii="Book Antiqua" w:hAnsi="Book Antiqua" w:cs="SimSun"/>
          <w:b/>
          <w:bCs/>
          <w:kern w:val="0"/>
          <w:sz w:val="24"/>
        </w:rPr>
        <w:t>2</w:t>
      </w:r>
      <w:r w:rsidRPr="00F95494">
        <w:rPr>
          <w:rFonts w:ascii="Book Antiqua" w:hAnsi="Book Antiqua" w:cs="SimSun"/>
          <w:kern w:val="0"/>
          <w:sz w:val="24"/>
        </w:rPr>
        <w:t>: 71-78 [PMID: 8420615]</w:t>
      </w:r>
    </w:p>
    <w:p w:rsidR="00F8233C" w:rsidRPr="00F95494" w:rsidRDefault="00F8233C" w:rsidP="00E33DF3">
      <w:pPr>
        <w:widowControl/>
        <w:spacing w:line="360" w:lineRule="auto"/>
        <w:rPr>
          <w:rFonts w:ascii="Book Antiqua" w:hAnsi="Book Antiqua" w:cs="SimSun"/>
          <w:kern w:val="0"/>
          <w:sz w:val="24"/>
        </w:rPr>
      </w:pPr>
      <w:r>
        <w:rPr>
          <w:rFonts w:ascii="Book Antiqua" w:hAnsi="Book Antiqua" w:cs="SimSun"/>
          <w:kern w:val="0"/>
          <w:sz w:val="24"/>
        </w:rPr>
        <w:t>19</w:t>
      </w:r>
      <w:r w:rsidRPr="00F95494">
        <w:rPr>
          <w:rFonts w:ascii="Book Antiqua" w:hAnsi="Book Antiqua" w:cs="SimSun"/>
          <w:b/>
          <w:kern w:val="0"/>
          <w:sz w:val="24"/>
        </w:rPr>
        <w:t xml:space="preserve"> Liang LY,</w:t>
      </w:r>
      <w:r w:rsidRPr="00F95494">
        <w:rPr>
          <w:rFonts w:ascii="Book Antiqua" w:hAnsi="Book Antiqua" w:cs="SimSun"/>
          <w:kern w:val="0"/>
          <w:sz w:val="24"/>
        </w:rPr>
        <w:t xml:space="preserve"> Wang WR, Guo YT, Lu J, Yang J, Jiang L. Determination of modification rate and content of PEGylated CN10 by RP-HPLC. </w:t>
      </w:r>
      <w:r w:rsidRPr="00F95494">
        <w:rPr>
          <w:rFonts w:ascii="Book Antiqua" w:hAnsi="Book Antiqua" w:cs="SimSun"/>
          <w:i/>
          <w:kern w:val="0"/>
          <w:sz w:val="24"/>
        </w:rPr>
        <w:t>Weishengwuxue Mianyixue Jinzhan</w:t>
      </w:r>
      <w:r w:rsidRPr="00F95494">
        <w:rPr>
          <w:rFonts w:ascii="Book Antiqua" w:hAnsi="Book Antiqua" w:cs="SimSun"/>
          <w:kern w:val="0"/>
          <w:sz w:val="24"/>
        </w:rPr>
        <w:t xml:space="preserve"> 2015; </w:t>
      </w:r>
      <w:r w:rsidRPr="00F95494">
        <w:rPr>
          <w:rFonts w:ascii="Book Antiqua" w:hAnsi="Book Antiqua" w:cs="SimSun"/>
          <w:b/>
          <w:kern w:val="0"/>
          <w:sz w:val="24"/>
        </w:rPr>
        <w:t>43</w:t>
      </w:r>
      <w:r>
        <w:rPr>
          <w:rFonts w:ascii="Book Antiqua" w:hAnsi="Book Antiqua" w:cs="SimSun"/>
          <w:kern w:val="0"/>
          <w:sz w:val="24"/>
        </w:rPr>
        <w:t>: 8-12 [DOI:</w:t>
      </w:r>
      <w:r>
        <w:rPr>
          <w:rFonts w:ascii="Book Antiqua" w:hAnsi="Book Antiqua" w:cs="SimSun" w:hint="eastAsia"/>
          <w:kern w:val="0"/>
          <w:sz w:val="24"/>
        </w:rPr>
        <w:t xml:space="preserve"> </w:t>
      </w:r>
      <w:r w:rsidRPr="00F95494">
        <w:rPr>
          <w:rFonts w:ascii="Book Antiqua" w:hAnsi="Book Antiqua" w:cs="SimSun"/>
          <w:kern w:val="0"/>
          <w:sz w:val="24"/>
        </w:rPr>
        <w:t>10.13309 /j.cnki.pmi.2015.01.002]</w:t>
      </w:r>
    </w:p>
    <w:p w:rsidR="00F8233C" w:rsidRPr="00F95494" w:rsidRDefault="00F8233C" w:rsidP="00E33DF3">
      <w:pPr>
        <w:widowControl/>
        <w:spacing w:line="360" w:lineRule="auto"/>
        <w:rPr>
          <w:rFonts w:ascii="Book Antiqua" w:hAnsi="Book Antiqua" w:cs="SimSun"/>
          <w:kern w:val="0"/>
          <w:sz w:val="24"/>
        </w:rPr>
      </w:pPr>
      <w:r>
        <w:rPr>
          <w:rFonts w:ascii="Book Antiqua" w:hAnsi="Book Antiqua" w:cs="SimSun"/>
          <w:kern w:val="0"/>
          <w:sz w:val="24"/>
        </w:rPr>
        <w:t xml:space="preserve">20 </w:t>
      </w:r>
      <w:r w:rsidRPr="00F95494">
        <w:rPr>
          <w:rFonts w:ascii="Book Antiqua" w:hAnsi="Book Antiqua" w:cs="SimSun"/>
          <w:b/>
          <w:kern w:val="0"/>
          <w:sz w:val="24"/>
        </w:rPr>
        <w:t>Liu Y,</w:t>
      </w:r>
      <w:r w:rsidRPr="00F95494">
        <w:rPr>
          <w:rFonts w:ascii="Book Antiqua" w:hAnsi="Book Antiqua" w:cs="SimSun"/>
          <w:kern w:val="0"/>
          <w:sz w:val="24"/>
        </w:rPr>
        <w:t xml:space="preserve"> Yang HY. Recommendations from the Ad Hoc Committee of Experts on standardization of positive controls in diagnostic immunohistochemistry. </w:t>
      </w:r>
      <w:r w:rsidRPr="00F95494">
        <w:rPr>
          <w:rFonts w:ascii="Book Antiqua" w:hAnsi="Book Antiqua" w:cs="SimSun"/>
          <w:i/>
          <w:kern w:val="0"/>
          <w:sz w:val="24"/>
        </w:rPr>
        <w:t xml:space="preserve">Linchuang Yu Shiyan Binglixue Zazhi </w:t>
      </w:r>
      <w:r w:rsidRPr="00F95494">
        <w:rPr>
          <w:rFonts w:ascii="Book Antiqua" w:hAnsi="Book Antiqua" w:cs="SimSun"/>
          <w:kern w:val="0"/>
          <w:sz w:val="24"/>
        </w:rPr>
        <w:t xml:space="preserve">2016; </w:t>
      </w:r>
      <w:r w:rsidRPr="00F95494">
        <w:rPr>
          <w:rFonts w:ascii="Book Antiqua" w:hAnsi="Book Antiqua" w:cs="SimSun"/>
          <w:b/>
          <w:kern w:val="0"/>
          <w:sz w:val="24"/>
        </w:rPr>
        <w:t>32</w:t>
      </w:r>
      <w:r>
        <w:rPr>
          <w:rFonts w:ascii="Book Antiqua" w:hAnsi="Book Antiqua" w:cs="SimSun"/>
          <w:kern w:val="0"/>
          <w:sz w:val="24"/>
        </w:rPr>
        <w:t>: 1-3</w:t>
      </w:r>
      <w:r w:rsidRPr="00F95494">
        <w:rPr>
          <w:rFonts w:ascii="Book Antiqua" w:hAnsi="Book Antiqua" w:cs="SimSun"/>
          <w:kern w:val="0"/>
          <w:sz w:val="24"/>
        </w:rPr>
        <w:t xml:space="preserve"> [DOI: 10.13315/j.cnki.cjcep.2016.01.001]</w:t>
      </w:r>
    </w:p>
    <w:p w:rsidR="00F8233C" w:rsidRPr="00F95494" w:rsidRDefault="00F8233C" w:rsidP="00E33DF3">
      <w:pPr>
        <w:widowControl/>
        <w:spacing w:line="360" w:lineRule="auto"/>
        <w:rPr>
          <w:rFonts w:ascii="Book Antiqua" w:hAnsi="Book Antiqua" w:cs="SimSun"/>
          <w:kern w:val="0"/>
          <w:sz w:val="24"/>
        </w:rPr>
      </w:pPr>
      <w:r>
        <w:rPr>
          <w:rFonts w:ascii="Book Antiqua" w:hAnsi="Book Antiqua" w:cs="SimSun"/>
          <w:kern w:val="0"/>
          <w:sz w:val="24"/>
        </w:rPr>
        <w:t xml:space="preserve">21 </w:t>
      </w:r>
      <w:r w:rsidRPr="00F95494">
        <w:rPr>
          <w:rFonts w:ascii="Book Antiqua" w:hAnsi="Book Antiqua" w:cs="SimSun"/>
          <w:b/>
          <w:kern w:val="0"/>
          <w:sz w:val="24"/>
        </w:rPr>
        <w:t>Zheng SW</w:t>
      </w:r>
      <w:r w:rsidRPr="00F95494">
        <w:rPr>
          <w:rFonts w:ascii="Book Antiqua" w:hAnsi="Book Antiqua" w:cs="SimSun"/>
          <w:kern w:val="0"/>
          <w:sz w:val="24"/>
        </w:rPr>
        <w:t>, Lai D, Zhao SQ. Preparation and immunoassay of dibutyl phthalate artificial antigens.</w:t>
      </w:r>
      <w:r w:rsidRPr="00F95494">
        <w:rPr>
          <w:rFonts w:ascii="Book Antiqua" w:hAnsi="Book Antiqua" w:cs="SimSun"/>
          <w:i/>
          <w:kern w:val="0"/>
          <w:sz w:val="24"/>
        </w:rPr>
        <w:t xml:space="preserve"> Huanan Nongye Daxue Xuebao</w:t>
      </w:r>
      <w:r w:rsidRPr="00F95494">
        <w:rPr>
          <w:rFonts w:ascii="Book Antiqua" w:hAnsi="Book Antiqua" w:cs="SimSun"/>
          <w:kern w:val="0"/>
          <w:sz w:val="24"/>
        </w:rPr>
        <w:t xml:space="preserve"> 2016; </w:t>
      </w:r>
      <w:r w:rsidRPr="00F95494">
        <w:rPr>
          <w:rFonts w:ascii="Book Antiqua" w:hAnsi="Book Antiqua" w:cs="SimSun"/>
          <w:b/>
          <w:kern w:val="0"/>
          <w:sz w:val="24"/>
        </w:rPr>
        <w:t>37</w:t>
      </w:r>
      <w:r>
        <w:rPr>
          <w:rFonts w:ascii="Book Antiqua" w:hAnsi="Book Antiqua" w:cs="SimSun"/>
          <w:kern w:val="0"/>
          <w:sz w:val="24"/>
        </w:rPr>
        <w:t>: 107-112</w:t>
      </w:r>
      <w:r w:rsidRPr="00F95494">
        <w:rPr>
          <w:rFonts w:ascii="Book Antiqua" w:hAnsi="Book Antiqua" w:cs="SimSun"/>
          <w:kern w:val="0"/>
          <w:sz w:val="24"/>
        </w:rPr>
        <w:t xml:space="preserve"> [DOI: 10.7671/j.issn.1001-411X.2016.02.017]</w:t>
      </w:r>
    </w:p>
    <w:p w:rsidR="007F78CE" w:rsidRPr="0046748A" w:rsidRDefault="007F78CE" w:rsidP="00E33DF3">
      <w:pPr>
        <w:autoSpaceDE w:val="0"/>
        <w:autoSpaceDN w:val="0"/>
        <w:adjustRightInd w:val="0"/>
        <w:spacing w:line="360" w:lineRule="auto"/>
        <w:rPr>
          <w:rFonts w:ascii="Book Antiqua" w:hAnsi="Book Antiqua"/>
          <w:color w:val="000000"/>
          <w:kern w:val="0"/>
          <w:sz w:val="24"/>
        </w:rPr>
      </w:pPr>
    </w:p>
    <w:p w:rsidR="00B57092" w:rsidRPr="008E0A88" w:rsidRDefault="00B57092" w:rsidP="00E33DF3">
      <w:pPr>
        <w:pStyle w:val="ListParagraph"/>
        <w:spacing w:line="360" w:lineRule="auto"/>
        <w:ind w:firstLineChars="0" w:firstLine="0"/>
        <w:jc w:val="both"/>
        <w:rPr>
          <w:rFonts w:ascii="Book Antiqua" w:eastAsia="SimSun" w:hAnsi="Book Antiqua"/>
          <w:b/>
          <w:bCs/>
          <w:color w:val="000000"/>
          <w:lang w:eastAsia="zh-CN"/>
        </w:rPr>
      </w:pPr>
      <w:r w:rsidRPr="00712F63">
        <w:rPr>
          <w:rStyle w:val="Strong"/>
          <w:rFonts w:ascii="Book Antiqua" w:hAnsi="Book Antiqua" w:cs="Arial"/>
          <w:bCs w:val="0"/>
          <w:noProof/>
          <w:color w:val="000000"/>
        </w:rPr>
        <w:t>P-Reviewer</w:t>
      </w:r>
      <w:r w:rsidRPr="00712F63">
        <w:rPr>
          <w:rStyle w:val="Strong"/>
          <w:rFonts w:ascii="Book Antiqua" w:hAnsi="Book Antiqua" w:cs="Arial"/>
          <w:bCs w:val="0"/>
          <w:noProof/>
          <w:color w:val="000000"/>
          <w:lang w:eastAsia="zh-CN"/>
        </w:rPr>
        <w:t>:</w:t>
      </w:r>
      <w:r w:rsidRPr="00712F63">
        <w:rPr>
          <w:rFonts w:ascii="Book Antiqua" w:hAnsi="Book Antiqua"/>
          <w:bCs/>
          <w:color w:val="000000"/>
        </w:rPr>
        <w:t xml:space="preserve"> </w:t>
      </w:r>
      <w:r w:rsidR="00F8233C">
        <w:rPr>
          <w:rFonts w:ascii="Book Antiqua" w:hAnsi="Book Antiqua"/>
          <w:bCs/>
          <w:color w:val="000000"/>
        </w:rPr>
        <w:t>Andersen</w:t>
      </w:r>
      <w:r w:rsidR="00F8233C" w:rsidRPr="00F8233C">
        <w:rPr>
          <w:rFonts w:ascii="Book Antiqua" w:hAnsi="Book Antiqua"/>
          <w:bCs/>
          <w:color w:val="000000"/>
        </w:rPr>
        <w:t>V</w:t>
      </w:r>
      <w:r w:rsidR="00F8233C">
        <w:rPr>
          <w:rFonts w:ascii="Book Antiqua" w:eastAsiaTheme="minorEastAsia" w:hAnsi="Book Antiqua" w:hint="eastAsia"/>
          <w:bCs/>
          <w:color w:val="000000"/>
          <w:lang w:eastAsia="zh-CN"/>
        </w:rPr>
        <w:t>,</w:t>
      </w:r>
      <w:r w:rsidRPr="00712F63">
        <w:rPr>
          <w:rFonts w:ascii="Book Antiqua" w:hAnsi="Book Antiqua"/>
          <w:bCs/>
          <w:color w:val="000000"/>
        </w:rPr>
        <w:t xml:space="preserve"> </w:t>
      </w:r>
      <w:r w:rsidR="00F8233C" w:rsidRPr="00F8233C">
        <w:rPr>
          <w:rFonts w:ascii="Book Antiqua" w:hAnsi="Book Antiqua"/>
          <w:bCs/>
          <w:color w:val="000000"/>
        </w:rPr>
        <w:t>Kruis</w:t>
      </w:r>
      <w:r w:rsidR="00F8233C">
        <w:rPr>
          <w:rFonts w:ascii="Book Antiqua" w:eastAsiaTheme="minorEastAsia" w:hAnsi="Book Antiqua" w:hint="eastAsia"/>
          <w:bCs/>
          <w:color w:val="000000"/>
          <w:lang w:eastAsia="zh-CN"/>
        </w:rPr>
        <w:t xml:space="preserve"> W,</w:t>
      </w:r>
      <w:r w:rsidRPr="00712F63">
        <w:rPr>
          <w:rFonts w:ascii="Book Antiqua" w:hAnsi="Book Antiqua"/>
          <w:bCs/>
          <w:color w:val="000000"/>
        </w:rPr>
        <w:t xml:space="preserve"> </w:t>
      </w:r>
      <w:r w:rsidR="00E11849">
        <w:rPr>
          <w:rFonts w:ascii="Book Antiqua" w:hAnsi="Book Antiqua"/>
          <w:bCs/>
          <w:color w:val="000000"/>
        </w:rPr>
        <w:t>Sato</w:t>
      </w:r>
      <w:r w:rsidR="00E11849">
        <w:rPr>
          <w:rFonts w:ascii="Book Antiqua" w:eastAsiaTheme="minorEastAsia" w:hAnsi="Book Antiqua" w:hint="eastAsia"/>
          <w:bCs/>
          <w:color w:val="000000"/>
          <w:lang w:eastAsia="zh-CN"/>
        </w:rPr>
        <w:t xml:space="preserve"> </w:t>
      </w:r>
      <w:r w:rsidR="00E11849" w:rsidRPr="00E11849">
        <w:rPr>
          <w:rFonts w:ascii="Book Antiqua" w:hAnsi="Book Antiqua"/>
          <w:bCs/>
          <w:color w:val="000000"/>
        </w:rPr>
        <w:t>H</w:t>
      </w:r>
      <w:r w:rsidR="00AF2340">
        <w:rPr>
          <w:rFonts w:ascii="Book Antiqua" w:eastAsiaTheme="minorEastAsia" w:hAnsi="Book Antiqua" w:hint="eastAsia"/>
          <w:bCs/>
          <w:color w:val="000000"/>
          <w:lang w:eastAsia="zh-CN"/>
        </w:rPr>
        <w:t xml:space="preserve">, </w:t>
      </w:r>
      <w:r w:rsidR="00AF2340" w:rsidRPr="00AF2340">
        <w:rPr>
          <w:rFonts w:ascii="Book Antiqua" w:eastAsiaTheme="minorEastAsia" w:hAnsi="Book Antiqua"/>
          <w:bCs/>
          <w:color w:val="000000"/>
          <w:lang w:eastAsia="zh-CN"/>
        </w:rPr>
        <w:t>Yamaoka</w:t>
      </w:r>
      <w:r w:rsidR="00AF2340">
        <w:rPr>
          <w:rFonts w:ascii="Book Antiqua" w:eastAsiaTheme="minorEastAsia" w:hAnsi="Book Antiqua" w:hint="eastAsia"/>
          <w:bCs/>
          <w:color w:val="000000"/>
          <w:lang w:eastAsia="zh-CN"/>
        </w:rPr>
        <w:t xml:space="preserve"> Y</w:t>
      </w:r>
      <w:r w:rsidR="00E11849" w:rsidRPr="00E11849">
        <w:rPr>
          <w:rFonts w:ascii="Book Antiqua" w:hAnsi="Book Antiqua"/>
          <w:bCs/>
          <w:color w:val="000000"/>
        </w:rPr>
        <w:tab/>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00E33DF3">
        <w:rPr>
          <w:rFonts w:ascii="Book Antiqua" w:eastAsiaTheme="minorEastAsia" w:hAnsi="Book Antiqua" w:hint="eastAsia"/>
          <w:b/>
          <w:bCs/>
          <w:color w:val="000000"/>
          <w:lang w:eastAsia="zh-CN"/>
        </w:rPr>
        <w:t xml:space="preserve"> </w:t>
      </w:r>
      <w:r w:rsidRPr="00712F63">
        <w:rPr>
          <w:rFonts w:ascii="Book Antiqua" w:hAnsi="Book Antiqua"/>
          <w:b/>
          <w:bCs/>
          <w:color w:val="000000"/>
        </w:rPr>
        <w:t>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p w:rsidR="00162153" w:rsidRDefault="00162153" w:rsidP="00E33DF3">
      <w:pPr>
        <w:shd w:val="clear" w:color="auto" w:fill="FFFFFF"/>
        <w:snapToGrid w:val="0"/>
        <w:spacing w:line="360" w:lineRule="auto"/>
        <w:rPr>
          <w:rFonts w:ascii="Book Antiqua" w:hAnsi="Book Antiqua" w:cs="Helvetica"/>
          <w:b/>
          <w:sz w:val="24"/>
        </w:rPr>
      </w:pPr>
    </w:p>
    <w:p w:rsidR="00B57092" w:rsidRPr="008F0DB6" w:rsidRDefault="00B57092" w:rsidP="00E33DF3">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rsidR="00B57092" w:rsidRPr="008F0DB6" w:rsidRDefault="00B57092" w:rsidP="00E33DF3">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origin: </w:t>
      </w:r>
      <w:r w:rsidR="00E11849" w:rsidRPr="00E11849">
        <w:rPr>
          <w:rFonts w:ascii="Book Antiqua" w:hAnsi="Book Antiqua" w:cs="Helvetica"/>
          <w:sz w:val="24"/>
        </w:rPr>
        <w:t>China</w:t>
      </w:r>
    </w:p>
    <w:p w:rsidR="00B57092" w:rsidRPr="008F0DB6" w:rsidRDefault="00B57092" w:rsidP="00E33DF3">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Peer-review report classification</w:t>
      </w:r>
    </w:p>
    <w:p w:rsidR="00B57092" w:rsidRPr="008F0DB6" w:rsidRDefault="00B57092" w:rsidP="00E33DF3">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A (Excellent): </w:t>
      </w:r>
      <w:r w:rsidR="00E11849">
        <w:rPr>
          <w:rFonts w:ascii="Book Antiqua" w:hAnsi="Book Antiqua" w:cs="Helvetica" w:hint="eastAsia"/>
          <w:sz w:val="24"/>
        </w:rPr>
        <w:t>A, A</w:t>
      </w:r>
      <w:r w:rsidR="00AF2340">
        <w:rPr>
          <w:rFonts w:ascii="Book Antiqua" w:hAnsi="Book Antiqua" w:cs="Helvetica" w:hint="eastAsia"/>
          <w:sz w:val="24"/>
        </w:rPr>
        <w:t>, A</w:t>
      </w:r>
    </w:p>
    <w:p w:rsidR="00B57092" w:rsidRPr="008F0DB6" w:rsidRDefault="00B57092" w:rsidP="00E33DF3">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B (Very good): </w:t>
      </w:r>
      <w:r w:rsidRPr="008F0DB6">
        <w:rPr>
          <w:rFonts w:ascii="Book Antiqua" w:hAnsi="Book Antiqua" w:cs="Helvetica" w:hint="eastAsia"/>
          <w:sz w:val="24"/>
        </w:rPr>
        <w:t>0</w:t>
      </w:r>
    </w:p>
    <w:p w:rsidR="00B57092" w:rsidRPr="008F0DB6" w:rsidRDefault="00B57092" w:rsidP="00E33DF3">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00E11849">
        <w:rPr>
          <w:rFonts w:ascii="Book Antiqua" w:hAnsi="Book Antiqua" w:cs="Helvetica" w:hint="eastAsia"/>
          <w:sz w:val="24"/>
        </w:rPr>
        <w:t>C</w:t>
      </w:r>
    </w:p>
    <w:p w:rsidR="00B57092" w:rsidRPr="008F0DB6" w:rsidRDefault="00B57092" w:rsidP="00E33DF3">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lastRenderedPageBreak/>
        <w:t xml:space="preserve">Grade D (Fair): </w:t>
      </w:r>
      <w:r w:rsidRPr="008F0DB6">
        <w:rPr>
          <w:rFonts w:ascii="Book Antiqua" w:hAnsi="Book Antiqua" w:cs="Helvetica" w:hint="eastAsia"/>
          <w:sz w:val="24"/>
        </w:rPr>
        <w:t>0</w:t>
      </w:r>
    </w:p>
    <w:p w:rsidR="00162153" w:rsidRDefault="00B57092" w:rsidP="00E33DF3">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162153" w:rsidRDefault="00162153">
      <w:pPr>
        <w:widowControl/>
        <w:jc w:val="left"/>
        <w:rPr>
          <w:rFonts w:ascii="Book Antiqua" w:hAnsi="Book Antiqua" w:cs="Helvetica"/>
          <w:sz w:val="24"/>
        </w:rPr>
      </w:pPr>
      <w:r>
        <w:rPr>
          <w:rFonts w:ascii="Book Antiqua" w:hAnsi="Book Antiqua" w:cs="Helvetica"/>
          <w:sz w:val="24"/>
        </w:rPr>
        <w:br w:type="page"/>
      </w:r>
    </w:p>
    <w:p w:rsidR="00B57092" w:rsidRPr="008F0DB6" w:rsidRDefault="00B57092" w:rsidP="00E33DF3">
      <w:pPr>
        <w:shd w:val="clear" w:color="auto" w:fill="FFFFFF"/>
        <w:snapToGrid w:val="0"/>
        <w:spacing w:line="360" w:lineRule="auto"/>
        <w:rPr>
          <w:rFonts w:ascii="Book Antiqua" w:hAnsi="Book Antiqua" w:cs="Helvetica"/>
          <w:sz w:val="24"/>
        </w:rPr>
      </w:pPr>
    </w:p>
    <w:p w:rsidR="00162153" w:rsidRDefault="00F8233C" w:rsidP="00E33DF3">
      <w:pPr>
        <w:autoSpaceDE w:val="0"/>
        <w:autoSpaceDN w:val="0"/>
        <w:adjustRightInd w:val="0"/>
        <w:spacing w:line="360" w:lineRule="auto"/>
        <w:rPr>
          <w:rFonts w:ascii="Book Antiqua" w:hAnsi="Book Antiqua"/>
          <w:b/>
          <w:color w:val="000000"/>
          <w:sz w:val="24"/>
        </w:rPr>
      </w:pPr>
      <w:r w:rsidRPr="0046748A">
        <w:rPr>
          <w:rFonts w:ascii="Book Antiqua" w:hAnsi="Book Antiqua"/>
          <w:noProof/>
          <w:color w:val="000000"/>
          <w:sz w:val="24"/>
        </w:rPr>
        <w:drawing>
          <wp:inline distT="0" distB="0" distL="0" distR="0" wp14:anchorId="0376E8D3" wp14:editId="03CE9616">
            <wp:extent cx="5332730" cy="3990975"/>
            <wp:effectExtent l="0" t="0" r="1270" b="9525"/>
            <wp:docPr id="4" name="图片 4" descr="图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八"/>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2730" cy="3990975"/>
                    </a:xfrm>
                    <a:prstGeom prst="rect">
                      <a:avLst/>
                    </a:prstGeom>
                    <a:noFill/>
                    <a:ln>
                      <a:noFill/>
                    </a:ln>
                  </pic:spPr>
                </pic:pic>
              </a:graphicData>
            </a:graphic>
          </wp:inline>
        </w:drawing>
      </w:r>
      <w:r>
        <w:rPr>
          <w:rFonts w:ascii="Book Antiqua" w:hAnsi="Book Antiqua"/>
          <w:b/>
          <w:color w:val="000000"/>
          <w:sz w:val="24"/>
        </w:rPr>
        <w:t xml:space="preserve"> </w:t>
      </w:r>
      <w:r w:rsidR="00B57092">
        <w:rPr>
          <w:rFonts w:ascii="Book Antiqua" w:hAnsi="Book Antiqua"/>
          <w:b/>
          <w:color w:val="000000"/>
          <w:sz w:val="24"/>
        </w:rPr>
        <w:t>Figure 1</w:t>
      </w:r>
      <w:r w:rsidR="007F78CE" w:rsidRPr="0046748A">
        <w:rPr>
          <w:rFonts w:ascii="Book Antiqua" w:hAnsi="Book Antiqua"/>
          <w:color w:val="000000"/>
          <w:sz w:val="24"/>
        </w:rPr>
        <w:t xml:space="preserve"> </w:t>
      </w:r>
      <w:r w:rsidR="00B57092" w:rsidRPr="00B57092">
        <w:rPr>
          <w:rFonts w:ascii="Book Antiqua" w:hAnsi="Book Antiqua"/>
          <w:b/>
          <w:color w:val="000000"/>
          <w:sz w:val="24"/>
        </w:rPr>
        <w:t xml:space="preserve">Flow </w:t>
      </w:r>
      <w:r w:rsidR="007F78CE" w:rsidRPr="00B57092">
        <w:rPr>
          <w:rFonts w:ascii="Book Antiqua" w:hAnsi="Book Antiqua"/>
          <w:b/>
          <w:color w:val="000000"/>
          <w:sz w:val="24"/>
        </w:rPr>
        <w:t>chart of p</w:t>
      </w:r>
      <w:r w:rsidR="007F78CE" w:rsidRPr="00B57092">
        <w:rPr>
          <w:rStyle w:val="Char2"/>
          <w:rFonts w:ascii="Book Antiqua" w:hAnsi="Book Antiqua"/>
          <w:b/>
          <w:bCs/>
          <w:color w:val="000000"/>
          <w:sz w:val="24"/>
        </w:rPr>
        <w:t>roteomic analysis</w:t>
      </w:r>
      <w:r w:rsidR="007F78CE" w:rsidRPr="00B57092">
        <w:rPr>
          <w:rFonts w:ascii="Book Antiqua" w:hAnsi="Book Antiqua"/>
          <w:b/>
          <w:color w:val="000000"/>
          <w:sz w:val="24"/>
        </w:rPr>
        <w:t>.</w:t>
      </w:r>
    </w:p>
    <w:p w:rsidR="00162153" w:rsidRDefault="00162153">
      <w:pPr>
        <w:widowControl/>
        <w:jc w:val="left"/>
        <w:rPr>
          <w:rFonts w:ascii="Book Antiqua" w:hAnsi="Book Antiqua"/>
          <w:b/>
          <w:color w:val="000000"/>
          <w:sz w:val="24"/>
        </w:rPr>
      </w:pPr>
      <w:r>
        <w:rPr>
          <w:rFonts w:ascii="Book Antiqua" w:hAnsi="Book Antiqua"/>
          <w:b/>
          <w:color w:val="000000"/>
          <w:sz w:val="24"/>
        </w:rPr>
        <w:br w:type="page"/>
      </w:r>
    </w:p>
    <w:p w:rsidR="007F78CE" w:rsidRDefault="007F78CE" w:rsidP="00E33DF3">
      <w:pPr>
        <w:autoSpaceDE w:val="0"/>
        <w:autoSpaceDN w:val="0"/>
        <w:adjustRightInd w:val="0"/>
        <w:spacing w:line="360" w:lineRule="auto"/>
        <w:rPr>
          <w:rFonts w:ascii="Book Antiqua" w:hAnsi="Book Antiqua"/>
          <w:color w:val="000000"/>
          <w:sz w:val="24"/>
        </w:rPr>
      </w:pPr>
    </w:p>
    <w:p w:rsidR="00F8233C" w:rsidRPr="0046748A" w:rsidRDefault="00F8233C" w:rsidP="00E33DF3">
      <w:pPr>
        <w:autoSpaceDE w:val="0"/>
        <w:autoSpaceDN w:val="0"/>
        <w:adjustRightInd w:val="0"/>
        <w:spacing w:line="360" w:lineRule="auto"/>
        <w:rPr>
          <w:rFonts w:ascii="Book Antiqua" w:hAnsi="Book Antiqua"/>
          <w:sz w:val="24"/>
        </w:rPr>
      </w:pPr>
      <w:r w:rsidRPr="0046748A">
        <w:rPr>
          <w:rFonts w:ascii="Book Antiqua" w:hAnsi="Book Antiqua"/>
          <w:noProof/>
          <w:sz w:val="24"/>
        </w:rPr>
        <w:drawing>
          <wp:inline distT="0" distB="0" distL="0" distR="0" wp14:anchorId="27607CA5" wp14:editId="3B9A97B0">
            <wp:extent cx="5255895" cy="2435860"/>
            <wp:effectExtent l="0" t="0" r="1905" b="2540"/>
            <wp:docPr id="3" name="图片 3" descr="16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04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895" cy="2435860"/>
                    </a:xfrm>
                    <a:prstGeom prst="rect">
                      <a:avLst/>
                    </a:prstGeom>
                    <a:noFill/>
                    <a:ln>
                      <a:noFill/>
                    </a:ln>
                  </pic:spPr>
                </pic:pic>
              </a:graphicData>
            </a:graphic>
          </wp:inline>
        </w:drawing>
      </w:r>
    </w:p>
    <w:p w:rsidR="00B57092" w:rsidRPr="0046748A" w:rsidRDefault="00B57092" w:rsidP="00E33DF3">
      <w:pPr>
        <w:autoSpaceDE w:val="0"/>
        <w:autoSpaceDN w:val="0"/>
        <w:adjustRightInd w:val="0"/>
        <w:spacing w:line="360" w:lineRule="auto"/>
        <w:rPr>
          <w:rFonts w:ascii="Book Antiqua" w:hAnsi="Book Antiqua"/>
          <w:color w:val="000000"/>
          <w:kern w:val="0"/>
          <w:sz w:val="24"/>
        </w:rPr>
      </w:pPr>
    </w:p>
    <w:p w:rsidR="00162153" w:rsidRDefault="00B57092" w:rsidP="00E33DF3">
      <w:pPr>
        <w:autoSpaceDE w:val="0"/>
        <w:autoSpaceDN w:val="0"/>
        <w:adjustRightInd w:val="0"/>
        <w:spacing w:line="360" w:lineRule="auto"/>
        <w:rPr>
          <w:rFonts w:ascii="Book Antiqua" w:hAnsi="Book Antiqua"/>
          <w:b/>
          <w:sz w:val="24"/>
        </w:rPr>
      </w:pPr>
      <w:r>
        <w:rPr>
          <w:rFonts w:ascii="Book Antiqua" w:hAnsi="Book Antiqua"/>
          <w:b/>
          <w:sz w:val="24"/>
        </w:rPr>
        <w:t>Figure 2</w:t>
      </w:r>
      <w:r w:rsidR="007F78CE" w:rsidRPr="0046748A">
        <w:rPr>
          <w:rFonts w:ascii="Book Antiqua" w:hAnsi="Book Antiqua"/>
          <w:sz w:val="24"/>
        </w:rPr>
        <w:t xml:space="preserve"> </w:t>
      </w:r>
      <w:r w:rsidR="007F78CE" w:rsidRPr="00B57092">
        <w:rPr>
          <w:rFonts w:ascii="Book Antiqua" w:hAnsi="Book Antiqua"/>
          <w:b/>
          <w:sz w:val="24"/>
        </w:rPr>
        <w:t>2-D gel images for tumor-adjacent normal esophageal epithelial tissue, esophageal squamous cell carcinoma tissue, and fetal esophageal tissue.</w:t>
      </w:r>
    </w:p>
    <w:p w:rsidR="00162153" w:rsidRDefault="00162153">
      <w:pPr>
        <w:widowControl/>
        <w:jc w:val="left"/>
        <w:rPr>
          <w:rFonts w:ascii="Book Antiqua" w:hAnsi="Book Antiqua"/>
          <w:b/>
          <w:sz w:val="24"/>
        </w:rPr>
      </w:pPr>
      <w:r>
        <w:rPr>
          <w:rFonts w:ascii="Book Antiqua" w:hAnsi="Book Antiqua"/>
          <w:b/>
          <w:sz w:val="24"/>
        </w:rPr>
        <w:br w:type="page"/>
      </w:r>
    </w:p>
    <w:p w:rsidR="007F78CE" w:rsidRDefault="007F78CE" w:rsidP="00E33DF3">
      <w:pPr>
        <w:autoSpaceDE w:val="0"/>
        <w:autoSpaceDN w:val="0"/>
        <w:adjustRightInd w:val="0"/>
        <w:spacing w:line="360" w:lineRule="auto"/>
        <w:rPr>
          <w:rFonts w:ascii="Book Antiqua" w:hAnsi="Book Antiqua"/>
          <w:b/>
          <w:sz w:val="24"/>
        </w:rPr>
      </w:pPr>
    </w:p>
    <w:p w:rsidR="00F8233C" w:rsidRPr="0046748A" w:rsidRDefault="00F8233C" w:rsidP="00E33DF3">
      <w:pPr>
        <w:autoSpaceDE w:val="0"/>
        <w:autoSpaceDN w:val="0"/>
        <w:adjustRightInd w:val="0"/>
        <w:spacing w:line="360" w:lineRule="auto"/>
        <w:rPr>
          <w:rFonts w:ascii="Book Antiqua" w:hAnsi="Book Antiqua"/>
          <w:sz w:val="24"/>
        </w:rPr>
      </w:pPr>
    </w:p>
    <w:p w:rsidR="00F8233C" w:rsidRPr="0046748A" w:rsidRDefault="00F8233C" w:rsidP="00E33DF3">
      <w:pPr>
        <w:pStyle w:val="NormalIndent"/>
        <w:jc w:val="both"/>
        <w:rPr>
          <w:rFonts w:ascii="Book Antiqua" w:hAnsi="Book Antiqua"/>
          <w:sz w:val="24"/>
          <w:szCs w:val="24"/>
        </w:rPr>
      </w:pPr>
      <w:r w:rsidRPr="0046748A">
        <w:rPr>
          <w:noProof/>
          <w:sz w:val="24"/>
          <w:szCs w:val="24"/>
          <w:lang w:val="en-US"/>
        </w:rPr>
        <w:drawing>
          <wp:anchor distT="0" distB="0" distL="114300" distR="114300" simplePos="0" relativeHeight="251659264" behindDoc="0" locked="0" layoutInCell="1" allowOverlap="1" wp14:anchorId="34BA1B4C" wp14:editId="62B5FCB6">
            <wp:simplePos x="0" y="0"/>
            <wp:positionH relativeFrom="column">
              <wp:posOffset>0</wp:posOffset>
            </wp:positionH>
            <wp:positionV relativeFrom="paragraph">
              <wp:posOffset>99060</wp:posOffset>
            </wp:positionV>
            <wp:extent cx="1876425" cy="1857375"/>
            <wp:effectExtent l="0" t="0" r="9525" b="9525"/>
            <wp:wrapSquare wrapText="bothSides"/>
            <wp:docPr id="7" name="图片 7" descr="33530 2007-1-8 11hr 44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530 2007-1-8 11hr 44m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857375"/>
                    </a:xfrm>
                    <a:prstGeom prst="rect">
                      <a:avLst/>
                    </a:prstGeom>
                    <a:noFill/>
                  </pic:spPr>
                </pic:pic>
              </a:graphicData>
            </a:graphic>
            <wp14:sizeRelH relativeFrom="page">
              <wp14:pctWidth>0</wp14:pctWidth>
            </wp14:sizeRelH>
            <wp14:sizeRelV relativeFrom="page">
              <wp14:pctHeight>0</wp14:pctHeight>
            </wp14:sizeRelV>
          </wp:anchor>
        </w:drawing>
      </w:r>
      <w:r w:rsidRPr="0046748A">
        <w:rPr>
          <w:noProof/>
          <w:sz w:val="24"/>
          <w:szCs w:val="24"/>
          <w:lang w:val="en-US"/>
        </w:rPr>
        <w:drawing>
          <wp:anchor distT="0" distB="0" distL="114300" distR="114300" simplePos="0" relativeHeight="251660288" behindDoc="1" locked="0" layoutInCell="1" allowOverlap="1" wp14:anchorId="7AACC49B" wp14:editId="50FF5D20">
            <wp:simplePos x="0" y="0"/>
            <wp:positionH relativeFrom="column">
              <wp:posOffset>-241935</wp:posOffset>
            </wp:positionH>
            <wp:positionV relativeFrom="paragraph">
              <wp:posOffset>93345</wp:posOffset>
            </wp:positionV>
            <wp:extent cx="1955800" cy="1828800"/>
            <wp:effectExtent l="0" t="0" r="6350" b="0"/>
            <wp:wrapNone/>
            <wp:docPr id="6" name="图片 6" descr="Txh208 2006-12-11 16hr 56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xh208 2006-12-11 16hr 56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800" cy="1828800"/>
                    </a:xfrm>
                    <a:prstGeom prst="rect">
                      <a:avLst/>
                    </a:prstGeom>
                    <a:noFill/>
                  </pic:spPr>
                </pic:pic>
              </a:graphicData>
            </a:graphic>
            <wp14:sizeRelH relativeFrom="page">
              <wp14:pctWidth>0</wp14:pctWidth>
            </wp14:sizeRelH>
            <wp14:sizeRelV relativeFrom="page">
              <wp14:pctHeight>0</wp14:pctHeight>
            </wp14:sizeRelV>
          </wp:anchor>
        </w:drawing>
      </w:r>
      <w:r w:rsidRPr="0046748A">
        <w:rPr>
          <w:noProof/>
          <w:sz w:val="24"/>
          <w:szCs w:val="24"/>
          <w:lang w:val="en-US"/>
        </w:rPr>
        <w:drawing>
          <wp:anchor distT="0" distB="0" distL="114300" distR="114300" simplePos="0" relativeHeight="251661312" behindDoc="0" locked="0" layoutInCell="1" allowOverlap="1" wp14:anchorId="6FA48756" wp14:editId="15E8F1F8">
            <wp:simplePos x="0" y="0"/>
            <wp:positionH relativeFrom="column">
              <wp:posOffset>1600200</wp:posOffset>
            </wp:positionH>
            <wp:positionV relativeFrom="paragraph">
              <wp:posOffset>99060</wp:posOffset>
            </wp:positionV>
            <wp:extent cx="1828800" cy="1819275"/>
            <wp:effectExtent l="0" t="0" r="0" b="9525"/>
            <wp:wrapSquare wrapText="bothSides"/>
            <wp:docPr id="5" name="图片 5" descr="Ca465 2006-12-31 15hr 33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465 2006-12-31 15hr 33m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19275"/>
                    </a:xfrm>
                    <a:prstGeom prst="rect">
                      <a:avLst/>
                    </a:prstGeom>
                    <a:noFill/>
                  </pic:spPr>
                </pic:pic>
              </a:graphicData>
            </a:graphic>
            <wp14:sizeRelH relativeFrom="page">
              <wp14:pctWidth>0</wp14:pctWidth>
            </wp14:sizeRelH>
            <wp14:sizeRelV relativeFrom="page">
              <wp14:pctHeight>0</wp14:pctHeight>
            </wp14:sizeRelV>
          </wp:anchor>
        </w:drawing>
      </w:r>
    </w:p>
    <w:p w:rsidR="00F8233C" w:rsidRPr="0046748A" w:rsidRDefault="00F8233C" w:rsidP="00E33DF3">
      <w:pPr>
        <w:pStyle w:val="NormalIndent"/>
        <w:jc w:val="both"/>
        <w:rPr>
          <w:rFonts w:ascii="Book Antiqua" w:hAnsi="Book Antiqua"/>
          <w:sz w:val="24"/>
          <w:szCs w:val="24"/>
        </w:rPr>
      </w:pPr>
    </w:p>
    <w:p w:rsidR="00F8233C" w:rsidRPr="0046748A" w:rsidRDefault="00F8233C" w:rsidP="00E33DF3">
      <w:pPr>
        <w:pStyle w:val="NormalIndent"/>
        <w:jc w:val="both"/>
        <w:rPr>
          <w:rFonts w:ascii="Book Antiqua" w:hAnsi="Book Antiqua"/>
          <w:sz w:val="24"/>
          <w:szCs w:val="24"/>
        </w:rPr>
      </w:pPr>
    </w:p>
    <w:p w:rsidR="00F8233C" w:rsidRPr="0046748A" w:rsidRDefault="00F8233C" w:rsidP="00E33DF3">
      <w:pPr>
        <w:pStyle w:val="NormalIndent"/>
        <w:jc w:val="both"/>
        <w:rPr>
          <w:rFonts w:ascii="Book Antiqua" w:hAnsi="Book Antiqua"/>
          <w:sz w:val="24"/>
          <w:szCs w:val="24"/>
        </w:rPr>
      </w:pPr>
    </w:p>
    <w:p w:rsidR="00F8233C" w:rsidRPr="0046748A" w:rsidRDefault="00F8233C" w:rsidP="00E33DF3">
      <w:pPr>
        <w:pStyle w:val="NormalIndent"/>
        <w:jc w:val="both"/>
        <w:rPr>
          <w:rFonts w:ascii="Book Antiqua" w:hAnsi="Book Antiqua"/>
          <w:sz w:val="24"/>
          <w:szCs w:val="24"/>
        </w:rPr>
      </w:pPr>
    </w:p>
    <w:p w:rsidR="00F8233C" w:rsidRPr="0046748A" w:rsidRDefault="00F8233C" w:rsidP="00E33DF3">
      <w:pPr>
        <w:pStyle w:val="NormalIndent"/>
        <w:jc w:val="both"/>
        <w:rPr>
          <w:rFonts w:ascii="Book Antiqua" w:hAnsi="Book Antiqua"/>
          <w:sz w:val="24"/>
          <w:szCs w:val="24"/>
        </w:rPr>
      </w:pPr>
    </w:p>
    <w:p w:rsidR="00F8233C" w:rsidRPr="0046748A" w:rsidRDefault="00F8233C" w:rsidP="00E33DF3">
      <w:pPr>
        <w:pStyle w:val="NormalIndent"/>
        <w:jc w:val="both"/>
        <w:rPr>
          <w:rFonts w:ascii="Book Antiqua" w:hAnsi="Book Antiqua"/>
          <w:sz w:val="24"/>
          <w:szCs w:val="24"/>
        </w:rPr>
      </w:pPr>
    </w:p>
    <w:p w:rsidR="00162153" w:rsidRDefault="00B57092" w:rsidP="00E33DF3">
      <w:pPr>
        <w:autoSpaceDE w:val="0"/>
        <w:autoSpaceDN w:val="0"/>
        <w:adjustRightInd w:val="0"/>
        <w:spacing w:line="360" w:lineRule="auto"/>
        <w:rPr>
          <w:rFonts w:ascii="Book Antiqua" w:hAnsi="Book Antiqua"/>
          <w:sz w:val="24"/>
        </w:rPr>
      </w:pPr>
      <w:r>
        <w:rPr>
          <w:rFonts w:ascii="Book Antiqua" w:hAnsi="Book Antiqua"/>
          <w:b/>
          <w:sz w:val="24"/>
        </w:rPr>
        <w:t>Figure 3</w:t>
      </w:r>
      <w:r w:rsidR="007F78CE" w:rsidRPr="0046748A">
        <w:rPr>
          <w:rFonts w:ascii="Book Antiqua" w:hAnsi="Book Antiqua"/>
          <w:sz w:val="24"/>
        </w:rPr>
        <w:t xml:space="preserve"> </w:t>
      </w:r>
      <w:r w:rsidR="007F78CE" w:rsidRPr="00B57092">
        <w:rPr>
          <w:rFonts w:ascii="Book Antiqua" w:hAnsi="Book Antiqua"/>
          <w:b/>
          <w:sz w:val="24"/>
        </w:rPr>
        <w:t>A typical differential protein spot in tumor-adjacent normal esophageal epithelial tissue, esophageal squamous cell carcinoma tissue, and fetal esophageal tissue.</w:t>
      </w:r>
      <w:r w:rsidR="007F78CE" w:rsidRPr="0046748A">
        <w:rPr>
          <w:rFonts w:ascii="Book Antiqua" w:hAnsi="Book Antiqua"/>
          <w:sz w:val="24"/>
        </w:rPr>
        <w:t xml:space="preserve"> The spot was rarely detected in normal esophageal epithelial tissue, but was overexpressed in esophageal squamous cell carcinoma and fetal esophageal tissues.</w:t>
      </w:r>
    </w:p>
    <w:p w:rsidR="00162153" w:rsidRDefault="00162153">
      <w:pPr>
        <w:widowControl/>
        <w:jc w:val="left"/>
        <w:rPr>
          <w:rFonts w:ascii="Book Antiqua" w:hAnsi="Book Antiqua"/>
          <w:sz w:val="24"/>
        </w:rPr>
      </w:pPr>
      <w:r>
        <w:rPr>
          <w:rFonts w:ascii="Book Antiqua" w:hAnsi="Book Antiqua"/>
          <w:sz w:val="24"/>
        </w:rPr>
        <w:br w:type="page"/>
      </w:r>
    </w:p>
    <w:p w:rsidR="007F78CE" w:rsidRDefault="007F78CE" w:rsidP="00E33DF3">
      <w:pPr>
        <w:autoSpaceDE w:val="0"/>
        <w:autoSpaceDN w:val="0"/>
        <w:adjustRightInd w:val="0"/>
        <w:spacing w:line="360" w:lineRule="auto"/>
        <w:rPr>
          <w:rFonts w:ascii="Book Antiqua" w:hAnsi="Book Antiqua"/>
          <w:sz w:val="24"/>
        </w:rPr>
      </w:pPr>
    </w:p>
    <w:p w:rsidR="00B57092" w:rsidRPr="0046748A" w:rsidRDefault="00F8233C" w:rsidP="00E33DF3">
      <w:pPr>
        <w:autoSpaceDE w:val="0"/>
        <w:autoSpaceDN w:val="0"/>
        <w:adjustRightInd w:val="0"/>
        <w:spacing w:line="360" w:lineRule="auto"/>
        <w:rPr>
          <w:rFonts w:ascii="Book Antiqua" w:hAnsi="Book Antiqua"/>
          <w:color w:val="000000"/>
          <w:kern w:val="0"/>
          <w:sz w:val="24"/>
        </w:rPr>
      </w:pPr>
      <w:r w:rsidRPr="0046748A">
        <w:rPr>
          <w:rFonts w:ascii="Book Antiqua" w:hAnsi="Book Antiqua"/>
          <w:noProof/>
          <w:color w:val="000000"/>
          <w:sz w:val="24"/>
        </w:rPr>
        <w:drawing>
          <wp:inline distT="0" distB="0" distL="0" distR="0" wp14:anchorId="24977702" wp14:editId="61BD5F3E">
            <wp:extent cx="5563235" cy="3392805"/>
            <wp:effectExtent l="0" t="0" r="0" b="0"/>
            <wp:docPr id="2" name="图片 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6"/>
                    <pic:cNvPicPr>
                      <a:picLocks noChangeAspect="1" noChangeArrowheads="1"/>
                    </pic:cNvPicPr>
                  </pic:nvPicPr>
                  <pic:blipFill>
                    <a:blip r:embed="rId13">
                      <a:lum bright="30000" contrast="-24000"/>
                      <a:extLst>
                        <a:ext uri="{28A0092B-C50C-407E-A947-70E740481C1C}">
                          <a14:useLocalDpi xmlns:a14="http://schemas.microsoft.com/office/drawing/2010/main" val="0"/>
                        </a:ext>
                      </a:extLst>
                    </a:blip>
                    <a:srcRect/>
                    <a:stretch>
                      <a:fillRect/>
                    </a:stretch>
                  </pic:blipFill>
                  <pic:spPr bwMode="auto">
                    <a:xfrm>
                      <a:off x="0" y="0"/>
                      <a:ext cx="5563235" cy="3392805"/>
                    </a:xfrm>
                    <a:prstGeom prst="rect">
                      <a:avLst/>
                    </a:prstGeom>
                    <a:noFill/>
                    <a:ln>
                      <a:noFill/>
                    </a:ln>
                  </pic:spPr>
                </pic:pic>
              </a:graphicData>
            </a:graphic>
          </wp:inline>
        </w:drawing>
      </w:r>
    </w:p>
    <w:p w:rsidR="007F78CE" w:rsidRPr="00B57092" w:rsidRDefault="00B57092" w:rsidP="00E33DF3">
      <w:pPr>
        <w:autoSpaceDE w:val="0"/>
        <w:autoSpaceDN w:val="0"/>
        <w:adjustRightInd w:val="0"/>
        <w:spacing w:line="360" w:lineRule="auto"/>
        <w:rPr>
          <w:rFonts w:ascii="Book Antiqua" w:hAnsi="Book Antiqua"/>
          <w:b/>
          <w:color w:val="000000"/>
          <w:sz w:val="24"/>
        </w:rPr>
      </w:pPr>
      <w:r>
        <w:rPr>
          <w:rFonts w:ascii="Book Antiqua" w:hAnsi="Book Antiqua"/>
          <w:b/>
          <w:color w:val="000000"/>
          <w:sz w:val="24"/>
        </w:rPr>
        <w:t>Figure 4</w:t>
      </w:r>
      <w:r w:rsidR="007F78CE" w:rsidRPr="0046748A">
        <w:rPr>
          <w:rFonts w:ascii="Book Antiqua" w:hAnsi="Book Antiqua"/>
          <w:color w:val="000000"/>
          <w:sz w:val="24"/>
        </w:rPr>
        <w:t xml:space="preserve"> </w:t>
      </w:r>
      <w:r w:rsidR="007F78CE" w:rsidRPr="00B57092">
        <w:rPr>
          <w:rFonts w:ascii="Book Antiqua" w:hAnsi="Book Antiqua"/>
          <w:b/>
          <w:color w:val="000000"/>
          <w:sz w:val="24"/>
        </w:rPr>
        <w:t xml:space="preserve">Expression of PRX6 expression in esophageal tissues from fetuses at a gestational age of 3-8 </w:t>
      </w:r>
      <w:r w:rsidRPr="00B57092">
        <w:rPr>
          <w:rFonts w:ascii="Book Antiqua" w:hAnsi="Book Antiqua" w:hint="eastAsia"/>
          <w:b/>
          <w:color w:val="000000"/>
          <w:sz w:val="24"/>
        </w:rPr>
        <w:t>mo</w:t>
      </w:r>
      <w:r w:rsidR="007F78CE" w:rsidRPr="00B57092">
        <w:rPr>
          <w:rFonts w:ascii="Book Antiqua" w:hAnsi="Book Antiqua"/>
          <w:b/>
          <w:color w:val="000000"/>
          <w:sz w:val="24"/>
        </w:rPr>
        <w:t xml:space="preserve"> (DAB, ×</w:t>
      </w:r>
      <w:r w:rsidRPr="00B57092">
        <w:rPr>
          <w:rFonts w:ascii="Book Antiqua" w:hAnsi="Book Antiqua" w:hint="eastAsia"/>
          <w:b/>
          <w:color w:val="000000"/>
          <w:sz w:val="24"/>
        </w:rPr>
        <w:t xml:space="preserve"> </w:t>
      </w:r>
      <w:r w:rsidR="007F78CE" w:rsidRPr="00B57092">
        <w:rPr>
          <w:rFonts w:ascii="Book Antiqua" w:hAnsi="Book Antiqua"/>
          <w:b/>
          <w:color w:val="000000"/>
          <w:sz w:val="24"/>
        </w:rPr>
        <w:t>200).</w:t>
      </w:r>
    </w:p>
    <w:p w:rsidR="00B57092" w:rsidRPr="00B57092" w:rsidRDefault="00F8233C" w:rsidP="00E33DF3">
      <w:pPr>
        <w:autoSpaceDE w:val="0"/>
        <w:autoSpaceDN w:val="0"/>
        <w:adjustRightInd w:val="0"/>
        <w:spacing w:line="360" w:lineRule="auto"/>
        <w:rPr>
          <w:rFonts w:ascii="Book Antiqua" w:hAnsi="Book Antiqua"/>
          <w:color w:val="000000"/>
          <w:sz w:val="24"/>
        </w:rPr>
      </w:pPr>
      <w:r w:rsidRPr="0046748A">
        <w:rPr>
          <w:rFonts w:ascii="Book Antiqua" w:hAnsi="Book Antiqua"/>
          <w:noProof/>
          <w:color w:val="000000"/>
          <w:sz w:val="24"/>
        </w:rPr>
        <w:lastRenderedPageBreak/>
        <w:drawing>
          <wp:inline distT="0" distB="0" distL="0" distR="0" wp14:anchorId="38FBAD5C" wp14:editId="2A36621D">
            <wp:extent cx="5274310" cy="4707498"/>
            <wp:effectExtent l="0" t="0" r="2540" b="0"/>
            <wp:docPr id="1" name="图片 1"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9"/>
                    <pic:cNvPicPr>
                      <a:picLocks noChangeAspect="1" noChangeArrowheads="1"/>
                    </pic:cNvPicPr>
                  </pic:nvPicPr>
                  <pic:blipFill>
                    <a:blip r:embed="rId14">
                      <a:lum bright="12000" contrast="-12000"/>
                      <a:extLst>
                        <a:ext uri="{28A0092B-C50C-407E-A947-70E740481C1C}">
                          <a14:useLocalDpi xmlns:a14="http://schemas.microsoft.com/office/drawing/2010/main" val="0"/>
                        </a:ext>
                      </a:extLst>
                    </a:blip>
                    <a:srcRect/>
                    <a:stretch>
                      <a:fillRect/>
                    </a:stretch>
                  </pic:blipFill>
                  <pic:spPr bwMode="auto">
                    <a:xfrm>
                      <a:off x="0" y="0"/>
                      <a:ext cx="5274310" cy="4707498"/>
                    </a:xfrm>
                    <a:prstGeom prst="rect">
                      <a:avLst/>
                    </a:prstGeom>
                    <a:solidFill>
                      <a:srgbClr val="000000"/>
                    </a:solidFill>
                    <a:ln>
                      <a:noFill/>
                    </a:ln>
                  </pic:spPr>
                </pic:pic>
              </a:graphicData>
            </a:graphic>
          </wp:inline>
        </w:drawing>
      </w:r>
    </w:p>
    <w:p w:rsidR="007F78CE" w:rsidRPr="0046748A" w:rsidRDefault="00B57092" w:rsidP="00E33DF3">
      <w:pPr>
        <w:autoSpaceDE w:val="0"/>
        <w:autoSpaceDN w:val="0"/>
        <w:adjustRightInd w:val="0"/>
        <w:spacing w:line="360" w:lineRule="auto"/>
        <w:rPr>
          <w:rFonts w:ascii="Book Antiqua" w:hAnsi="Book Antiqua"/>
          <w:color w:val="000000"/>
          <w:kern w:val="0"/>
          <w:sz w:val="24"/>
        </w:rPr>
      </w:pPr>
      <w:r>
        <w:rPr>
          <w:rFonts w:ascii="Book Antiqua" w:hAnsi="Book Antiqua"/>
          <w:b/>
          <w:color w:val="000000"/>
          <w:sz w:val="24"/>
        </w:rPr>
        <w:t>Figure 5</w:t>
      </w:r>
      <w:r w:rsidR="007F78CE" w:rsidRPr="0046748A">
        <w:rPr>
          <w:rFonts w:ascii="Book Antiqua" w:hAnsi="Book Antiqua"/>
          <w:color w:val="000000"/>
          <w:sz w:val="24"/>
        </w:rPr>
        <w:t xml:space="preserve"> </w:t>
      </w:r>
      <w:r w:rsidR="007F78CE" w:rsidRPr="00B57092">
        <w:rPr>
          <w:rFonts w:ascii="Book Antiqua" w:hAnsi="Book Antiqua"/>
          <w:b/>
          <w:color w:val="000000"/>
          <w:sz w:val="24"/>
        </w:rPr>
        <w:t xml:space="preserve">Expression of PRX6 expression in esophageal tissues from fetuses at a gestational age of 3-8 </w:t>
      </w:r>
      <w:r>
        <w:rPr>
          <w:rFonts w:ascii="Book Antiqua" w:hAnsi="Book Antiqua" w:hint="eastAsia"/>
          <w:b/>
          <w:color w:val="000000"/>
          <w:sz w:val="24"/>
        </w:rPr>
        <w:t>mo</w:t>
      </w:r>
      <w:r w:rsidR="007F78CE" w:rsidRPr="00B57092">
        <w:rPr>
          <w:rFonts w:ascii="Book Antiqua" w:hAnsi="Book Antiqua"/>
          <w:b/>
          <w:color w:val="000000"/>
          <w:sz w:val="24"/>
        </w:rPr>
        <w:t xml:space="preserve"> (DAB, ×</w:t>
      </w:r>
      <w:r w:rsidRPr="00B57092">
        <w:rPr>
          <w:rFonts w:ascii="Book Antiqua" w:hAnsi="Book Antiqua" w:hint="eastAsia"/>
          <w:b/>
          <w:color w:val="000000"/>
          <w:sz w:val="24"/>
        </w:rPr>
        <w:t xml:space="preserve"> </w:t>
      </w:r>
      <w:r w:rsidR="007F78CE" w:rsidRPr="00B57092">
        <w:rPr>
          <w:rFonts w:ascii="Book Antiqua" w:hAnsi="Book Antiqua"/>
          <w:b/>
          <w:color w:val="000000"/>
          <w:sz w:val="24"/>
        </w:rPr>
        <w:t>200).</w:t>
      </w:r>
    </w:p>
    <w:p w:rsidR="007F78CE" w:rsidRPr="00B57092" w:rsidRDefault="007F78CE" w:rsidP="00E33DF3">
      <w:pPr>
        <w:autoSpaceDE w:val="0"/>
        <w:autoSpaceDN w:val="0"/>
        <w:adjustRightInd w:val="0"/>
        <w:spacing w:line="360" w:lineRule="auto"/>
        <w:rPr>
          <w:rFonts w:ascii="Book Antiqua" w:hAnsi="Book Antiqua"/>
          <w:b/>
          <w:color w:val="000000"/>
          <w:kern w:val="0"/>
          <w:sz w:val="24"/>
        </w:rPr>
      </w:pPr>
      <w:r w:rsidRPr="0046748A">
        <w:rPr>
          <w:rFonts w:ascii="Book Antiqua" w:hAnsi="Book Antiqua"/>
          <w:color w:val="000000"/>
          <w:kern w:val="0"/>
          <w:sz w:val="24"/>
        </w:rPr>
        <w:br w:type="page"/>
      </w:r>
      <w:r w:rsidR="00B57092">
        <w:rPr>
          <w:rFonts w:ascii="Book Antiqua" w:hAnsi="Book Antiqua"/>
          <w:b/>
          <w:color w:val="000000"/>
          <w:sz w:val="24"/>
        </w:rPr>
        <w:lastRenderedPageBreak/>
        <w:t>Table 1</w:t>
      </w:r>
      <w:r w:rsidRPr="00B57092">
        <w:rPr>
          <w:rFonts w:ascii="Book Antiqua" w:hAnsi="Book Antiqua"/>
          <w:b/>
          <w:color w:val="000000"/>
          <w:sz w:val="24"/>
        </w:rPr>
        <w:t xml:space="preserve"> Identification of differentially expressed proteins in </w:t>
      </w:r>
      <w:r w:rsidRPr="00B57092">
        <w:rPr>
          <w:rFonts w:ascii="Book Antiqua" w:hAnsi="Book Antiqua"/>
          <w:b/>
          <w:sz w:val="24"/>
        </w:rPr>
        <w:t>tumor-adjacent normal esophageal epithelial tissue, esophageal squamous cell carcinoma tissue, and fetal esophageal tissue</w:t>
      </w:r>
    </w:p>
    <w:tbl>
      <w:tblPr>
        <w:tblW w:w="10349" w:type="dxa"/>
        <w:tblInd w:w="-885" w:type="dxa"/>
        <w:tblLayout w:type="fixed"/>
        <w:tblLook w:val="04A0" w:firstRow="1" w:lastRow="0" w:firstColumn="1" w:lastColumn="0" w:noHBand="0" w:noVBand="1"/>
      </w:tblPr>
      <w:tblGrid>
        <w:gridCol w:w="1622"/>
        <w:gridCol w:w="3227"/>
        <w:gridCol w:w="1136"/>
        <w:gridCol w:w="1671"/>
        <w:gridCol w:w="1275"/>
        <w:gridCol w:w="1418"/>
      </w:tblGrid>
      <w:tr w:rsidR="007F78CE" w:rsidRPr="0046748A" w:rsidTr="00F8233C">
        <w:trPr>
          <w:trHeight w:val="541"/>
        </w:trPr>
        <w:tc>
          <w:tcPr>
            <w:tcW w:w="1622" w:type="dxa"/>
            <w:tcBorders>
              <w:top w:val="single" w:sz="4" w:space="0" w:color="auto"/>
              <w:left w:val="nil"/>
              <w:bottom w:val="single" w:sz="4" w:space="0" w:color="auto"/>
              <w:right w:val="nil"/>
            </w:tcBorders>
            <w:vAlign w:val="bottom"/>
            <w:hideMark/>
          </w:tcPr>
          <w:p w:rsidR="007F78CE" w:rsidRPr="00B57092" w:rsidRDefault="007F78CE" w:rsidP="00E33DF3">
            <w:pPr>
              <w:spacing w:line="360" w:lineRule="auto"/>
              <w:rPr>
                <w:rFonts w:ascii="Book Antiqua" w:hAnsi="Book Antiqua"/>
                <w:b/>
                <w:color w:val="000000"/>
                <w:sz w:val="24"/>
              </w:rPr>
            </w:pPr>
            <w:r w:rsidRPr="00B57092">
              <w:rPr>
                <w:rFonts w:ascii="Book Antiqua" w:hAnsi="Book Antiqua"/>
                <w:b/>
                <w:color w:val="000000"/>
                <w:sz w:val="24"/>
              </w:rPr>
              <w:t>Sport</w:t>
            </w:r>
          </w:p>
        </w:tc>
        <w:tc>
          <w:tcPr>
            <w:tcW w:w="3227" w:type="dxa"/>
            <w:tcBorders>
              <w:top w:val="single" w:sz="4" w:space="0" w:color="auto"/>
              <w:left w:val="nil"/>
              <w:bottom w:val="single" w:sz="4" w:space="0" w:color="auto"/>
              <w:right w:val="nil"/>
            </w:tcBorders>
            <w:vAlign w:val="center"/>
            <w:hideMark/>
          </w:tcPr>
          <w:p w:rsidR="007F78CE" w:rsidRPr="00B57092" w:rsidRDefault="007F78CE" w:rsidP="00E33DF3">
            <w:pPr>
              <w:spacing w:line="360" w:lineRule="auto"/>
              <w:rPr>
                <w:rFonts w:ascii="Book Antiqua" w:hAnsi="Book Antiqua"/>
                <w:b/>
                <w:color w:val="000000"/>
                <w:sz w:val="24"/>
              </w:rPr>
            </w:pPr>
            <w:r w:rsidRPr="00B57092">
              <w:rPr>
                <w:rFonts w:ascii="Book Antiqua" w:hAnsi="Book Antiqua"/>
                <w:b/>
                <w:color w:val="000000"/>
                <w:sz w:val="24"/>
              </w:rPr>
              <w:t>Protein name and theoretical pI and Mr</w:t>
            </w:r>
          </w:p>
        </w:tc>
        <w:tc>
          <w:tcPr>
            <w:tcW w:w="1136" w:type="dxa"/>
            <w:tcBorders>
              <w:top w:val="single" w:sz="4" w:space="0" w:color="auto"/>
              <w:left w:val="nil"/>
              <w:bottom w:val="single" w:sz="4" w:space="0" w:color="auto"/>
              <w:right w:val="nil"/>
            </w:tcBorders>
            <w:vAlign w:val="center"/>
            <w:hideMark/>
          </w:tcPr>
          <w:p w:rsidR="007F78CE" w:rsidRPr="00B57092" w:rsidRDefault="007F78CE" w:rsidP="00E33DF3">
            <w:pPr>
              <w:spacing w:line="360" w:lineRule="auto"/>
              <w:rPr>
                <w:rFonts w:ascii="Book Antiqua" w:hAnsi="Book Antiqua"/>
                <w:b/>
                <w:color w:val="000000"/>
                <w:sz w:val="24"/>
              </w:rPr>
            </w:pPr>
            <w:r w:rsidRPr="00B57092">
              <w:rPr>
                <w:rFonts w:ascii="Book Antiqua" w:hAnsi="Book Antiqua"/>
                <w:b/>
                <w:color w:val="000000"/>
                <w:sz w:val="24"/>
              </w:rPr>
              <w:t>Observed pI and Mr</w:t>
            </w:r>
          </w:p>
        </w:tc>
        <w:tc>
          <w:tcPr>
            <w:tcW w:w="1671" w:type="dxa"/>
            <w:tcBorders>
              <w:top w:val="single" w:sz="4" w:space="0" w:color="auto"/>
              <w:left w:val="nil"/>
              <w:bottom w:val="single" w:sz="4" w:space="0" w:color="auto"/>
              <w:right w:val="nil"/>
            </w:tcBorders>
            <w:vAlign w:val="center"/>
            <w:hideMark/>
          </w:tcPr>
          <w:p w:rsidR="007F78CE" w:rsidRPr="00B57092" w:rsidRDefault="007F78CE" w:rsidP="00E33DF3">
            <w:pPr>
              <w:spacing w:line="360" w:lineRule="auto"/>
              <w:rPr>
                <w:rFonts w:ascii="Book Antiqua" w:hAnsi="Book Antiqua"/>
                <w:b/>
                <w:color w:val="000000"/>
                <w:sz w:val="24"/>
              </w:rPr>
            </w:pPr>
            <w:r w:rsidRPr="00B57092">
              <w:rPr>
                <w:rFonts w:ascii="Book Antiqua" w:hAnsi="Book Antiqua"/>
                <w:b/>
                <w:color w:val="000000"/>
                <w:sz w:val="24"/>
              </w:rPr>
              <w:t>No. of matched peptide fragments</w:t>
            </w:r>
          </w:p>
        </w:tc>
        <w:tc>
          <w:tcPr>
            <w:tcW w:w="1275" w:type="dxa"/>
            <w:tcBorders>
              <w:top w:val="single" w:sz="4" w:space="0" w:color="auto"/>
              <w:left w:val="nil"/>
              <w:bottom w:val="single" w:sz="4" w:space="0" w:color="auto"/>
              <w:right w:val="nil"/>
            </w:tcBorders>
            <w:vAlign w:val="center"/>
            <w:hideMark/>
          </w:tcPr>
          <w:p w:rsidR="007F78CE" w:rsidRPr="00B57092" w:rsidRDefault="007F78CE" w:rsidP="00E33DF3">
            <w:pPr>
              <w:spacing w:line="360" w:lineRule="auto"/>
              <w:rPr>
                <w:rFonts w:ascii="Book Antiqua" w:hAnsi="Book Antiqua"/>
                <w:b/>
                <w:color w:val="000000"/>
                <w:sz w:val="24"/>
              </w:rPr>
            </w:pPr>
            <w:r w:rsidRPr="00B57092">
              <w:rPr>
                <w:rFonts w:ascii="Book Antiqua" w:hAnsi="Book Antiqua"/>
                <w:b/>
                <w:color w:val="000000"/>
                <w:sz w:val="24"/>
              </w:rPr>
              <w:t>Sequence coverage</w:t>
            </w:r>
          </w:p>
        </w:tc>
        <w:tc>
          <w:tcPr>
            <w:tcW w:w="1418" w:type="dxa"/>
            <w:tcBorders>
              <w:top w:val="single" w:sz="4" w:space="0" w:color="auto"/>
              <w:left w:val="nil"/>
              <w:bottom w:val="single" w:sz="4" w:space="0" w:color="auto"/>
              <w:right w:val="nil"/>
            </w:tcBorders>
            <w:vAlign w:val="center"/>
            <w:hideMark/>
          </w:tcPr>
          <w:p w:rsidR="007F78CE" w:rsidRPr="00B57092" w:rsidRDefault="007F78CE" w:rsidP="00E33DF3">
            <w:pPr>
              <w:tabs>
                <w:tab w:val="left" w:pos="1272"/>
              </w:tabs>
              <w:spacing w:line="360" w:lineRule="auto"/>
              <w:rPr>
                <w:rFonts w:ascii="Book Antiqua" w:hAnsi="Book Antiqua"/>
                <w:b/>
                <w:color w:val="000000"/>
                <w:sz w:val="24"/>
              </w:rPr>
            </w:pPr>
            <w:r w:rsidRPr="00B57092">
              <w:rPr>
                <w:rFonts w:ascii="Book Antiqua" w:hAnsi="Book Antiqua"/>
                <w:b/>
                <w:color w:val="000000"/>
                <w:sz w:val="24"/>
              </w:rPr>
              <w:t>MOWSE score</w:t>
            </w:r>
          </w:p>
        </w:tc>
      </w:tr>
      <w:tr w:rsidR="007F78CE" w:rsidRPr="0046748A" w:rsidTr="00F8233C">
        <w:trPr>
          <w:cantSplit/>
          <w:trHeight w:val="337"/>
        </w:trPr>
        <w:tc>
          <w:tcPr>
            <w:tcW w:w="1622" w:type="dxa"/>
            <w:tcBorders>
              <w:top w:val="single" w:sz="4" w:space="0" w:color="auto"/>
              <w:left w:val="nil"/>
              <w:bottom w:val="nil"/>
              <w:right w:val="nil"/>
            </w:tcBorders>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w:t>
            </w:r>
          </w:p>
        </w:tc>
        <w:tc>
          <w:tcPr>
            <w:tcW w:w="3227" w:type="dxa"/>
            <w:tcBorders>
              <w:top w:val="single" w:sz="4" w:space="0" w:color="auto"/>
              <w:left w:val="nil"/>
              <w:bottom w:val="nil"/>
              <w:right w:val="nil"/>
            </w:tcBorders>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USP30 6.87/45546</w:t>
            </w:r>
          </w:p>
        </w:tc>
        <w:tc>
          <w:tcPr>
            <w:tcW w:w="1136" w:type="dxa"/>
            <w:tcBorders>
              <w:top w:val="single" w:sz="4" w:space="0" w:color="auto"/>
              <w:left w:val="nil"/>
              <w:bottom w:val="nil"/>
              <w:right w:val="nil"/>
            </w:tcBorders>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9.3/32</w:t>
            </w:r>
          </w:p>
        </w:tc>
        <w:tc>
          <w:tcPr>
            <w:tcW w:w="1671" w:type="dxa"/>
            <w:tcBorders>
              <w:top w:val="single" w:sz="4" w:space="0" w:color="auto"/>
              <w:left w:val="nil"/>
              <w:bottom w:val="nil"/>
              <w:right w:val="nil"/>
            </w:tcBorders>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w:t>
            </w:r>
          </w:p>
        </w:tc>
        <w:tc>
          <w:tcPr>
            <w:tcW w:w="1275" w:type="dxa"/>
            <w:tcBorders>
              <w:top w:val="single" w:sz="4" w:space="0" w:color="auto"/>
              <w:left w:val="nil"/>
              <w:bottom w:val="nil"/>
              <w:right w:val="nil"/>
            </w:tcBorders>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4</w:t>
            </w:r>
          </w:p>
        </w:tc>
        <w:tc>
          <w:tcPr>
            <w:tcW w:w="1418" w:type="dxa"/>
            <w:tcBorders>
              <w:top w:val="single" w:sz="4" w:space="0" w:color="auto"/>
              <w:left w:val="nil"/>
              <w:bottom w:val="nil"/>
              <w:right w:val="nil"/>
            </w:tcBorders>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21</w:t>
            </w:r>
          </w:p>
        </w:tc>
      </w:tr>
      <w:tr w:rsidR="007F78CE" w:rsidRPr="0046748A" w:rsidTr="00F8233C">
        <w:trPr>
          <w:trHeight w:val="348"/>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4</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Thyroid hormone receptor interactor 4.56/11 8489</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7.8/31</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3</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56</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51</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5</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 xml:space="preserve">Cardiac muscle </w:t>
            </w:r>
            <w:r w:rsidRPr="0046748A">
              <w:rPr>
                <w:rStyle w:val="HTMLTypewriter"/>
                <w:rFonts w:ascii="Book Antiqua" w:hAnsi="Book Antiqua" w:hint="default"/>
                <w:color w:val="000000"/>
              </w:rPr>
              <w:t>5.34/22563</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6.25/29</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5</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24</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66</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6</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 xml:space="preserve">Chain A, crystal structure of a recombinant glutathione transferase </w:t>
            </w:r>
            <w:r w:rsidRPr="0046748A">
              <w:rPr>
                <w:rStyle w:val="HTMLTypewriter"/>
                <w:rFonts w:ascii="Book Antiqua" w:hAnsi="Book Antiqua" w:hint="default"/>
                <w:color w:val="000000"/>
              </w:rPr>
              <w:t>5.09/23202</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6.2/24</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5</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43</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85</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7</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Dermatopontin precursor</w:t>
            </w:r>
            <w:r w:rsidRPr="0046748A">
              <w:rPr>
                <w:rStyle w:val="HTMLTypewriter"/>
                <w:rFonts w:ascii="Book Antiqua" w:hAnsi="Book Antiqua" w:hint="default"/>
                <w:color w:val="000000"/>
              </w:rPr>
              <w:t xml:space="preserve"> 4.7/23989</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5.3/21.5</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5</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29</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82</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10</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Heat shock protein 27</w:t>
            </w:r>
            <w:r w:rsidRPr="0046748A">
              <w:rPr>
                <w:rStyle w:val="HTMLTypewriter"/>
                <w:rFonts w:ascii="Book Antiqua" w:hAnsi="Book Antiqua" w:hint="default"/>
                <w:color w:val="000000"/>
              </w:rPr>
              <w:t xml:space="preserve"> 7.83/22313</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7.1/20.5</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5</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29</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79</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11</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S100 calcium-binding protein A9</w:t>
            </w:r>
            <w:r w:rsidRPr="0046748A">
              <w:rPr>
                <w:rStyle w:val="HTMLTypewriter"/>
                <w:rFonts w:ascii="Book Antiqua" w:hAnsi="Book Antiqua" w:hint="default"/>
                <w:color w:val="000000"/>
              </w:rPr>
              <w:t xml:space="preserve"> 5.71/13234</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6.3/15</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5</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40</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74</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12</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G-gamma-hemoglobin</w:t>
            </w:r>
            <w:r w:rsidRPr="0046748A">
              <w:rPr>
                <w:rStyle w:val="HTMLTypewriter"/>
                <w:rFonts w:ascii="Book Antiqua" w:hAnsi="Book Antiqua" w:hint="default"/>
                <w:color w:val="000000"/>
              </w:rPr>
              <w:t xml:space="preserve"> 6.17/11033 </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7.5/16</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3</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45</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65</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13</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MB protein</w:t>
            </w:r>
            <w:r w:rsidRPr="0046748A">
              <w:rPr>
                <w:rStyle w:val="HTMLTypewriter"/>
                <w:rFonts w:ascii="Book Antiqua" w:hAnsi="Book Antiqua" w:hint="default"/>
                <w:color w:val="000000"/>
              </w:rPr>
              <w:t xml:space="preserve"> 9.24/10863</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8.4/15.5</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3</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32</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65</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14</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Immunoglobulin heavy chain variable region</w:t>
            </w:r>
            <w:r w:rsidRPr="0046748A">
              <w:rPr>
                <w:rStyle w:val="HTMLTypewriter"/>
                <w:rFonts w:ascii="Book Antiqua" w:hAnsi="Book Antiqua" w:hint="default"/>
                <w:color w:val="000000"/>
              </w:rPr>
              <w:t xml:space="preserve"> 9.78/13026</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8.6/14</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3</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34</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70</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15</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PREDICTED: hypothetical protein</w:t>
            </w:r>
            <w:r w:rsidRPr="0046748A">
              <w:rPr>
                <w:rStyle w:val="HTMLTypewriter"/>
                <w:rFonts w:ascii="Book Antiqua" w:hAnsi="Book Antiqua" w:hint="default"/>
                <w:color w:val="000000"/>
              </w:rPr>
              <w:t xml:space="preserve"> 5.27/6706 </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8.1/12</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44</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52</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16</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 xml:space="preserve">Immunoglobulin heavy </w:t>
            </w:r>
            <w:r w:rsidRPr="0046748A">
              <w:rPr>
                <w:rFonts w:ascii="Book Antiqua" w:hAnsi="Book Antiqua"/>
                <w:color w:val="000000"/>
                <w:sz w:val="24"/>
              </w:rPr>
              <w:lastRenderedPageBreak/>
              <w:t>chain variable region</w:t>
            </w:r>
            <w:r w:rsidRPr="0046748A">
              <w:rPr>
                <w:rStyle w:val="HTMLTypewriter"/>
                <w:rFonts w:ascii="Book Antiqua" w:hAnsi="Book Antiqua" w:hint="default"/>
                <w:color w:val="000000"/>
              </w:rPr>
              <w:t xml:space="preserve"> 9.04/13053</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lastRenderedPageBreak/>
              <w:t>7.1/11</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26</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49</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17</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Heat shock 27kDa protein 1</w:t>
            </w:r>
            <w:r w:rsidRPr="0046748A">
              <w:rPr>
                <w:rStyle w:val="HTMLTypewriter"/>
                <w:rFonts w:ascii="Book Antiqua" w:hAnsi="Book Antiqua" w:hint="default"/>
                <w:color w:val="000000"/>
              </w:rPr>
              <w:t xml:space="preserve"> 5.98/22768</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9.2/16</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6</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33</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80</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18</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hCG1659706</w:t>
            </w:r>
            <w:r w:rsidRPr="0046748A">
              <w:rPr>
                <w:rStyle w:val="HTMLTypewriter"/>
                <w:rFonts w:ascii="Book Antiqua" w:hAnsi="Book Antiqua" w:hint="default"/>
                <w:color w:val="000000"/>
              </w:rPr>
              <w:t xml:space="preserve"> 10.28/5287</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9.5/21</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64</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37</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19</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Smooth muscle protein</w:t>
            </w:r>
            <w:r w:rsidRPr="0046748A">
              <w:rPr>
                <w:rStyle w:val="HTMLTypewriter"/>
                <w:rFonts w:ascii="Book Antiqua" w:hAnsi="Book Antiqua" w:hint="default"/>
                <w:color w:val="000000"/>
              </w:rPr>
              <w:t xml:space="preserve"> 8.56/22461</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9.4/19</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6</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26</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86</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21</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 xml:space="preserve">hCG1997574 </w:t>
            </w:r>
            <w:r w:rsidRPr="0046748A">
              <w:rPr>
                <w:rStyle w:val="HTMLTypewriter"/>
                <w:rFonts w:ascii="Book Antiqua" w:hAnsi="Book Antiqua" w:hint="default"/>
                <w:color w:val="000000"/>
              </w:rPr>
              <w:t>9.07/29453</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7.3/32</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7</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31</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93</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22</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Heat shock 27kDa protein 1</w:t>
            </w:r>
            <w:r w:rsidRPr="0046748A">
              <w:rPr>
                <w:rStyle w:val="HTMLTypewriter"/>
                <w:rFonts w:ascii="Book Antiqua" w:hAnsi="Book Antiqua" w:hint="default"/>
                <w:color w:val="000000"/>
              </w:rPr>
              <w:t xml:space="preserve"> 5.98/22768</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6.8/32</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6</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35</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84</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23</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Disabled homolog 1 (Drosophila)</w:t>
            </w:r>
            <w:r w:rsidRPr="0046748A">
              <w:rPr>
                <w:rStyle w:val="HTMLTypewriter"/>
                <w:rFonts w:ascii="Book Antiqua" w:hAnsi="Book Antiqua" w:hint="default"/>
                <w:color w:val="000000"/>
              </w:rPr>
              <w:t xml:space="preserve"> 9.40/22903</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7.15/31</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6</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26</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66</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24</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Phosphoglycerate mutase 1 (brain),</w:t>
            </w:r>
            <w:r w:rsidRPr="0046748A">
              <w:rPr>
                <w:rStyle w:val="HTMLTypewriter"/>
                <w:rFonts w:ascii="Book Antiqua" w:hAnsi="Book Antiqua" w:hint="default"/>
                <w:color w:val="000000"/>
              </w:rPr>
              <w:t xml:space="preserve"> 6.40/24669</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7.3/31</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8</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40</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117</w:t>
            </w:r>
          </w:p>
        </w:tc>
      </w:tr>
      <w:tr w:rsidR="007F78CE" w:rsidRPr="0046748A" w:rsidTr="00F8233C">
        <w:trPr>
          <w:trHeight w:val="541"/>
        </w:trPr>
        <w:tc>
          <w:tcPr>
            <w:tcW w:w="1622"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25</w:t>
            </w:r>
          </w:p>
        </w:tc>
        <w:tc>
          <w:tcPr>
            <w:tcW w:w="3227"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Peroxiredoxin 6</w:t>
            </w:r>
            <w:r w:rsidRPr="0046748A">
              <w:rPr>
                <w:rStyle w:val="HTMLTypewriter"/>
                <w:rFonts w:ascii="Book Antiqua" w:hAnsi="Book Antiqua" w:hint="default"/>
                <w:color w:val="000000"/>
              </w:rPr>
              <w:t xml:space="preserve"> 6.00/25019</w:t>
            </w:r>
          </w:p>
        </w:tc>
        <w:tc>
          <w:tcPr>
            <w:tcW w:w="1136"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7.1/27.8</w:t>
            </w:r>
          </w:p>
        </w:tc>
        <w:tc>
          <w:tcPr>
            <w:tcW w:w="1671"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8</w:t>
            </w:r>
          </w:p>
        </w:tc>
        <w:tc>
          <w:tcPr>
            <w:tcW w:w="1275"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41</w:t>
            </w:r>
          </w:p>
        </w:tc>
        <w:tc>
          <w:tcPr>
            <w:tcW w:w="1418" w:type="dxa"/>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116</w:t>
            </w:r>
          </w:p>
        </w:tc>
      </w:tr>
      <w:tr w:rsidR="007F78CE" w:rsidRPr="0046748A" w:rsidTr="00F8233C">
        <w:trPr>
          <w:trHeight w:val="541"/>
        </w:trPr>
        <w:tc>
          <w:tcPr>
            <w:tcW w:w="1622" w:type="dxa"/>
            <w:tcBorders>
              <w:top w:val="nil"/>
              <w:left w:val="nil"/>
              <w:bottom w:val="single" w:sz="4" w:space="0" w:color="auto"/>
              <w:right w:val="nil"/>
            </w:tcBorders>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26</w:t>
            </w:r>
          </w:p>
        </w:tc>
        <w:tc>
          <w:tcPr>
            <w:tcW w:w="3227" w:type="dxa"/>
            <w:tcBorders>
              <w:top w:val="nil"/>
              <w:left w:val="nil"/>
              <w:bottom w:val="single" w:sz="4" w:space="0" w:color="auto"/>
              <w:right w:val="nil"/>
            </w:tcBorders>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Chain A, human triosephosphate isomerase of new crystal form</w:t>
            </w:r>
            <w:r w:rsidRPr="0046748A">
              <w:rPr>
                <w:rStyle w:val="HTMLTypewriter"/>
                <w:rFonts w:ascii="Book Antiqua" w:hAnsi="Book Antiqua" w:hint="default"/>
                <w:color w:val="000000"/>
              </w:rPr>
              <w:t xml:space="preserve"> 6.50/26666</w:t>
            </w:r>
          </w:p>
        </w:tc>
        <w:tc>
          <w:tcPr>
            <w:tcW w:w="1136" w:type="dxa"/>
            <w:tcBorders>
              <w:top w:val="nil"/>
              <w:left w:val="nil"/>
              <w:bottom w:val="single" w:sz="4" w:space="0" w:color="auto"/>
              <w:right w:val="nil"/>
            </w:tcBorders>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7.3/30</w:t>
            </w:r>
          </w:p>
        </w:tc>
        <w:tc>
          <w:tcPr>
            <w:tcW w:w="1671" w:type="dxa"/>
            <w:tcBorders>
              <w:top w:val="nil"/>
              <w:left w:val="nil"/>
              <w:bottom w:val="single" w:sz="4" w:space="0" w:color="auto"/>
              <w:right w:val="nil"/>
            </w:tcBorders>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10</w:t>
            </w:r>
          </w:p>
        </w:tc>
        <w:tc>
          <w:tcPr>
            <w:tcW w:w="1275" w:type="dxa"/>
            <w:tcBorders>
              <w:top w:val="nil"/>
              <w:left w:val="nil"/>
              <w:bottom w:val="single" w:sz="4" w:space="0" w:color="auto"/>
              <w:right w:val="nil"/>
            </w:tcBorders>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38</w:t>
            </w:r>
          </w:p>
        </w:tc>
        <w:tc>
          <w:tcPr>
            <w:tcW w:w="1418" w:type="dxa"/>
            <w:tcBorders>
              <w:top w:val="nil"/>
              <w:left w:val="nil"/>
              <w:bottom w:val="single" w:sz="4" w:space="0" w:color="auto"/>
              <w:right w:val="nil"/>
            </w:tcBorders>
            <w:vAlign w:val="center"/>
            <w:hideMark/>
          </w:tcPr>
          <w:p w:rsidR="007F78CE" w:rsidRPr="0046748A" w:rsidRDefault="007F78CE" w:rsidP="00E33DF3">
            <w:pPr>
              <w:spacing w:line="360" w:lineRule="auto"/>
              <w:rPr>
                <w:rFonts w:ascii="Book Antiqua" w:hAnsi="Book Antiqua"/>
                <w:color w:val="000000"/>
                <w:sz w:val="24"/>
              </w:rPr>
            </w:pPr>
            <w:r w:rsidRPr="0046748A">
              <w:rPr>
                <w:rFonts w:ascii="Book Antiqua" w:hAnsi="Book Antiqua"/>
                <w:color w:val="000000"/>
                <w:sz w:val="24"/>
              </w:rPr>
              <w:t>160</w:t>
            </w:r>
          </w:p>
        </w:tc>
      </w:tr>
    </w:tbl>
    <w:p w:rsidR="007F78CE" w:rsidRPr="0046748A" w:rsidRDefault="007F78CE" w:rsidP="00E33DF3">
      <w:pPr>
        <w:spacing w:line="360" w:lineRule="auto"/>
        <w:rPr>
          <w:rFonts w:ascii="Book Antiqua" w:hAnsi="Book Antiqua"/>
          <w:b/>
          <w:color w:val="000000"/>
          <w:sz w:val="24"/>
        </w:rPr>
      </w:pPr>
    </w:p>
    <w:p w:rsidR="00F8233C" w:rsidRDefault="00F8233C" w:rsidP="00E33DF3">
      <w:pPr>
        <w:widowControl/>
        <w:rPr>
          <w:rFonts w:ascii="Book Antiqua" w:hAnsi="Book Antiqua"/>
          <w:b/>
          <w:color w:val="000000"/>
          <w:sz w:val="24"/>
        </w:rPr>
      </w:pPr>
      <w:r>
        <w:rPr>
          <w:rFonts w:ascii="Book Antiqua" w:hAnsi="Book Antiqua"/>
          <w:b/>
          <w:color w:val="000000"/>
          <w:sz w:val="24"/>
        </w:rPr>
        <w:br w:type="page"/>
      </w:r>
    </w:p>
    <w:p w:rsidR="007F78CE" w:rsidRPr="0046748A" w:rsidRDefault="00F8233C" w:rsidP="00E33DF3">
      <w:pPr>
        <w:spacing w:line="360" w:lineRule="auto"/>
        <w:rPr>
          <w:rFonts w:ascii="Book Antiqua" w:hAnsi="Book Antiqua"/>
          <w:color w:val="000000"/>
          <w:spacing w:val="20"/>
          <w:sz w:val="24"/>
        </w:rPr>
      </w:pPr>
      <w:r>
        <w:rPr>
          <w:rFonts w:ascii="Book Antiqua" w:hAnsi="Book Antiqua"/>
          <w:b/>
          <w:color w:val="000000"/>
          <w:sz w:val="24"/>
        </w:rPr>
        <w:lastRenderedPageBreak/>
        <w:t>Table 2</w:t>
      </w:r>
      <w:r w:rsidR="007F78CE" w:rsidRPr="0046748A">
        <w:rPr>
          <w:rFonts w:ascii="Book Antiqua" w:hAnsi="Book Antiqua"/>
          <w:color w:val="000000"/>
          <w:spacing w:val="20"/>
          <w:sz w:val="24"/>
        </w:rPr>
        <w:t xml:space="preserve"> </w:t>
      </w:r>
      <w:r w:rsidR="007F78CE" w:rsidRPr="00F8233C">
        <w:rPr>
          <w:rFonts w:ascii="Book Antiqua" w:hAnsi="Book Antiqua"/>
          <w:b/>
          <w:color w:val="000000"/>
          <w:sz w:val="24"/>
        </w:rPr>
        <w:t>Expression of PRX6 protein in different types of esophageal lesions</w:t>
      </w:r>
      <w:r w:rsidR="00E33DF3">
        <w:rPr>
          <w:rFonts w:ascii="Book Antiqua" w:hAnsi="Book Antiqua" w:hint="eastAsia"/>
          <w:b/>
          <w:color w:val="000000"/>
          <w:sz w:val="24"/>
        </w:rPr>
        <w:t xml:space="preserve"> </w:t>
      </w:r>
      <w:r w:rsidR="00E33DF3" w:rsidRPr="00F8233C">
        <w:rPr>
          <w:rFonts w:ascii="Book Antiqua" w:hAnsi="Book Antiqua" w:cs="SimSun"/>
          <w:b/>
          <w:i/>
          <w:iCs/>
          <w:color w:val="000000"/>
          <w:kern w:val="0"/>
          <w:sz w:val="24"/>
        </w:rPr>
        <w:t>n</w:t>
      </w:r>
      <w:r w:rsidR="00E33DF3" w:rsidRPr="00F8233C">
        <w:rPr>
          <w:rFonts w:ascii="Book Antiqua" w:hAnsi="Book Antiqua" w:cs="SimSun"/>
          <w:b/>
          <w:color w:val="000000"/>
          <w:kern w:val="0"/>
          <w:sz w:val="24"/>
        </w:rPr>
        <w:t xml:space="preserve"> (%)</w:t>
      </w:r>
    </w:p>
    <w:tbl>
      <w:tblPr>
        <w:tblW w:w="8856" w:type="dxa"/>
        <w:tblBorders>
          <w:top w:val="single" w:sz="8" w:space="0" w:color="auto"/>
          <w:bottom w:val="single" w:sz="8" w:space="0" w:color="auto"/>
        </w:tblBorders>
        <w:tblLayout w:type="fixed"/>
        <w:tblLook w:val="04A0" w:firstRow="1" w:lastRow="0" w:firstColumn="1" w:lastColumn="0" w:noHBand="0" w:noVBand="1"/>
      </w:tblPr>
      <w:tblGrid>
        <w:gridCol w:w="2027"/>
        <w:gridCol w:w="1934"/>
        <w:gridCol w:w="1610"/>
        <w:gridCol w:w="236"/>
        <w:gridCol w:w="1848"/>
        <w:gridCol w:w="1201"/>
      </w:tblGrid>
      <w:tr w:rsidR="00F8233C" w:rsidRPr="00F8233C" w:rsidTr="00E33DF3">
        <w:trPr>
          <w:gridAfter w:val="1"/>
          <w:wAfter w:w="1201" w:type="dxa"/>
          <w:trHeight w:val="330"/>
        </w:trPr>
        <w:tc>
          <w:tcPr>
            <w:tcW w:w="2027" w:type="dxa"/>
            <w:vMerge w:val="restart"/>
            <w:tcBorders>
              <w:top w:val="single" w:sz="8" w:space="0" w:color="auto"/>
              <w:bottom w:val="nil"/>
            </w:tcBorders>
            <w:shd w:val="clear" w:color="auto" w:fill="auto"/>
            <w:vAlign w:val="center"/>
            <w:hideMark/>
          </w:tcPr>
          <w:p w:rsidR="00F8233C" w:rsidRPr="00F8233C" w:rsidRDefault="00F8233C" w:rsidP="00E33DF3">
            <w:pPr>
              <w:widowControl/>
              <w:spacing w:line="360" w:lineRule="auto"/>
              <w:rPr>
                <w:rFonts w:ascii="Book Antiqua" w:hAnsi="Book Antiqua" w:cs="SimSun"/>
                <w:b/>
                <w:color w:val="000000"/>
                <w:kern w:val="0"/>
                <w:sz w:val="24"/>
              </w:rPr>
            </w:pPr>
            <w:r w:rsidRPr="00F8233C">
              <w:rPr>
                <w:rFonts w:ascii="Book Antiqua" w:hAnsi="Book Antiqua" w:cs="SimSun"/>
                <w:b/>
                <w:color w:val="000000"/>
                <w:kern w:val="0"/>
                <w:sz w:val="24"/>
              </w:rPr>
              <w:t>TISSUE</w:t>
            </w:r>
          </w:p>
        </w:tc>
        <w:tc>
          <w:tcPr>
            <w:tcW w:w="5628" w:type="dxa"/>
            <w:gridSpan w:val="4"/>
            <w:tcBorders>
              <w:top w:val="single" w:sz="8" w:space="0" w:color="auto"/>
              <w:bottom w:val="nil"/>
            </w:tcBorders>
            <w:shd w:val="clear" w:color="auto" w:fill="auto"/>
            <w:vAlign w:val="center"/>
            <w:hideMark/>
          </w:tcPr>
          <w:p w:rsidR="00F8233C" w:rsidRPr="00F8233C" w:rsidRDefault="00F8233C" w:rsidP="00E33DF3">
            <w:pPr>
              <w:widowControl/>
              <w:spacing w:line="360" w:lineRule="auto"/>
              <w:rPr>
                <w:rFonts w:ascii="Book Antiqua" w:hAnsi="Book Antiqua" w:cs="SimSun"/>
                <w:b/>
                <w:color w:val="000000"/>
                <w:kern w:val="0"/>
                <w:sz w:val="24"/>
              </w:rPr>
            </w:pPr>
            <w:r w:rsidRPr="00F8233C">
              <w:rPr>
                <w:rFonts w:ascii="Book Antiqua" w:hAnsi="Book Antiqua" w:cs="SimSun"/>
                <w:b/>
                <w:color w:val="000000"/>
                <w:kern w:val="0"/>
                <w:sz w:val="24"/>
              </w:rPr>
              <w:t>PRX6</w:t>
            </w:r>
          </w:p>
        </w:tc>
      </w:tr>
      <w:tr w:rsidR="00F8233C" w:rsidRPr="00F8233C" w:rsidTr="00E33DF3">
        <w:trPr>
          <w:trHeight w:val="330"/>
        </w:trPr>
        <w:tc>
          <w:tcPr>
            <w:tcW w:w="2027" w:type="dxa"/>
            <w:vMerge/>
            <w:tcBorders>
              <w:top w:val="nil"/>
              <w:bottom w:val="nil"/>
            </w:tcBorders>
            <w:vAlign w:val="center"/>
            <w:hideMark/>
          </w:tcPr>
          <w:p w:rsidR="00F8233C" w:rsidRPr="00F8233C" w:rsidRDefault="00F8233C" w:rsidP="00E33DF3">
            <w:pPr>
              <w:widowControl/>
              <w:spacing w:line="360" w:lineRule="auto"/>
              <w:rPr>
                <w:rFonts w:ascii="Book Antiqua" w:hAnsi="Book Antiqua" w:cs="SimSun"/>
                <w:b/>
                <w:color w:val="000000"/>
                <w:kern w:val="0"/>
                <w:sz w:val="24"/>
              </w:rPr>
            </w:pPr>
          </w:p>
        </w:tc>
        <w:tc>
          <w:tcPr>
            <w:tcW w:w="1934" w:type="dxa"/>
            <w:vMerge w:val="restart"/>
            <w:tcBorders>
              <w:top w:val="nil"/>
              <w:bottom w:val="nil"/>
            </w:tcBorders>
            <w:shd w:val="clear" w:color="auto" w:fill="auto"/>
            <w:vAlign w:val="center"/>
            <w:hideMark/>
          </w:tcPr>
          <w:p w:rsidR="00F8233C" w:rsidRPr="00F8233C" w:rsidRDefault="00F8233C" w:rsidP="00E33DF3">
            <w:pPr>
              <w:widowControl/>
              <w:spacing w:line="360" w:lineRule="auto"/>
              <w:rPr>
                <w:rFonts w:ascii="Book Antiqua" w:hAnsi="Book Antiqua" w:cs="SimSun"/>
                <w:b/>
                <w:color w:val="000000"/>
                <w:kern w:val="0"/>
                <w:sz w:val="24"/>
              </w:rPr>
            </w:pPr>
            <w:r w:rsidRPr="00F8233C">
              <w:rPr>
                <w:rFonts w:ascii="Book Antiqua" w:hAnsi="Book Antiqua" w:cs="SimSun"/>
                <w:b/>
                <w:color w:val="000000"/>
                <w:kern w:val="0"/>
                <w:sz w:val="24"/>
              </w:rPr>
              <w:t>No. of cases</w:t>
            </w:r>
          </w:p>
        </w:tc>
        <w:tc>
          <w:tcPr>
            <w:tcW w:w="1610" w:type="dxa"/>
            <w:tcBorders>
              <w:top w:val="nil"/>
              <w:bottom w:val="nil"/>
            </w:tcBorders>
            <w:shd w:val="clear" w:color="auto" w:fill="auto"/>
            <w:vAlign w:val="center"/>
            <w:hideMark/>
          </w:tcPr>
          <w:p w:rsidR="00F8233C" w:rsidRPr="00F8233C" w:rsidRDefault="00F8233C" w:rsidP="00E33DF3">
            <w:pPr>
              <w:widowControl/>
              <w:spacing w:line="360" w:lineRule="auto"/>
              <w:rPr>
                <w:rFonts w:ascii="Book Antiqua" w:hAnsi="Book Antiqua" w:cs="SimSun"/>
                <w:b/>
                <w:color w:val="000000"/>
                <w:kern w:val="0"/>
                <w:sz w:val="24"/>
              </w:rPr>
            </w:pPr>
            <w:r w:rsidRPr="00F8233C">
              <w:rPr>
                <w:rFonts w:ascii="Book Antiqua" w:hAnsi="Book Antiqua" w:cs="SimSun"/>
                <w:b/>
                <w:color w:val="000000"/>
                <w:kern w:val="0"/>
                <w:sz w:val="24"/>
              </w:rPr>
              <w:t>Negative</w:t>
            </w:r>
          </w:p>
        </w:tc>
        <w:tc>
          <w:tcPr>
            <w:tcW w:w="236" w:type="dxa"/>
            <w:tcBorders>
              <w:top w:val="nil"/>
              <w:bottom w:val="nil"/>
            </w:tcBorders>
            <w:shd w:val="clear" w:color="auto" w:fill="auto"/>
            <w:vAlign w:val="center"/>
            <w:hideMark/>
          </w:tcPr>
          <w:p w:rsidR="00F8233C" w:rsidRPr="00F8233C" w:rsidRDefault="00F8233C" w:rsidP="00E33DF3">
            <w:pPr>
              <w:widowControl/>
              <w:spacing w:line="360" w:lineRule="auto"/>
              <w:rPr>
                <w:rFonts w:ascii="Book Antiqua" w:hAnsi="Book Antiqua" w:cs="SimSun"/>
                <w:b/>
                <w:color w:val="000000"/>
                <w:kern w:val="0"/>
                <w:sz w:val="24"/>
              </w:rPr>
            </w:pPr>
            <w:r w:rsidRPr="00F8233C">
              <w:rPr>
                <w:rFonts w:ascii="Book Antiqua" w:hAnsi="Book Antiqua" w:cs="SimSun"/>
                <w:b/>
                <w:color w:val="000000"/>
                <w:kern w:val="0"/>
                <w:sz w:val="24"/>
              </w:rPr>
              <w:t xml:space="preserve">　</w:t>
            </w:r>
          </w:p>
        </w:tc>
        <w:tc>
          <w:tcPr>
            <w:tcW w:w="3049" w:type="dxa"/>
            <w:gridSpan w:val="2"/>
            <w:tcBorders>
              <w:top w:val="nil"/>
              <w:bottom w:val="nil"/>
            </w:tcBorders>
            <w:shd w:val="clear" w:color="auto" w:fill="auto"/>
            <w:vAlign w:val="center"/>
            <w:hideMark/>
          </w:tcPr>
          <w:p w:rsidR="00F8233C" w:rsidRPr="00F8233C" w:rsidRDefault="00F8233C" w:rsidP="00E33DF3">
            <w:pPr>
              <w:widowControl/>
              <w:spacing w:line="360" w:lineRule="auto"/>
              <w:rPr>
                <w:rFonts w:ascii="Book Antiqua" w:hAnsi="Book Antiqua" w:cs="SimSun"/>
                <w:b/>
                <w:color w:val="000000"/>
                <w:kern w:val="0"/>
                <w:sz w:val="24"/>
              </w:rPr>
            </w:pPr>
            <w:r w:rsidRPr="00F8233C">
              <w:rPr>
                <w:rFonts w:ascii="Book Antiqua" w:hAnsi="Book Antiqua" w:cs="SimSun"/>
                <w:b/>
                <w:color w:val="000000"/>
                <w:kern w:val="0"/>
                <w:sz w:val="24"/>
              </w:rPr>
              <w:t>Positive</w:t>
            </w:r>
          </w:p>
        </w:tc>
      </w:tr>
      <w:tr w:rsidR="00F8233C" w:rsidRPr="00F8233C" w:rsidTr="00E33DF3">
        <w:trPr>
          <w:gridAfter w:val="1"/>
          <w:wAfter w:w="1201" w:type="dxa"/>
          <w:trHeight w:val="330"/>
        </w:trPr>
        <w:tc>
          <w:tcPr>
            <w:tcW w:w="2027" w:type="dxa"/>
            <w:vMerge/>
            <w:tcBorders>
              <w:top w:val="nil"/>
              <w:bottom w:val="single" w:sz="8" w:space="0" w:color="auto"/>
            </w:tcBorders>
            <w:vAlign w:val="center"/>
            <w:hideMark/>
          </w:tcPr>
          <w:p w:rsidR="00F8233C" w:rsidRPr="00F8233C" w:rsidRDefault="00F8233C" w:rsidP="00E33DF3">
            <w:pPr>
              <w:widowControl/>
              <w:spacing w:line="360" w:lineRule="auto"/>
              <w:rPr>
                <w:rFonts w:ascii="Book Antiqua" w:hAnsi="Book Antiqua" w:cs="SimSun"/>
                <w:b/>
                <w:color w:val="000000"/>
                <w:kern w:val="0"/>
                <w:sz w:val="24"/>
              </w:rPr>
            </w:pPr>
          </w:p>
        </w:tc>
        <w:tc>
          <w:tcPr>
            <w:tcW w:w="1934" w:type="dxa"/>
            <w:vMerge/>
            <w:tcBorders>
              <w:top w:val="nil"/>
              <w:bottom w:val="single" w:sz="8" w:space="0" w:color="auto"/>
            </w:tcBorders>
            <w:vAlign w:val="center"/>
            <w:hideMark/>
          </w:tcPr>
          <w:p w:rsidR="00F8233C" w:rsidRPr="00F8233C" w:rsidRDefault="00F8233C" w:rsidP="00E33DF3">
            <w:pPr>
              <w:widowControl/>
              <w:spacing w:line="360" w:lineRule="auto"/>
              <w:rPr>
                <w:rFonts w:ascii="Book Antiqua" w:hAnsi="Book Antiqua" w:cs="SimSun"/>
                <w:b/>
                <w:color w:val="000000"/>
                <w:kern w:val="0"/>
                <w:sz w:val="24"/>
              </w:rPr>
            </w:pPr>
          </w:p>
        </w:tc>
        <w:tc>
          <w:tcPr>
            <w:tcW w:w="1610" w:type="dxa"/>
            <w:tcBorders>
              <w:top w:val="nil"/>
              <w:bottom w:val="single" w:sz="8" w:space="0" w:color="auto"/>
            </w:tcBorders>
            <w:shd w:val="clear" w:color="auto" w:fill="auto"/>
            <w:vAlign w:val="center"/>
            <w:hideMark/>
          </w:tcPr>
          <w:p w:rsidR="00F8233C" w:rsidRPr="00F8233C" w:rsidRDefault="00F8233C" w:rsidP="00E33DF3">
            <w:pPr>
              <w:widowControl/>
              <w:spacing w:line="360" w:lineRule="auto"/>
              <w:rPr>
                <w:rFonts w:ascii="Book Antiqua" w:hAnsi="Book Antiqua" w:cs="SimSun"/>
                <w:b/>
                <w:i/>
                <w:iCs/>
                <w:color w:val="000000"/>
                <w:kern w:val="0"/>
                <w:sz w:val="24"/>
              </w:rPr>
            </w:pPr>
          </w:p>
        </w:tc>
        <w:tc>
          <w:tcPr>
            <w:tcW w:w="2084" w:type="dxa"/>
            <w:gridSpan w:val="2"/>
            <w:tcBorders>
              <w:top w:val="nil"/>
              <w:bottom w:val="single" w:sz="8" w:space="0" w:color="auto"/>
            </w:tcBorders>
            <w:shd w:val="clear" w:color="auto" w:fill="auto"/>
            <w:vAlign w:val="center"/>
            <w:hideMark/>
          </w:tcPr>
          <w:p w:rsidR="00F8233C" w:rsidRPr="00F8233C" w:rsidRDefault="00E33DF3" w:rsidP="00E33DF3">
            <w:pPr>
              <w:widowControl/>
              <w:spacing w:line="360" w:lineRule="auto"/>
              <w:rPr>
                <w:rFonts w:ascii="Book Antiqua" w:hAnsi="Book Antiqua" w:cs="SimSun"/>
                <w:b/>
                <w:i/>
                <w:iCs/>
                <w:color w:val="000000"/>
                <w:kern w:val="0"/>
                <w:sz w:val="24"/>
              </w:rPr>
            </w:pPr>
            <w:r>
              <w:rPr>
                <w:rFonts w:ascii="Book Antiqua" w:hAnsi="Book Antiqua" w:cs="SimSun" w:hint="eastAsia"/>
                <w:b/>
                <w:i/>
                <w:iCs/>
                <w:color w:val="000000"/>
                <w:kern w:val="0"/>
                <w:sz w:val="24"/>
              </w:rPr>
              <w:t xml:space="preserve"> </w:t>
            </w:r>
          </w:p>
        </w:tc>
      </w:tr>
      <w:tr w:rsidR="00F8233C" w:rsidRPr="00F8233C" w:rsidTr="00E33DF3">
        <w:trPr>
          <w:gridAfter w:val="1"/>
          <w:wAfter w:w="1201" w:type="dxa"/>
          <w:trHeight w:val="645"/>
        </w:trPr>
        <w:tc>
          <w:tcPr>
            <w:tcW w:w="2027" w:type="dxa"/>
            <w:tcBorders>
              <w:top w:val="single" w:sz="8" w:space="0" w:color="auto"/>
            </w:tcBorders>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Tumor-adjacent</w:t>
            </w:r>
          </w:p>
        </w:tc>
        <w:tc>
          <w:tcPr>
            <w:tcW w:w="1934" w:type="dxa"/>
            <w:tcBorders>
              <w:top w:val="single" w:sz="8" w:space="0" w:color="auto"/>
            </w:tcBorders>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 xml:space="preserve">　</w:t>
            </w:r>
          </w:p>
        </w:tc>
        <w:tc>
          <w:tcPr>
            <w:tcW w:w="1610" w:type="dxa"/>
            <w:tcBorders>
              <w:top w:val="single" w:sz="8" w:space="0" w:color="auto"/>
            </w:tcBorders>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 xml:space="preserve">　</w:t>
            </w:r>
          </w:p>
        </w:tc>
        <w:tc>
          <w:tcPr>
            <w:tcW w:w="2084" w:type="dxa"/>
            <w:gridSpan w:val="2"/>
            <w:tcBorders>
              <w:top w:val="single" w:sz="8" w:space="0" w:color="auto"/>
            </w:tcBorders>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 xml:space="preserve">　</w:t>
            </w:r>
          </w:p>
        </w:tc>
      </w:tr>
      <w:tr w:rsidR="00F8233C" w:rsidRPr="00F8233C" w:rsidTr="00E33DF3">
        <w:trPr>
          <w:gridAfter w:val="1"/>
          <w:wAfter w:w="1201" w:type="dxa"/>
          <w:trHeight w:val="330"/>
        </w:trPr>
        <w:tc>
          <w:tcPr>
            <w:tcW w:w="2027"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NOR</w:t>
            </w:r>
          </w:p>
        </w:tc>
        <w:tc>
          <w:tcPr>
            <w:tcW w:w="1934"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37</w:t>
            </w:r>
          </w:p>
        </w:tc>
        <w:tc>
          <w:tcPr>
            <w:tcW w:w="1610"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3 (8)</w:t>
            </w:r>
          </w:p>
        </w:tc>
        <w:tc>
          <w:tcPr>
            <w:tcW w:w="2084" w:type="dxa"/>
            <w:gridSpan w:val="2"/>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34 (92)</w:t>
            </w:r>
          </w:p>
        </w:tc>
      </w:tr>
      <w:tr w:rsidR="00F8233C" w:rsidRPr="00F8233C" w:rsidTr="00E33DF3">
        <w:trPr>
          <w:gridAfter w:val="1"/>
          <w:wAfter w:w="1201" w:type="dxa"/>
          <w:trHeight w:val="330"/>
        </w:trPr>
        <w:tc>
          <w:tcPr>
            <w:tcW w:w="2027"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BCH</w:t>
            </w:r>
          </w:p>
        </w:tc>
        <w:tc>
          <w:tcPr>
            <w:tcW w:w="1934"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37</w:t>
            </w:r>
          </w:p>
        </w:tc>
        <w:tc>
          <w:tcPr>
            <w:tcW w:w="1610"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3 (8)</w:t>
            </w:r>
          </w:p>
        </w:tc>
        <w:tc>
          <w:tcPr>
            <w:tcW w:w="2084" w:type="dxa"/>
            <w:gridSpan w:val="2"/>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34 (92)</w:t>
            </w:r>
          </w:p>
        </w:tc>
      </w:tr>
      <w:tr w:rsidR="00F8233C" w:rsidRPr="00F8233C" w:rsidTr="00E33DF3">
        <w:trPr>
          <w:gridAfter w:val="1"/>
          <w:wAfter w:w="1201" w:type="dxa"/>
          <w:trHeight w:val="330"/>
        </w:trPr>
        <w:tc>
          <w:tcPr>
            <w:tcW w:w="2027"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DYS</w:t>
            </w:r>
          </w:p>
        </w:tc>
        <w:tc>
          <w:tcPr>
            <w:tcW w:w="1934"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29</w:t>
            </w:r>
          </w:p>
        </w:tc>
        <w:tc>
          <w:tcPr>
            <w:tcW w:w="1610"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18 (62)</w:t>
            </w:r>
          </w:p>
        </w:tc>
        <w:tc>
          <w:tcPr>
            <w:tcW w:w="2084" w:type="dxa"/>
            <w:gridSpan w:val="2"/>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11 (38)</w:t>
            </w:r>
          </w:p>
        </w:tc>
      </w:tr>
      <w:tr w:rsidR="00F8233C" w:rsidRPr="00F8233C" w:rsidTr="00E33DF3">
        <w:trPr>
          <w:gridAfter w:val="1"/>
          <w:wAfter w:w="1201" w:type="dxa"/>
          <w:trHeight w:val="330"/>
        </w:trPr>
        <w:tc>
          <w:tcPr>
            <w:tcW w:w="2027"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CIS</w:t>
            </w:r>
          </w:p>
        </w:tc>
        <w:tc>
          <w:tcPr>
            <w:tcW w:w="1934"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28</w:t>
            </w:r>
          </w:p>
        </w:tc>
        <w:tc>
          <w:tcPr>
            <w:tcW w:w="1610"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22 (79)</w:t>
            </w:r>
          </w:p>
        </w:tc>
        <w:tc>
          <w:tcPr>
            <w:tcW w:w="2084" w:type="dxa"/>
            <w:gridSpan w:val="2"/>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6 (21)</w:t>
            </w:r>
          </w:p>
        </w:tc>
      </w:tr>
      <w:tr w:rsidR="00F8233C" w:rsidRPr="00F8233C" w:rsidTr="00E33DF3">
        <w:trPr>
          <w:gridAfter w:val="1"/>
          <w:wAfter w:w="1201" w:type="dxa"/>
          <w:trHeight w:val="960"/>
        </w:trPr>
        <w:tc>
          <w:tcPr>
            <w:tcW w:w="2027"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Esophageal cancer</w:t>
            </w:r>
          </w:p>
        </w:tc>
        <w:tc>
          <w:tcPr>
            <w:tcW w:w="1934"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 xml:space="preserve">　</w:t>
            </w:r>
          </w:p>
        </w:tc>
        <w:tc>
          <w:tcPr>
            <w:tcW w:w="1610"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 xml:space="preserve">　</w:t>
            </w:r>
          </w:p>
        </w:tc>
        <w:tc>
          <w:tcPr>
            <w:tcW w:w="2084" w:type="dxa"/>
            <w:gridSpan w:val="2"/>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 xml:space="preserve">　</w:t>
            </w:r>
          </w:p>
        </w:tc>
      </w:tr>
      <w:tr w:rsidR="00F8233C" w:rsidRPr="00F8233C" w:rsidTr="00E33DF3">
        <w:trPr>
          <w:gridAfter w:val="1"/>
          <w:wAfter w:w="1201" w:type="dxa"/>
          <w:trHeight w:val="330"/>
        </w:trPr>
        <w:tc>
          <w:tcPr>
            <w:tcW w:w="2027"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W-SCC</w:t>
            </w:r>
          </w:p>
        </w:tc>
        <w:tc>
          <w:tcPr>
            <w:tcW w:w="1934"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7</w:t>
            </w:r>
          </w:p>
        </w:tc>
        <w:tc>
          <w:tcPr>
            <w:tcW w:w="1610"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0</w:t>
            </w:r>
          </w:p>
        </w:tc>
        <w:tc>
          <w:tcPr>
            <w:tcW w:w="2084" w:type="dxa"/>
            <w:gridSpan w:val="2"/>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7 (100)</w:t>
            </w:r>
          </w:p>
        </w:tc>
      </w:tr>
      <w:tr w:rsidR="00F8233C" w:rsidRPr="00F8233C" w:rsidTr="00E33DF3">
        <w:trPr>
          <w:gridAfter w:val="1"/>
          <w:wAfter w:w="1201" w:type="dxa"/>
          <w:trHeight w:val="330"/>
        </w:trPr>
        <w:tc>
          <w:tcPr>
            <w:tcW w:w="2027"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M-SCC</w:t>
            </w:r>
          </w:p>
        </w:tc>
        <w:tc>
          <w:tcPr>
            <w:tcW w:w="1934"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16</w:t>
            </w:r>
          </w:p>
        </w:tc>
        <w:tc>
          <w:tcPr>
            <w:tcW w:w="1610"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3 (19)</w:t>
            </w:r>
          </w:p>
        </w:tc>
        <w:tc>
          <w:tcPr>
            <w:tcW w:w="2084" w:type="dxa"/>
            <w:gridSpan w:val="2"/>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13 (81)</w:t>
            </w:r>
          </w:p>
        </w:tc>
      </w:tr>
      <w:tr w:rsidR="00F8233C" w:rsidRPr="00F8233C" w:rsidTr="00E33DF3">
        <w:trPr>
          <w:gridAfter w:val="1"/>
          <w:wAfter w:w="1201" w:type="dxa"/>
          <w:trHeight w:val="330"/>
        </w:trPr>
        <w:tc>
          <w:tcPr>
            <w:tcW w:w="2027"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P-SCC</w:t>
            </w:r>
          </w:p>
        </w:tc>
        <w:tc>
          <w:tcPr>
            <w:tcW w:w="1934"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6</w:t>
            </w:r>
          </w:p>
        </w:tc>
        <w:tc>
          <w:tcPr>
            <w:tcW w:w="1610" w:type="dxa"/>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5 (83)</w:t>
            </w:r>
          </w:p>
        </w:tc>
        <w:tc>
          <w:tcPr>
            <w:tcW w:w="2084" w:type="dxa"/>
            <w:gridSpan w:val="2"/>
            <w:shd w:val="clear" w:color="auto" w:fill="auto"/>
            <w:vAlign w:val="center"/>
            <w:hideMark/>
          </w:tcPr>
          <w:p w:rsidR="00F8233C" w:rsidRPr="00F8233C" w:rsidRDefault="00F8233C" w:rsidP="00E33DF3">
            <w:pPr>
              <w:widowControl/>
              <w:spacing w:line="360" w:lineRule="auto"/>
              <w:rPr>
                <w:rFonts w:ascii="Book Antiqua" w:hAnsi="Book Antiqua" w:cs="SimSun"/>
                <w:color w:val="000000"/>
                <w:kern w:val="0"/>
                <w:sz w:val="24"/>
              </w:rPr>
            </w:pPr>
            <w:r w:rsidRPr="00F8233C">
              <w:rPr>
                <w:rFonts w:ascii="Book Antiqua" w:hAnsi="Book Antiqua" w:cs="SimSun"/>
                <w:color w:val="000000"/>
                <w:kern w:val="0"/>
                <w:sz w:val="24"/>
              </w:rPr>
              <w:t>1 (17)</w:t>
            </w:r>
          </w:p>
        </w:tc>
      </w:tr>
    </w:tbl>
    <w:p w:rsidR="007F78CE" w:rsidRPr="0046748A" w:rsidRDefault="007F78CE" w:rsidP="00E33DF3">
      <w:pPr>
        <w:autoSpaceDE w:val="0"/>
        <w:autoSpaceDN w:val="0"/>
        <w:adjustRightInd w:val="0"/>
        <w:spacing w:line="360" w:lineRule="auto"/>
        <w:rPr>
          <w:rFonts w:ascii="Book Antiqua" w:hAnsi="Book Antiqua"/>
          <w:color w:val="000000"/>
          <w:kern w:val="0"/>
          <w:sz w:val="24"/>
        </w:rPr>
      </w:pPr>
      <w:r w:rsidRPr="0046748A">
        <w:rPr>
          <w:rFonts w:ascii="Book Antiqua" w:hAnsi="Book Antiqua"/>
          <w:i/>
          <w:color w:val="000000"/>
          <w:sz w:val="24"/>
        </w:rPr>
        <w:t>P</w:t>
      </w:r>
      <w:r w:rsidRPr="0046748A">
        <w:rPr>
          <w:rFonts w:ascii="Book Antiqua" w:hAnsi="Book Antiqua"/>
          <w:color w:val="000000"/>
          <w:sz w:val="24"/>
        </w:rPr>
        <w:t xml:space="preserve"> &lt; 0.05, NOR </w:t>
      </w:r>
      <w:r w:rsidRPr="0046748A">
        <w:rPr>
          <w:rFonts w:ascii="Book Antiqua" w:hAnsi="Book Antiqua"/>
          <w:i/>
          <w:color w:val="000000"/>
          <w:sz w:val="24"/>
        </w:rPr>
        <w:t>vs</w:t>
      </w:r>
      <w:r w:rsidRPr="0046748A">
        <w:rPr>
          <w:rFonts w:ascii="Book Antiqua" w:hAnsi="Book Antiqua"/>
          <w:color w:val="000000"/>
          <w:sz w:val="24"/>
        </w:rPr>
        <w:t xml:space="preserve"> DYS, CIS, M-SCC or P-SCC; BCH </w:t>
      </w:r>
      <w:r w:rsidR="00F8233C" w:rsidRPr="0046748A">
        <w:rPr>
          <w:rFonts w:ascii="Book Antiqua" w:hAnsi="Book Antiqua"/>
          <w:i/>
          <w:color w:val="000000"/>
          <w:sz w:val="24"/>
        </w:rPr>
        <w:t>vs</w:t>
      </w:r>
      <w:r w:rsidR="00F8233C" w:rsidRPr="0046748A">
        <w:rPr>
          <w:rFonts w:ascii="Book Antiqua" w:hAnsi="Book Antiqua"/>
          <w:color w:val="000000"/>
          <w:sz w:val="24"/>
        </w:rPr>
        <w:t xml:space="preserve"> </w:t>
      </w:r>
      <w:r w:rsidRPr="0046748A">
        <w:rPr>
          <w:rFonts w:ascii="Book Antiqua" w:hAnsi="Book Antiqua"/>
          <w:color w:val="000000"/>
          <w:sz w:val="24"/>
        </w:rPr>
        <w:t xml:space="preserve">CIS, DYS, M-SCC or P-SCC; DYS </w:t>
      </w:r>
      <w:r w:rsidR="00F8233C" w:rsidRPr="0046748A">
        <w:rPr>
          <w:rFonts w:ascii="Book Antiqua" w:hAnsi="Book Antiqua"/>
          <w:i/>
          <w:color w:val="000000"/>
          <w:sz w:val="24"/>
        </w:rPr>
        <w:t>vs</w:t>
      </w:r>
      <w:r w:rsidR="00F8233C" w:rsidRPr="0046748A">
        <w:rPr>
          <w:rFonts w:ascii="Book Antiqua" w:hAnsi="Book Antiqua"/>
          <w:color w:val="000000"/>
          <w:sz w:val="24"/>
        </w:rPr>
        <w:t xml:space="preserve"> </w:t>
      </w:r>
      <w:r w:rsidRPr="0046748A">
        <w:rPr>
          <w:rFonts w:ascii="Book Antiqua" w:hAnsi="Book Antiqua"/>
          <w:color w:val="000000"/>
          <w:sz w:val="24"/>
        </w:rPr>
        <w:t xml:space="preserve">W-SCC or M-SCC; CIS </w:t>
      </w:r>
      <w:r w:rsidR="00F8233C" w:rsidRPr="0046748A">
        <w:rPr>
          <w:rFonts w:ascii="Book Antiqua" w:hAnsi="Book Antiqua"/>
          <w:i/>
          <w:color w:val="000000"/>
          <w:sz w:val="24"/>
        </w:rPr>
        <w:t>vs</w:t>
      </w:r>
      <w:r w:rsidR="00F8233C" w:rsidRPr="0046748A">
        <w:rPr>
          <w:rFonts w:ascii="Book Antiqua" w:hAnsi="Book Antiqua"/>
          <w:color w:val="000000"/>
          <w:sz w:val="24"/>
        </w:rPr>
        <w:t xml:space="preserve"> </w:t>
      </w:r>
      <w:r w:rsidRPr="0046748A">
        <w:rPr>
          <w:rFonts w:ascii="Book Antiqua" w:hAnsi="Book Antiqua"/>
          <w:color w:val="000000"/>
          <w:sz w:val="24"/>
        </w:rPr>
        <w:t xml:space="preserve">W-SCC or M-SCC; P-SCC </w:t>
      </w:r>
      <w:r w:rsidR="00F8233C" w:rsidRPr="0046748A">
        <w:rPr>
          <w:rFonts w:ascii="Book Antiqua" w:hAnsi="Book Antiqua"/>
          <w:i/>
          <w:color w:val="000000"/>
          <w:sz w:val="24"/>
        </w:rPr>
        <w:t>vs</w:t>
      </w:r>
      <w:r w:rsidR="00F8233C" w:rsidRPr="0046748A">
        <w:rPr>
          <w:rFonts w:ascii="Book Antiqua" w:hAnsi="Book Antiqua"/>
          <w:color w:val="000000"/>
          <w:sz w:val="24"/>
        </w:rPr>
        <w:t xml:space="preserve"> </w:t>
      </w:r>
      <w:r w:rsidRPr="0046748A">
        <w:rPr>
          <w:rFonts w:ascii="Book Antiqua" w:hAnsi="Book Antiqua"/>
          <w:color w:val="000000"/>
          <w:sz w:val="24"/>
        </w:rPr>
        <w:t>W-SCC or M-SCC.</w:t>
      </w:r>
    </w:p>
    <w:p w:rsidR="007F78CE" w:rsidRDefault="007F78CE" w:rsidP="00E33DF3">
      <w:pPr>
        <w:spacing w:line="360" w:lineRule="auto"/>
        <w:rPr>
          <w:rFonts w:ascii="Book Antiqua" w:hAnsi="Book Antiqua"/>
          <w:b/>
          <w:color w:val="000000"/>
          <w:sz w:val="24"/>
        </w:rPr>
      </w:pPr>
      <w:r w:rsidRPr="0046748A">
        <w:rPr>
          <w:rFonts w:ascii="Book Antiqua" w:hAnsi="Book Antiqua"/>
          <w:color w:val="000000"/>
          <w:kern w:val="0"/>
          <w:sz w:val="24"/>
        </w:rPr>
        <w:br w:type="page"/>
      </w:r>
      <w:r w:rsidR="00F8233C">
        <w:rPr>
          <w:rFonts w:ascii="Book Antiqua" w:hAnsi="Book Antiqua"/>
          <w:b/>
          <w:color w:val="000000"/>
          <w:sz w:val="24"/>
        </w:rPr>
        <w:lastRenderedPageBreak/>
        <w:t>Table 3</w:t>
      </w:r>
      <w:r w:rsidRPr="0046748A">
        <w:rPr>
          <w:rFonts w:ascii="Book Antiqua" w:hAnsi="Book Antiqua"/>
          <w:b/>
          <w:color w:val="000000"/>
          <w:sz w:val="24"/>
        </w:rPr>
        <w:t xml:space="preserve"> </w:t>
      </w:r>
      <w:r w:rsidRPr="00F8233C">
        <w:rPr>
          <w:rFonts w:ascii="Book Antiqua" w:hAnsi="Book Antiqua"/>
          <w:b/>
          <w:color w:val="000000"/>
          <w:sz w:val="24"/>
        </w:rPr>
        <w:t>Expression of PRX6 expression in esophageal tissues from fetuses of different gestational age</w:t>
      </w:r>
      <w:r w:rsidR="00E33DF3">
        <w:rPr>
          <w:rFonts w:ascii="Book Antiqua" w:hAnsi="Book Antiqua" w:hint="eastAsia"/>
          <w:b/>
          <w:color w:val="000000"/>
          <w:sz w:val="24"/>
        </w:rPr>
        <w:t xml:space="preserve"> </w:t>
      </w:r>
      <w:r w:rsidR="00E33DF3" w:rsidRPr="00E33DF3">
        <w:rPr>
          <w:rFonts w:ascii="Book Antiqua" w:hAnsi="Book Antiqua"/>
          <w:b/>
          <w:i/>
          <w:iCs/>
          <w:color w:val="000000"/>
          <w:sz w:val="24"/>
        </w:rPr>
        <w:t>n</w:t>
      </w:r>
      <w:r w:rsidR="00E33DF3" w:rsidRPr="00E33DF3">
        <w:rPr>
          <w:rFonts w:ascii="Book Antiqua" w:hAnsi="Book Antiqua"/>
          <w:b/>
          <w:color w:val="000000"/>
          <w:sz w:val="24"/>
        </w:rPr>
        <w:t xml:space="preserve"> (%)</w:t>
      </w:r>
    </w:p>
    <w:p w:rsidR="00E33DF3" w:rsidRPr="0046748A" w:rsidRDefault="00E33DF3" w:rsidP="00E33DF3">
      <w:pPr>
        <w:spacing w:line="360" w:lineRule="auto"/>
        <w:rPr>
          <w:rFonts w:ascii="Book Antiqua" w:hAnsi="Book Antiqua"/>
          <w:color w:val="000000"/>
          <w:sz w:val="24"/>
        </w:rPr>
      </w:pPr>
    </w:p>
    <w:tbl>
      <w:tblPr>
        <w:tblW w:w="5719" w:type="dxa"/>
        <w:jc w:val="center"/>
        <w:tblCellMar>
          <w:left w:w="0" w:type="dxa"/>
          <w:right w:w="0" w:type="dxa"/>
        </w:tblCellMar>
        <w:tblLook w:val="04A0" w:firstRow="1" w:lastRow="0" w:firstColumn="1" w:lastColumn="0" w:noHBand="0" w:noVBand="1"/>
      </w:tblPr>
      <w:tblGrid>
        <w:gridCol w:w="1349"/>
        <w:gridCol w:w="1770"/>
        <w:gridCol w:w="1470"/>
        <w:gridCol w:w="50"/>
        <w:gridCol w:w="1030"/>
        <w:gridCol w:w="50"/>
      </w:tblGrid>
      <w:tr w:rsidR="00F8233C" w:rsidRPr="00E33DF3" w:rsidTr="00E33DF3">
        <w:trPr>
          <w:gridAfter w:val="1"/>
          <w:wAfter w:w="50" w:type="dxa"/>
          <w:trHeight w:val="454"/>
          <w:jc w:val="center"/>
        </w:trPr>
        <w:tc>
          <w:tcPr>
            <w:tcW w:w="1349" w:type="dxa"/>
            <w:vMerge w:val="restart"/>
            <w:tcBorders>
              <w:top w:val="single" w:sz="8" w:space="0" w:color="auto"/>
              <w:left w:val="nil"/>
              <w:bottom w:val="single" w:sz="8" w:space="0" w:color="000000"/>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b/>
                <w:color w:val="000000"/>
                <w:sz w:val="24"/>
              </w:rPr>
            </w:pPr>
            <w:r w:rsidRPr="00E33DF3">
              <w:rPr>
                <w:rFonts w:ascii="Book Antiqua" w:hAnsi="Book Antiqua"/>
                <w:b/>
                <w:color w:val="000000"/>
                <w:sz w:val="24"/>
              </w:rPr>
              <w:t>Age (mo)</w:t>
            </w:r>
          </w:p>
        </w:tc>
        <w:tc>
          <w:tcPr>
            <w:tcW w:w="4320" w:type="dxa"/>
            <w:gridSpan w:val="4"/>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b/>
                <w:color w:val="000000"/>
                <w:sz w:val="24"/>
              </w:rPr>
            </w:pPr>
            <w:r w:rsidRPr="00E33DF3">
              <w:rPr>
                <w:rFonts w:ascii="Book Antiqua" w:hAnsi="Book Antiqua"/>
                <w:b/>
                <w:color w:val="000000"/>
                <w:sz w:val="24"/>
              </w:rPr>
              <w:t>PRX6</w:t>
            </w:r>
          </w:p>
        </w:tc>
      </w:tr>
      <w:tr w:rsidR="00E33DF3" w:rsidRPr="00E33DF3" w:rsidTr="00E33DF3">
        <w:trPr>
          <w:trHeight w:val="454"/>
          <w:jc w:val="center"/>
        </w:trPr>
        <w:tc>
          <w:tcPr>
            <w:tcW w:w="1349" w:type="dxa"/>
            <w:vMerge/>
            <w:tcBorders>
              <w:top w:val="single" w:sz="8" w:space="0" w:color="auto"/>
              <w:left w:val="nil"/>
              <w:bottom w:val="single" w:sz="8" w:space="0" w:color="000000"/>
              <w:right w:val="nil"/>
            </w:tcBorders>
            <w:vAlign w:val="center"/>
            <w:hideMark/>
          </w:tcPr>
          <w:p w:rsidR="00E33DF3" w:rsidRPr="00E33DF3" w:rsidRDefault="00E33DF3" w:rsidP="00E33DF3">
            <w:pPr>
              <w:rPr>
                <w:rFonts w:ascii="Book Antiqua" w:hAnsi="Book Antiqua" w:cs="SimSun"/>
                <w:b/>
                <w:color w:val="000000"/>
                <w:sz w:val="24"/>
              </w:rPr>
            </w:pPr>
          </w:p>
        </w:tc>
        <w:tc>
          <w:tcPr>
            <w:tcW w:w="177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E33DF3" w:rsidRPr="00E33DF3" w:rsidRDefault="00E33DF3" w:rsidP="00E33DF3">
            <w:pPr>
              <w:rPr>
                <w:rFonts w:ascii="Book Antiqua" w:hAnsi="Book Antiqua" w:cs="SimSun"/>
                <w:b/>
                <w:color w:val="000000"/>
                <w:sz w:val="24"/>
              </w:rPr>
            </w:pPr>
            <w:r w:rsidRPr="00E33DF3">
              <w:rPr>
                <w:rFonts w:ascii="Book Antiqua" w:hAnsi="Book Antiqua"/>
                <w:b/>
                <w:color w:val="000000"/>
                <w:sz w:val="24"/>
              </w:rPr>
              <w:t>No. of cases</w:t>
            </w:r>
          </w:p>
        </w:tc>
        <w:tc>
          <w:tcPr>
            <w:tcW w:w="147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E33DF3" w:rsidRPr="00E33DF3" w:rsidRDefault="00E33DF3" w:rsidP="00E33DF3">
            <w:pPr>
              <w:rPr>
                <w:rFonts w:ascii="Book Antiqua" w:hAnsi="Book Antiqua" w:cs="SimSun"/>
                <w:b/>
                <w:color w:val="000000"/>
                <w:sz w:val="24"/>
              </w:rPr>
            </w:pPr>
            <w:r w:rsidRPr="00E33DF3">
              <w:rPr>
                <w:rFonts w:ascii="Book Antiqua" w:hAnsi="Book Antiqua"/>
                <w:b/>
                <w:color w:val="000000"/>
                <w:sz w:val="24"/>
              </w:rPr>
              <w:t>Negative</w:t>
            </w:r>
          </w:p>
        </w:tc>
        <w:tc>
          <w:tcPr>
            <w:tcW w:w="5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E33DF3" w:rsidRPr="00E33DF3" w:rsidRDefault="00E33DF3" w:rsidP="00E33DF3">
            <w:pPr>
              <w:rPr>
                <w:rFonts w:ascii="Book Antiqua" w:hAnsi="Book Antiqua" w:cs="SimSun"/>
                <w:b/>
                <w:color w:val="000000"/>
                <w:sz w:val="24"/>
              </w:rPr>
            </w:pPr>
          </w:p>
        </w:tc>
        <w:tc>
          <w:tcPr>
            <w:tcW w:w="1080" w:type="dxa"/>
            <w:gridSpan w:val="2"/>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E33DF3" w:rsidRPr="00E33DF3" w:rsidRDefault="00E33DF3" w:rsidP="00E33DF3">
            <w:pPr>
              <w:rPr>
                <w:rFonts w:ascii="Book Antiqua" w:hAnsi="Book Antiqua" w:cs="SimSun"/>
                <w:b/>
                <w:color w:val="000000"/>
                <w:sz w:val="24"/>
              </w:rPr>
            </w:pPr>
            <w:r w:rsidRPr="00E33DF3">
              <w:rPr>
                <w:rFonts w:ascii="Book Antiqua" w:hAnsi="Book Antiqua"/>
                <w:b/>
                <w:color w:val="000000"/>
                <w:sz w:val="24"/>
              </w:rPr>
              <w:t>Positive</w:t>
            </w:r>
          </w:p>
        </w:tc>
      </w:tr>
      <w:tr w:rsidR="00F8233C" w:rsidRPr="00E33DF3" w:rsidTr="00E33DF3">
        <w:trPr>
          <w:gridAfter w:val="1"/>
          <w:wAfter w:w="50" w:type="dxa"/>
          <w:trHeight w:val="454"/>
          <w:jc w:val="center"/>
        </w:trPr>
        <w:tc>
          <w:tcPr>
            <w:tcW w:w="1349"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3</w:t>
            </w:r>
          </w:p>
        </w:tc>
        <w:tc>
          <w:tcPr>
            <w:tcW w:w="1770"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6</w:t>
            </w:r>
          </w:p>
        </w:tc>
        <w:tc>
          <w:tcPr>
            <w:tcW w:w="1470"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0</w:t>
            </w:r>
          </w:p>
        </w:tc>
        <w:tc>
          <w:tcPr>
            <w:tcW w:w="1080" w:type="dxa"/>
            <w:gridSpan w:val="2"/>
            <w:tcBorders>
              <w:top w:val="single" w:sz="8" w:space="0" w:color="auto"/>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6 (100)</w:t>
            </w:r>
          </w:p>
        </w:tc>
      </w:tr>
      <w:tr w:rsidR="00F8233C" w:rsidRPr="00E33DF3" w:rsidTr="00E33DF3">
        <w:trPr>
          <w:gridAfter w:val="1"/>
          <w:wAfter w:w="50" w:type="dxa"/>
          <w:trHeight w:val="454"/>
          <w:jc w:val="center"/>
        </w:trPr>
        <w:tc>
          <w:tcPr>
            <w:tcW w:w="1349"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4</w:t>
            </w:r>
          </w:p>
        </w:tc>
        <w:tc>
          <w:tcPr>
            <w:tcW w:w="1770"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4</w:t>
            </w:r>
          </w:p>
        </w:tc>
        <w:tc>
          <w:tcPr>
            <w:tcW w:w="1470"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0</w:t>
            </w:r>
          </w:p>
        </w:tc>
        <w:tc>
          <w:tcPr>
            <w:tcW w:w="1080"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4 (100)</w:t>
            </w:r>
          </w:p>
        </w:tc>
      </w:tr>
      <w:tr w:rsidR="00F8233C" w:rsidRPr="00E33DF3" w:rsidTr="00E33DF3">
        <w:trPr>
          <w:gridAfter w:val="1"/>
          <w:wAfter w:w="50" w:type="dxa"/>
          <w:trHeight w:val="454"/>
          <w:jc w:val="center"/>
        </w:trPr>
        <w:tc>
          <w:tcPr>
            <w:tcW w:w="1349"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5</w:t>
            </w:r>
          </w:p>
        </w:tc>
        <w:tc>
          <w:tcPr>
            <w:tcW w:w="1770"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6</w:t>
            </w:r>
          </w:p>
        </w:tc>
        <w:tc>
          <w:tcPr>
            <w:tcW w:w="1470"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1 (17)</w:t>
            </w:r>
          </w:p>
        </w:tc>
        <w:tc>
          <w:tcPr>
            <w:tcW w:w="1080"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5 (83)</w:t>
            </w:r>
          </w:p>
        </w:tc>
      </w:tr>
      <w:tr w:rsidR="00F8233C" w:rsidRPr="00E33DF3" w:rsidTr="00E33DF3">
        <w:trPr>
          <w:gridAfter w:val="1"/>
          <w:wAfter w:w="50" w:type="dxa"/>
          <w:trHeight w:val="454"/>
          <w:jc w:val="center"/>
        </w:trPr>
        <w:tc>
          <w:tcPr>
            <w:tcW w:w="1349"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6</w:t>
            </w:r>
          </w:p>
        </w:tc>
        <w:tc>
          <w:tcPr>
            <w:tcW w:w="1770"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6</w:t>
            </w:r>
          </w:p>
        </w:tc>
        <w:tc>
          <w:tcPr>
            <w:tcW w:w="1470"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0</w:t>
            </w:r>
          </w:p>
        </w:tc>
        <w:tc>
          <w:tcPr>
            <w:tcW w:w="1080"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6 (100)</w:t>
            </w:r>
          </w:p>
        </w:tc>
      </w:tr>
      <w:tr w:rsidR="00F8233C" w:rsidRPr="00E33DF3" w:rsidTr="00E33DF3">
        <w:trPr>
          <w:gridAfter w:val="1"/>
          <w:wAfter w:w="50" w:type="dxa"/>
          <w:trHeight w:val="454"/>
          <w:jc w:val="center"/>
        </w:trPr>
        <w:tc>
          <w:tcPr>
            <w:tcW w:w="1349"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7</w:t>
            </w:r>
          </w:p>
        </w:tc>
        <w:tc>
          <w:tcPr>
            <w:tcW w:w="1770"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5</w:t>
            </w:r>
          </w:p>
        </w:tc>
        <w:tc>
          <w:tcPr>
            <w:tcW w:w="1470"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1 (20)</w:t>
            </w:r>
          </w:p>
        </w:tc>
        <w:tc>
          <w:tcPr>
            <w:tcW w:w="1080"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4 (80)</w:t>
            </w:r>
          </w:p>
        </w:tc>
      </w:tr>
      <w:tr w:rsidR="00F8233C" w:rsidRPr="00E33DF3" w:rsidTr="00E33DF3">
        <w:trPr>
          <w:gridAfter w:val="1"/>
          <w:wAfter w:w="50" w:type="dxa"/>
          <w:trHeight w:val="454"/>
          <w:jc w:val="center"/>
        </w:trPr>
        <w:tc>
          <w:tcPr>
            <w:tcW w:w="1349"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8</w:t>
            </w:r>
          </w:p>
        </w:tc>
        <w:tc>
          <w:tcPr>
            <w:tcW w:w="1770"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6</w:t>
            </w:r>
          </w:p>
        </w:tc>
        <w:tc>
          <w:tcPr>
            <w:tcW w:w="1470" w:type="dxa"/>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1 (17)</w:t>
            </w:r>
          </w:p>
        </w:tc>
        <w:tc>
          <w:tcPr>
            <w:tcW w:w="1080" w:type="dxa"/>
            <w:gridSpan w:val="2"/>
            <w:tcBorders>
              <w:top w:val="nil"/>
              <w:left w:val="nil"/>
              <w:bottom w:val="nil"/>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5 (83)</w:t>
            </w:r>
          </w:p>
        </w:tc>
      </w:tr>
      <w:tr w:rsidR="00F8233C" w:rsidRPr="00E33DF3" w:rsidTr="00E33DF3">
        <w:trPr>
          <w:gridAfter w:val="1"/>
          <w:wAfter w:w="50" w:type="dxa"/>
          <w:trHeight w:val="454"/>
          <w:jc w:val="center"/>
        </w:trPr>
        <w:tc>
          <w:tcPr>
            <w:tcW w:w="1349"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9</w:t>
            </w:r>
          </w:p>
        </w:tc>
        <w:tc>
          <w:tcPr>
            <w:tcW w:w="177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6</w:t>
            </w:r>
          </w:p>
        </w:tc>
        <w:tc>
          <w:tcPr>
            <w:tcW w:w="147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2 (33)</w:t>
            </w:r>
          </w:p>
        </w:tc>
        <w:tc>
          <w:tcPr>
            <w:tcW w:w="1080" w:type="dxa"/>
            <w:gridSpan w:val="2"/>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F8233C" w:rsidRPr="00E33DF3" w:rsidRDefault="00F8233C" w:rsidP="00E33DF3">
            <w:pPr>
              <w:rPr>
                <w:rFonts w:ascii="Book Antiqua" w:hAnsi="Book Antiqua" w:cs="SimSun"/>
                <w:color w:val="000000"/>
                <w:sz w:val="24"/>
              </w:rPr>
            </w:pPr>
            <w:r w:rsidRPr="00E33DF3">
              <w:rPr>
                <w:rFonts w:ascii="Book Antiqua" w:hAnsi="Book Antiqua"/>
                <w:color w:val="000000"/>
                <w:sz w:val="24"/>
              </w:rPr>
              <w:t>4 (67)</w:t>
            </w:r>
          </w:p>
        </w:tc>
      </w:tr>
    </w:tbl>
    <w:p w:rsidR="007F78CE" w:rsidRPr="0046748A" w:rsidRDefault="00F8233C" w:rsidP="00E33DF3">
      <w:pPr>
        <w:autoSpaceDE w:val="0"/>
        <w:autoSpaceDN w:val="0"/>
        <w:adjustRightInd w:val="0"/>
        <w:spacing w:line="360" w:lineRule="auto"/>
        <w:rPr>
          <w:rFonts w:ascii="Book Antiqua" w:hAnsi="Book Antiqua"/>
          <w:color w:val="000000"/>
          <w:kern w:val="0"/>
          <w:sz w:val="24"/>
        </w:rPr>
      </w:pPr>
      <w:r w:rsidRPr="0046748A">
        <w:rPr>
          <w:rFonts w:ascii="Book Antiqua" w:hAnsi="Book Antiqua"/>
          <w:i/>
          <w:color w:val="000000"/>
          <w:sz w:val="24"/>
        </w:rPr>
        <w:t xml:space="preserve"> </w:t>
      </w:r>
      <w:r w:rsidR="007F78CE" w:rsidRPr="0046748A">
        <w:rPr>
          <w:rFonts w:ascii="Book Antiqua" w:hAnsi="Book Antiqua"/>
          <w:i/>
          <w:color w:val="000000"/>
          <w:sz w:val="24"/>
        </w:rPr>
        <w:t>P</w:t>
      </w:r>
      <w:r w:rsidR="007F78CE" w:rsidRPr="0046748A">
        <w:rPr>
          <w:rFonts w:ascii="Book Antiqua" w:hAnsi="Book Antiqua"/>
          <w:color w:val="000000"/>
          <w:sz w:val="24"/>
        </w:rPr>
        <w:t xml:space="preserve"> &lt; 0.05, 3 mo </w:t>
      </w:r>
      <w:r w:rsidRPr="0046748A">
        <w:rPr>
          <w:rFonts w:ascii="Book Antiqua" w:hAnsi="Book Antiqua"/>
          <w:i/>
          <w:color w:val="000000"/>
          <w:sz w:val="24"/>
        </w:rPr>
        <w:t>vs</w:t>
      </w:r>
      <w:r w:rsidRPr="0046748A">
        <w:rPr>
          <w:rFonts w:ascii="Book Antiqua" w:hAnsi="Book Antiqua"/>
          <w:color w:val="000000"/>
          <w:sz w:val="24"/>
        </w:rPr>
        <w:t xml:space="preserve"> </w:t>
      </w:r>
      <w:r w:rsidR="007F78CE" w:rsidRPr="0046748A">
        <w:rPr>
          <w:rFonts w:ascii="Book Antiqua" w:hAnsi="Book Antiqua"/>
          <w:color w:val="000000"/>
          <w:sz w:val="24"/>
        </w:rPr>
        <w:t>4 mo, 4 mo</w:t>
      </w:r>
      <w:r w:rsidRPr="00F8233C">
        <w:rPr>
          <w:rFonts w:ascii="Book Antiqua" w:hAnsi="Book Antiqua"/>
          <w:i/>
          <w:color w:val="000000"/>
          <w:sz w:val="24"/>
        </w:rPr>
        <w:t xml:space="preserve"> </w:t>
      </w:r>
      <w:r w:rsidRPr="0046748A">
        <w:rPr>
          <w:rFonts w:ascii="Book Antiqua" w:hAnsi="Book Antiqua"/>
          <w:i/>
          <w:color w:val="000000"/>
          <w:sz w:val="24"/>
        </w:rPr>
        <w:t>vs</w:t>
      </w:r>
      <w:r w:rsidRPr="0046748A">
        <w:rPr>
          <w:rFonts w:ascii="Book Antiqua" w:hAnsi="Book Antiqua"/>
          <w:color w:val="000000"/>
          <w:sz w:val="24"/>
        </w:rPr>
        <w:t xml:space="preserve"> </w:t>
      </w:r>
      <w:r w:rsidR="007F78CE" w:rsidRPr="0046748A">
        <w:rPr>
          <w:rFonts w:ascii="Book Antiqua" w:hAnsi="Book Antiqua"/>
          <w:color w:val="000000"/>
          <w:sz w:val="24"/>
        </w:rPr>
        <w:t xml:space="preserve">7 mo, or 6 mo </w:t>
      </w:r>
      <w:r w:rsidR="007F78CE" w:rsidRPr="0046748A">
        <w:rPr>
          <w:rFonts w:ascii="Book Antiqua" w:hAnsi="Book Antiqua"/>
          <w:i/>
          <w:color w:val="000000"/>
          <w:sz w:val="24"/>
        </w:rPr>
        <w:t>vs</w:t>
      </w:r>
      <w:r w:rsidR="007F78CE" w:rsidRPr="0046748A">
        <w:rPr>
          <w:rFonts w:ascii="Book Antiqua" w:hAnsi="Book Antiqua"/>
          <w:color w:val="000000"/>
          <w:sz w:val="24"/>
        </w:rPr>
        <w:t xml:space="preserve"> 7 mo.</w:t>
      </w:r>
    </w:p>
    <w:p w:rsidR="00611796" w:rsidRPr="00E33DF3" w:rsidRDefault="00611796" w:rsidP="00E33DF3">
      <w:pPr>
        <w:autoSpaceDE w:val="0"/>
        <w:autoSpaceDN w:val="0"/>
        <w:adjustRightInd w:val="0"/>
        <w:spacing w:line="360" w:lineRule="auto"/>
        <w:rPr>
          <w:rFonts w:ascii="Book Antiqua" w:hAnsi="Book Antiqua"/>
          <w:color w:val="000000"/>
          <w:kern w:val="0"/>
          <w:sz w:val="24"/>
        </w:rPr>
      </w:pPr>
    </w:p>
    <w:sectPr w:rsidR="00611796" w:rsidRPr="00E33D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0D6" w:rsidRDefault="00B360D6" w:rsidP="007F78CE">
      <w:r>
        <w:separator/>
      </w:r>
    </w:p>
  </w:endnote>
  <w:endnote w:type="continuationSeparator" w:id="0">
    <w:p w:rsidR="00B360D6" w:rsidRDefault="00B360D6" w:rsidP="007F7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0D6" w:rsidRDefault="00B360D6" w:rsidP="007F78CE">
      <w:r>
        <w:separator/>
      </w:r>
    </w:p>
  </w:footnote>
  <w:footnote w:type="continuationSeparator" w:id="0">
    <w:p w:rsidR="00B360D6" w:rsidRDefault="00B360D6" w:rsidP="007F78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76F645F"/>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BBA"/>
    <w:rsid w:val="00051661"/>
    <w:rsid w:val="00085C7A"/>
    <w:rsid w:val="00121701"/>
    <w:rsid w:val="00162153"/>
    <w:rsid w:val="0046748A"/>
    <w:rsid w:val="005357C1"/>
    <w:rsid w:val="00561918"/>
    <w:rsid w:val="00611796"/>
    <w:rsid w:val="007B3BBA"/>
    <w:rsid w:val="007F78CE"/>
    <w:rsid w:val="00836CA6"/>
    <w:rsid w:val="009E08BA"/>
    <w:rsid w:val="00AF2340"/>
    <w:rsid w:val="00B257DE"/>
    <w:rsid w:val="00B360D6"/>
    <w:rsid w:val="00B57092"/>
    <w:rsid w:val="00C03999"/>
    <w:rsid w:val="00DB4CA6"/>
    <w:rsid w:val="00E11849"/>
    <w:rsid w:val="00E33DF3"/>
    <w:rsid w:val="00F823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850978-0699-4758-BD0D-B66DD3C0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8CE"/>
    <w:pPr>
      <w:widowControl w:val="0"/>
      <w:jc w:val="both"/>
    </w:pPr>
    <w:rPr>
      <w:rFonts w:ascii="Times New Roman" w:eastAsia="SimSun" w:hAnsi="Times New Roman" w:cs="Times New Roman"/>
      <w:szCs w:val="24"/>
    </w:rPr>
  </w:style>
  <w:style w:type="paragraph" w:styleId="Heading1">
    <w:name w:val="heading 1"/>
    <w:basedOn w:val="Normal"/>
    <w:next w:val="Normal"/>
    <w:link w:val="Heading1Char"/>
    <w:qFormat/>
    <w:rsid w:val="007F78CE"/>
    <w:pPr>
      <w:keepNext/>
      <w:keepLines/>
      <w:spacing w:before="340" w:after="330" w:line="576" w:lineRule="auto"/>
      <w:outlineLvl w:val="0"/>
    </w:pPr>
    <w:rPr>
      <w:b/>
      <w:bCs/>
      <w:kern w:val="44"/>
      <w:sz w:val="44"/>
      <w:szCs w:val="4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78C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F78CE"/>
    <w:rPr>
      <w:sz w:val="18"/>
      <w:szCs w:val="18"/>
    </w:rPr>
  </w:style>
  <w:style w:type="paragraph" w:styleId="Footer">
    <w:name w:val="footer"/>
    <w:basedOn w:val="Normal"/>
    <w:link w:val="FooterChar"/>
    <w:uiPriority w:val="99"/>
    <w:unhideWhenUsed/>
    <w:rsid w:val="007F78C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F78CE"/>
    <w:rPr>
      <w:sz w:val="18"/>
      <w:szCs w:val="18"/>
    </w:rPr>
  </w:style>
  <w:style w:type="character" w:customStyle="1" w:styleId="Heading1Char">
    <w:name w:val="Heading 1 Char"/>
    <w:basedOn w:val="DefaultParagraphFont"/>
    <w:link w:val="Heading1"/>
    <w:rsid w:val="007F78CE"/>
    <w:rPr>
      <w:rFonts w:ascii="Times New Roman" w:eastAsia="SimSun" w:hAnsi="Times New Roman" w:cs="Times New Roman"/>
      <w:b/>
      <w:bCs/>
      <w:kern w:val="44"/>
      <w:sz w:val="44"/>
      <w:szCs w:val="44"/>
      <w:lang w:val="x-none" w:eastAsia="x-none"/>
    </w:rPr>
  </w:style>
  <w:style w:type="character" w:styleId="HTMLTypewriter">
    <w:name w:val="HTML Typewriter"/>
    <w:semiHidden/>
    <w:unhideWhenUsed/>
    <w:rsid w:val="007F78CE"/>
    <w:rPr>
      <w:rFonts w:ascii="SimSun" w:eastAsia="SimSun" w:hAnsi="SimSun" w:cs="SimSun" w:hint="eastAsia"/>
      <w:sz w:val="24"/>
      <w:szCs w:val="24"/>
    </w:rPr>
  </w:style>
  <w:style w:type="paragraph" w:styleId="NormalIndent">
    <w:name w:val="Normal Indent"/>
    <w:basedOn w:val="BodyTextFirstIndent2"/>
    <w:semiHidden/>
    <w:unhideWhenUsed/>
    <w:rsid w:val="007F78CE"/>
    <w:pPr>
      <w:widowControl/>
      <w:autoSpaceDE w:val="0"/>
      <w:autoSpaceDN w:val="0"/>
      <w:adjustRightInd w:val="0"/>
      <w:spacing w:after="0" w:line="360" w:lineRule="auto"/>
      <w:ind w:leftChars="0" w:left="0" w:firstLineChars="0" w:firstLine="0"/>
      <w:jc w:val="left"/>
    </w:pPr>
    <w:rPr>
      <w:b/>
      <w:color w:val="000000"/>
      <w:kern w:val="0"/>
      <w:szCs w:val="21"/>
      <w:lang w:val="fr-FR"/>
    </w:rPr>
  </w:style>
  <w:style w:type="paragraph" w:styleId="Title">
    <w:name w:val="Title"/>
    <w:basedOn w:val="Normal"/>
    <w:next w:val="Normal"/>
    <w:link w:val="TitleChar"/>
    <w:qFormat/>
    <w:rsid w:val="007F78CE"/>
    <w:pPr>
      <w:spacing w:before="240" w:after="60"/>
      <w:jc w:val="center"/>
      <w:outlineLvl w:val="0"/>
    </w:pPr>
    <w:rPr>
      <w:rFonts w:ascii="Calibri Light" w:hAnsi="Calibri Light"/>
      <w:b/>
      <w:bCs/>
      <w:sz w:val="32"/>
      <w:szCs w:val="32"/>
    </w:rPr>
  </w:style>
  <w:style w:type="character" w:customStyle="1" w:styleId="TitleChar">
    <w:name w:val="Title Char"/>
    <w:basedOn w:val="DefaultParagraphFont"/>
    <w:link w:val="Title"/>
    <w:rsid w:val="007F78CE"/>
    <w:rPr>
      <w:rFonts w:ascii="Calibri Light" w:eastAsia="SimSun" w:hAnsi="Calibri Light" w:cs="Times New Roman"/>
      <w:b/>
      <w:bCs/>
      <w:sz w:val="32"/>
      <w:szCs w:val="32"/>
    </w:rPr>
  </w:style>
  <w:style w:type="paragraph" w:styleId="Subtitle">
    <w:name w:val="Subtitle"/>
    <w:basedOn w:val="Normal"/>
    <w:next w:val="Normal"/>
    <w:link w:val="SubtitleChar"/>
    <w:qFormat/>
    <w:rsid w:val="007F78CE"/>
    <w:pPr>
      <w:spacing w:before="240" w:after="60" w:line="312" w:lineRule="auto"/>
      <w:jc w:val="center"/>
      <w:outlineLvl w:val="1"/>
    </w:pPr>
    <w:rPr>
      <w:rFonts w:ascii="Calibri Light" w:hAnsi="Calibri Light"/>
      <w:b/>
      <w:bCs/>
      <w:kern w:val="28"/>
      <w:sz w:val="32"/>
      <w:szCs w:val="32"/>
    </w:rPr>
  </w:style>
  <w:style w:type="character" w:customStyle="1" w:styleId="SubtitleChar">
    <w:name w:val="Subtitle Char"/>
    <w:basedOn w:val="DefaultParagraphFont"/>
    <w:link w:val="Subtitle"/>
    <w:rsid w:val="007F78CE"/>
    <w:rPr>
      <w:rFonts w:ascii="Calibri Light" w:eastAsia="SimSun" w:hAnsi="Calibri Light" w:cs="Times New Roman"/>
      <w:b/>
      <w:bCs/>
      <w:kern w:val="28"/>
      <w:sz w:val="32"/>
      <w:szCs w:val="32"/>
    </w:rPr>
  </w:style>
  <w:style w:type="paragraph" w:customStyle="1" w:styleId="duanluo1111">
    <w:name w:val="样式 样式 样式 样式 样式 duanluo + 右侧:  1 字符 + 右侧:  1 字符 + 右侧:  1 字符 + 右侧:...1"/>
    <w:basedOn w:val="Normal"/>
    <w:next w:val="Normal"/>
    <w:rsid w:val="007F78CE"/>
    <w:pPr>
      <w:spacing w:before="100" w:after="100" w:line="480" w:lineRule="auto"/>
    </w:pPr>
    <w:rPr>
      <w:rFonts w:ascii="SimSun" w:hAnsi="SimSun"/>
      <w:color w:val="000000"/>
      <w:sz w:val="24"/>
    </w:rPr>
  </w:style>
  <w:style w:type="character" w:customStyle="1" w:styleId="Char2">
    <w:name w:val="Char2"/>
    <w:rsid w:val="007F78CE"/>
    <w:rPr>
      <w:rFonts w:ascii="Times New Roman" w:eastAsia="SimSun" w:hAnsi="Times New Roman" w:cs="Times New Roman" w:hint="default"/>
      <w:kern w:val="2"/>
      <w:sz w:val="28"/>
      <w:szCs w:val="24"/>
      <w:lang w:val="en-US" w:eastAsia="zh-CN" w:bidi="ar-SA"/>
    </w:rPr>
  </w:style>
  <w:style w:type="character" w:customStyle="1" w:styleId="javascript">
    <w:name w:val="javascript"/>
    <w:basedOn w:val="DefaultParagraphFont"/>
    <w:rsid w:val="007F78CE"/>
    <w:rPr>
      <w:rFonts w:ascii="Times New Roman" w:eastAsia="SimSun" w:hAnsi="Times New Roman" w:cs="Times New Roman" w:hint="default"/>
    </w:rPr>
  </w:style>
  <w:style w:type="character" w:customStyle="1" w:styleId="ti2">
    <w:name w:val="ti2"/>
    <w:basedOn w:val="DefaultParagraphFont"/>
    <w:rsid w:val="007F78CE"/>
    <w:rPr>
      <w:rFonts w:ascii="Times New Roman" w:eastAsia="SimSun" w:hAnsi="Times New Roman" w:cs="Times New Roman" w:hint="default"/>
    </w:rPr>
  </w:style>
  <w:style w:type="paragraph" w:styleId="BodyTextIndent">
    <w:name w:val="Body Text Indent"/>
    <w:basedOn w:val="Normal"/>
    <w:link w:val="BodyTextIndentChar"/>
    <w:uiPriority w:val="99"/>
    <w:semiHidden/>
    <w:unhideWhenUsed/>
    <w:rsid w:val="007F78CE"/>
    <w:pPr>
      <w:spacing w:after="120"/>
      <w:ind w:leftChars="200" w:left="420"/>
    </w:pPr>
  </w:style>
  <w:style w:type="character" w:customStyle="1" w:styleId="BodyTextIndentChar">
    <w:name w:val="Body Text Indent Char"/>
    <w:basedOn w:val="DefaultParagraphFont"/>
    <w:link w:val="BodyTextIndent"/>
    <w:uiPriority w:val="99"/>
    <w:semiHidden/>
    <w:rsid w:val="007F78CE"/>
    <w:rPr>
      <w:rFonts w:ascii="Times New Roman" w:eastAsia="SimSun" w:hAnsi="Times New Roman" w:cs="Times New Roman"/>
      <w:szCs w:val="24"/>
    </w:rPr>
  </w:style>
  <w:style w:type="paragraph" w:styleId="BodyTextFirstIndent2">
    <w:name w:val="Body Text First Indent 2"/>
    <w:basedOn w:val="BodyTextIndent"/>
    <w:link w:val="BodyTextFirstIndent2Char"/>
    <w:uiPriority w:val="99"/>
    <w:semiHidden/>
    <w:unhideWhenUsed/>
    <w:rsid w:val="007F78CE"/>
    <w:pPr>
      <w:ind w:firstLineChars="200" w:firstLine="420"/>
    </w:pPr>
  </w:style>
  <w:style w:type="character" w:customStyle="1" w:styleId="BodyTextFirstIndent2Char">
    <w:name w:val="Body Text First Indent 2 Char"/>
    <w:basedOn w:val="BodyTextIndentChar"/>
    <w:link w:val="BodyTextFirstIndent2"/>
    <w:uiPriority w:val="99"/>
    <w:semiHidden/>
    <w:rsid w:val="007F78CE"/>
    <w:rPr>
      <w:rFonts w:ascii="Times New Roman" w:eastAsia="SimSun" w:hAnsi="Times New Roman" w:cs="Times New Roman"/>
      <w:szCs w:val="24"/>
    </w:rPr>
  </w:style>
  <w:style w:type="character" w:styleId="Hyperlink">
    <w:name w:val="Hyperlink"/>
    <w:basedOn w:val="DefaultParagraphFont"/>
    <w:uiPriority w:val="99"/>
    <w:unhideWhenUsed/>
    <w:rsid w:val="0046748A"/>
    <w:rPr>
      <w:color w:val="0000FF" w:themeColor="hyperlink"/>
      <w:u w:val="single"/>
    </w:rPr>
  </w:style>
  <w:style w:type="paragraph" w:styleId="BalloonText">
    <w:name w:val="Balloon Text"/>
    <w:basedOn w:val="Normal"/>
    <w:link w:val="BalloonTextChar"/>
    <w:uiPriority w:val="99"/>
    <w:semiHidden/>
    <w:unhideWhenUsed/>
    <w:rsid w:val="0046748A"/>
    <w:rPr>
      <w:sz w:val="18"/>
      <w:szCs w:val="18"/>
    </w:rPr>
  </w:style>
  <w:style w:type="character" w:customStyle="1" w:styleId="BalloonTextChar">
    <w:name w:val="Balloon Text Char"/>
    <w:basedOn w:val="DefaultParagraphFont"/>
    <w:link w:val="BalloonText"/>
    <w:uiPriority w:val="99"/>
    <w:semiHidden/>
    <w:rsid w:val="0046748A"/>
    <w:rPr>
      <w:rFonts w:ascii="Times New Roman" w:eastAsia="SimSun" w:hAnsi="Times New Roman" w:cs="Times New Roman"/>
      <w:sz w:val="18"/>
      <w:szCs w:val="18"/>
    </w:rPr>
  </w:style>
  <w:style w:type="character" w:styleId="Strong">
    <w:name w:val="Strong"/>
    <w:uiPriority w:val="22"/>
    <w:qFormat/>
    <w:rsid w:val="00B57092"/>
    <w:rPr>
      <w:b/>
      <w:bCs/>
    </w:rPr>
  </w:style>
  <w:style w:type="paragraph" w:styleId="ListParagraph">
    <w:name w:val="List Paragraph"/>
    <w:basedOn w:val="Normal"/>
    <w:uiPriority w:val="34"/>
    <w:qFormat/>
    <w:rsid w:val="00B57092"/>
    <w:pPr>
      <w:widowControl/>
      <w:suppressAutoHyphens/>
      <w:ind w:firstLineChars="200" w:firstLine="420"/>
      <w:jc w:val="left"/>
    </w:pPr>
    <w:rPr>
      <w:rFonts w:eastAsia="Lucida Sans Unicode"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623095">
      <w:bodyDiv w:val="1"/>
      <w:marLeft w:val="0"/>
      <w:marRight w:val="0"/>
      <w:marTop w:val="0"/>
      <w:marBottom w:val="0"/>
      <w:divBdr>
        <w:top w:val="none" w:sz="0" w:space="0" w:color="auto"/>
        <w:left w:val="none" w:sz="0" w:space="0" w:color="auto"/>
        <w:bottom w:val="none" w:sz="0" w:space="0" w:color="auto"/>
        <w:right w:val="none" w:sz="0" w:space="0" w:color="auto"/>
      </w:divBdr>
    </w:div>
    <w:div w:id="1109735883">
      <w:bodyDiv w:val="1"/>
      <w:marLeft w:val="0"/>
      <w:marRight w:val="0"/>
      <w:marTop w:val="0"/>
      <w:marBottom w:val="0"/>
      <w:divBdr>
        <w:top w:val="none" w:sz="0" w:space="0" w:color="auto"/>
        <w:left w:val="none" w:sz="0" w:space="0" w:color="auto"/>
        <w:bottom w:val="none" w:sz="0" w:space="0" w:color="auto"/>
        <w:right w:val="none" w:sz="0" w:space="0" w:color="auto"/>
      </w:divBdr>
    </w:div>
    <w:div w:id="1411807518">
      <w:bodyDiv w:val="1"/>
      <w:marLeft w:val="0"/>
      <w:marRight w:val="0"/>
      <w:marTop w:val="0"/>
      <w:marBottom w:val="0"/>
      <w:divBdr>
        <w:top w:val="none" w:sz="0" w:space="0" w:color="auto"/>
        <w:left w:val="none" w:sz="0" w:space="0" w:color="auto"/>
        <w:bottom w:val="none" w:sz="0" w:space="0" w:color="auto"/>
        <w:right w:val="none" w:sz="0" w:space="0" w:color="auto"/>
      </w:divBdr>
    </w:div>
    <w:div w:id="201792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5576</Words>
  <Characters>31786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qiyuan</dc:creator>
  <cp:keywords/>
  <dc:description/>
  <cp:lastModifiedBy>LS Ma</cp:lastModifiedBy>
  <cp:revision>3</cp:revision>
  <dcterms:created xsi:type="dcterms:W3CDTF">2016-12-07T17:52:00Z</dcterms:created>
  <dcterms:modified xsi:type="dcterms:W3CDTF">2016-12-07T17:52:00Z</dcterms:modified>
</cp:coreProperties>
</file>