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82E8D" w14:textId="68128CC4" w:rsidR="00147893" w:rsidRPr="00AA07AF" w:rsidRDefault="00147893" w:rsidP="00B02C42">
      <w:pPr>
        <w:spacing w:before="0" w:after="0"/>
        <w:jc w:val="both"/>
        <w:rPr>
          <w:b/>
        </w:rPr>
      </w:pPr>
      <w:r w:rsidRPr="00AA07AF">
        <w:rPr>
          <w:b/>
        </w:rPr>
        <w:t xml:space="preserve">Name of Journal: </w:t>
      </w:r>
      <w:r w:rsidR="00703398" w:rsidRPr="00703398">
        <w:rPr>
          <w:b/>
          <w:i/>
        </w:rPr>
        <w:t>World Journal of Gastrointestinal Endoscopy</w:t>
      </w:r>
    </w:p>
    <w:p w14:paraId="2388F9D0" w14:textId="182501E4" w:rsidR="00147893" w:rsidRPr="00AA07AF" w:rsidRDefault="00147893" w:rsidP="00B02C42">
      <w:pPr>
        <w:spacing w:before="0" w:after="0"/>
        <w:jc w:val="both"/>
        <w:rPr>
          <w:b/>
        </w:rPr>
      </w:pPr>
      <w:r w:rsidRPr="00AA07AF">
        <w:rPr>
          <w:b/>
        </w:rPr>
        <w:t>Manuscript NO: 30257</w:t>
      </w:r>
    </w:p>
    <w:p w14:paraId="035739D9" w14:textId="5E8AFB4B" w:rsidR="00E74028" w:rsidRDefault="00147893" w:rsidP="00B02C42">
      <w:pPr>
        <w:spacing w:before="0" w:after="0"/>
        <w:jc w:val="both"/>
        <w:rPr>
          <w:b/>
          <w:lang w:eastAsia="zh-CN"/>
        </w:rPr>
      </w:pPr>
      <w:r w:rsidRPr="00AA07AF">
        <w:rPr>
          <w:b/>
        </w:rPr>
        <w:t xml:space="preserve">Manuscript Type: </w:t>
      </w:r>
      <w:bookmarkStart w:id="0" w:name="OLE_LINK599"/>
      <w:bookmarkStart w:id="1" w:name="OLE_LINK600"/>
      <w:bookmarkStart w:id="2" w:name="OLE_LINK681"/>
      <w:r w:rsidR="00703398" w:rsidRPr="00C52BCF">
        <w:rPr>
          <w:b/>
        </w:rPr>
        <w:t>Original Article</w:t>
      </w:r>
      <w:bookmarkEnd w:id="0"/>
      <w:bookmarkEnd w:id="1"/>
      <w:bookmarkEnd w:id="2"/>
    </w:p>
    <w:p w14:paraId="1A89EB4B" w14:textId="77777777" w:rsidR="001504D4" w:rsidRDefault="001504D4" w:rsidP="00B02C42">
      <w:pPr>
        <w:spacing w:before="0" w:after="0"/>
        <w:jc w:val="both"/>
        <w:rPr>
          <w:b/>
          <w:i/>
          <w:lang w:eastAsia="zh-CN"/>
        </w:rPr>
      </w:pPr>
    </w:p>
    <w:p w14:paraId="37C1881C" w14:textId="4452F540" w:rsidR="00147893" w:rsidRPr="00E74028" w:rsidRDefault="00147893" w:rsidP="00B02C42">
      <w:pPr>
        <w:spacing w:before="0" w:after="0"/>
        <w:jc w:val="both"/>
        <w:rPr>
          <w:b/>
          <w:i/>
        </w:rPr>
      </w:pPr>
      <w:r w:rsidRPr="00E74028">
        <w:rPr>
          <w:b/>
          <w:i/>
        </w:rPr>
        <w:t>Retrospective Study</w:t>
      </w:r>
    </w:p>
    <w:p w14:paraId="61388230" w14:textId="77777777" w:rsidR="00147893" w:rsidRPr="00AA07AF" w:rsidRDefault="00147893" w:rsidP="00B02C42">
      <w:pPr>
        <w:spacing w:before="0" w:after="0"/>
        <w:jc w:val="both"/>
      </w:pPr>
    </w:p>
    <w:p w14:paraId="3CE1713F" w14:textId="403A0EFC" w:rsidR="0013315F" w:rsidRPr="00AA07AF" w:rsidRDefault="0013315F" w:rsidP="00B02C42">
      <w:pPr>
        <w:spacing w:before="0" w:after="0"/>
        <w:jc w:val="both"/>
        <w:rPr>
          <w:b/>
        </w:rPr>
      </w:pPr>
      <w:r w:rsidRPr="00AA07AF">
        <w:rPr>
          <w:b/>
        </w:rPr>
        <w:t xml:space="preserve">Use of </w:t>
      </w:r>
      <w:r w:rsidR="00703398" w:rsidRPr="00AA07AF">
        <w:rPr>
          <w:b/>
        </w:rPr>
        <w:t xml:space="preserve">volumetric laser endomicroscopy for dysplasia detection </w:t>
      </w:r>
      <w:r w:rsidRPr="00AA07AF">
        <w:rPr>
          <w:b/>
        </w:rPr>
        <w:t>at the</w:t>
      </w:r>
      <w:r w:rsidR="00057359">
        <w:rPr>
          <w:b/>
        </w:rPr>
        <w:t xml:space="preserve"> </w:t>
      </w:r>
      <w:r w:rsidR="00703398" w:rsidRPr="00703398">
        <w:rPr>
          <w:b/>
        </w:rPr>
        <w:t>gastroesophageal junction</w:t>
      </w:r>
      <w:r w:rsidRPr="00AA07AF">
        <w:rPr>
          <w:b/>
        </w:rPr>
        <w:t xml:space="preserve"> and </w:t>
      </w:r>
      <w:r w:rsidR="00703398" w:rsidRPr="00AA07AF">
        <w:rPr>
          <w:b/>
        </w:rPr>
        <w:t>gastric cardia</w:t>
      </w:r>
    </w:p>
    <w:p w14:paraId="2FC25F98" w14:textId="77777777" w:rsidR="0013315F" w:rsidRPr="00AA07AF" w:rsidRDefault="0013315F" w:rsidP="00B02C42">
      <w:pPr>
        <w:spacing w:before="0" w:after="0"/>
        <w:jc w:val="both"/>
        <w:rPr>
          <w:lang w:eastAsia="zh-CN"/>
        </w:rPr>
      </w:pPr>
    </w:p>
    <w:p w14:paraId="15D4E87C" w14:textId="1137FD53" w:rsidR="009468EA" w:rsidRPr="00AA07AF" w:rsidRDefault="00962FF7" w:rsidP="00B02C42">
      <w:pPr>
        <w:spacing w:before="0" w:after="0"/>
        <w:jc w:val="both"/>
        <w:rPr>
          <w:lang w:eastAsia="zh-CN"/>
        </w:rPr>
      </w:pPr>
      <w:r w:rsidRPr="00AA07AF">
        <w:rPr>
          <w:lang w:eastAsia="zh-CN"/>
        </w:rPr>
        <w:t xml:space="preserve">Gupta N </w:t>
      </w:r>
      <w:r w:rsidR="000E278B" w:rsidRPr="000E278B">
        <w:rPr>
          <w:i/>
          <w:lang w:eastAsia="zh-CN"/>
        </w:rPr>
        <w:t>et al</w:t>
      </w:r>
      <w:r w:rsidRPr="00AA07AF">
        <w:rPr>
          <w:i/>
          <w:lang w:eastAsia="zh-CN"/>
        </w:rPr>
        <w:t>.</w:t>
      </w:r>
      <w:r w:rsidRPr="00AA07AF">
        <w:rPr>
          <w:lang w:eastAsia="zh-CN"/>
        </w:rPr>
        <w:t xml:space="preserve"> </w:t>
      </w:r>
      <w:r w:rsidR="00FB646A" w:rsidRPr="00AA07AF">
        <w:rPr>
          <w:lang w:eastAsia="zh-CN"/>
        </w:rPr>
        <w:t xml:space="preserve">VLE </w:t>
      </w:r>
      <w:r w:rsidRPr="00AA07AF">
        <w:rPr>
          <w:lang w:eastAsia="zh-CN"/>
        </w:rPr>
        <w:t xml:space="preserve">for </w:t>
      </w:r>
      <w:r w:rsidR="00703398" w:rsidRPr="00AA07AF">
        <w:rPr>
          <w:lang w:eastAsia="zh-CN"/>
        </w:rPr>
        <w:t xml:space="preserve">dysplasia detection </w:t>
      </w:r>
      <w:r w:rsidRPr="00AA07AF">
        <w:rPr>
          <w:lang w:eastAsia="zh-CN"/>
        </w:rPr>
        <w:t xml:space="preserve">at </w:t>
      </w:r>
      <w:r w:rsidR="00FB646A" w:rsidRPr="00AA07AF">
        <w:rPr>
          <w:lang w:eastAsia="zh-CN"/>
        </w:rPr>
        <w:t>GEJ/</w:t>
      </w:r>
      <w:r w:rsidR="00B6042B">
        <w:rPr>
          <w:rFonts w:hint="eastAsia"/>
          <w:lang w:eastAsia="zh-CN"/>
        </w:rPr>
        <w:t>c</w:t>
      </w:r>
      <w:r w:rsidR="00FB646A" w:rsidRPr="00AA07AF">
        <w:rPr>
          <w:lang w:eastAsia="zh-CN"/>
        </w:rPr>
        <w:t>ardia</w:t>
      </w:r>
    </w:p>
    <w:p w14:paraId="23E790E6" w14:textId="77777777" w:rsidR="009468EA" w:rsidRPr="00AA07AF" w:rsidRDefault="009468EA" w:rsidP="00B02C42">
      <w:pPr>
        <w:spacing w:before="0" w:after="0"/>
        <w:jc w:val="both"/>
        <w:rPr>
          <w:lang w:eastAsia="zh-CN"/>
        </w:rPr>
      </w:pPr>
    </w:p>
    <w:p w14:paraId="4EDA1EAA" w14:textId="77004617" w:rsidR="0013315F" w:rsidRPr="00AA07AF" w:rsidRDefault="0013315F" w:rsidP="00B02C42">
      <w:pPr>
        <w:spacing w:before="0" w:after="0"/>
        <w:jc w:val="both"/>
        <w:rPr>
          <w:b/>
        </w:rPr>
      </w:pPr>
      <w:r w:rsidRPr="00AA07AF">
        <w:rPr>
          <w:b/>
        </w:rPr>
        <w:t>Nina Gupta, Uzma Siddiqui, Irving Waxman, Christopher Chapman, Ann Koons, Vesta Valuckaite, Shu</w:t>
      </w:r>
      <w:r w:rsidR="005A0623" w:rsidRPr="00AA07AF">
        <w:rPr>
          <w:rFonts w:hint="eastAsia"/>
          <w:b/>
          <w:lang w:eastAsia="zh-CN"/>
        </w:rPr>
        <w:t>-</w:t>
      </w:r>
      <w:r w:rsidRPr="00AA07AF">
        <w:rPr>
          <w:b/>
        </w:rPr>
        <w:t xml:space="preserve">Yuan Xiao, Namrata Setia, John Hart, Vani Konda </w:t>
      </w:r>
    </w:p>
    <w:p w14:paraId="69A91310" w14:textId="77777777" w:rsidR="00F50736" w:rsidRPr="00AA07AF" w:rsidRDefault="00F50736" w:rsidP="00B02C42">
      <w:pPr>
        <w:spacing w:before="0" w:after="0"/>
        <w:jc w:val="both"/>
      </w:pPr>
    </w:p>
    <w:p w14:paraId="4B82194B" w14:textId="4D9C6DD9" w:rsidR="0013315F" w:rsidRPr="00AA07AF" w:rsidRDefault="00962FF7" w:rsidP="00B02C42">
      <w:pPr>
        <w:spacing w:before="0" w:after="0"/>
        <w:jc w:val="both"/>
        <w:rPr>
          <w:lang w:eastAsia="zh-CN"/>
        </w:rPr>
      </w:pPr>
      <w:r w:rsidRPr="00AA07AF">
        <w:rPr>
          <w:b/>
        </w:rPr>
        <w:t>Nina Gupta</w:t>
      </w:r>
      <w:r w:rsidRPr="00AA07AF">
        <w:t xml:space="preserve">, </w:t>
      </w:r>
      <w:r w:rsidR="0013315F" w:rsidRPr="00AA07AF">
        <w:t>Department of Medicine, University of Chicago</w:t>
      </w:r>
      <w:r w:rsidRPr="00AA07AF">
        <w:t xml:space="preserve"> Medical Center</w:t>
      </w:r>
      <w:r w:rsidR="00EF7803">
        <w:t>, Chicago</w:t>
      </w:r>
      <w:r w:rsidR="00EF7803">
        <w:rPr>
          <w:rFonts w:hint="eastAsia"/>
          <w:lang w:eastAsia="zh-CN"/>
        </w:rPr>
        <w:t>,</w:t>
      </w:r>
      <w:r w:rsidR="00915447">
        <w:rPr>
          <w:rFonts w:hint="eastAsia"/>
          <w:lang w:eastAsia="zh-CN"/>
        </w:rPr>
        <w:t xml:space="preserve"> </w:t>
      </w:r>
      <w:r w:rsidR="00FB646A" w:rsidRPr="00AA07AF">
        <w:t>IL 60616</w:t>
      </w:r>
      <w:r w:rsidR="00EF7803">
        <w:rPr>
          <w:rFonts w:hint="eastAsia"/>
          <w:lang w:eastAsia="zh-CN"/>
        </w:rPr>
        <w:t>, United States</w:t>
      </w:r>
    </w:p>
    <w:p w14:paraId="5E75D63F" w14:textId="77777777" w:rsidR="00F50736" w:rsidRPr="00AA07AF" w:rsidRDefault="00F50736" w:rsidP="00B02C42">
      <w:pPr>
        <w:spacing w:before="0" w:after="0"/>
        <w:jc w:val="both"/>
      </w:pPr>
    </w:p>
    <w:p w14:paraId="338A0E8B" w14:textId="73E0AA2C" w:rsidR="00EF7803" w:rsidRPr="00AA07AF" w:rsidRDefault="00962FF7" w:rsidP="00EF7803">
      <w:pPr>
        <w:spacing w:before="0" w:after="0"/>
        <w:jc w:val="both"/>
        <w:rPr>
          <w:lang w:eastAsia="zh-CN"/>
        </w:rPr>
      </w:pPr>
      <w:r w:rsidRPr="00AA07AF">
        <w:rPr>
          <w:b/>
        </w:rPr>
        <w:t>Uzma Siddiqui, Irving Waxman, Christopher Chapman, Ann Koons, Vesta Valuckaite, Vani Konda</w:t>
      </w:r>
      <w:r w:rsidRPr="00AA07AF">
        <w:t xml:space="preserve">, </w:t>
      </w:r>
      <w:r w:rsidR="0013315F" w:rsidRPr="00AA07AF">
        <w:t>Center of Endoscopic Research and Therapeutics, Department of Medicine, University of Chicago</w:t>
      </w:r>
      <w:r w:rsidRPr="00AA07AF">
        <w:t xml:space="preserve"> Medical Center</w:t>
      </w:r>
      <w:r w:rsidR="00FB646A" w:rsidRPr="00AA07AF">
        <w:t xml:space="preserve">, </w:t>
      </w:r>
      <w:r w:rsidR="00EF7803">
        <w:t>Chicago</w:t>
      </w:r>
      <w:r w:rsidR="00EF7803">
        <w:rPr>
          <w:rFonts w:hint="eastAsia"/>
          <w:lang w:eastAsia="zh-CN"/>
        </w:rPr>
        <w:t>,</w:t>
      </w:r>
      <w:r w:rsidR="00915447">
        <w:rPr>
          <w:rFonts w:hint="eastAsia"/>
          <w:lang w:eastAsia="zh-CN"/>
        </w:rPr>
        <w:t xml:space="preserve"> </w:t>
      </w:r>
      <w:r w:rsidR="00EF7803" w:rsidRPr="00AA07AF">
        <w:t>IL 60616</w:t>
      </w:r>
      <w:r w:rsidR="00EF7803">
        <w:rPr>
          <w:rFonts w:hint="eastAsia"/>
          <w:lang w:eastAsia="zh-CN"/>
        </w:rPr>
        <w:t>, United States</w:t>
      </w:r>
    </w:p>
    <w:p w14:paraId="69035870" w14:textId="77777777" w:rsidR="00962FF7" w:rsidRPr="00AA07AF" w:rsidRDefault="00962FF7" w:rsidP="00B02C42">
      <w:pPr>
        <w:spacing w:before="0" w:after="0"/>
        <w:jc w:val="both"/>
      </w:pPr>
    </w:p>
    <w:p w14:paraId="4CD93DEC" w14:textId="094AADF2" w:rsidR="00EF7803" w:rsidRPr="00AA07AF" w:rsidRDefault="00962FF7" w:rsidP="00EF7803">
      <w:pPr>
        <w:spacing w:before="0" w:after="0"/>
        <w:jc w:val="both"/>
        <w:rPr>
          <w:lang w:eastAsia="zh-CN"/>
        </w:rPr>
      </w:pPr>
      <w:r w:rsidRPr="00AA07AF">
        <w:rPr>
          <w:b/>
        </w:rPr>
        <w:t>Shu-Yuan Xiao, Namrata Setia, John Hart</w:t>
      </w:r>
      <w:r w:rsidRPr="00AA07AF">
        <w:t xml:space="preserve">, </w:t>
      </w:r>
      <w:r w:rsidR="0013315F" w:rsidRPr="00AA07AF">
        <w:t>Department of Pathology, University of Chicago</w:t>
      </w:r>
      <w:r w:rsidRPr="00AA07AF">
        <w:t xml:space="preserve"> Medical Center</w:t>
      </w:r>
      <w:r w:rsidR="00FB646A" w:rsidRPr="00AA07AF">
        <w:t xml:space="preserve">, </w:t>
      </w:r>
      <w:r w:rsidR="00EF7803">
        <w:t>Chicago</w:t>
      </w:r>
      <w:r w:rsidR="00EF7803">
        <w:rPr>
          <w:rFonts w:hint="eastAsia"/>
          <w:lang w:eastAsia="zh-CN"/>
        </w:rPr>
        <w:t>,</w:t>
      </w:r>
      <w:r w:rsidR="00915447">
        <w:rPr>
          <w:rFonts w:hint="eastAsia"/>
          <w:lang w:eastAsia="zh-CN"/>
        </w:rPr>
        <w:t xml:space="preserve"> </w:t>
      </w:r>
      <w:r w:rsidR="00EF7803" w:rsidRPr="00AA07AF">
        <w:t>IL 60616</w:t>
      </w:r>
      <w:r w:rsidR="00EF7803">
        <w:rPr>
          <w:rFonts w:hint="eastAsia"/>
          <w:lang w:eastAsia="zh-CN"/>
        </w:rPr>
        <w:t>, United States</w:t>
      </w:r>
    </w:p>
    <w:p w14:paraId="2E61B297" w14:textId="77777777" w:rsidR="0013315F" w:rsidRPr="00AA07AF" w:rsidRDefault="0013315F" w:rsidP="00B02C42">
      <w:pPr>
        <w:spacing w:before="0" w:after="0"/>
        <w:jc w:val="both"/>
      </w:pPr>
    </w:p>
    <w:p w14:paraId="6CB803A5" w14:textId="7E1EDBF6" w:rsidR="00962FF7" w:rsidRPr="00AA07AF" w:rsidRDefault="00962FF7" w:rsidP="00B02C42">
      <w:pPr>
        <w:spacing w:before="0" w:after="0"/>
        <w:jc w:val="both"/>
      </w:pPr>
      <w:r w:rsidRPr="00EF7803">
        <w:rPr>
          <w:b/>
        </w:rPr>
        <w:t xml:space="preserve">Author </w:t>
      </w:r>
      <w:r w:rsidR="00EF7803" w:rsidRPr="00EF7803">
        <w:rPr>
          <w:b/>
        </w:rPr>
        <w:t>c</w:t>
      </w:r>
      <w:r w:rsidRPr="00EF7803">
        <w:rPr>
          <w:b/>
        </w:rPr>
        <w:t>ontributions:</w:t>
      </w:r>
      <w:r w:rsidRPr="00AA07AF">
        <w:t xml:space="preserve"> Gupta N designed and performed the research, performed the statistical analysis, and wrote the paper; Siddiqui U, Wa</w:t>
      </w:r>
      <w:r w:rsidR="009C7B0A" w:rsidRPr="00AA07AF">
        <w:t>x</w:t>
      </w:r>
      <w:r w:rsidRPr="00AA07AF">
        <w:t>man I, Chapm</w:t>
      </w:r>
      <w:r w:rsidR="00F62F7A" w:rsidRPr="00AA07AF">
        <w:t>an C provided clinical advice and contributed to the data set</w:t>
      </w:r>
      <w:r w:rsidR="00703398">
        <w:rPr>
          <w:rFonts w:hint="eastAsia"/>
          <w:lang w:eastAsia="zh-CN"/>
        </w:rPr>
        <w:t>;</w:t>
      </w:r>
      <w:r w:rsidRPr="00AA07AF">
        <w:t xml:space="preserve"> Koons A and Valuckaite V</w:t>
      </w:r>
      <w:r w:rsidR="00F62F7A" w:rsidRPr="00AA07AF">
        <w:t xml:space="preserve"> provided administrative support for VLE system use and patient participation</w:t>
      </w:r>
      <w:r w:rsidR="00703398">
        <w:rPr>
          <w:rFonts w:hint="eastAsia"/>
          <w:lang w:eastAsia="zh-CN"/>
        </w:rPr>
        <w:t>;</w:t>
      </w:r>
      <w:r w:rsidR="00F62F7A" w:rsidRPr="00AA07AF">
        <w:t xml:space="preserve"> Xiao S, Setia N, </w:t>
      </w:r>
      <w:r w:rsidR="00F62F7A" w:rsidRPr="00AA07AF">
        <w:lastRenderedPageBreak/>
        <w:t>Hart J performed histologic analysis</w:t>
      </w:r>
      <w:r w:rsidR="00703398">
        <w:rPr>
          <w:rFonts w:hint="eastAsia"/>
          <w:lang w:eastAsia="zh-CN"/>
        </w:rPr>
        <w:t>;</w:t>
      </w:r>
      <w:r w:rsidR="00F62F7A" w:rsidRPr="00AA07AF">
        <w:t xml:space="preserve"> Konda V designed the research and supervised the report</w:t>
      </w:r>
    </w:p>
    <w:p w14:paraId="26782BF6" w14:textId="77777777" w:rsidR="00962FF7" w:rsidRPr="00AA07AF" w:rsidRDefault="00962FF7" w:rsidP="00B02C42">
      <w:pPr>
        <w:spacing w:before="0" w:after="0"/>
        <w:jc w:val="both"/>
      </w:pPr>
    </w:p>
    <w:p w14:paraId="3101CBC9" w14:textId="183632F3" w:rsidR="001732C1" w:rsidRPr="00AA07AF" w:rsidRDefault="00703398" w:rsidP="00B02C42">
      <w:pPr>
        <w:spacing w:before="0" w:after="0"/>
        <w:jc w:val="both"/>
      </w:pPr>
      <w:bookmarkStart w:id="3" w:name="OLE_LINK351"/>
      <w:bookmarkStart w:id="4" w:name="OLE_LINK352"/>
      <w:bookmarkStart w:id="5" w:name="OLE_LINK537"/>
      <w:bookmarkStart w:id="6" w:name="OLE_LINK539"/>
      <w:r w:rsidRPr="00C52BCF">
        <w:rPr>
          <w:b/>
          <w:color w:val="000000"/>
        </w:rPr>
        <w:t>Institutional review board statement:</w:t>
      </w:r>
      <w:bookmarkEnd w:id="3"/>
      <w:bookmarkEnd w:id="4"/>
      <w:bookmarkEnd w:id="5"/>
      <w:bookmarkEnd w:id="6"/>
      <w:r w:rsidR="001732C1" w:rsidRPr="00AA07AF">
        <w:t xml:space="preserve"> This study was reviewed and approved by the IRB co</w:t>
      </w:r>
      <w:r w:rsidR="0023348A">
        <w:t>mm</w:t>
      </w:r>
      <w:r w:rsidR="001732C1" w:rsidRPr="00AA07AF">
        <w:t>ittee of the University of Chicago.</w:t>
      </w:r>
    </w:p>
    <w:p w14:paraId="02F4F9D3" w14:textId="77777777" w:rsidR="001732C1" w:rsidRPr="00AA07AF" w:rsidRDefault="001732C1" w:rsidP="00B02C42">
      <w:pPr>
        <w:spacing w:before="0" w:after="0"/>
        <w:jc w:val="both"/>
      </w:pPr>
    </w:p>
    <w:p w14:paraId="0B20BF6A" w14:textId="75C84B4B" w:rsidR="001732C1" w:rsidRPr="00AA07AF" w:rsidRDefault="001732C1" w:rsidP="00B02C42">
      <w:pPr>
        <w:spacing w:before="0" w:after="0"/>
        <w:jc w:val="both"/>
      </w:pPr>
      <w:r w:rsidRPr="00703398">
        <w:rPr>
          <w:b/>
        </w:rPr>
        <w:t>Informed consent statement:</w:t>
      </w:r>
      <w:r w:rsidRPr="00AA07AF">
        <w:t xml:space="preserve"> Patients were not required to give informed consent to the study because the analysis used anonymous clinical data that were obtained after the patient agreed to treatment and VLE imaging by written consent.</w:t>
      </w:r>
    </w:p>
    <w:p w14:paraId="2B2198CE" w14:textId="77777777" w:rsidR="001732C1" w:rsidRPr="00AA07AF" w:rsidRDefault="001732C1" w:rsidP="00B02C42">
      <w:pPr>
        <w:spacing w:before="0" w:after="0"/>
        <w:jc w:val="both"/>
      </w:pPr>
    </w:p>
    <w:p w14:paraId="750D212C" w14:textId="795D7EFF" w:rsidR="0013315F" w:rsidRPr="00AA07AF" w:rsidRDefault="001732C1" w:rsidP="00B02C42">
      <w:pPr>
        <w:spacing w:before="0" w:after="0"/>
        <w:jc w:val="both"/>
      </w:pPr>
      <w:r w:rsidRPr="00703398">
        <w:rPr>
          <w:b/>
        </w:rPr>
        <w:t>Conflic</w:t>
      </w:r>
      <w:r w:rsidR="0023348A" w:rsidRPr="0074569E">
        <w:rPr>
          <w:b/>
        </w:rPr>
        <w:t>t</w:t>
      </w:r>
      <w:r w:rsidR="0023348A" w:rsidRPr="0023348A">
        <w:rPr>
          <w:b/>
          <w:i/>
        </w:rPr>
        <w:t>-</w:t>
      </w:r>
      <w:r w:rsidRPr="00703398">
        <w:rPr>
          <w:b/>
        </w:rPr>
        <w:t xml:space="preserve">of-interest statement: </w:t>
      </w:r>
      <w:r w:rsidRPr="00AA07AF">
        <w:t>We have no</w:t>
      </w:r>
      <w:r w:rsidR="0013315F" w:rsidRPr="00AA07AF">
        <w:t xml:space="preserve"> relevant </w:t>
      </w:r>
      <w:r w:rsidRPr="00AA07AF">
        <w:t>financial relationships to disclose.</w:t>
      </w:r>
    </w:p>
    <w:p w14:paraId="13BE786B" w14:textId="77777777" w:rsidR="0013315F" w:rsidRPr="00AA07AF" w:rsidRDefault="0013315F" w:rsidP="00B02C42">
      <w:pPr>
        <w:spacing w:before="0" w:after="0"/>
        <w:jc w:val="both"/>
      </w:pPr>
    </w:p>
    <w:p w14:paraId="61CA2E1C" w14:textId="5A132CB6" w:rsidR="001732C1" w:rsidRPr="00AA07AF" w:rsidRDefault="001732C1" w:rsidP="00B02C42">
      <w:pPr>
        <w:spacing w:before="0" w:after="0"/>
        <w:jc w:val="both"/>
      </w:pPr>
      <w:r w:rsidRPr="00703398">
        <w:rPr>
          <w:b/>
        </w:rPr>
        <w:t xml:space="preserve">Data sharing statement: </w:t>
      </w:r>
      <w:r w:rsidRPr="00AA07AF">
        <w:t>No additional data are available.</w:t>
      </w:r>
    </w:p>
    <w:p w14:paraId="2457DF03" w14:textId="77777777" w:rsidR="001732C1" w:rsidRPr="00AA07AF" w:rsidRDefault="001732C1" w:rsidP="00B02C42">
      <w:pPr>
        <w:spacing w:before="0" w:after="0"/>
        <w:jc w:val="both"/>
      </w:pPr>
    </w:p>
    <w:p w14:paraId="226DF4B0" w14:textId="03049095" w:rsidR="00703398" w:rsidRPr="00C52BCF" w:rsidRDefault="00703398" w:rsidP="00703398">
      <w:pPr>
        <w:widowControl w:val="0"/>
        <w:adjustRightInd w:val="0"/>
        <w:snapToGrid w:val="0"/>
        <w:spacing w:after="0"/>
        <w:jc w:val="both"/>
      </w:pPr>
      <w:bookmarkStart w:id="7" w:name="OLE_LINK111"/>
      <w:bookmarkStart w:id="8" w:name="OLE_LINK112"/>
      <w:bookmarkStart w:id="9" w:name="OLE_LINK54"/>
      <w:bookmarkStart w:id="10" w:name="OLE_LINK70"/>
      <w:bookmarkStart w:id="11" w:name="OLE_LINK123"/>
      <w:bookmarkStart w:id="12" w:name="OLE_LINK183"/>
      <w:bookmarkStart w:id="13" w:name="OLE_LINK329"/>
      <w:bookmarkStart w:id="14" w:name="OLE_LINK424"/>
      <w:bookmarkStart w:id="15" w:name="OLE_LINK662"/>
      <w:r w:rsidRPr="00C52BCF">
        <w:rPr>
          <w:b/>
          <w:color w:val="000000"/>
        </w:rPr>
        <w:t xml:space="preserve">Open-Access: </w:t>
      </w:r>
      <w:r w:rsidRPr="00C52BCF">
        <w:rPr>
          <w:color w:val="000000"/>
        </w:rPr>
        <w:t>This article is an open-access article which was selected by an in-house editor and fully peer-reviewed by external reviewers. It is distributed in accordance with the Creative Co</w:t>
      </w:r>
      <w:r w:rsidR="0023348A">
        <w:rPr>
          <w:color w:val="000000"/>
        </w:rPr>
        <w:t xml:space="preserve"> mm</w:t>
      </w:r>
      <w:r w:rsidRPr="00C52BCF">
        <w:rPr>
          <w:color w:val="000000"/>
        </w:rPr>
        <w:t>ons Attribution Non Co</w:t>
      </w:r>
      <w:r w:rsidR="0023348A">
        <w:rPr>
          <w:color w:val="000000"/>
        </w:rPr>
        <w:t xml:space="preserve"> mm</w:t>
      </w:r>
      <w:r w:rsidRPr="00C52BCF">
        <w:rPr>
          <w:color w:val="000000"/>
        </w:rPr>
        <w:t>ercial (CC BY-NC 4.0) license, which permits others to distribute, remix, adapt, build upon this work non-co</w:t>
      </w:r>
      <w:r w:rsidR="0023348A">
        <w:rPr>
          <w:color w:val="000000"/>
        </w:rPr>
        <w:t xml:space="preserve"> mm</w:t>
      </w:r>
      <w:r w:rsidRPr="00C52BCF">
        <w:rPr>
          <w:color w:val="000000"/>
        </w:rPr>
        <w:t>ercially, and license their derivative works on different terms, provided the original work is properly cited and the use is non-co</w:t>
      </w:r>
      <w:r w:rsidR="0023348A">
        <w:rPr>
          <w:color w:val="000000"/>
        </w:rPr>
        <w:t xml:space="preserve"> mm</w:t>
      </w:r>
      <w:r w:rsidRPr="00C52BCF">
        <w:rPr>
          <w:color w:val="000000"/>
        </w:rPr>
        <w:t xml:space="preserve">ercial. See: </w:t>
      </w:r>
      <w:r w:rsidRPr="00C52BCF">
        <w:t>http://creativeco</w:t>
      </w:r>
      <w:r w:rsidR="0023348A">
        <w:t xml:space="preserve"> mm</w:t>
      </w:r>
      <w:r w:rsidRPr="00C52BCF">
        <w:t>ons.org/licenses/by-nc/4.0/</w:t>
      </w:r>
      <w:bookmarkEnd w:id="7"/>
      <w:bookmarkEnd w:id="8"/>
    </w:p>
    <w:bookmarkEnd w:id="9"/>
    <w:bookmarkEnd w:id="10"/>
    <w:bookmarkEnd w:id="11"/>
    <w:bookmarkEnd w:id="12"/>
    <w:bookmarkEnd w:id="13"/>
    <w:bookmarkEnd w:id="14"/>
    <w:bookmarkEnd w:id="15"/>
    <w:p w14:paraId="4BF2820D" w14:textId="77777777" w:rsidR="00F50736" w:rsidRDefault="00F50736" w:rsidP="00B02C42">
      <w:pPr>
        <w:spacing w:before="0" w:after="0"/>
        <w:jc w:val="both"/>
        <w:rPr>
          <w:lang w:eastAsia="zh-CN"/>
        </w:rPr>
      </w:pPr>
    </w:p>
    <w:p w14:paraId="23B15A0D" w14:textId="77777777" w:rsidR="0074569E" w:rsidRPr="00C52BCF" w:rsidRDefault="0074569E" w:rsidP="0074569E">
      <w:pPr>
        <w:snapToGrid w:val="0"/>
        <w:spacing w:after="0"/>
        <w:ind w:right="120"/>
        <w:jc w:val="both"/>
        <w:rPr>
          <w:rFonts w:cs="Times New Roman"/>
          <w:color w:val="000000"/>
        </w:rPr>
      </w:pPr>
      <w:bookmarkStart w:id="16" w:name="OLE_LINK219"/>
      <w:bookmarkStart w:id="17" w:name="OLE_LINK368"/>
      <w:bookmarkStart w:id="18" w:name="OLE_LINK551"/>
      <w:r w:rsidRPr="00C52BCF">
        <w:rPr>
          <w:rFonts w:cs="Times New Roman"/>
          <w:b/>
          <w:color w:val="000000"/>
        </w:rPr>
        <w:t>Manuscript source:</w:t>
      </w:r>
      <w:r w:rsidRPr="00C52BCF">
        <w:rPr>
          <w:rFonts w:cs="Times New Roman"/>
          <w:color w:val="000000"/>
        </w:rPr>
        <w:t xml:space="preserve"> Invited manuscript</w:t>
      </w:r>
    </w:p>
    <w:bookmarkEnd w:id="16"/>
    <w:bookmarkEnd w:id="17"/>
    <w:bookmarkEnd w:id="18"/>
    <w:p w14:paraId="3C981A54" w14:textId="77777777" w:rsidR="0074569E" w:rsidRDefault="0074569E" w:rsidP="00B02C42">
      <w:pPr>
        <w:spacing w:before="0" w:after="0"/>
        <w:jc w:val="both"/>
        <w:rPr>
          <w:lang w:eastAsia="zh-CN"/>
        </w:rPr>
      </w:pPr>
    </w:p>
    <w:p w14:paraId="69BF1E83" w14:textId="214EEAB2" w:rsidR="00703398" w:rsidRPr="00C52BCF" w:rsidRDefault="00703398" w:rsidP="00703398">
      <w:pPr>
        <w:suppressAutoHyphens/>
        <w:autoSpaceDE w:val="0"/>
        <w:autoSpaceDN w:val="0"/>
        <w:adjustRightInd w:val="0"/>
        <w:snapToGrid w:val="0"/>
        <w:spacing w:after="0"/>
        <w:jc w:val="both"/>
        <w:rPr>
          <w:b/>
          <w:color w:val="000000"/>
        </w:rPr>
      </w:pPr>
      <w:bookmarkStart w:id="19" w:name="OLE_LINK155"/>
      <w:r w:rsidRPr="00C52BCF">
        <w:rPr>
          <w:b/>
          <w:color w:val="000000"/>
        </w:rPr>
        <w:t xml:space="preserve">Correspondence to: </w:t>
      </w:r>
      <w:r w:rsidRPr="00703398">
        <w:rPr>
          <w:b/>
        </w:rPr>
        <w:t>Nina Gupta, MD,</w:t>
      </w:r>
      <w:r w:rsidRPr="00AA07AF">
        <w:t xml:space="preserve"> Department of Medicine, University of Chicago Medical Center, 5841 S. Maryland Ave., MC 3051, Chicago, IL 60637, United States. nina.gupta@uchospitals.edu</w:t>
      </w:r>
    </w:p>
    <w:bookmarkEnd w:id="19"/>
    <w:p w14:paraId="6402835F" w14:textId="7BE589AF" w:rsidR="00703398" w:rsidRPr="00C52BCF" w:rsidRDefault="00703398" w:rsidP="00703398">
      <w:pPr>
        <w:suppressAutoHyphens/>
        <w:autoSpaceDE w:val="0"/>
        <w:autoSpaceDN w:val="0"/>
        <w:adjustRightInd w:val="0"/>
        <w:snapToGrid w:val="0"/>
        <w:spacing w:after="0"/>
        <w:jc w:val="both"/>
        <w:rPr>
          <w:rFonts w:eastAsia="幼圆"/>
          <w:b/>
        </w:rPr>
      </w:pPr>
      <w:r w:rsidRPr="00C52BCF">
        <w:rPr>
          <w:b/>
          <w:color w:val="000000"/>
        </w:rPr>
        <w:t>Telephone:</w:t>
      </w:r>
      <w:r w:rsidRPr="00703398">
        <w:t xml:space="preserve"> </w:t>
      </w:r>
      <w:r>
        <w:t>+1-773-702</w:t>
      </w:r>
      <w:r w:rsidRPr="00AA07AF">
        <w:t>6840</w:t>
      </w:r>
    </w:p>
    <w:p w14:paraId="4F76B00C" w14:textId="56A8C1A0" w:rsidR="00703398" w:rsidRPr="00C52BCF" w:rsidRDefault="00703398" w:rsidP="00703398">
      <w:pPr>
        <w:suppressAutoHyphens/>
        <w:autoSpaceDE w:val="0"/>
        <w:autoSpaceDN w:val="0"/>
        <w:adjustRightInd w:val="0"/>
        <w:snapToGrid w:val="0"/>
        <w:spacing w:after="0"/>
        <w:jc w:val="both"/>
        <w:rPr>
          <w:b/>
          <w:color w:val="000000"/>
        </w:rPr>
      </w:pPr>
      <w:r w:rsidRPr="00C52BCF">
        <w:rPr>
          <w:b/>
          <w:color w:val="000000"/>
        </w:rPr>
        <w:t>Fax:</w:t>
      </w:r>
      <w:r w:rsidRPr="00703398">
        <w:t xml:space="preserve"> </w:t>
      </w:r>
      <w:r>
        <w:t>+1-773-702</w:t>
      </w:r>
      <w:r w:rsidRPr="00AA07AF">
        <w:t>2230</w:t>
      </w:r>
    </w:p>
    <w:p w14:paraId="0723213F" w14:textId="77777777" w:rsidR="00703398" w:rsidRPr="00AA07AF" w:rsidRDefault="00703398" w:rsidP="00B02C42">
      <w:pPr>
        <w:spacing w:before="0" w:after="0"/>
        <w:jc w:val="both"/>
        <w:rPr>
          <w:lang w:eastAsia="zh-CN"/>
        </w:rPr>
      </w:pPr>
    </w:p>
    <w:p w14:paraId="1C1947CB" w14:textId="441D1315" w:rsidR="00703398" w:rsidRPr="00C52BCF" w:rsidRDefault="00703398" w:rsidP="00703398">
      <w:pPr>
        <w:widowControl w:val="0"/>
        <w:adjustRightInd w:val="0"/>
        <w:snapToGrid w:val="0"/>
        <w:spacing w:after="0"/>
        <w:jc w:val="both"/>
      </w:pPr>
      <w:bookmarkStart w:id="20" w:name="OLE_LINK140"/>
      <w:bookmarkStart w:id="21" w:name="OLE_LINK7"/>
      <w:bookmarkStart w:id="22" w:name="OLE_LINK8"/>
      <w:bookmarkStart w:id="23" w:name="OLE_LINK16"/>
      <w:bookmarkStart w:id="24" w:name="OLE_LINK36"/>
      <w:bookmarkStart w:id="25" w:name="OLE_LINK38"/>
      <w:bookmarkStart w:id="26" w:name="OLE_LINK47"/>
      <w:bookmarkStart w:id="27" w:name="OLE_LINK55"/>
      <w:bookmarkStart w:id="28" w:name="OLE_LINK77"/>
      <w:bookmarkStart w:id="29" w:name="OLE_LINK80"/>
      <w:bookmarkStart w:id="30" w:name="OLE_LINK83"/>
      <w:bookmarkStart w:id="31" w:name="OLE_LINK85"/>
      <w:bookmarkStart w:id="32" w:name="OLE_LINK153"/>
      <w:bookmarkStart w:id="33" w:name="OLE_LINK156"/>
      <w:bookmarkStart w:id="34" w:name="OLE_LINK224"/>
      <w:bookmarkStart w:id="35" w:name="OLE_LINK271"/>
      <w:bookmarkStart w:id="36" w:name="OLE_LINK321"/>
      <w:bookmarkStart w:id="37" w:name="OLE_LINK322"/>
      <w:bookmarkStart w:id="38" w:name="OLE_LINK330"/>
      <w:bookmarkStart w:id="39" w:name="OLE_LINK229"/>
      <w:bookmarkStart w:id="40" w:name="OLE_LINK230"/>
      <w:bookmarkStart w:id="41" w:name="OLE_LINK422"/>
      <w:bookmarkStart w:id="42" w:name="OLE_LINK464"/>
      <w:bookmarkStart w:id="43" w:name="OLE_LINK493"/>
      <w:bookmarkStart w:id="44" w:name="OLE_LINK535"/>
      <w:bookmarkStart w:id="45" w:name="OLE_LINK552"/>
      <w:bookmarkStart w:id="46" w:name="OLE_LINK578"/>
      <w:bookmarkStart w:id="47" w:name="OLE_LINK608"/>
      <w:bookmarkStart w:id="48" w:name="OLE_LINK632"/>
      <w:bookmarkStart w:id="49" w:name="OLE_LINK643"/>
      <w:bookmarkStart w:id="50" w:name="OLE_LINK678"/>
      <w:bookmarkStart w:id="51" w:name="OLE_LINK683"/>
      <w:bookmarkStart w:id="52" w:name="OLE_LINK694"/>
      <w:bookmarkStart w:id="53" w:name="OLE_LINK724"/>
      <w:bookmarkStart w:id="54" w:name="OLE_LINK730"/>
      <w:bookmarkStart w:id="55" w:name="OLE_LINK749"/>
      <w:bookmarkStart w:id="56" w:name="OLE_LINK787"/>
      <w:r w:rsidRPr="00C52BCF">
        <w:rPr>
          <w:b/>
        </w:rPr>
        <w:t xml:space="preserve">Received: </w:t>
      </w:r>
      <w:r>
        <w:rPr>
          <w:rFonts w:hint="eastAsia"/>
        </w:rPr>
        <w:t xml:space="preserve">September </w:t>
      </w:r>
      <w:r>
        <w:rPr>
          <w:rFonts w:hint="eastAsia"/>
          <w:lang w:eastAsia="zh-CN"/>
        </w:rPr>
        <w:t>22</w:t>
      </w:r>
      <w:r>
        <w:rPr>
          <w:rFonts w:hint="eastAsia"/>
        </w:rPr>
        <w:t>, 2016</w:t>
      </w:r>
      <w:r w:rsidR="00915447">
        <w:rPr>
          <w:rFonts w:hint="eastAsia"/>
        </w:rPr>
        <w:t xml:space="preserve"> </w:t>
      </w:r>
    </w:p>
    <w:p w14:paraId="10E3FE88" w14:textId="6C5615C6" w:rsidR="00703398" w:rsidRPr="00C52BCF" w:rsidRDefault="00703398" w:rsidP="00703398">
      <w:pPr>
        <w:widowControl w:val="0"/>
        <w:adjustRightInd w:val="0"/>
        <w:snapToGrid w:val="0"/>
        <w:spacing w:after="0"/>
        <w:jc w:val="both"/>
      </w:pPr>
      <w:r w:rsidRPr="00C52BCF">
        <w:rPr>
          <w:b/>
        </w:rPr>
        <w:t xml:space="preserve">Peer-review started: </w:t>
      </w:r>
      <w:r>
        <w:rPr>
          <w:rFonts w:hint="eastAsia"/>
        </w:rPr>
        <w:t xml:space="preserve">September </w:t>
      </w:r>
      <w:r>
        <w:rPr>
          <w:rFonts w:hint="eastAsia"/>
          <w:lang w:eastAsia="zh-CN"/>
        </w:rPr>
        <w:t>23</w:t>
      </w:r>
      <w:r>
        <w:rPr>
          <w:rFonts w:hint="eastAsia"/>
        </w:rPr>
        <w:t>, 2016</w:t>
      </w:r>
      <w:r w:rsidR="00915447">
        <w:rPr>
          <w:rFonts w:hint="eastAsia"/>
        </w:rPr>
        <w:t xml:space="preserve"> </w:t>
      </w:r>
    </w:p>
    <w:p w14:paraId="15A85B56" w14:textId="2DF228BE" w:rsidR="00703398" w:rsidRPr="00C52BCF" w:rsidRDefault="00703398" w:rsidP="00703398">
      <w:pPr>
        <w:widowControl w:val="0"/>
        <w:adjustRightInd w:val="0"/>
        <w:snapToGrid w:val="0"/>
        <w:spacing w:after="0"/>
        <w:jc w:val="both"/>
      </w:pPr>
      <w:r w:rsidRPr="00C52BCF">
        <w:rPr>
          <w:b/>
        </w:rPr>
        <w:t>First decision:</w:t>
      </w:r>
      <w:r w:rsidRPr="00C52BCF">
        <w:t xml:space="preserve"> </w:t>
      </w:r>
      <w:r>
        <w:rPr>
          <w:rFonts w:hint="eastAsia"/>
        </w:rPr>
        <w:t xml:space="preserve">November </w:t>
      </w:r>
      <w:r>
        <w:rPr>
          <w:rFonts w:hint="eastAsia"/>
          <w:lang w:eastAsia="zh-CN"/>
        </w:rPr>
        <w:t>21</w:t>
      </w:r>
      <w:r>
        <w:rPr>
          <w:rFonts w:hint="eastAsia"/>
        </w:rPr>
        <w:t xml:space="preserve">, 2016 </w:t>
      </w:r>
    </w:p>
    <w:p w14:paraId="76C4A0FF" w14:textId="66C8ED1A" w:rsidR="00703398" w:rsidRPr="00C52BCF" w:rsidRDefault="00703398" w:rsidP="00703398">
      <w:pPr>
        <w:widowControl w:val="0"/>
        <w:adjustRightInd w:val="0"/>
        <w:snapToGrid w:val="0"/>
        <w:spacing w:after="0"/>
        <w:jc w:val="both"/>
      </w:pPr>
      <w:r w:rsidRPr="00C52BCF">
        <w:rPr>
          <w:b/>
        </w:rPr>
        <w:t>Revised:</w:t>
      </w:r>
      <w:r w:rsidRPr="00C52BCF">
        <w:t xml:space="preserve"> </w:t>
      </w:r>
      <w:r>
        <w:rPr>
          <w:rFonts w:hint="eastAsia"/>
        </w:rPr>
        <w:t xml:space="preserve">January </w:t>
      </w:r>
      <w:r>
        <w:rPr>
          <w:rFonts w:hint="eastAsia"/>
          <w:lang w:eastAsia="zh-CN"/>
        </w:rPr>
        <w:t>7</w:t>
      </w:r>
      <w:r>
        <w:rPr>
          <w:rFonts w:hint="eastAsia"/>
        </w:rPr>
        <w:t xml:space="preserve">, 2017 </w:t>
      </w:r>
    </w:p>
    <w:p w14:paraId="70613DA9" w14:textId="1A9E1F17" w:rsidR="00703398" w:rsidRPr="00FC09B5" w:rsidRDefault="00703398" w:rsidP="00FC09B5">
      <w:pPr>
        <w:rPr>
          <w:iCs/>
        </w:rPr>
      </w:pPr>
      <w:r w:rsidRPr="00C52BCF">
        <w:rPr>
          <w:b/>
        </w:rPr>
        <w:t>Accepted:</w:t>
      </w:r>
      <w:r>
        <w:rPr>
          <w:rFonts w:hint="eastAsia"/>
          <w:b/>
        </w:rPr>
        <w:t xml:space="preserve"> </w:t>
      </w:r>
      <w:r w:rsidR="00FC09B5">
        <w:rPr>
          <w:rStyle w:val="af1"/>
        </w:rPr>
        <w:t>April 18</w:t>
      </w:r>
      <w:r w:rsidR="00FC09B5">
        <w:rPr>
          <w:rStyle w:val="af1"/>
          <w:rFonts w:cs="宋体"/>
        </w:rPr>
        <w:t>,</w:t>
      </w:r>
      <w:r w:rsidR="00FC09B5">
        <w:rPr>
          <w:rStyle w:val="af1"/>
        </w:rPr>
        <w:t xml:space="preserve"> 2017</w:t>
      </w:r>
    </w:p>
    <w:p w14:paraId="5D87734E" w14:textId="77777777" w:rsidR="00703398" w:rsidRPr="00FE5E1A" w:rsidRDefault="00703398" w:rsidP="00703398">
      <w:pPr>
        <w:widowControl w:val="0"/>
        <w:adjustRightInd w:val="0"/>
        <w:snapToGrid w:val="0"/>
        <w:spacing w:after="0"/>
        <w:jc w:val="both"/>
      </w:pPr>
      <w:r w:rsidRPr="00C52BCF">
        <w:rPr>
          <w:b/>
        </w:rPr>
        <w:t>Article in press:</w:t>
      </w:r>
      <w:r>
        <w:rPr>
          <w:rFonts w:hint="eastAsia"/>
        </w:rPr>
        <w:t xml:space="preserve"> </w:t>
      </w:r>
    </w:p>
    <w:p w14:paraId="305F5B5E" w14:textId="77777777" w:rsidR="00703398" w:rsidRPr="00FE5E1A" w:rsidRDefault="00703398" w:rsidP="00703398">
      <w:pPr>
        <w:snapToGrid w:val="0"/>
        <w:spacing w:after="0"/>
        <w:jc w:val="both"/>
      </w:pPr>
      <w:r w:rsidRPr="00C52BCF">
        <w:rPr>
          <w:b/>
        </w:rPr>
        <w:t>Published online:</w:t>
      </w:r>
      <w:bookmarkEnd w:id="20"/>
      <w:r>
        <w:rPr>
          <w:rFonts w:hint="eastAsia"/>
        </w:rPr>
        <w:t xml:space="preserve"> </w:t>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14:paraId="5329DB9B" w14:textId="77777777" w:rsidR="00397812" w:rsidRPr="00AA07AF" w:rsidRDefault="00397812" w:rsidP="00B02C42">
      <w:pPr>
        <w:spacing w:before="0" w:after="0"/>
        <w:jc w:val="both"/>
      </w:pPr>
      <w:r w:rsidRPr="00AA07AF">
        <w:br w:type="page"/>
      </w:r>
    </w:p>
    <w:p w14:paraId="311507B2" w14:textId="77777777" w:rsidR="00CD5BB2" w:rsidRPr="00C52BCF" w:rsidRDefault="00CD5BB2" w:rsidP="00CD5BB2">
      <w:pPr>
        <w:widowControl w:val="0"/>
        <w:adjustRightInd w:val="0"/>
        <w:snapToGrid w:val="0"/>
        <w:spacing w:after="0"/>
        <w:jc w:val="both"/>
        <w:rPr>
          <w:b/>
          <w:color w:val="000000"/>
        </w:rPr>
      </w:pPr>
      <w:r w:rsidRPr="00C52BCF">
        <w:rPr>
          <w:b/>
          <w:color w:val="000000"/>
        </w:rPr>
        <w:lastRenderedPageBreak/>
        <w:t>Abstract</w:t>
      </w:r>
    </w:p>
    <w:p w14:paraId="0ED51374" w14:textId="77777777" w:rsidR="00CD5BB2" w:rsidRDefault="00CD5BB2" w:rsidP="00CD5BB2">
      <w:pPr>
        <w:widowControl w:val="0"/>
        <w:adjustRightInd w:val="0"/>
        <w:snapToGrid w:val="0"/>
        <w:spacing w:after="0"/>
        <w:jc w:val="both"/>
        <w:rPr>
          <w:b/>
          <w:i/>
          <w:color w:val="000000"/>
          <w:lang w:eastAsia="zh-CN"/>
        </w:rPr>
      </w:pPr>
      <w:bookmarkStart w:id="57" w:name="OLE_LINK289"/>
      <w:bookmarkStart w:id="58" w:name="OLE_LINK290"/>
      <w:r w:rsidRPr="00C52BCF">
        <w:rPr>
          <w:b/>
          <w:i/>
          <w:color w:val="000000"/>
        </w:rPr>
        <w:t>AIM</w:t>
      </w:r>
    </w:p>
    <w:p w14:paraId="3717F54C" w14:textId="1EF9B398" w:rsidR="00CD5BB2" w:rsidRDefault="00CD5BB2" w:rsidP="00CD5BB2">
      <w:pPr>
        <w:widowControl w:val="0"/>
        <w:adjustRightInd w:val="0"/>
        <w:snapToGrid w:val="0"/>
        <w:spacing w:after="0"/>
        <w:jc w:val="both"/>
        <w:rPr>
          <w:b/>
          <w:i/>
          <w:color w:val="000000"/>
          <w:lang w:eastAsia="zh-CN"/>
        </w:rPr>
      </w:pPr>
      <w:r w:rsidRPr="00AA07AF">
        <w:t>To determine specific volumetric laser endomicroscopy (VLE) imaging features associated with neoplasia at the gastroesophageal junction (GEJ) and gastric cardia.</w:t>
      </w:r>
    </w:p>
    <w:p w14:paraId="56E957FE" w14:textId="77777777" w:rsidR="00CD5BB2" w:rsidRPr="00C52BCF" w:rsidRDefault="00CD5BB2" w:rsidP="00CD5BB2">
      <w:pPr>
        <w:widowControl w:val="0"/>
        <w:adjustRightInd w:val="0"/>
        <w:snapToGrid w:val="0"/>
        <w:spacing w:after="0"/>
        <w:jc w:val="both"/>
        <w:rPr>
          <w:b/>
          <w:i/>
          <w:color w:val="000000"/>
          <w:lang w:eastAsia="zh-CN"/>
        </w:rPr>
      </w:pPr>
    </w:p>
    <w:bookmarkEnd w:id="57"/>
    <w:bookmarkEnd w:id="58"/>
    <w:p w14:paraId="1F58102D" w14:textId="77777777" w:rsidR="00CD5BB2" w:rsidRDefault="00CD5BB2" w:rsidP="00CD5BB2">
      <w:pPr>
        <w:widowControl w:val="0"/>
        <w:adjustRightInd w:val="0"/>
        <w:snapToGrid w:val="0"/>
        <w:spacing w:after="0"/>
        <w:jc w:val="both"/>
        <w:rPr>
          <w:b/>
          <w:i/>
          <w:color w:val="000000"/>
          <w:lang w:eastAsia="zh-CN"/>
        </w:rPr>
      </w:pPr>
      <w:r w:rsidRPr="00C52BCF">
        <w:rPr>
          <w:b/>
          <w:i/>
          <w:color w:val="000000"/>
        </w:rPr>
        <w:t>METHODS</w:t>
      </w:r>
    </w:p>
    <w:p w14:paraId="3D242CBE" w14:textId="77777777" w:rsidR="00CD5BB2" w:rsidRPr="00AA07AF" w:rsidRDefault="00CD5BB2" w:rsidP="00CD5BB2">
      <w:pPr>
        <w:spacing w:before="0" w:after="0"/>
        <w:jc w:val="both"/>
      </w:pPr>
      <w:r w:rsidRPr="00AA07AF">
        <w:t>During esophagogastroduodenoscopy (EGD) for patients with known or suspected Barrett’s esophagus (BE), VLE was performed before biopsies were taken at endoscopists’ discretion. The gastric cardia was examined on VLE scan from the GEJ (marked by top of gastric folds) to 1cm distal from the GEJ. The NinePoints VLE console was used to analyze scan segments for characteristics previously found to correlate with normal or abnormal mucosa. Glands were counted individually. Imaging features identified on VLE scan were correlated with biopsy results from the GEJ and cardia region.</w:t>
      </w:r>
    </w:p>
    <w:p w14:paraId="5AE54E8A" w14:textId="77777777" w:rsidR="00CD5BB2" w:rsidRPr="00C52BCF" w:rsidRDefault="00CD5BB2" w:rsidP="00CD5BB2">
      <w:pPr>
        <w:widowControl w:val="0"/>
        <w:adjustRightInd w:val="0"/>
        <w:snapToGrid w:val="0"/>
        <w:spacing w:after="0"/>
        <w:jc w:val="both"/>
        <w:rPr>
          <w:b/>
          <w:i/>
          <w:color w:val="000000"/>
          <w:lang w:eastAsia="zh-CN"/>
        </w:rPr>
      </w:pPr>
    </w:p>
    <w:p w14:paraId="10714952" w14:textId="77777777" w:rsidR="00CD5BB2" w:rsidRDefault="00CD5BB2" w:rsidP="00CD5BB2">
      <w:pPr>
        <w:widowControl w:val="0"/>
        <w:adjustRightInd w:val="0"/>
        <w:snapToGrid w:val="0"/>
        <w:spacing w:after="0"/>
        <w:jc w:val="both"/>
        <w:rPr>
          <w:b/>
          <w:i/>
          <w:color w:val="000000"/>
          <w:lang w:eastAsia="zh-CN"/>
        </w:rPr>
      </w:pPr>
      <w:r w:rsidRPr="00C52BCF">
        <w:rPr>
          <w:b/>
          <w:i/>
          <w:color w:val="000000"/>
        </w:rPr>
        <w:t>RESULTS</w:t>
      </w:r>
    </w:p>
    <w:p w14:paraId="2A02F44D" w14:textId="01CE7BC8" w:rsidR="00CD5BB2" w:rsidRDefault="00CD5BB2" w:rsidP="00CD5BB2">
      <w:pPr>
        <w:widowControl w:val="0"/>
        <w:adjustRightInd w:val="0"/>
        <w:snapToGrid w:val="0"/>
        <w:spacing w:after="0"/>
        <w:jc w:val="both"/>
        <w:rPr>
          <w:b/>
          <w:i/>
          <w:color w:val="000000"/>
          <w:lang w:eastAsia="zh-CN"/>
        </w:rPr>
      </w:pPr>
      <w:r w:rsidRPr="00AA07AF">
        <w:t>This study included 34 cases. Features characteristic of the gastric cardia (gastric rugae, gastric pit architecture, poor penetration) were observed in all (100%) scans. Loss of classic gastric pit architecture was co</w:t>
      </w:r>
      <w:r w:rsidR="0023348A">
        <w:t xml:space="preserve"> mm</w:t>
      </w:r>
      <w:r w:rsidRPr="00AA07AF">
        <w:t>on and there was no difference between those with neoplasia and without (100%</w:t>
      </w:r>
      <w:r w:rsidR="0023348A" w:rsidRPr="0023348A">
        <w:rPr>
          <w:i/>
        </w:rPr>
        <w:t xml:space="preserve"> vs </w:t>
      </w:r>
      <w:r w:rsidRPr="00AA07AF">
        <w:t xml:space="preserve">74%, </w:t>
      </w:r>
      <w:r w:rsidR="00443AFD" w:rsidRPr="00443AFD">
        <w:rPr>
          <w:i/>
        </w:rPr>
        <w:t xml:space="preserve">P = </w:t>
      </w:r>
      <w:r w:rsidRPr="00AA07AF">
        <w:t>NS). The abnormal VLE feature of irregular surface was more often seen in patients with neoplasia than those without (100%</w:t>
      </w:r>
      <w:r w:rsidR="0023348A" w:rsidRPr="0023348A">
        <w:rPr>
          <w:i/>
        </w:rPr>
        <w:t xml:space="preserve"> vs </w:t>
      </w:r>
      <w:r w:rsidRPr="00AA07AF">
        <w:t xml:space="preserve">18%, </w:t>
      </w:r>
      <w:r w:rsidR="00443AFD" w:rsidRPr="00443AFD">
        <w:rPr>
          <w:i/>
        </w:rPr>
        <w:t xml:space="preserve">P &lt; </w:t>
      </w:r>
      <w:r w:rsidRPr="00AA07AF">
        <w:t>0.0001), as was heterogeneous scattering (86%</w:t>
      </w:r>
      <w:r w:rsidR="0023348A" w:rsidRPr="0023348A">
        <w:rPr>
          <w:i/>
        </w:rPr>
        <w:t xml:space="preserve"> vs </w:t>
      </w:r>
      <w:r w:rsidRPr="00AA07AF">
        <w:t xml:space="preserve">41%, </w:t>
      </w:r>
      <w:r w:rsidR="00443AFD" w:rsidRPr="00443AFD">
        <w:rPr>
          <w:i/>
        </w:rPr>
        <w:t xml:space="preserve">P &lt; </w:t>
      </w:r>
      <w:r w:rsidRPr="00AA07AF">
        <w:t>0.005) and presence of anomalous glands (100%</w:t>
      </w:r>
      <w:r w:rsidR="0023348A" w:rsidRPr="0023348A">
        <w:rPr>
          <w:i/>
        </w:rPr>
        <w:t xml:space="preserve"> vs </w:t>
      </w:r>
      <w:r w:rsidRPr="00AA07AF">
        <w:t xml:space="preserve">59%, </w:t>
      </w:r>
      <w:r w:rsidR="00443AFD" w:rsidRPr="00443AFD">
        <w:rPr>
          <w:i/>
        </w:rPr>
        <w:t xml:space="preserve">P &lt; </w:t>
      </w:r>
      <w:r w:rsidRPr="00AA07AF">
        <w:t xml:space="preserve">0.05). The number of anomalous glands did not differ between individual histologic subgroups (ANOVA, </w:t>
      </w:r>
      <w:r w:rsidR="00443AFD" w:rsidRPr="00443AFD">
        <w:rPr>
          <w:i/>
        </w:rPr>
        <w:t xml:space="preserve">P = </w:t>
      </w:r>
      <w:r w:rsidRPr="00AA07AF">
        <w:t>NS).</w:t>
      </w:r>
    </w:p>
    <w:p w14:paraId="4E630497" w14:textId="77777777" w:rsidR="00CD5BB2" w:rsidRPr="00C52BCF" w:rsidRDefault="00CD5BB2" w:rsidP="00CD5BB2">
      <w:pPr>
        <w:widowControl w:val="0"/>
        <w:adjustRightInd w:val="0"/>
        <w:snapToGrid w:val="0"/>
        <w:spacing w:after="0"/>
        <w:jc w:val="both"/>
        <w:rPr>
          <w:b/>
          <w:i/>
          <w:color w:val="000000"/>
          <w:lang w:eastAsia="zh-CN"/>
        </w:rPr>
      </w:pPr>
    </w:p>
    <w:p w14:paraId="65168064" w14:textId="77777777" w:rsidR="00CD5BB2" w:rsidRDefault="00CD5BB2" w:rsidP="00CD5BB2">
      <w:pPr>
        <w:widowControl w:val="0"/>
        <w:adjustRightInd w:val="0"/>
        <w:snapToGrid w:val="0"/>
        <w:spacing w:after="0"/>
        <w:jc w:val="both"/>
        <w:rPr>
          <w:b/>
          <w:i/>
          <w:color w:val="000000"/>
          <w:lang w:eastAsia="zh-CN"/>
        </w:rPr>
      </w:pPr>
      <w:r w:rsidRPr="00C52BCF">
        <w:rPr>
          <w:b/>
          <w:i/>
          <w:color w:val="000000"/>
        </w:rPr>
        <w:t>CONCLUSION</w:t>
      </w:r>
    </w:p>
    <w:p w14:paraId="47B3EDCC" w14:textId="6D5AC708" w:rsidR="00CD5BB2" w:rsidRDefault="00CD5BB2" w:rsidP="00CD5BB2">
      <w:pPr>
        <w:widowControl w:val="0"/>
        <w:adjustRightInd w:val="0"/>
        <w:snapToGrid w:val="0"/>
        <w:spacing w:after="0"/>
        <w:jc w:val="both"/>
        <w:rPr>
          <w:b/>
          <w:i/>
          <w:color w:val="000000"/>
          <w:lang w:eastAsia="zh-CN"/>
        </w:rPr>
      </w:pPr>
      <w:r w:rsidRPr="00AA07AF">
        <w:t xml:space="preserve">The transition from esophagus to gastric cardia is reliably identified on VLE. Histologically abnormal cardia mucosa produces abnormal VLE features. </w:t>
      </w:r>
      <w:r w:rsidR="00443AFD" w:rsidRPr="00AA07AF">
        <w:t xml:space="preserve">Optical coherence tomography </w:t>
      </w:r>
      <w:r w:rsidRPr="00AA07AF">
        <w:t>algorithms can be expanded for use at the GEJ/cardia.</w:t>
      </w:r>
    </w:p>
    <w:p w14:paraId="5CB675E3" w14:textId="77777777" w:rsidR="00CD5BB2" w:rsidRPr="00C52BCF" w:rsidRDefault="00CD5BB2" w:rsidP="00CD5BB2">
      <w:pPr>
        <w:widowControl w:val="0"/>
        <w:adjustRightInd w:val="0"/>
        <w:snapToGrid w:val="0"/>
        <w:spacing w:after="0"/>
        <w:jc w:val="both"/>
        <w:rPr>
          <w:b/>
          <w:i/>
          <w:color w:val="000000"/>
          <w:lang w:eastAsia="zh-CN"/>
        </w:rPr>
      </w:pPr>
    </w:p>
    <w:p w14:paraId="2B485F9C" w14:textId="77C9F049" w:rsidR="00CD5BB2" w:rsidRDefault="00CD5BB2" w:rsidP="00CD5BB2">
      <w:pPr>
        <w:widowControl w:val="0"/>
        <w:adjustRightInd w:val="0"/>
        <w:snapToGrid w:val="0"/>
        <w:spacing w:after="0"/>
        <w:jc w:val="both"/>
        <w:rPr>
          <w:lang w:eastAsia="zh-CN"/>
        </w:rPr>
      </w:pPr>
      <w:r w:rsidRPr="00C52BCF">
        <w:rPr>
          <w:b/>
          <w:color w:val="000000"/>
        </w:rPr>
        <w:t>Key words:</w:t>
      </w:r>
      <w:r w:rsidRPr="00CD5BB2">
        <w:t xml:space="preserve"> </w:t>
      </w:r>
      <w:r w:rsidRPr="00AA07AF">
        <w:t>Volumetric laser endomicroscopy</w:t>
      </w:r>
      <w:r>
        <w:rPr>
          <w:rFonts w:hint="eastAsia"/>
          <w:lang w:eastAsia="zh-CN"/>
        </w:rPr>
        <w:t xml:space="preserve">; </w:t>
      </w:r>
      <w:r w:rsidR="00443AFD" w:rsidRPr="00AA07AF">
        <w:t>Gastroesophageal junction</w:t>
      </w:r>
      <w:r w:rsidR="00443AFD">
        <w:rPr>
          <w:rFonts w:hint="eastAsia"/>
          <w:lang w:eastAsia="zh-CN"/>
        </w:rPr>
        <w:t xml:space="preserve">; </w:t>
      </w:r>
      <w:r w:rsidR="00443AFD" w:rsidRPr="00AA07AF">
        <w:t>Optical coherence tomography</w:t>
      </w:r>
      <w:r w:rsidR="00443AFD">
        <w:rPr>
          <w:rFonts w:hint="eastAsia"/>
          <w:lang w:eastAsia="zh-CN"/>
        </w:rPr>
        <w:t xml:space="preserve">; </w:t>
      </w:r>
      <w:r w:rsidR="00443AFD" w:rsidRPr="00AA07AF">
        <w:t>Cardia; Barrett’s; Neoplasia</w:t>
      </w:r>
    </w:p>
    <w:p w14:paraId="436D6015" w14:textId="77777777" w:rsidR="00443AFD" w:rsidRDefault="00443AFD" w:rsidP="00CD5BB2">
      <w:pPr>
        <w:widowControl w:val="0"/>
        <w:adjustRightInd w:val="0"/>
        <w:snapToGrid w:val="0"/>
        <w:spacing w:after="0"/>
        <w:jc w:val="both"/>
        <w:rPr>
          <w:b/>
          <w:color w:val="000000"/>
          <w:lang w:eastAsia="zh-CN"/>
        </w:rPr>
      </w:pPr>
    </w:p>
    <w:p w14:paraId="220263B2" w14:textId="77777777" w:rsidR="005D046B" w:rsidRPr="00C52BCF" w:rsidRDefault="005D046B" w:rsidP="005D046B">
      <w:pPr>
        <w:widowControl w:val="0"/>
        <w:adjustRightInd w:val="0"/>
        <w:snapToGrid w:val="0"/>
        <w:spacing w:after="0"/>
        <w:jc w:val="both"/>
        <w:rPr>
          <w:rFonts w:cs="Tahoma"/>
          <w:color w:val="000000"/>
          <w:kern w:val="2"/>
        </w:rPr>
      </w:pPr>
      <w:bookmarkStart w:id="59" w:name="OLE_LINK148"/>
      <w:bookmarkStart w:id="60" w:name="OLE_LINK149"/>
      <w:bookmarkStart w:id="61" w:name="OLE_LINK200"/>
      <w:bookmarkStart w:id="62" w:name="OLE_LINK288"/>
      <w:bookmarkStart w:id="63" w:name="OLE_LINK1864"/>
      <w:bookmarkStart w:id="64" w:name="OLE_LINK382"/>
      <w:bookmarkStart w:id="65" w:name="OLE_LINK306"/>
      <w:bookmarkStart w:id="66" w:name="OLE_LINK569"/>
      <w:bookmarkStart w:id="67" w:name="OLE_LINK682"/>
      <w:bookmarkStart w:id="68" w:name="OLE_LINK78"/>
      <w:bookmarkStart w:id="69" w:name="OLE_LINK79"/>
      <w:bookmarkStart w:id="70" w:name="OLE_LINK86"/>
      <w:bookmarkStart w:id="71" w:name="OLE_LINK99"/>
      <w:bookmarkStart w:id="72" w:name="OLE_LINK217"/>
      <w:bookmarkStart w:id="73" w:name="OLE_LINK245"/>
      <w:bookmarkStart w:id="74" w:name="OLE_LINK246"/>
      <w:bookmarkStart w:id="75" w:name="OLE_LINK274"/>
      <w:bookmarkStart w:id="76" w:name="OLE_LINK320"/>
      <w:bookmarkStart w:id="77" w:name="OLE_LINK333"/>
      <w:bookmarkStart w:id="78" w:name="OLE_LINK456"/>
      <w:bookmarkStart w:id="79" w:name="OLE_LINK494"/>
      <w:bookmarkStart w:id="80" w:name="OLE_LINK596"/>
      <w:bookmarkStart w:id="81" w:name="OLE_LINK686"/>
      <w:r w:rsidRPr="00C52BCF">
        <w:rPr>
          <w:rFonts w:cs="Tahoma"/>
          <w:b/>
          <w:color w:val="000000"/>
          <w:kern w:val="2"/>
          <w:lang w:eastAsia="ja-JP"/>
        </w:rPr>
        <w:t>© The Author(s) 201</w:t>
      </w:r>
      <w:r>
        <w:rPr>
          <w:rFonts w:cs="Tahoma" w:hint="eastAsia"/>
          <w:b/>
          <w:color w:val="000000"/>
          <w:kern w:val="2"/>
        </w:rPr>
        <w:t>7</w:t>
      </w:r>
      <w:r w:rsidRPr="00C52BCF">
        <w:rPr>
          <w:rFonts w:cs="Tahoma"/>
          <w:b/>
          <w:color w:val="000000"/>
          <w:kern w:val="2"/>
          <w:lang w:eastAsia="ja-JP"/>
        </w:rPr>
        <w:t>.</w:t>
      </w:r>
      <w:r w:rsidRPr="00C52BCF">
        <w:rPr>
          <w:rFonts w:cs="Tahoma"/>
          <w:color w:val="000000"/>
          <w:kern w:val="2"/>
          <w:lang w:eastAsia="ja-JP"/>
        </w:rPr>
        <w:t xml:space="preserve"> Published by Baishideng Publishing Group Inc. All rights reserved.</w:t>
      </w:r>
      <w:bookmarkEnd w:id="59"/>
      <w:bookmarkEnd w:id="60"/>
      <w:bookmarkEnd w:id="61"/>
      <w:bookmarkEnd w:id="62"/>
      <w:bookmarkEnd w:id="63"/>
      <w:bookmarkEnd w:id="64"/>
      <w:bookmarkEnd w:id="65"/>
      <w:bookmarkEnd w:id="66"/>
      <w:bookmarkEnd w:id="67"/>
    </w:p>
    <w:bookmarkEnd w:id="68"/>
    <w:bookmarkEnd w:id="69"/>
    <w:bookmarkEnd w:id="70"/>
    <w:bookmarkEnd w:id="71"/>
    <w:bookmarkEnd w:id="72"/>
    <w:bookmarkEnd w:id="73"/>
    <w:bookmarkEnd w:id="74"/>
    <w:bookmarkEnd w:id="75"/>
    <w:bookmarkEnd w:id="76"/>
    <w:bookmarkEnd w:id="77"/>
    <w:bookmarkEnd w:id="78"/>
    <w:bookmarkEnd w:id="79"/>
    <w:bookmarkEnd w:id="80"/>
    <w:bookmarkEnd w:id="81"/>
    <w:p w14:paraId="31F47C9B" w14:textId="77777777" w:rsidR="005D046B" w:rsidRPr="00C52BCF" w:rsidRDefault="005D046B" w:rsidP="00CD5BB2">
      <w:pPr>
        <w:widowControl w:val="0"/>
        <w:adjustRightInd w:val="0"/>
        <w:snapToGrid w:val="0"/>
        <w:spacing w:after="0"/>
        <w:jc w:val="both"/>
        <w:rPr>
          <w:b/>
          <w:color w:val="000000"/>
          <w:lang w:eastAsia="zh-CN"/>
        </w:rPr>
      </w:pPr>
    </w:p>
    <w:p w14:paraId="2A3FAEAF" w14:textId="58ACA65E" w:rsidR="005339C3" w:rsidRPr="00AA07AF" w:rsidRDefault="00CD5BB2" w:rsidP="00443AFD">
      <w:pPr>
        <w:widowControl w:val="0"/>
        <w:adjustRightInd w:val="0"/>
        <w:snapToGrid w:val="0"/>
        <w:spacing w:after="0"/>
        <w:jc w:val="both"/>
        <w:rPr>
          <w:lang w:eastAsia="zh-CN"/>
        </w:rPr>
      </w:pPr>
      <w:r w:rsidRPr="00C52BCF">
        <w:rPr>
          <w:b/>
          <w:color w:val="000000"/>
        </w:rPr>
        <w:t xml:space="preserve">Core tip: </w:t>
      </w:r>
      <w:r w:rsidR="00765B80" w:rsidRPr="00AA07AF">
        <w:rPr>
          <w:lang w:eastAsia="zh-CN"/>
        </w:rPr>
        <w:t xml:space="preserve">This is a retrospective study to </w:t>
      </w:r>
      <w:r w:rsidR="008855D7" w:rsidRPr="00AA07AF">
        <w:rPr>
          <w:lang w:eastAsia="zh-CN"/>
        </w:rPr>
        <w:t xml:space="preserve">explore </w:t>
      </w:r>
      <w:r w:rsidR="00443AFD" w:rsidRPr="00AA07AF">
        <w:t>volumetric laser endomicroscopy</w:t>
      </w:r>
      <w:r w:rsidR="00443AFD" w:rsidRPr="00AA07AF">
        <w:rPr>
          <w:lang w:eastAsia="zh-CN"/>
        </w:rPr>
        <w:t xml:space="preserve"> </w:t>
      </w:r>
      <w:r w:rsidR="00443AFD">
        <w:rPr>
          <w:rFonts w:hint="eastAsia"/>
          <w:lang w:eastAsia="zh-CN"/>
        </w:rPr>
        <w:t>(</w:t>
      </w:r>
      <w:r w:rsidR="00765B80" w:rsidRPr="00AA07AF">
        <w:rPr>
          <w:lang w:eastAsia="zh-CN"/>
        </w:rPr>
        <w:t>VLE</w:t>
      </w:r>
      <w:r w:rsidR="00443AFD">
        <w:rPr>
          <w:rFonts w:hint="eastAsia"/>
          <w:lang w:eastAsia="zh-CN"/>
        </w:rPr>
        <w:t>)</w:t>
      </w:r>
      <w:r w:rsidR="00765B80" w:rsidRPr="00AA07AF">
        <w:rPr>
          <w:lang w:eastAsia="zh-CN"/>
        </w:rPr>
        <w:t xml:space="preserve"> imaging features associated with neoplasia at the </w:t>
      </w:r>
      <w:r w:rsidR="00443AFD" w:rsidRPr="00AA07AF">
        <w:t>gastroesophageal junction (GEJ)</w:t>
      </w:r>
      <w:r w:rsidR="00765B80" w:rsidRPr="00AA07AF">
        <w:rPr>
          <w:lang w:eastAsia="zh-CN"/>
        </w:rPr>
        <w:t xml:space="preserve"> and gastric cardia. </w:t>
      </w:r>
      <w:r w:rsidR="0084182E" w:rsidRPr="00AA07AF">
        <w:rPr>
          <w:lang w:eastAsia="zh-CN"/>
        </w:rPr>
        <w:t xml:space="preserve">Histologically abnormal mucosa </w:t>
      </w:r>
      <w:r w:rsidR="008855D7" w:rsidRPr="00AA07AF">
        <w:rPr>
          <w:lang w:eastAsia="zh-CN"/>
        </w:rPr>
        <w:t>due to infla</w:t>
      </w:r>
      <w:r w:rsidR="0023348A">
        <w:rPr>
          <w:lang w:eastAsia="zh-CN"/>
        </w:rPr>
        <w:t xml:space="preserve"> mm</w:t>
      </w:r>
      <w:r w:rsidR="008855D7" w:rsidRPr="00AA07AF">
        <w:rPr>
          <w:lang w:eastAsia="zh-CN"/>
        </w:rPr>
        <w:t xml:space="preserve">ation or neoplasia </w:t>
      </w:r>
      <w:r w:rsidR="0084182E" w:rsidRPr="00AA07AF">
        <w:rPr>
          <w:lang w:eastAsia="zh-CN"/>
        </w:rPr>
        <w:t xml:space="preserve">more often produces abnormal VLE imaging. Specifically, </w:t>
      </w:r>
      <w:r w:rsidR="00765B80" w:rsidRPr="00AA07AF">
        <w:rPr>
          <w:lang w:eastAsia="zh-CN"/>
        </w:rPr>
        <w:t xml:space="preserve">VLE imaging features of </w:t>
      </w:r>
      <w:r w:rsidR="0084182E" w:rsidRPr="00AA07AF">
        <w:rPr>
          <w:lang w:eastAsia="zh-CN"/>
        </w:rPr>
        <w:t>irregular surface, heterogeneous scattering and presence of anomalous glands were more often seen in cases of neoplasia than those without. The GEJ and gastric cardia can be difficult to assess endoscopically</w:t>
      </w:r>
      <w:r w:rsidR="00394808" w:rsidRPr="00AA07AF">
        <w:rPr>
          <w:lang w:eastAsia="zh-CN"/>
        </w:rPr>
        <w:t xml:space="preserve"> for dysplasia</w:t>
      </w:r>
      <w:r w:rsidR="0084182E" w:rsidRPr="00AA07AF">
        <w:rPr>
          <w:lang w:eastAsia="zh-CN"/>
        </w:rPr>
        <w:t>, and VLE imaging in this area can aid in a “red-flag” biopsy technique.</w:t>
      </w:r>
    </w:p>
    <w:p w14:paraId="489C2607" w14:textId="77777777" w:rsidR="00443AFD" w:rsidRPr="00AA07AF" w:rsidRDefault="00443AFD" w:rsidP="00443AFD">
      <w:pPr>
        <w:spacing w:before="0" w:after="0"/>
        <w:jc w:val="both"/>
        <w:rPr>
          <w:lang w:eastAsia="zh-CN"/>
        </w:rPr>
      </w:pPr>
    </w:p>
    <w:p w14:paraId="2A2B7080" w14:textId="5F879FE9" w:rsidR="00443AFD" w:rsidRPr="00443AFD" w:rsidRDefault="00443AFD" w:rsidP="00443AFD">
      <w:pPr>
        <w:pStyle w:val="af"/>
        <w:snapToGrid w:val="0"/>
        <w:spacing w:after="0" w:line="360" w:lineRule="auto"/>
        <w:ind w:left="0"/>
        <w:contextualSpacing w:val="0"/>
        <w:jc w:val="both"/>
        <w:rPr>
          <w:rFonts w:ascii="Book Antiqua" w:hAnsi="Book Antiqua"/>
          <w:sz w:val="24"/>
          <w:szCs w:val="24"/>
        </w:rPr>
      </w:pPr>
      <w:bookmarkStart w:id="82" w:name="_GoBack"/>
      <w:r w:rsidRPr="00443AFD">
        <w:rPr>
          <w:rFonts w:ascii="Book Antiqua" w:hAnsi="Book Antiqua"/>
          <w:sz w:val="24"/>
          <w:szCs w:val="24"/>
        </w:rPr>
        <w:t>Gupta N, Siddiqui U, Waxman I, Chapman C</w:t>
      </w:r>
      <w:r w:rsidR="006E267C" w:rsidRPr="00443AFD">
        <w:rPr>
          <w:rFonts w:ascii="Book Antiqua" w:hAnsi="Book Antiqua"/>
          <w:sz w:val="24"/>
          <w:szCs w:val="24"/>
        </w:rPr>
        <w:t>, Koons A, Valuckaite V, Xi</w:t>
      </w:r>
      <w:r w:rsidRPr="00443AFD">
        <w:rPr>
          <w:rFonts w:ascii="Book Antiqua" w:hAnsi="Book Antiqua"/>
          <w:sz w:val="24"/>
          <w:szCs w:val="24"/>
        </w:rPr>
        <w:t>ao SY, Setia N, Hart J, Konda V</w:t>
      </w:r>
      <w:r w:rsidR="006E267C" w:rsidRPr="00443AFD">
        <w:rPr>
          <w:rFonts w:ascii="Book Antiqua" w:hAnsi="Book Antiqua"/>
          <w:sz w:val="24"/>
          <w:szCs w:val="24"/>
        </w:rPr>
        <w:t xml:space="preserve">. </w:t>
      </w:r>
      <w:r w:rsidRPr="00443AFD">
        <w:rPr>
          <w:rFonts w:ascii="Book Antiqua" w:hAnsi="Book Antiqua"/>
          <w:sz w:val="24"/>
          <w:szCs w:val="24"/>
        </w:rPr>
        <w:t>Use of volumetric laser endomicroscopy for dysplasia detection at the gastroesophageal junction and gastric cardia</w:t>
      </w:r>
      <w:r w:rsidR="006E267C" w:rsidRPr="00443AFD">
        <w:rPr>
          <w:rFonts w:ascii="Book Antiqua" w:hAnsi="Book Antiqua"/>
          <w:sz w:val="24"/>
          <w:szCs w:val="24"/>
        </w:rPr>
        <w:t>.</w:t>
      </w:r>
      <w:r w:rsidRPr="00443AFD">
        <w:rPr>
          <w:rFonts w:ascii="Book Antiqua" w:hAnsi="Book Antiqua"/>
          <w:sz w:val="24"/>
          <w:szCs w:val="24"/>
        </w:rPr>
        <w:t xml:space="preserve"> </w:t>
      </w:r>
      <w:r w:rsidRPr="00443AFD">
        <w:rPr>
          <w:rFonts w:ascii="Book Antiqua" w:hAnsi="Book Antiqua"/>
          <w:i/>
          <w:sz w:val="24"/>
          <w:szCs w:val="24"/>
        </w:rPr>
        <w:t>World J Gastrointest Endosc</w:t>
      </w:r>
      <w:r w:rsidRPr="00443AFD">
        <w:rPr>
          <w:rFonts w:ascii="Book Antiqua" w:hAnsi="Book Antiqua"/>
          <w:sz w:val="24"/>
          <w:szCs w:val="24"/>
        </w:rPr>
        <w:t xml:space="preserve"> </w:t>
      </w:r>
      <w:r>
        <w:rPr>
          <w:rFonts w:ascii="Book Antiqua" w:hAnsi="Book Antiqua"/>
          <w:sz w:val="24"/>
          <w:szCs w:val="24"/>
        </w:rPr>
        <w:t>2017</w:t>
      </w:r>
      <w:r w:rsidRPr="00C52BCF">
        <w:rPr>
          <w:rFonts w:ascii="Book Antiqua" w:hAnsi="Book Antiqua"/>
          <w:sz w:val="24"/>
          <w:szCs w:val="24"/>
        </w:rPr>
        <w:t>; In press</w:t>
      </w:r>
    </w:p>
    <w:bookmarkEnd w:id="82"/>
    <w:p w14:paraId="56D44FF7" w14:textId="62289CFC" w:rsidR="00E42AB1" w:rsidRPr="00AA07AF" w:rsidRDefault="00E42AB1" w:rsidP="00B02C42">
      <w:pPr>
        <w:spacing w:before="0" w:after="0"/>
        <w:jc w:val="both"/>
      </w:pPr>
    </w:p>
    <w:p w14:paraId="204D2567" w14:textId="233E82F8" w:rsidR="00417E54" w:rsidRPr="00470767" w:rsidRDefault="00F900A4" w:rsidP="00B02C42">
      <w:pPr>
        <w:spacing w:before="0" w:after="0"/>
        <w:jc w:val="both"/>
        <w:rPr>
          <w:b/>
          <w:lang w:eastAsia="zh-CN"/>
        </w:rPr>
      </w:pPr>
      <w:r w:rsidRPr="00AA07AF">
        <w:br w:type="page"/>
      </w:r>
      <w:r w:rsidR="00524C71" w:rsidRPr="00470767">
        <w:rPr>
          <w:b/>
        </w:rPr>
        <w:lastRenderedPageBreak/>
        <w:t>INTRODUCTION</w:t>
      </w:r>
    </w:p>
    <w:p w14:paraId="4AA098D7" w14:textId="30331ED7" w:rsidR="001A7EE8" w:rsidRPr="00AA07AF" w:rsidRDefault="00600CE1" w:rsidP="00B02C42">
      <w:pPr>
        <w:spacing w:before="0" w:after="0"/>
        <w:jc w:val="both"/>
      </w:pPr>
      <w:r w:rsidRPr="00AA07AF">
        <w:t xml:space="preserve">Barrett’s esophagus </w:t>
      </w:r>
      <w:r w:rsidR="00562345" w:rsidRPr="00AA07AF">
        <w:t xml:space="preserve">(BE) </w:t>
      </w:r>
      <w:r w:rsidRPr="00AA07AF">
        <w:t xml:space="preserve">has been well established as a </w:t>
      </w:r>
      <w:r w:rsidR="00902D02" w:rsidRPr="00AA07AF">
        <w:t xml:space="preserve">precursor to </w:t>
      </w:r>
      <w:r w:rsidR="00D57C32" w:rsidRPr="00AA07AF">
        <w:t>esophageal adenocarcinoma (EAC)</w:t>
      </w:r>
      <w:r w:rsidR="001222FC" w:rsidRPr="00AA07AF">
        <w:rPr>
          <w:vertAlign w:val="superscript"/>
        </w:rPr>
        <w:t>[</w:t>
      </w:r>
      <w:r w:rsidR="00C33717" w:rsidRPr="00AA07AF">
        <w:rPr>
          <w:vertAlign w:val="superscript"/>
        </w:rPr>
        <w:t>1,2</w:t>
      </w:r>
      <w:r w:rsidR="001222FC" w:rsidRPr="00AA07AF">
        <w:rPr>
          <w:vertAlign w:val="superscript"/>
        </w:rPr>
        <w:t>]</w:t>
      </w:r>
      <w:r w:rsidRPr="00AA07AF">
        <w:t xml:space="preserve">. </w:t>
      </w:r>
      <w:r w:rsidR="00091485" w:rsidRPr="00AA07AF">
        <w:t>Management of patients diagnosed with BE</w:t>
      </w:r>
      <w:r w:rsidR="00F93A1F" w:rsidRPr="00AA07AF">
        <w:t xml:space="preserve"> includes </w:t>
      </w:r>
      <w:r w:rsidR="005D1049" w:rsidRPr="00AA07AF">
        <w:t>surveillance</w:t>
      </w:r>
      <w:r w:rsidR="00F93A1F" w:rsidRPr="00AA07AF">
        <w:t xml:space="preserve"> endoscopy</w:t>
      </w:r>
      <w:r w:rsidR="001222FC" w:rsidRPr="00AA07AF">
        <w:rPr>
          <w:vertAlign w:val="superscript"/>
        </w:rPr>
        <w:t>[3]</w:t>
      </w:r>
      <w:r w:rsidR="001222FC" w:rsidRPr="00AA07AF">
        <w:t>.</w:t>
      </w:r>
      <w:r w:rsidR="00F93A1F" w:rsidRPr="00AA07AF">
        <w:t xml:space="preserve"> </w:t>
      </w:r>
      <w:r w:rsidR="00FE5837" w:rsidRPr="00AA07AF">
        <w:t>Using the Seattle protocol, targeted biopsies of visible lesions should be taken followed by 4-quadrant biopsies at 2cm intervals along the length of the BE segment</w:t>
      </w:r>
      <w:r w:rsidR="001222FC" w:rsidRPr="00AA07AF">
        <w:rPr>
          <w:vertAlign w:val="superscript"/>
        </w:rPr>
        <w:t>[4]</w:t>
      </w:r>
      <w:r w:rsidR="00FE5837" w:rsidRPr="00AA07AF">
        <w:t>. In cases of know</w:t>
      </w:r>
      <w:r w:rsidR="001C298C" w:rsidRPr="00AA07AF">
        <w:t>n</w:t>
      </w:r>
      <w:r w:rsidR="00FE5837" w:rsidRPr="00AA07AF">
        <w:t xml:space="preserve"> dysplasia, the random 4-quadrant biopsies should be taken every 1</w:t>
      </w:r>
      <w:r w:rsidR="00470767">
        <w:rPr>
          <w:rFonts w:hint="eastAsia"/>
          <w:lang w:eastAsia="zh-CN"/>
        </w:rPr>
        <w:t xml:space="preserve"> </w:t>
      </w:r>
      <w:r w:rsidR="00FE5837" w:rsidRPr="00AA07AF">
        <w:t>cm</w:t>
      </w:r>
      <w:r w:rsidR="001222FC" w:rsidRPr="00AA07AF">
        <w:rPr>
          <w:vertAlign w:val="superscript"/>
        </w:rPr>
        <w:t>[3]</w:t>
      </w:r>
      <w:r w:rsidR="00E42AB1" w:rsidRPr="00AA07AF">
        <w:t>.</w:t>
      </w:r>
    </w:p>
    <w:p w14:paraId="0E144155" w14:textId="380C51F1" w:rsidR="001615A3" w:rsidRPr="00AA07AF" w:rsidRDefault="000D4C2D" w:rsidP="000E278B">
      <w:pPr>
        <w:spacing w:before="0" w:after="0"/>
        <w:ind w:firstLine="720"/>
        <w:jc w:val="both"/>
      </w:pPr>
      <w:r w:rsidRPr="00AA07AF">
        <w:t>Though</w:t>
      </w:r>
      <w:r w:rsidR="00745014" w:rsidRPr="00AA07AF">
        <w:t xml:space="preserve"> currently the standard of care, these techniques are subject to sampling error since random biopsies may miss areas of </w:t>
      </w:r>
      <w:r w:rsidR="004F44FE" w:rsidRPr="004F44FE">
        <w:t xml:space="preserve">high-grade dysplasia </w:t>
      </w:r>
      <w:r w:rsidR="004F44FE">
        <w:rPr>
          <w:rFonts w:hint="eastAsia"/>
          <w:lang w:eastAsia="zh-CN"/>
        </w:rPr>
        <w:t>(</w:t>
      </w:r>
      <w:r w:rsidR="00745014" w:rsidRPr="00AA07AF">
        <w:t>HGD</w:t>
      </w:r>
      <w:r w:rsidR="004F44FE">
        <w:rPr>
          <w:rFonts w:hint="eastAsia"/>
          <w:lang w:eastAsia="zh-CN"/>
        </w:rPr>
        <w:t>)</w:t>
      </w:r>
      <w:r w:rsidR="000D4BCE" w:rsidRPr="00AA07AF">
        <w:t xml:space="preserve"> or intramucosal carcinoma</w:t>
      </w:r>
      <w:r w:rsidR="00653F0B" w:rsidRPr="00AA07AF">
        <w:t xml:space="preserve"> (IMC</w:t>
      </w:r>
      <w:r w:rsidR="001222FC" w:rsidRPr="00AA07AF">
        <w:t>)</w:t>
      </w:r>
      <w:r w:rsidR="001222FC" w:rsidRPr="00AA07AF">
        <w:rPr>
          <w:vertAlign w:val="superscript"/>
        </w:rPr>
        <w:t>[5,6]</w:t>
      </w:r>
      <w:r w:rsidR="00745014" w:rsidRPr="0023348A">
        <w:t>.</w:t>
      </w:r>
      <w:r w:rsidR="00745014" w:rsidRPr="00AA07AF">
        <w:t xml:space="preserve"> </w:t>
      </w:r>
      <w:r w:rsidR="00DE021F" w:rsidRPr="00AA07AF">
        <w:t>T</w:t>
      </w:r>
      <w:r w:rsidR="00181923" w:rsidRPr="00AA07AF">
        <w:t>here ha</w:t>
      </w:r>
      <w:r w:rsidR="002234A3" w:rsidRPr="00AA07AF">
        <w:t>s</w:t>
      </w:r>
      <w:r w:rsidR="00181923" w:rsidRPr="00AA07AF">
        <w:t xml:space="preserve"> been increasing i</w:t>
      </w:r>
      <w:r w:rsidR="00FE5837" w:rsidRPr="00AA07AF">
        <w:t>nterest in evaluating advanced</w:t>
      </w:r>
      <w:r w:rsidR="00181923" w:rsidRPr="00AA07AF">
        <w:t xml:space="preserve"> imaging modalities which may allow for better visualization of the entire upper GI mucosal surface and subsurface in order to increase diagnostic yield with targeted biopsies</w:t>
      </w:r>
      <w:r w:rsidR="001222FC" w:rsidRPr="00AA07AF">
        <w:rPr>
          <w:vertAlign w:val="superscript"/>
        </w:rPr>
        <w:t>[7,8]</w:t>
      </w:r>
      <w:r w:rsidR="00181923" w:rsidRPr="00AA07AF">
        <w:t>.</w:t>
      </w:r>
    </w:p>
    <w:p w14:paraId="3A1B0976" w14:textId="62EB2C15" w:rsidR="00181923" w:rsidRPr="00AA07AF" w:rsidRDefault="00C276C2" w:rsidP="000E278B">
      <w:pPr>
        <w:spacing w:before="0" w:after="0"/>
        <w:ind w:firstLine="720"/>
        <w:jc w:val="both"/>
      </w:pPr>
      <w:r w:rsidRPr="00AA07AF">
        <w:t xml:space="preserve">Optical coherence tomography (OCT) is an imaging technique that utilizes low-coherence interferometry to produce </w:t>
      </w:r>
      <w:r w:rsidR="007E01C7" w:rsidRPr="00AA07AF">
        <w:t>high</w:t>
      </w:r>
      <w:r w:rsidRPr="00AA07AF">
        <w:t xml:space="preserve"> resolution images of biologic tissue by measuring back-scatter light intensity from a near</w:t>
      </w:r>
      <w:r w:rsidR="007E01C7" w:rsidRPr="00AA07AF">
        <w:t>-</w:t>
      </w:r>
      <w:r w:rsidRPr="00AA07AF">
        <w:t>infrared light source</w:t>
      </w:r>
      <w:r w:rsidR="001A5D16" w:rsidRPr="00AA07AF">
        <w:rPr>
          <w:vertAlign w:val="superscript"/>
        </w:rPr>
        <w:t>[9]</w:t>
      </w:r>
      <w:r w:rsidRPr="00AA07AF">
        <w:t xml:space="preserve">. </w:t>
      </w:r>
      <w:r w:rsidR="00932366" w:rsidRPr="00AA07AF">
        <w:t>Recently,</w:t>
      </w:r>
      <w:r w:rsidR="00091485" w:rsidRPr="00AA07AF">
        <w:t xml:space="preserve"> an</w:t>
      </w:r>
      <w:r w:rsidR="007E01C7" w:rsidRPr="00AA07AF">
        <w:t xml:space="preserve"> OCT </w:t>
      </w:r>
      <w:r w:rsidR="00091485" w:rsidRPr="00AA07AF">
        <w:t xml:space="preserve">based </w:t>
      </w:r>
      <w:r w:rsidR="007E01C7" w:rsidRPr="00AA07AF">
        <w:t>technology called Fourier-domain OCT or volumetric laser endomicroscopy (VL</w:t>
      </w:r>
      <w:r w:rsidR="00932366" w:rsidRPr="00AA07AF">
        <w:t xml:space="preserve">E) </w:t>
      </w:r>
      <w:r w:rsidR="00FE5837" w:rsidRPr="00AA07AF">
        <w:t xml:space="preserve">is </w:t>
      </w:r>
      <w:r w:rsidR="00091485" w:rsidRPr="00AA07AF">
        <w:t xml:space="preserve">now </w:t>
      </w:r>
      <w:r w:rsidR="00FE5837" w:rsidRPr="00AA07AF">
        <w:t>co</w:t>
      </w:r>
      <w:r w:rsidR="0023348A">
        <w:t xml:space="preserve"> mm</w:t>
      </w:r>
      <w:r w:rsidR="00FE5837" w:rsidRPr="00AA07AF">
        <w:t>ercially available and offers</w:t>
      </w:r>
      <w:r w:rsidR="00932366" w:rsidRPr="00AA07AF">
        <w:t xml:space="preserve"> higher imaging speed and improved sensitivit</w:t>
      </w:r>
      <w:r w:rsidR="00B15C04" w:rsidRPr="00AA07AF">
        <w:t>y as compared to traditional OCT</w:t>
      </w:r>
      <w:r w:rsidR="001A5D16" w:rsidRPr="00AA07AF">
        <w:rPr>
          <w:vertAlign w:val="superscript"/>
        </w:rPr>
        <w:t>[10]</w:t>
      </w:r>
      <w:r w:rsidR="00932366" w:rsidRPr="00AA07AF">
        <w:t>.</w:t>
      </w:r>
      <w:r w:rsidR="00892E65" w:rsidRPr="00AA07AF">
        <w:t xml:space="preserve"> </w:t>
      </w:r>
      <w:r w:rsidR="007E01C7" w:rsidRPr="00AA07AF">
        <w:t>The system</w:t>
      </w:r>
      <w:r w:rsidR="005C091C" w:rsidRPr="00AA07AF">
        <w:t xml:space="preserve"> allows for </w:t>
      </w:r>
      <w:r w:rsidR="007E01C7" w:rsidRPr="00AA07AF">
        <w:t xml:space="preserve">real time cross-sectional </w:t>
      </w:r>
      <w:r w:rsidR="005C091C" w:rsidRPr="00AA07AF">
        <w:t xml:space="preserve">imaging of the esophagus and proximal stomach as an adjuvant to </w:t>
      </w:r>
      <w:r w:rsidR="001A5D16" w:rsidRPr="00AA07AF">
        <w:t>esophagogastroduodenoscopy (</w:t>
      </w:r>
      <w:r w:rsidR="005C091C" w:rsidRPr="00AA07AF">
        <w:t>EGD</w:t>
      </w:r>
      <w:r w:rsidR="001A5D16" w:rsidRPr="00AA07AF">
        <w:t>)</w:t>
      </w:r>
      <w:r w:rsidR="005C091C" w:rsidRPr="00AA07AF">
        <w:t xml:space="preserve">. </w:t>
      </w:r>
      <w:r w:rsidR="00932366" w:rsidRPr="00AA07AF">
        <w:t>S</w:t>
      </w:r>
      <w:r w:rsidR="00181923" w:rsidRPr="00AA07AF">
        <w:t>urface and subsurface architecture such as mucosal layers, gastric pits, and gland morphology can be identified</w:t>
      </w:r>
      <w:r w:rsidR="001A5D16" w:rsidRPr="00AA07AF">
        <w:rPr>
          <w:vertAlign w:val="superscript"/>
        </w:rPr>
        <w:t>[11]</w:t>
      </w:r>
      <w:r w:rsidR="00181923" w:rsidRPr="00AA07AF">
        <w:t xml:space="preserve">. </w:t>
      </w:r>
      <w:r w:rsidR="0026502E" w:rsidRPr="00AA07AF">
        <w:t>Several studies have analyzed the correlation between OCT images and histology from biopsy specimens. Specifically, a blinded prospective study found OCT to have an 81% specificit</w:t>
      </w:r>
      <w:r w:rsidR="0033423E" w:rsidRPr="00AA07AF">
        <w:t xml:space="preserve">y for diagnosing </w:t>
      </w:r>
      <w:r w:rsidR="00AA7B17" w:rsidRPr="00AA07AF">
        <w:t>squamous intestinal metaplasia (</w:t>
      </w:r>
      <w:r w:rsidR="0033423E" w:rsidRPr="00AA07AF">
        <w:t>SIM</w:t>
      </w:r>
      <w:r w:rsidR="00AA7B17" w:rsidRPr="00AA07AF">
        <w:t>)</w:t>
      </w:r>
      <w:r w:rsidR="0033423E" w:rsidRPr="00AA07AF">
        <w:t xml:space="preserve"> at the </w:t>
      </w:r>
      <w:r w:rsidR="00AA7B17" w:rsidRPr="00AA07AF">
        <w:t>squamocolumnar junction (</w:t>
      </w:r>
      <w:r w:rsidR="0033423E" w:rsidRPr="00AA07AF">
        <w:t>SCJ</w:t>
      </w:r>
      <w:r w:rsidR="00AA7B17" w:rsidRPr="00AA07AF">
        <w:t>)</w:t>
      </w:r>
      <w:r w:rsidR="001A5D16" w:rsidRPr="00AA07AF">
        <w:rPr>
          <w:vertAlign w:val="superscript"/>
        </w:rPr>
        <w:t>[12]</w:t>
      </w:r>
      <w:r w:rsidR="0033423E" w:rsidRPr="00AA07AF">
        <w:t>.</w:t>
      </w:r>
    </w:p>
    <w:p w14:paraId="3A46B475" w14:textId="4A910DC3" w:rsidR="0001213A" w:rsidRPr="00AA07AF" w:rsidRDefault="0009291F" w:rsidP="000E278B">
      <w:pPr>
        <w:spacing w:before="0" w:after="0"/>
        <w:ind w:firstLine="720"/>
        <w:jc w:val="both"/>
        <w:rPr>
          <w:i/>
        </w:rPr>
      </w:pPr>
      <w:r w:rsidRPr="00AA07AF">
        <w:t>Due to the</w:t>
      </w:r>
      <w:r w:rsidR="0001213A" w:rsidRPr="00AA07AF">
        <w:t xml:space="preserve"> limited knowledge about VLE findings at the </w:t>
      </w:r>
      <w:r w:rsidR="001A5D16" w:rsidRPr="00AA07AF">
        <w:t>gastroesophageal junction (</w:t>
      </w:r>
      <w:r w:rsidR="0001213A" w:rsidRPr="00AA07AF">
        <w:t>GEJ</w:t>
      </w:r>
      <w:r w:rsidR="001A5D16" w:rsidRPr="00AA07AF">
        <w:t>)</w:t>
      </w:r>
      <w:r w:rsidR="0001213A" w:rsidRPr="00AA07AF">
        <w:t xml:space="preserve"> and gastric cardia</w:t>
      </w:r>
      <w:r w:rsidRPr="00AA07AF">
        <w:t>, the purpose of this study is to correlate VLE</w:t>
      </w:r>
      <w:r w:rsidR="005C091C" w:rsidRPr="00AA07AF">
        <w:t xml:space="preserve"> imaging</w:t>
      </w:r>
      <w:r w:rsidRPr="00AA07AF">
        <w:t xml:space="preserve"> </w:t>
      </w:r>
      <w:r w:rsidRPr="00AA07AF">
        <w:lastRenderedPageBreak/>
        <w:t xml:space="preserve">characteristics with </w:t>
      </w:r>
      <w:r w:rsidR="001D00B2" w:rsidRPr="00AA07AF">
        <w:t>histology</w:t>
      </w:r>
      <w:r w:rsidRPr="00AA07AF">
        <w:t xml:space="preserve"> in this area</w:t>
      </w:r>
      <w:r w:rsidR="00C67E81" w:rsidRPr="00AA07AF">
        <w:t xml:space="preserve"> in order to determine specific features associated with neoplasia.</w:t>
      </w:r>
    </w:p>
    <w:p w14:paraId="0EF4881B" w14:textId="77777777" w:rsidR="00C67E81" w:rsidRPr="00AA07AF" w:rsidRDefault="00C67E81" w:rsidP="00B02C42">
      <w:pPr>
        <w:spacing w:before="0" w:after="0"/>
        <w:jc w:val="both"/>
      </w:pPr>
    </w:p>
    <w:p w14:paraId="4585B602" w14:textId="3432E12B" w:rsidR="005C091C" w:rsidRPr="00470767" w:rsidRDefault="00524C71" w:rsidP="00B02C42">
      <w:pPr>
        <w:spacing w:before="0" w:after="0"/>
        <w:jc w:val="both"/>
        <w:rPr>
          <w:b/>
          <w:lang w:eastAsia="zh-CN"/>
        </w:rPr>
      </w:pPr>
      <w:r w:rsidRPr="00470767">
        <w:rPr>
          <w:b/>
        </w:rPr>
        <w:t>MATERIALS AND METHODS</w:t>
      </w:r>
    </w:p>
    <w:p w14:paraId="35A44BD6" w14:textId="596A5148" w:rsidR="0026502E" w:rsidRPr="00470767" w:rsidRDefault="00470767" w:rsidP="00B02C42">
      <w:pPr>
        <w:spacing w:before="0" w:after="0"/>
        <w:jc w:val="both"/>
        <w:rPr>
          <w:b/>
          <w:i/>
          <w:lang w:eastAsia="zh-CN"/>
        </w:rPr>
      </w:pPr>
      <w:r w:rsidRPr="00470767">
        <w:rPr>
          <w:b/>
          <w:i/>
        </w:rPr>
        <w:t>Study design</w:t>
      </w:r>
    </w:p>
    <w:p w14:paraId="7AFE13CD" w14:textId="09CBB1EE" w:rsidR="009F6734" w:rsidRDefault="00344425" w:rsidP="00B02C42">
      <w:pPr>
        <w:spacing w:before="0" w:after="0"/>
        <w:jc w:val="both"/>
        <w:rPr>
          <w:lang w:eastAsia="zh-CN"/>
        </w:rPr>
      </w:pPr>
      <w:r w:rsidRPr="00AA07AF">
        <w:t>This was a retrospective study</w:t>
      </w:r>
      <w:r w:rsidR="00091485" w:rsidRPr="00AA07AF">
        <w:t xml:space="preserve"> conducted at a tertiary care center with a referral BE practice</w:t>
      </w:r>
      <w:r w:rsidRPr="00AA07AF">
        <w:t xml:space="preserve">. </w:t>
      </w:r>
      <w:r w:rsidR="005C091C" w:rsidRPr="00AA07AF">
        <w:t xml:space="preserve">Patients with known or suspected Barrett’s esophagus presented for EGD and </w:t>
      </w:r>
      <w:r w:rsidR="00727181" w:rsidRPr="00AA07AF">
        <w:t>VLE</w:t>
      </w:r>
      <w:r w:rsidR="005C091C" w:rsidRPr="00AA07AF">
        <w:t>. During EGD, biopsies were taken with cold forceps</w:t>
      </w:r>
      <w:r w:rsidR="00091485" w:rsidRPr="00AA07AF">
        <w:t xml:space="preserve"> in a targeted and random fashion</w:t>
      </w:r>
      <w:r w:rsidR="005C091C" w:rsidRPr="00AA07AF">
        <w:t xml:space="preserve">. </w:t>
      </w:r>
      <w:r w:rsidR="005C6044" w:rsidRPr="00AA07AF">
        <w:t>Using the NinePoints VLE console</w:t>
      </w:r>
      <w:r w:rsidR="005C091C" w:rsidRPr="00AA07AF">
        <w:t xml:space="preserve">, a segment of the VLE scan was </w:t>
      </w:r>
      <w:r w:rsidR="005C6044" w:rsidRPr="00AA07AF">
        <w:t>delineated</w:t>
      </w:r>
      <w:r w:rsidR="005C091C" w:rsidRPr="00AA07AF">
        <w:t xml:space="preserve"> from the GEJ (marked by top of gastric folds) to 1cm distal from</w:t>
      </w:r>
      <w:r w:rsidR="00727181" w:rsidRPr="00AA07AF">
        <w:t xml:space="preserve"> the GEJ</w:t>
      </w:r>
      <w:r w:rsidR="005C091C" w:rsidRPr="00AA07AF">
        <w:t xml:space="preserve"> in order to approximate the gastric cardia. </w:t>
      </w:r>
      <w:r w:rsidR="005C6044" w:rsidRPr="00AA07AF">
        <w:t>These</w:t>
      </w:r>
      <w:r w:rsidR="005C091C" w:rsidRPr="00AA07AF">
        <w:t xml:space="preserve"> segments</w:t>
      </w:r>
      <w:r w:rsidR="005C6044" w:rsidRPr="00AA07AF">
        <w:t xml:space="preserve"> were</w:t>
      </w:r>
      <w:r w:rsidR="005C091C" w:rsidRPr="00AA07AF">
        <w:t xml:space="preserve"> </w:t>
      </w:r>
      <w:r w:rsidR="005C6044" w:rsidRPr="00AA07AF">
        <w:t>analyzed frame-by-frame to determine the presence of</w:t>
      </w:r>
      <w:r w:rsidR="005C091C" w:rsidRPr="00AA07AF">
        <w:t xml:space="preserve"> various</w:t>
      </w:r>
      <w:r w:rsidR="005C6044" w:rsidRPr="00AA07AF">
        <w:t xml:space="preserve"> imaging</w:t>
      </w:r>
      <w:r w:rsidR="005C091C" w:rsidRPr="00AA07AF">
        <w:t xml:space="preserve"> </w:t>
      </w:r>
      <w:r w:rsidR="005C6044" w:rsidRPr="00AA07AF">
        <w:t>features</w:t>
      </w:r>
      <w:r w:rsidR="00D6622F" w:rsidRPr="00AA07AF">
        <w:t xml:space="preserve">. This analysis was done by a trained reviewer who was </w:t>
      </w:r>
      <w:r w:rsidR="00F35048" w:rsidRPr="00AA07AF">
        <w:t>initially blinded to</w:t>
      </w:r>
      <w:r w:rsidR="00D6622F" w:rsidRPr="00AA07AF">
        <w:t xml:space="preserve"> the corresponding pathology. </w:t>
      </w:r>
      <w:r w:rsidR="00F35048" w:rsidRPr="00AA07AF">
        <w:t>Once the image analysis was completed, b</w:t>
      </w:r>
      <w:r w:rsidR="008C3BFD" w:rsidRPr="00AA07AF">
        <w:t>iopsy results from the GEJ to 1cm</w:t>
      </w:r>
      <w:r w:rsidR="00F80C15" w:rsidRPr="00AA07AF">
        <w:t xml:space="preserve"> distal to the GEJ were reviewed</w:t>
      </w:r>
      <w:r w:rsidR="008C3BFD" w:rsidRPr="00AA07AF">
        <w:t xml:space="preserve"> in order to determine the highest </w:t>
      </w:r>
      <w:r w:rsidR="00F35048" w:rsidRPr="00AA07AF">
        <w:t>level of pathology found in the</w:t>
      </w:r>
      <w:r w:rsidR="008C3BFD" w:rsidRPr="00AA07AF">
        <w:t xml:space="preserve"> segment. Patients were then grouped according to the highest level of pathology</w:t>
      </w:r>
      <w:r w:rsidR="00F80C15" w:rsidRPr="00AA07AF">
        <w:t xml:space="preserve"> indicted on biopsy report</w:t>
      </w:r>
      <w:r w:rsidR="008C3BFD" w:rsidRPr="00AA07AF">
        <w:t>: neoplasia, Barrett’s with no dysplasia, inflamed cardia, and nor</w:t>
      </w:r>
      <w:r w:rsidR="00F80C15" w:rsidRPr="00AA07AF">
        <w:t xml:space="preserve">mal mucosa. Within these histologic subgroups, the frequency of each imaging characteristic was </w:t>
      </w:r>
      <w:r w:rsidR="005C6044" w:rsidRPr="00AA07AF">
        <w:t xml:space="preserve">calculated </w:t>
      </w:r>
      <w:r w:rsidR="00F80C15" w:rsidRPr="00AA07AF">
        <w:t>based on the VLE scan analysis that had been done.</w:t>
      </w:r>
    </w:p>
    <w:p w14:paraId="082EAA52" w14:textId="77777777" w:rsidR="0023348A" w:rsidRPr="00AA07AF" w:rsidRDefault="0023348A" w:rsidP="00B02C42">
      <w:pPr>
        <w:spacing w:before="0" w:after="0"/>
        <w:jc w:val="both"/>
        <w:rPr>
          <w:lang w:eastAsia="zh-CN"/>
        </w:rPr>
      </w:pPr>
    </w:p>
    <w:p w14:paraId="004A8F1F" w14:textId="5EE81306" w:rsidR="00727181" w:rsidRPr="0023348A" w:rsidRDefault="003543E8" w:rsidP="00B02C42">
      <w:pPr>
        <w:spacing w:before="0" w:after="0"/>
        <w:jc w:val="both"/>
        <w:rPr>
          <w:b/>
          <w:i/>
          <w:lang w:eastAsia="zh-CN"/>
        </w:rPr>
      </w:pPr>
      <w:r w:rsidRPr="0023348A">
        <w:rPr>
          <w:b/>
          <w:i/>
        </w:rPr>
        <w:t>Case</w:t>
      </w:r>
      <w:r w:rsidR="00727181" w:rsidRPr="0023348A">
        <w:rPr>
          <w:b/>
          <w:i/>
        </w:rPr>
        <w:t>s</w:t>
      </w:r>
      <w:r w:rsidR="001A5D16" w:rsidRPr="0023348A">
        <w:rPr>
          <w:b/>
          <w:i/>
        </w:rPr>
        <w:t xml:space="preserve"> (Figure 1)</w:t>
      </w:r>
    </w:p>
    <w:p w14:paraId="47613E40" w14:textId="7E9AE64F" w:rsidR="003543E8" w:rsidRPr="00AA07AF" w:rsidRDefault="0009291F" w:rsidP="00B02C42">
      <w:pPr>
        <w:spacing w:before="0" w:after="0"/>
        <w:jc w:val="both"/>
      </w:pPr>
      <w:r w:rsidRPr="00AA07AF">
        <w:t xml:space="preserve">From July 2014 to September 2015, </w:t>
      </w:r>
      <w:r w:rsidR="0029728A" w:rsidRPr="00AA07AF">
        <w:t>fo</w:t>
      </w:r>
      <w:r w:rsidR="00846850" w:rsidRPr="00AA07AF">
        <w:t xml:space="preserve">rty-six patients underwent a total of fifty-six procedures with VLE scan at </w:t>
      </w:r>
      <w:r w:rsidR="001A5707" w:rsidRPr="00AA07AF">
        <w:t xml:space="preserve">a </w:t>
      </w:r>
      <w:r w:rsidR="008C3102" w:rsidRPr="00AA07AF">
        <w:t>tertiary</w:t>
      </w:r>
      <w:r w:rsidR="001A5707" w:rsidRPr="00AA07AF">
        <w:t xml:space="preserve"> care center with referral Barrett’s practice</w:t>
      </w:r>
      <w:r w:rsidR="00846850" w:rsidRPr="00AA07AF">
        <w:t xml:space="preserve">. These patients </w:t>
      </w:r>
      <w:r w:rsidR="0029728A" w:rsidRPr="00AA07AF">
        <w:t>were undergoing screening</w:t>
      </w:r>
      <w:r w:rsidR="00846850" w:rsidRPr="00AA07AF">
        <w:t xml:space="preserve"> or had </w:t>
      </w:r>
      <w:r w:rsidR="0029728A" w:rsidRPr="00AA07AF">
        <w:t>known</w:t>
      </w:r>
      <w:r w:rsidR="00846850" w:rsidRPr="00AA07AF">
        <w:t xml:space="preserve"> BE and were undergoing endoscopic follow-up. </w:t>
      </w:r>
      <w:r w:rsidR="003543E8" w:rsidRPr="00AA07AF">
        <w:t xml:space="preserve">Cases were included in the study of they had a </w:t>
      </w:r>
      <w:r w:rsidR="00553368" w:rsidRPr="00AA07AF">
        <w:t xml:space="preserve">VLE scan </w:t>
      </w:r>
      <w:r w:rsidR="003543E8" w:rsidRPr="00AA07AF">
        <w:t xml:space="preserve">available for review </w:t>
      </w:r>
      <w:r w:rsidR="00553368" w:rsidRPr="00AA07AF">
        <w:t>and</w:t>
      </w:r>
      <w:r w:rsidR="003543E8" w:rsidRPr="00AA07AF">
        <w:t xml:space="preserve"> had biopsies taken specifically at the GEJ/gastric cardia.</w:t>
      </w:r>
    </w:p>
    <w:p w14:paraId="789DFA9C" w14:textId="77777777" w:rsidR="003543E8" w:rsidRPr="00AA07AF" w:rsidRDefault="003543E8" w:rsidP="000E278B">
      <w:pPr>
        <w:spacing w:before="0" w:after="0"/>
        <w:ind w:firstLine="720"/>
        <w:jc w:val="both"/>
      </w:pPr>
      <w:r w:rsidRPr="00AA07AF">
        <w:t>Cases were excluded if the VLE scan did not include imaging of the GEJ/gastric cardia, biopsies were not taken in this region, or if there was a technical problem with the VLE scan.</w:t>
      </w:r>
    </w:p>
    <w:p w14:paraId="5FA42755" w14:textId="17826D4C" w:rsidR="00727181" w:rsidRPr="00AA07AF" w:rsidRDefault="00846850" w:rsidP="000E278B">
      <w:pPr>
        <w:spacing w:before="0" w:after="0"/>
        <w:ind w:firstLine="720"/>
        <w:jc w:val="both"/>
      </w:pPr>
      <w:r w:rsidRPr="00AA07AF">
        <w:lastRenderedPageBreak/>
        <w:t xml:space="preserve">Of the fifty-six </w:t>
      </w:r>
      <w:r w:rsidR="003543E8" w:rsidRPr="00AA07AF">
        <w:t>cases, thirty-four met criteria for inclusion in the study.</w:t>
      </w:r>
      <w:r w:rsidR="0029728A" w:rsidRPr="00AA07AF">
        <w:t xml:space="preserve"> </w:t>
      </w:r>
      <w:r w:rsidR="003543E8" w:rsidRPr="00AA07AF">
        <w:t>This</w:t>
      </w:r>
      <w:r w:rsidR="00727181" w:rsidRPr="00AA07AF">
        <w:t xml:space="preserve"> study was approved by the Institutional Review Board.</w:t>
      </w:r>
    </w:p>
    <w:p w14:paraId="60B31906" w14:textId="77777777" w:rsidR="000E278B" w:rsidRDefault="000E278B" w:rsidP="00B02C42">
      <w:pPr>
        <w:spacing w:before="0" w:after="0"/>
        <w:jc w:val="both"/>
        <w:rPr>
          <w:b/>
          <w:i/>
          <w:lang w:eastAsia="zh-CN"/>
        </w:rPr>
      </w:pPr>
    </w:p>
    <w:p w14:paraId="3785E10A" w14:textId="5D9993FD" w:rsidR="00D12F00" w:rsidRPr="0023348A" w:rsidRDefault="0023348A" w:rsidP="00B02C42">
      <w:pPr>
        <w:spacing w:before="0" w:after="0"/>
        <w:jc w:val="both"/>
        <w:rPr>
          <w:b/>
          <w:i/>
          <w:lang w:eastAsia="zh-CN"/>
        </w:rPr>
      </w:pPr>
      <w:r>
        <w:rPr>
          <w:b/>
          <w:i/>
        </w:rPr>
        <w:t>Endoscopy</w:t>
      </w:r>
    </w:p>
    <w:p w14:paraId="26170B76" w14:textId="6BA25336" w:rsidR="00D12F00" w:rsidRPr="00AA07AF" w:rsidRDefault="00D12F00" w:rsidP="00B02C42">
      <w:pPr>
        <w:spacing w:before="0" w:after="0"/>
        <w:jc w:val="both"/>
      </w:pPr>
      <w:r w:rsidRPr="00AA07AF">
        <w:t>All endoscopic procedures were performed by 3 ex</w:t>
      </w:r>
      <w:r w:rsidR="0009291F" w:rsidRPr="00AA07AF">
        <w:t>pert endoscopists with</w:t>
      </w:r>
      <w:r w:rsidRPr="00AA07AF">
        <w:t xml:space="preserve"> experience in detection </w:t>
      </w:r>
      <w:r w:rsidR="00F36BDB" w:rsidRPr="00AA07AF">
        <w:t>and management of BE.</w:t>
      </w:r>
      <w:r w:rsidRPr="00AA07AF">
        <w:t xml:space="preserve"> EGD procedures </w:t>
      </w:r>
      <w:r w:rsidR="00F36BDB" w:rsidRPr="00AA07AF">
        <w:t>were performed using the high resolution Olympus GIF-HQ190</w:t>
      </w:r>
      <w:r w:rsidRPr="00AA07AF">
        <w:t xml:space="preserve"> gastroscope. </w:t>
      </w:r>
      <w:r w:rsidR="00F36BDB" w:rsidRPr="00AA07AF">
        <w:t>After insertion of the gastroscope, the</w:t>
      </w:r>
      <w:r w:rsidRPr="00AA07AF">
        <w:t xml:space="preserve"> esophagus, GEJ and gastric cardia were first examined by WLE for gross evidence of BE.</w:t>
      </w:r>
      <w:r w:rsidR="00F36BDB" w:rsidRPr="00AA07AF">
        <w:t xml:space="preserve"> </w:t>
      </w:r>
      <w:r w:rsidR="0009291F" w:rsidRPr="00AA07AF">
        <w:t>Narrow band imaging features with near focus was</w:t>
      </w:r>
      <w:r w:rsidR="00F36BDB" w:rsidRPr="00AA07AF">
        <w:t xml:space="preserve"> also used. Following this, VLE ODFI imaging was performed using the NinePoints system described below. Lastly, biopsies were taken with cold forceps</w:t>
      </w:r>
      <w:r w:rsidR="0009291F" w:rsidRPr="00AA07AF">
        <w:t xml:space="preserve"> and/or endoscopic mucosal resection</w:t>
      </w:r>
      <w:r w:rsidR="001A5707" w:rsidRPr="00AA07AF">
        <w:t xml:space="preserve"> at the endosco</w:t>
      </w:r>
      <w:r w:rsidR="008C3102" w:rsidRPr="00AA07AF">
        <w:t>pist’s</w:t>
      </w:r>
      <w:r w:rsidR="001A5707" w:rsidRPr="00AA07AF">
        <w:t xml:space="preserve"> discretion</w:t>
      </w:r>
      <w:r w:rsidR="00F36BDB" w:rsidRPr="00AA07AF">
        <w:t>.</w:t>
      </w:r>
    </w:p>
    <w:p w14:paraId="51D3F71C" w14:textId="77777777" w:rsidR="000E278B" w:rsidRDefault="000E278B" w:rsidP="00B02C42">
      <w:pPr>
        <w:spacing w:before="0" w:after="0"/>
        <w:jc w:val="both"/>
        <w:rPr>
          <w:b/>
          <w:i/>
          <w:lang w:eastAsia="zh-CN"/>
        </w:rPr>
      </w:pPr>
    </w:p>
    <w:p w14:paraId="5D1F64A3" w14:textId="3154B7CD" w:rsidR="00F80C15" w:rsidRPr="0023348A" w:rsidRDefault="0023348A" w:rsidP="00B02C42">
      <w:pPr>
        <w:spacing w:before="0" w:after="0"/>
        <w:jc w:val="both"/>
        <w:rPr>
          <w:b/>
          <w:i/>
          <w:lang w:eastAsia="zh-CN"/>
        </w:rPr>
      </w:pPr>
      <w:r>
        <w:rPr>
          <w:b/>
          <w:i/>
        </w:rPr>
        <w:t>VLE system</w:t>
      </w:r>
    </w:p>
    <w:p w14:paraId="1864B8F4" w14:textId="603C1113" w:rsidR="00831B57" w:rsidRPr="00AA07AF" w:rsidRDefault="00F80C15" w:rsidP="00B02C42">
      <w:pPr>
        <w:spacing w:before="0" w:after="0"/>
        <w:jc w:val="both"/>
      </w:pPr>
      <w:r w:rsidRPr="00AA07AF">
        <w:t xml:space="preserve">The NinePoints Medical VLE </w:t>
      </w:r>
      <w:r w:rsidR="001A5D16" w:rsidRPr="00AA07AF">
        <w:t>optical frequency domain imaging (</w:t>
      </w:r>
      <w:r w:rsidR="00831B57" w:rsidRPr="00AA07AF">
        <w:t>ODFI</w:t>
      </w:r>
      <w:r w:rsidR="001A5D16" w:rsidRPr="00AA07AF">
        <w:t>)</w:t>
      </w:r>
      <w:r w:rsidR="00831B57" w:rsidRPr="00AA07AF">
        <w:t xml:space="preserve"> </w:t>
      </w:r>
      <w:r w:rsidRPr="00AA07AF">
        <w:t>system was used</w:t>
      </w:r>
      <w:r w:rsidR="00831B57" w:rsidRPr="00AA07AF">
        <w:t xml:space="preserve"> in this study</w:t>
      </w:r>
      <w:r w:rsidRPr="00AA07AF">
        <w:t xml:space="preserve">. </w:t>
      </w:r>
      <w:r w:rsidR="00831B57" w:rsidRPr="00AA07AF">
        <w:t xml:space="preserve">Technical specifications of </w:t>
      </w:r>
      <w:r w:rsidR="000E1A8E" w:rsidRPr="00AA07AF">
        <w:t>ODFI imaging</w:t>
      </w:r>
      <w:r w:rsidR="00831B57" w:rsidRPr="00AA07AF">
        <w:t xml:space="preserve"> are described in detail in previous publications</w:t>
      </w:r>
      <w:r w:rsidR="00EB17C4" w:rsidRPr="0023348A">
        <w:rPr>
          <w:vertAlign w:val="superscript"/>
        </w:rPr>
        <w:t>[12]</w:t>
      </w:r>
      <w:r w:rsidR="00831B57" w:rsidRPr="00AA07AF">
        <w:t xml:space="preserve">. </w:t>
      </w:r>
      <w:r w:rsidR="00E84963" w:rsidRPr="00AA07AF">
        <w:t>Briefly, t</w:t>
      </w:r>
      <w:r w:rsidR="00892E65" w:rsidRPr="00AA07AF">
        <w:t xml:space="preserve">he NinePoints VLE system </w:t>
      </w:r>
      <w:r w:rsidR="005857BC" w:rsidRPr="00AA07AF">
        <w:t>includes a balloon centered probe and user console with monitor.</w:t>
      </w:r>
      <w:r w:rsidR="00892E65" w:rsidRPr="00AA07AF">
        <w:t xml:space="preserve"> </w:t>
      </w:r>
      <w:r w:rsidR="005857BC" w:rsidRPr="00AA07AF">
        <w:t>The</w:t>
      </w:r>
      <w:r w:rsidR="00892E65" w:rsidRPr="00AA07AF">
        <w:t xml:space="preserve"> probe</w:t>
      </w:r>
      <w:r w:rsidR="005857BC" w:rsidRPr="00AA07AF">
        <w:t xml:space="preserve"> consists of a transparent balloon surrounding a laser light source and optical system. Co</w:t>
      </w:r>
      <w:r w:rsidR="0023348A">
        <w:t xml:space="preserve"> mm</w:t>
      </w:r>
      <w:r w:rsidR="005857BC" w:rsidRPr="00AA07AF">
        <w:t>erciall</w:t>
      </w:r>
      <w:r w:rsidR="00013A35" w:rsidRPr="00AA07AF">
        <w:t>y</w:t>
      </w:r>
      <w:r w:rsidR="005857BC" w:rsidRPr="00AA07AF">
        <w:t xml:space="preserve"> available probe sizes</w:t>
      </w:r>
      <w:r w:rsidR="006207CC" w:rsidRPr="00AA07AF">
        <w:t xml:space="preserve"> range from</w:t>
      </w:r>
      <w:r w:rsidR="005857BC" w:rsidRPr="00AA07AF">
        <w:t xml:space="preserve"> 14</w:t>
      </w:r>
      <w:r w:rsidR="006207CC" w:rsidRPr="00AA07AF">
        <w:t>-25</w:t>
      </w:r>
      <w:r w:rsidR="00915447">
        <w:rPr>
          <w:rFonts w:hint="eastAsia"/>
          <w:lang w:eastAsia="zh-CN"/>
        </w:rPr>
        <w:t xml:space="preserve"> </w:t>
      </w:r>
      <w:r w:rsidR="0023348A">
        <w:t>mm</w:t>
      </w:r>
      <w:r w:rsidR="005857BC" w:rsidRPr="00AA07AF">
        <w:t>. These are compatible with endosc</w:t>
      </w:r>
      <w:r w:rsidR="0079386B" w:rsidRPr="00AA07AF">
        <w:t>o</w:t>
      </w:r>
      <w:r w:rsidR="005857BC" w:rsidRPr="00AA07AF">
        <w:t>pe channels 2.8</w:t>
      </w:r>
      <w:r w:rsidR="00915447">
        <w:rPr>
          <w:rFonts w:hint="eastAsia"/>
          <w:lang w:eastAsia="zh-CN"/>
        </w:rPr>
        <w:t xml:space="preserve"> </w:t>
      </w:r>
      <w:r w:rsidR="0023348A">
        <w:t>mm</w:t>
      </w:r>
      <w:r w:rsidR="005857BC" w:rsidRPr="00AA07AF">
        <w:t xml:space="preserve"> and lager. After the</w:t>
      </w:r>
      <w:r w:rsidR="00892E65" w:rsidRPr="00AA07AF">
        <w:t xml:space="preserve"> balloon is</w:t>
      </w:r>
      <w:r w:rsidR="005857BC" w:rsidRPr="00AA07AF">
        <w:t xml:space="preserve"> placed into the esophagus and inflated,</w:t>
      </w:r>
      <w:r w:rsidR="00892E65" w:rsidRPr="00AA07AF">
        <w:t xml:space="preserve"> the central component helically scans while simultaneously retracting throughout the length of the </w:t>
      </w:r>
      <w:r w:rsidR="005857BC" w:rsidRPr="00AA07AF">
        <w:t>balloon (6</w:t>
      </w:r>
      <w:r w:rsidR="0023348A">
        <w:rPr>
          <w:rFonts w:hint="eastAsia"/>
          <w:lang w:eastAsia="zh-CN"/>
        </w:rPr>
        <w:t xml:space="preserve"> </w:t>
      </w:r>
      <w:r w:rsidR="005857BC" w:rsidRPr="00AA07AF">
        <w:t>cm).</w:t>
      </w:r>
      <w:r w:rsidR="006207CC" w:rsidRPr="00AA07AF">
        <w:t xml:space="preserve"> A data set is generated using interferometry and measurement of optical reflection delay from the laser light source. </w:t>
      </w:r>
      <w:r w:rsidR="00013A35" w:rsidRPr="00AA07AF">
        <w:t xml:space="preserve">The scan takes 90 seconds to complete and produces </w:t>
      </w:r>
      <w:r w:rsidR="00892E65" w:rsidRPr="00AA07AF">
        <w:t xml:space="preserve">circumferential cross-sectional images </w:t>
      </w:r>
      <w:r w:rsidR="00013A35" w:rsidRPr="00AA07AF">
        <w:t>of the tissue abutting the edge of the inflated balloon probe</w:t>
      </w:r>
      <w:r w:rsidR="00892E65" w:rsidRPr="00AA07AF">
        <w:t xml:space="preserve">. </w:t>
      </w:r>
      <w:r w:rsidR="0079386B" w:rsidRPr="00AA07AF">
        <w:t>In</w:t>
      </w:r>
      <w:r w:rsidR="00013A35" w:rsidRPr="00AA07AF">
        <w:t xml:space="preserve"> total,</w:t>
      </w:r>
      <w:r w:rsidR="0023348A">
        <w:t xml:space="preserve"> 1</w:t>
      </w:r>
      <w:r w:rsidR="00892E65" w:rsidRPr="00AA07AF">
        <w:t xml:space="preserve">200 cross sectional images </w:t>
      </w:r>
      <w:r w:rsidR="00013A35" w:rsidRPr="00AA07AF">
        <w:t xml:space="preserve">are obtained </w:t>
      </w:r>
      <w:r w:rsidR="00892E65" w:rsidRPr="00AA07AF">
        <w:t>from the mucosa to a depth of 3</w:t>
      </w:r>
      <w:r w:rsidR="0023348A">
        <w:t xml:space="preserve"> mm</w:t>
      </w:r>
      <w:r w:rsidR="00892E65" w:rsidRPr="00AA07AF">
        <w:t>.</w:t>
      </w:r>
      <w:r w:rsidR="00E84963" w:rsidRPr="00AA07AF">
        <w:t xml:space="preserve"> These images have a </w:t>
      </w:r>
      <w:r w:rsidR="00013A35" w:rsidRPr="00AA07AF">
        <w:t>resolution of 7</w:t>
      </w:r>
      <w:r w:rsidR="0023348A">
        <w:t xml:space="preserve"> μm</w:t>
      </w:r>
      <w:r w:rsidR="00013A35" w:rsidRPr="00AA07AF">
        <w:t xml:space="preserve"> making it comparable to low-power microscopy.</w:t>
      </w:r>
    </w:p>
    <w:p w14:paraId="6B182628" w14:textId="24B80156" w:rsidR="00831B57" w:rsidRDefault="001A468D" w:rsidP="000E278B">
      <w:pPr>
        <w:spacing w:before="0" w:after="0"/>
        <w:ind w:firstLine="720"/>
        <w:jc w:val="both"/>
        <w:rPr>
          <w:lang w:eastAsia="zh-CN"/>
        </w:rPr>
      </w:pPr>
      <w:r w:rsidRPr="00AA07AF">
        <w:lastRenderedPageBreak/>
        <w:t xml:space="preserve">VLE images were analyzed on a console that allows for simultaneous cross-sectional and longitudinal views. </w:t>
      </w:r>
      <w:r w:rsidR="00165A73" w:rsidRPr="00AA07AF">
        <w:t xml:space="preserve">Additionally, a zoom view </w:t>
      </w:r>
      <w:r w:rsidR="008F5E4E" w:rsidRPr="00AA07AF">
        <w:t xml:space="preserve">was </w:t>
      </w:r>
      <w:r w:rsidR="00165A73" w:rsidRPr="00AA07AF">
        <w:t xml:space="preserve">available for both dimensions. </w:t>
      </w:r>
    </w:p>
    <w:p w14:paraId="6B0ECF6E" w14:textId="77777777" w:rsidR="000E278B" w:rsidRPr="00AA07AF" w:rsidRDefault="000E278B" w:rsidP="000E278B">
      <w:pPr>
        <w:spacing w:before="0" w:after="0"/>
        <w:ind w:firstLine="720"/>
        <w:jc w:val="both"/>
        <w:rPr>
          <w:lang w:eastAsia="zh-CN"/>
        </w:rPr>
      </w:pPr>
    </w:p>
    <w:p w14:paraId="187CAB3E" w14:textId="303C7666" w:rsidR="001E4102" w:rsidRPr="0023348A" w:rsidRDefault="001E4102" w:rsidP="00B02C42">
      <w:pPr>
        <w:spacing w:before="0" w:after="0"/>
        <w:jc w:val="both"/>
        <w:rPr>
          <w:b/>
          <w:i/>
          <w:lang w:eastAsia="zh-CN"/>
        </w:rPr>
      </w:pPr>
      <w:r w:rsidRPr="0023348A">
        <w:rPr>
          <w:b/>
          <w:i/>
        </w:rPr>
        <w:t>VL</w:t>
      </w:r>
      <w:r w:rsidR="0023348A">
        <w:rPr>
          <w:b/>
          <w:i/>
        </w:rPr>
        <w:t>E image assessment</w:t>
      </w:r>
    </w:p>
    <w:p w14:paraId="5ACE7ACB" w14:textId="5F23FDF9" w:rsidR="00B116BD" w:rsidRDefault="001E4102" w:rsidP="00B02C42">
      <w:pPr>
        <w:spacing w:before="0" w:after="0"/>
        <w:jc w:val="both"/>
        <w:rPr>
          <w:lang w:eastAsia="zh-CN"/>
        </w:rPr>
      </w:pPr>
      <w:r w:rsidRPr="00AA07AF">
        <w:t xml:space="preserve">All VLE scans were </w:t>
      </w:r>
      <w:r w:rsidR="008F5E4E" w:rsidRPr="00AA07AF">
        <w:t>viewed</w:t>
      </w:r>
      <w:r w:rsidRPr="00AA07AF">
        <w:t xml:space="preserve"> using the NinePoints VLE console.</w:t>
      </w:r>
      <w:r w:rsidR="0079386B" w:rsidRPr="00AA07AF">
        <w:t xml:space="preserve"> For each scan included in the study, the corresponding endoscopy report was reviewed to determine the centimeter marking at which the top of gastric folds was seen. The corresponding centimeter marking was found on the VLE scan and this was designated as the GEJ.</w:t>
      </w:r>
      <w:r w:rsidRPr="00AA07AF">
        <w:t xml:space="preserve"> </w:t>
      </w:r>
      <w:r w:rsidR="00F57C83" w:rsidRPr="00AA07AF">
        <w:t xml:space="preserve">Each </w:t>
      </w:r>
      <w:r w:rsidR="0079386B" w:rsidRPr="00AA07AF">
        <w:t>scan</w:t>
      </w:r>
      <w:r w:rsidR="00F57C83" w:rsidRPr="00AA07AF">
        <w:t xml:space="preserve"> was assessed frame by frame fro</w:t>
      </w:r>
      <w:r w:rsidR="00C777FE" w:rsidRPr="00AA07AF">
        <w:t xml:space="preserve">m the GEJ to 1cm below the GEJ. </w:t>
      </w:r>
      <w:r w:rsidR="0079386B" w:rsidRPr="00AA07AF">
        <w:t xml:space="preserve">Each frame was viewed circumferentially for presence </w:t>
      </w:r>
      <w:r w:rsidRPr="00AA07AF">
        <w:t xml:space="preserve">of </w:t>
      </w:r>
      <w:r w:rsidR="008C0E7F" w:rsidRPr="00AA07AF">
        <w:t>the specified features</w:t>
      </w:r>
      <w:r w:rsidR="0079386B" w:rsidRPr="00AA07AF">
        <w:t xml:space="preserve"> </w:t>
      </w:r>
      <w:r w:rsidR="00091485" w:rsidRPr="00AA07AF">
        <w:t>which have been found in previous studies to correlate with normal or abnormal mucosa</w:t>
      </w:r>
      <w:r w:rsidR="00A826FB" w:rsidRPr="00AA07AF">
        <w:t xml:space="preserve"> (Table 1)</w:t>
      </w:r>
      <w:r w:rsidR="00091485" w:rsidRPr="00AA07AF">
        <w:t xml:space="preserve">. </w:t>
      </w:r>
      <w:r w:rsidR="008C0E7F" w:rsidRPr="00AA07AF">
        <w:t xml:space="preserve">The features or interest were based on OCT criteria set forth by Evans </w:t>
      </w:r>
      <w:r w:rsidR="000E278B" w:rsidRPr="000E278B">
        <w:rPr>
          <w:i/>
        </w:rPr>
        <w:t>et al</w:t>
      </w:r>
      <w:r w:rsidR="007951E1" w:rsidRPr="00AA07AF">
        <w:rPr>
          <w:vertAlign w:val="superscript"/>
        </w:rPr>
        <w:t>[12]</w:t>
      </w:r>
      <w:r w:rsidR="008C0E7F" w:rsidRPr="00AA07AF">
        <w:t xml:space="preserve"> and included</w:t>
      </w:r>
      <w:r w:rsidR="00091485" w:rsidRPr="00AA07AF">
        <w:t xml:space="preserve"> gastric rugae, gastric pit architecture, image penetration, homogenous or heterogeneous scattering, surface to subsurface intensity, and surface irregularity. </w:t>
      </w:r>
      <w:r w:rsidR="0079386B" w:rsidRPr="00AA07AF">
        <w:t xml:space="preserve">Following this, another review was done during which the number of typical, atypical, and septated glands were counted individually. </w:t>
      </w:r>
      <w:r w:rsidR="0025428E" w:rsidRPr="00AA07AF">
        <w:t>Glands were deemed to be atypical if they were dilated or had irregular morphology, similar to the definition used in previous publications</w:t>
      </w:r>
      <w:r w:rsidR="007951E1" w:rsidRPr="00AA07AF">
        <w:rPr>
          <w:vertAlign w:val="superscript"/>
        </w:rPr>
        <w:t>[13]</w:t>
      </w:r>
      <w:r w:rsidR="0025428E" w:rsidRPr="00AA07AF">
        <w:t>.</w:t>
      </w:r>
      <w:r w:rsidR="00915447">
        <w:t xml:space="preserve"> </w:t>
      </w:r>
    </w:p>
    <w:p w14:paraId="4D6E8307" w14:textId="77777777" w:rsidR="000E278B" w:rsidRPr="00AA07AF" w:rsidRDefault="000E278B" w:rsidP="00B02C42">
      <w:pPr>
        <w:spacing w:before="0" w:after="0"/>
        <w:jc w:val="both"/>
        <w:rPr>
          <w:lang w:eastAsia="zh-CN"/>
        </w:rPr>
      </w:pPr>
    </w:p>
    <w:p w14:paraId="06B770C1" w14:textId="4BD5928F" w:rsidR="0023348A" w:rsidRDefault="00B6042B" w:rsidP="00B02C42">
      <w:pPr>
        <w:spacing w:before="0" w:after="0"/>
        <w:jc w:val="both"/>
        <w:rPr>
          <w:b/>
          <w:i/>
          <w:lang w:eastAsia="zh-CN"/>
        </w:rPr>
      </w:pPr>
      <w:r>
        <w:rPr>
          <w:b/>
          <w:i/>
        </w:rPr>
        <w:t>Statistical analysis</w:t>
      </w:r>
    </w:p>
    <w:p w14:paraId="190E37D7" w14:textId="69E8EDE3" w:rsidR="007C789B" w:rsidRPr="00AA07AF" w:rsidRDefault="007C789B" w:rsidP="00B02C42">
      <w:pPr>
        <w:spacing w:before="0" w:after="0"/>
        <w:jc w:val="both"/>
      </w:pPr>
      <w:r w:rsidRPr="00AA07AF">
        <w:t xml:space="preserve">Statistical analysis was performed using Microsoft Excel </w:t>
      </w:r>
      <w:r w:rsidR="00210FB5" w:rsidRPr="00AA07AF">
        <w:t xml:space="preserve">software for Windows. </w:t>
      </w:r>
      <w:r w:rsidR="005035B5" w:rsidRPr="00AA07AF">
        <w:t xml:space="preserve">Chi-squared test was used when comparing the proportion of each group that exhibited a particular imaging feature. The </w:t>
      </w:r>
      <w:r w:rsidR="0023348A" w:rsidRPr="0023348A">
        <w:rPr>
          <w:i/>
        </w:rPr>
        <w:t>t-</w:t>
      </w:r>
      <w:r w:rsidR="005035B5" w:rsidRPr="00AA07AF">
        <w:t xml:space="preserve">test was used when determining if the number of typical and atypical glands differed between two groups. </w:t>
      </w:r>
      <w:r w:rsidR="007951E1" w:rsidRPr="00AA07AF">
        <w:t>Analysis of variance (</w:t>
      </w:r>
      <w:r w:rsidR="005035B5" w:rsidRPr="00AA07AF">
        <w:t>ANOVA</w:t>
      </w:r>
      <w:r w:rsidR="007951E1" w:rsidRPr="00AA07AF">
        <w:t>)</w:t>
      </w:r>
      <w:r w:rsidR="005035B5" w:rsidRPr="00AA07AF">
        <w:t xml:space="preserve"> analysis was performed comparing the number of atypical glands between all histologic subgroups.</w:t>
      </w:r>
      <w:r w:rsidR="005621DE" w:rsidRPr="00AA07AF">
        <w:t xml:space="preserve"> A </w:t>
      </w:r>
      <w:r w:rsidR="0023348A" w:rsidRPr="0023348A">
        <w:rPr>
          <w:i/>
        </w:rPr>
        <w:t>P</w:t>
      </w:r>
      <w:r w:rsidR="005621DE" w:rsidRPr="00AA07AF">
        <w:t>-value of &lt;</w:t>
      </w:r>
      <w:r w:rsidR="0023348A">
        <w:rPr>
          <w:rFonts w:hint="eastAsia"/>
          <w:lang w:eastAsia="zh-CN"/>
        </w:rPr>
        <w:t xml:space="preserve"> </w:t>
      </w:r>
      <w:r w:rsidR="005621DE" w:rsidRPr="00AA07AF">
        <w:t>0.05 was considered statistically significant in this study.</w:t>
      </w:r>
      <w:r w:rsidR="00D51B01" w:rsidRPr="00AA07AF">
        <w:t xml:space="preserve"> The statistical methods of this study were reviewed by a biostatistician </w:t>
      </w:r>
      <w:r w:rsidR="00D51B01" w:rsidRPr="00AA07AF">
        <w:lastRenderedPageBreak/>
        <w:t>through the University of Chicago Biostatistics Laboratory</w:t>
      </w:r>
      <w:r w:rsidR="00967E97" w:rsidRPr="00AA07AF">
        <w:t xml:space="preserve"> </w:t>
      </w:r>
      <w:r w:rsidR="006C49CC" w:rsidRPr="00AA07AF">
        <w:t xml:space="preserve">which is part of the </w:t>
      </w:r>
      <w:r w:rsidR="00967E97" w:rsidRPr="00AA07AF">
        <w:t>Department of Public Health Sciences.</w:t>
      </w:r>
    </w:p>
    <w:p w14:paraId="54B5A0FB" w14:textId="77777777" w:rsidR="0023348A" w:rsidRDefault="0023348A" w:rsidP="00B02C42">
      <w:pPr>
        <w:spacing w:before="0" w:after="0"/>
        <w:jc w:val="both"/>
        <w:rPr>
          <w:b/>
          <w:lang w:eastAsia="zh-CN"/>
        </w:rPr>
      </w:pPr>
    </w:p>
    <w:p w14:paraId="5180E708" w14:textId="6A59A81D" w:rsidR="005C091C" w:rsidRPr="0023348A" w:rsidRDefault="00524C71" w:rsidP="00B02C42">
      <w:pPr>
        <w:spacing w:before="0" w:after="0"/>
        <w:jc w:val="both"/>
        <w:rPr>
          <w:b/>
          <w:lang w:eastAsia="zh-CN"/>
        </w:rPr>
      </w:pPr>
      <w:r w:rsidRPr="0023348A">
        <w:rPr>
          <w:b/>
        </w:rPr>
        <w:t>RESULTS</w:t>
      </w:r>
    </w:p>
    <w:p w14:paraId="592BF306" w14:textId="07FC7D7F" w:rsidR="00210FB5" w:rsidRPr="0023348A" w:rsidRDefault="0023348A" w:rsidP="00B02C42">
      <w:pPr>
        <w:spacing w:before="0" w:after="0"/>
        <w:jc w:val="both"/>
        <w:rPr>
          <w:b/>
          <w:i/>
          <w:lang w:eastAsia="zh-CN"/>
        </w:rPr>
      </w:pPr>
      <w:r w:rsidRPr="0023348A">
        <w:rPr>
          <w:b/>
          <w:i/>
        </w:rPr>
        <w:t>Patients</w:t>
      </w:r>
    </w:p>
    <w:p w14:paraId="06171436" w14:textId="5DCFCB06" w:rsidR="00EA1E5E" w:rsidRDefault="005C091C" w:rsidP="00B02C42">
      <w:pPr>
        <w:spacing w:before="0" w:after="0"/>
        <w:jc w:val="both"/>
        <w:rPr>
          <w:lang w:eastAsia="zh-CN"/>
        </w:rPr>
      </w:pPr>
      <w:r w:rsidRPr="00AA07AF">
        <w:t xml:space="preserve">Thirty-four patients with VLE imaging and cardia level biopsies were included in the study and had an average age of </w:t>
      </w:r>
      <w:r w:rsidR="005954CB" w:rsidRPr="00AA07AF">
        <w:t>63</w:t>
      </w:r>
      <w:r w:rsidR="003762EF" w:rsidRPr="00AA07AF">
        <w:t xml:space="preserve"> years (SD 9)</w:t>
      </w:r>
      <w:r w:rsidRPr="00AA07AF">
        <w:t xml:space="preserve">. </w:t>
      </w:r>
      <w:r w:rsidR="00F81BD3" w:rsidRPr="00AA07AF">
        <w:t>Twenty-two</w:t>
      </w:r>
      <w:r w:rsidR="000C1FF8" w:rsidRPr="00AA07AF">
        <w:t xml:space="preserve"> patients had undergone prior therapy while </w:t>
      </w:r>
      <w:r w:rsidR="00F81BD3" w:rsidRPr="00AA07AF">
        <w:t>twelve had not. Of the 22</w:t>
      </w:r>
      <w:r w:rsidR="000C1FF8" w:rsidRPr="00AA07AF">
        <w:t xml:space="preserve"> patients who had undergone prior treatment, </w:t>
      </w:r>
      <w:r w:rsidR="00F81BD3" w:rsidRPr="00AA07AF">
        <w:t>4</w:t>
      </w:r>
      <w:r w:rsidR="000C1FF8" w:rsidRPr="00AA07AF">
        <w:t xml:space="preserve"> patients had undergone </w:t>
      </w:r>
      <w:r w:rsidR="007951E1" w:rsidRPr="00AA07AF">
        <w:t>endoscopic mucosal resection (</w:t>
      </w:r>
      <w:r w:rsidR="000C1FF8" w:rsidRPr="00AA07AF">
        <w:t>EMR</w:t>
      </w:r>
      <w:r w:rsidR="007951E1" w:rsidRPr="00AA07AF">
        <w:t>)</w:t>
      </w:r>
      <w:r w:rsidR="000C1FF8" w:rsidRPr="00AA07AF">
        <w:t xml:space="preserve">, 6 </w:t>
      </w:r>
      <w:r w:rsidR="007951E1" w:rsidRPr="00AA07AF">
        <w:t>radiofrequency ablation (</w:t>
      </w:r>
      <w:r w:rsidR="000C1FF8" w:rsidRPr="00AA07AF">
        <w:t>RFA</w:t>
      </w:r>
      <w:r w:rsidR="007951E1" w:rsidRPr="00AA07AF">
        <w:t>)</w:t>
      </w:r>
      <w:r w:rsidR="000C1FF8" w:rsidRPr="00AA07AF">
        <w:t xml:space="preserve">, 12 hybrid therapy. </w:t>
      </w:r>
    </w:p>
    <w:p w14:paraId="23A57DD5" w14:textId="77777777" w:rsidR="000E278B" w:rsidRPr="00AA07AF" w:rsidRDefault="000E278B" w:rsidP="00B02C42">
      <w:pPr>
        <w:spacing w:before="0" w:after="0"/>
        <w:jc w:val="both"/>
        <w:rPr>
          <w:lang w:eastAsia="zh-CN"/>
        </w:rPr>
      </w:pPr>
    </w:p>
    <w:p w14:paraId="3E6F05BA" w14:textId="1AAD9115" w:rsidR="000864C0" w:rsidRPr="0023348A" w:rsidRDefault="0023348A" w:rsidP="00B02C42">
      <w:pPr>
        <w:spacing w:before="0" w:after="0"/>
        <w:jc w:val="both"/>
        <w:rPr>
          <w:b/>
          <w:i/>
          <w:lang w:eastAsia="zh-CN"/>
        </w:rPr>
      </w:pPr>
      <w:r>
        <w:rPr>
          <w:b/>
          <w:i/>
        </w:rPr>
        <w:t>Endoscopy review</w:t>
      </w:r>
    </w:p>
    <w:p w14:paraId="443B8D8E" w14:textId="1499FDB7" w:rsidR="000864C0" w:rsidRDefault="000E1A8E" w:rsidP="00B02C42">
      <w:pPr>
        <w:spacing w:before="0" w:after="0"/>
        <w:jc w:val="both"/>
        <w:rPr>
          <w:lang w:eastAsia="zh-CN"/>
        </w:rPr>
      </w:pPr>
      <w:r w:rsidRPr="00AA07AF">
        <w:t xml:space="preserve">Hiatal hernias were present in 20 cases. In two cases, the patient was status post a fundoplication and in one case the patient was status post a duodenal switch surgery. </w:t>
      </w:r>
      <w:r w:rsidR="000864C0" w:rsidRPr="00AA07AF">
        <w:t xml:space="preserve">Visible BE </w:t>
      </w:r>
      <w:r w:rsidRPr="00AA07AF">
        <w:t xml:space="preserve">was seen during EGD in 22 cases of which 14 had short segment BE and 8 had long segment BE. </w:t>
      </w:r>
      <w:r w:rsidR="0028436B" w:rsidRPr="00AA07AF">
        <w:t xml:space="preserve">Visible lesions at the GEJ/gastric cardia such as nodularity or abnormal vascularity were seen in </w:t>
      </w:r>
      <w:r w:rsidR="00C654C1" w:rsidRPr="00AA07AF">
        <w:t>4</w:t>
      </w:r>
      <w:r w:rsidR="0028436B" w:rsidRPr="00AA07AF">
        <w:t xml:space="preserve"> cases. </w:t>
      </w:r>
    </w:p>
    <w:p w14:paraId="1ED92980" w14:textId="77777777" w:rsidR="000E278B" w:rsidRPr="00AA07AF" w:rsidRDefault="000E278B" w:rsidP="00B02C42">
      <w:pPr>
        <w:spacing w:before="0" w:after="0"/>
        <w:jc w:val="both"/>
        <w:rPr>
          <w:lang w:eastAsia="zh-CN"/>
        </w:rPr>
      </w:pPr>
    </w:p>
    <w:p w14:paraId="3BB26A63" w14:textId="0FA387FB" w:rsidR="00EA1E5E" w:rsidRPr="0023348A" w:rsidRDefault="00EA1E5E" w:rsidP="00B02C42">
      <w:pPr>
        <w:spacing w:before="0" w:after="0"/>
        <w:jc w:val="both"/>
        <w:rPr>
          <w:b/>
          <w:i/>
          <w:lang w:eastAsia="zh-CN"/>
        </w:rPr>
      </w:pPr>
      <w:r w:rsidRPr="0023348A">
        <w:rPr>
          <w:b/>
          <w:i/>
        </w:rPr>
        <w:t>Pathology review</w:t>
      </w:r>
      <w:r w:rsidR="0079563E" w:rsidRPr="0023348A">
        <w:rPr>
          <w:b/>
          <w:i/>
        </w:rPr>
        <w:t xml:space="preserve"> (Figure 2)</w:t>
      </w:r>
    </w:p>
    <w:p w14:paraId="46A81DB9" w14:textId="599F82F8" w:rsidR="000864C0" w:rsidRPr="00AA07AF" w:rsidRDefault="000864C0" w:rsidP="00B02C42">
      <w:pPr>
        <w:spacing w:before="0" w:after="0"/>
        <w:jc w:val="both"/>
      </w:pPr>
      <w:r w:rsidRPr="00AA07AF">
        <w:t xml:space="preserve">In patients who had no prior treatment for BE, the highest pathology identified from the GEJ and cardia region </w:t>
      </w:r>
      <w:r w:rsidR="000D4BCE" w:rsidRPr="00AA07AF">
        <w:t>was intramucosal carcinoma</w:t>
      </w:r>
      <w:r w:rsidR="00653F0B" w:rsidRPr="00AA07AF">
        <w:t xml:space="preserve"> (IMC)</w:t>
      </w:r>
      <w:r w:rsidRPr="00AA07AF">
        <w:t>/high grade dysplasia (HGD) in 1 case, Barrett’s with low grade dysplasia (LGD) in 4 cases, Barrett’s without no dysplasia (NDBE) in 4 cases, and</w:t>
      </w:r>
      <w:r w:rsidR="00B11C4B" w:rsidRPr="00AA07AF">
        <w:t xml:space="preserve"> normal mucosa (NL) in 3 cases.</w:t>
      </w:r>
    </w:p>
    <w:p w14:paraId="3A89202B" w14:textId="21B50D7F" w:rsidR="00DB6451" w:rsidRDefault="00901A6B" w:rsidP="000E278B">
      <w:pPr>
        <w:spacing w:before="0" w:after="0"/>
        <w:ind w:firstLine="720"/>
        <w:jc w:val="both"/>
        <w:rPr>
          <w:lang w:eastAsia="zh-CN"/>
        </w:rPr>
      </w:pPr>
      <w:r w:rsidRPr="00AA07AF">
        <w:t>Among the 22 patients who had previously undergone treatment, the</w:t>
      </w:r>
      <w:r w:rsidR="000D4BCE" w:rsidRPr="00AA07AF">
        <w:t xml:space="preserve"> pre-treatment pathology was </w:t>
      </w:r>
      <w:r w:rsidR="00653F0B" w:rsidRPr="00AA07AF">
        <w:t>IMC</w:t>
      </w:r>
      <w:r w:rsidRPr="00AA07AF">
        <w:t xml:space="preserve"> in 1 case, HGD in 11 cases, LGD in 8 cases and NDBE in 2 cases</w:t>
      </w:r>
      <w:r w:rsidR="0028436B" w:rsidRPr="00AA07AF">
        <w:t xml:space="preserve"> and study procedure</w:t>
      </w:r>
      <w:r w:rsidRPr="00AA07AF">
        <w:t xml:space="preserve"> pathology </w:t>
      </w:r>
      <w:r w:rsidR="00DB6451" w:rsidRPr="00AA07AF">
        <w:t>was LGD in 2 cases, NDBE in 2 cases, inflamed gastric cardia (IGC) in 9 cases, and NL in 9 cases.</w:t>
      </w:r>
    </w:p>
    <w:p w14:paraId="3B4267BE" w14:textId="77777777" w:rsidR="000E278B" w:rsidRPr="00AA07AF" w:rsidRDefault="000E278B" w:rsidP="000E278B">
      <w:pPr>
        <w:spacing w:before="0" w:after="0"/>
        <w:ind w:firstLine="720"/>
        <w:jc w:val="both"/>
        <w:rPr>
          <w:lang w:eastAsia="zh-CN"/>
        </w:rPr>
      </w:pPr>
    </w:p>
    <w:p w14:paraId="39A3E2EB" w14:textId="2E5EAFF8" w:rsidR="00F53E1F" w:rsidRPr="0023348A" w:rsidRDefault="00F53E1F" w:rsidP="00B02C42">
      <w:pPr>
        <w:spacing w:before="0" w:after="0"/>
        <w:jc w:val="both"/>
        <w:rPr>
          <w:b/>
          <w:i/>
          <w:lang w:eastAsia="zh-CN"/>
        </w:rPr>
      </w:pPr>
      <w:r w:rsidRPr="0023348A">
        <w:rPr>
          <w:b/>
          <w:i/>
        </w:rPr>
        <w:t>VLE findings</w:t>
      </w:r>
      <w:r w:rsidR="00A826FB" w:rsidRPr="0023348A">
        <w:rPr>
          <w:b/>
          <w:i/>
        </w:rPr>
        <w:t xml:space="preserve"> (Table 2</w:t>
      </w:r>
      <w:r w:rsidR="0023348A">
        <w:rPr>
          <w:rFonts w:hint="eastAsia"/>
          <w:b/>
          <w:i/>
          <w:lang w:eastAsia="zh-CN"/>
        </w:rPr>
        <w:t xml:space="preserve">, </w:t>
      </w:r>
      <w:r w:rsidR="0079563E" w:rsidRPr="0023348A">
        <w:rPr>
          <w:b/>
          <w:i/>
        </w:rPr>
        <w:t>Figure 3)</w:t>
      </w:r>
    </w:p>
    <w:p w14:paraId="4CAB246F" w14:textId="40BE4C07" w:rsidR="00F24554" w:rsidRPr="00AA07AF" w:rsidRDefault="00F24554" w:rsidP="00B02C42">
      <w:pPr>
        <w:spacing w:before="0" w:after="0"/>
        <w:jc w:val="both"/>
      </w:pPr>
      <w:r w:rsidRPr="00AA07AF">
        <w:lastRenderedPageBreak/>
        <w:t>Of the fifty-six VLE cases available for this study, twelve cases were excluded due to inadequate VLE imaging of the GEJ/cardia or because corresponding biopsies were not taken in that region.</w:t>
      </w:r>
    </w:p>
    <w:p w14:paraId="5F452E48" w14:textId="3F1B6649" w:rsidR="00F53E1F" w:rsidRPr="00AA07AF" w:rsidRDefault="00D22208" w:rsidP="000E278B">
      <w:pPr>
        <w:spacing w:before="0" w:after="0"/>
        <w:ind w:firstLine="720"/>
        <w:jc w:val="both"/>
      </w:pPr>
      <w:r w:rsidRPr="00AA07AF">
        <w:t>Features characteristic of the gastric cardia (gastric rugae,</w:t>
      </w:r>
      <w:r w:rsidR="00F53E1F" w:rsidRPr="00AA07AF">
        <w:t xml:space="preserve"> gastric pit architecture</w:t>
      </w:r>
      <w:r w:rsidRPr="00AA07AF">
        <w:t>, and poor penetration) were observed in all (100%) scans</w:t>
      </w:r>
      <w:r w:rsidR="00F53E1F" w:rsidRPr="00AA07AF">
        <w:t>.</w:t>
      </w:r>
      <w:r w:rsidRPr="00AA07AF">
        <w:t xml:space="preserve"> A focal area with loss of normal gastric pit architecture was also a prevalent finding, seen in 79.4</w:t>
      </w:r>
      <w:r w:rsidR="0023348A">
        <w:t>%</w:t>
      </w:r>
      <w:r w:rsidRPr="00AA07AF">
        <w:t>of total patients. Heterogeneous scattering was found in exactly half (50%) of patients. Irregular surface was less co</w:t>
      </w:r>
      <w:r w:rsidR="0023348A">
        <w:t>mm</w:t>
      </w:r>
      <w:r w:rsidRPr="00AA07AF">
        <w:t xml:space="preserve">on, seen in 35% of patients. </w:t>
      </w:r>
      <w:r w:rsidR="00944C72" w:rsidRPr="00AA07AF">
        <w:t xml:space="preserve">Similarly, subsurface intensity greater than surface intensity was a rare finding, also occurring only in 6 of 34 patients (17.6%). </w:t>
      </w:r>
    </w:p>
    <w:p w14:paraId="6E7D11B5" w14:textId="0713D84D" w:rsidR="00C422FB" w:rsidRPr="00AA07AF" w:rsidRDefault="0028436B" w:rsidP="000E278B">
      <w:pPr>
        <w:spacing w:before="0" w:after="0"/>
        <w:ind w:firstLine="720"/>
        <w:jc w:val="both"/>
      </w:pPr>
      <w:r w:rsidRPr="00AA07AF">
        <w:t>All 34 cases</w:t>
      </w:r>
      <w:r w:rsidR="00944C72" w:rsidRPr="00AA07AF">
        <w:t xml:space="preserve"> showed some typical epithelial glands with a range of 3-56 glands in the GE junction and cardia region examined.</w:t>
      </w:r>
      <w:r w:rsidR="00457F6C" w:rsidRPr="00AA07AF">
        <w:t xml:space="preserve"> A</w:t>
      </w:r>
      <w:r w:rsidR="000A1E74" w:rsidRPr="00AA07AF">
        <w:t>nomalous</w:t>
      </w:r>
      <w:r w:rsidR="00F24554" w:rsidRPr="00AA07AF">
        <w:t xml:space="preserve"> glands were found in 25 of 3</w:t>
      </w:r>
      <w:r w:rsidR="00457F6C" w:rsidRPr="00AA07AF">
        <w:t>4 scans (73.5%) and the number of a</w:t>
      </w:r>
      <w:r w:rsidR="000A1E74" w:rsidRPr="00AA07AF">
        <w:t xml:space="preserve">nomalous </w:t>
      </w:r>
      <w:r w:rsidR="00457F6C" w:rsidRPr="00AA07AF">
        <w:t>glands ranged from 2 to 39.</w:t>
      </w:r>
    </w:p>
    <w:p w14:paraId="4F1D3C8C" w14:textId="37644531" w:rsidR="005C091C" w:rsidRPr="00AA07AF" w:rsidRDefault="005C091C" w:rsidP="000E278B">
      <w:pPr>
        <w:spacing w:before="0" w:after="0"/>
        <w:ind w:firstLine="720"/>
        <w:jc w:val="both"/>
      </w:pPr>
      <w:r w:rsidRPr="00AA07AF">
        <w:t xml:space="preserve">Focal </w:t>
      </w:r>
      <w:r w:rsidR="001E4102" w:rsidRPr="00AA07AF">
        <w:t>loss of normal gastric pit</w:t>
      </w:r>
      <w:r w:rsidRPr="00AA07AF">
        <w:t xml:space="preserve"> architecture was a prevalent finding, notably in patients with neoplasia, non-dysplastic Barrett’s, and inflamed cardia. There was no difference of this feature between those with neoplasia and those </w:t>
      </w:r>
      <w:r w:rsidR="00EA2C6E" w:rsidRPr="00AA07AF">
        <w:t>without (100%</w:t>
      </w:r>
      <w:r w:rsidR="0023348A" w:rsidRPr="0023348A">
        <w:rPr>
          <w:i/>
        </w:rPr>
        <w:t xml:space="preserve"> vs </w:t>
      </w:r>
      <w:r w:rsidR="00EA2C6E" w:rsidRPr="00AA07AF">
        <w:t>74</w:t>
      </w:r>
      <w:r w:rsidRPr="00AA07AF">
        <w:t xml:space="preserve">%, </w:t>
      </w:r>
      <w:r w:rsidR="00443AFD" w:rsidRPr="00443AFD">
        <w:rPr>
          <w:i/>
        </w:rPr>
        <w:t xml:space="preserve">P = </w:t>
      </w:r>
      <w:r w:rsidR="006E41C7" w:rsidRPr="00AA07AF">
        <w:t>NS</w:t>
      </w:r>
      <w:r w:rsidRPr="00AA07AF">
        <w:t>). However, patients with all types of abnorm</w:t>
      </w:r>
      <w:r w:rsidR="000D4BCE" w:rsidRPr="00AA07AF">
        <w:t>al cardia (</w:t>
      </w:r>
      <w:r w:rsidR="007951E1" w:rsidRPr="00AA07AF">
        <w:t>IMC/HGD, LGD, NDBE, IGC</w:t>
      </w:r>
      <w:r w:rsidRPr="00AA07AF">
        <w:t>) more frequently had l</w:t>
      </w:r>
      <w:r w:rsidR="002B4DFA" w:rsidRPr="00AA07AF">
        <w:t xml:space="preserve">oss of normal gastric pit </w:t>
      </w:r>
      <w:r w:rsidRPr="00AA07AF">
        <w:t>architecture than patients with no mucosal abnormality (90.0%</w:t>
      </w:r>
      <w:r w:rsidR="0023348A" w:rsidRPr="0023348A">
        <w:rPr>
          <w:i/>
        </w:rPr>
        <w:t xml:space="preserve"> vs </w:t>
      </w:r>
      <w:r w:rsidRPr="00AA07AF">
        <w:t xml:space="preserve">58.3%, </w:t>
      </w:r>
      <w:r w:rsidR="00443AFD" w:rsidRPr="00443AFD">
        <w:rPr>
          <w:i/>
        </w:rPr>
        <w:t xml:space="preserve">P &lt; </w:t>
      </w:r>
      <w:r w:rsidR="00873C16" w:rsidRPr="00AA07AF">
        <w:t>0.05</w:t>
      </w:r>
      <w:r w:rsidRPr="00AA07AF">
        <w:t>).</w:t>
      </w:r>
    </w:p>
    <w:p w14:paraId="2FA8A100" w14:textId="4264EE85" w:rsidR="00873C16" w:rsidRPr="00AA07AF" w:rsidRDefault="005C091C" w:rsidP="000E278B">
      <w:pPr>
        <w:spacing w:before="0" w:after="0"/>
        <w:ind w:firstLine="720"/>
        <w:jc w:val="both"/>
      </w:pPr>
      <w:r w:rsidRPr="00AA07AF">
        <w:t>Irregular surface was more often seen in patients with neoplasia than those without neoplasia (100%</w:t>
      </w:r>
      <w:r w:rsidR="0023348A" w:rsidRPr="0023348A">
        <w:rPr>
          <w:i/>
        </w:rPr>
        <w:t xml:space="preserve"> vs </w:t>
      </w:r>
      <w:r w:rsidRPr="00AA07AF">
        <w:t xml:space="preserve">18.5%, </w:t>
      </w:r>
      <w:r w:rsidR="00443AFD" w:rsidRPr="00443AFD">
        <w:rPr>
          <w:i/>
        </w:rPr>
        <w:t xml:space="preserve">P &lt; </w:t>
      </w:r>
      <w:r w:rsidR="00873C16" w:rsidRPr="00AA07AF">
        <w:t>0.0001).</w:t>
      </w:r>
      <w:r w:rsidRPr="00AA07AF">
        <w:t xml:space="preserve"> Irregular surface was also more often seen in those patients with neoplasia compared to those with </w:t>
      </w:r>
      <w:r w:rsidR="00873C16" w:rsidRPr="00AA07AF">
        <w:t>IGC</w:t>
      </w:r>
      <w:r w:rsidRPr="00AA07AF">
        <w:t xml:space="preserve"> (100%</w:t>
      </w:r>
      <w:r w:rsidR="0023348A" w:rsidRPr="0023348A">
        <w:rPr>
          <w:i/>
        </w:rPr>
        <w:t xml:space="preserve"> vs </w:t>
      </w:r>
      <w:r w:rsidRPr="00AA07AF">
        <w:t xml:space="preserve">11.1%, </w:t>
      </w:r>
      <w:r w:rsidR="00443AFD" w:rsidRPr="00443AFD">
        <w:rPr>
          <w:i/>
        </w:rPr>
        <w:t xml:space="preserve">P &lt; </w:t>
      </w:r>
      <w:r w:rsidR="00873C16" w:rsidRPr="00AA07AF">
        <w:t>0.001).</w:t>
      </w:r>
    </w:p>
    <w:p w14:paraId="7335442E" w14:textId="39DC483A" w:rsidR="000A1E74" w:rsidRPr="00AA07AF" w:rsidRDefault="005C091C" w:rsidP="000E278B">
      <w:pPr>
        <w:spacing w:before="0" w:after="0"/>
        <w:ind w:firstLine="720"/>
        <w:jc w:val="both"/>
      </w:pPr>
      <w:r w:rsidRPr="00AA07AF">
        <w:t>A greater proportion of patients with neoplasia had heterogeneous scattering as compared to patients without neoplasia (85.7%</w:t>
      </w:r>
      <w:r w:rsidR="0023348A" w:rsidRPr="0023348A">
        <w:rPr>
          <w:i/>
        </w:rPr>
        <w:t xml:space="preserve"> vs </w:t>
      </w:r>
      <w:r w:rsidRPr="00AA07AF">
        <w:t xml:space="preserve">40.7%, </w:t>
      </w:r>
      <w:r w:rsidR="00443AFD" w:rsidRPr="00443AFD">
        <w:rPr>
          <w:i/>
        </w:rPr>
        <w:t xml:space="preserve">P &lt; </w:t>
      </w:r>
      <w:r w:rsidR="00873C16" w:rsidRPr="00AA07AF">
        <w:t>0.005</w:t>
      </w:r>
      <w:r w:rsidRPr="00AA07AF">
        <w:t>). Additionally, patients with neoplasia or non-dysplastic BE analyzed together more often had heterogeneous scattering compared to those with inflamed cardia or normal mucosa (84.6%</w:t>
      </w:r>
      <w:r w:rsidR="0023348A" w:rsidRPr="0023348A">
        <w:rPr>
          <w:i/>
        </w:rPr>
        <w:t xml:space="preserve"> vs </w:t>
      </w:r>
      <w:r w:rsidRPr="00AA07AF">
        <w:t xml:space="preserve">28.5%, </w:t>
      </w:r>
      <w:r w:rsidR="00443AFD" w:rsidRPr="00443AFD">
        <w:rPr>
          <w:i/>
        </w:rPr>
        <w:t xml:space="preserve">P &lt; </w:t>
      </w:r>
      <w:r w:rsidR="00873C16" w:rsidRPr="00AA07AF">
        <w:t>0.005</w:t>
      </w:r>
      <w:r w:rsidRPr="00AA07AF">
        <w:t xml:space="preserve">). </w:t>
      </w:r>
    </w:p>
    <w:p w14:paraId="5D8587FA" w14:textId="49FFA699" w:rsidR="00873C16" w:rsidRPr="00AA07AF" w:rsidRDefault="000A1E74" w:rsidP="000E278B">
      <w:pPr>
        <w:spacing w:before="0" w:after="0"/>
        <w:ind w:firstLine="720"/>
        <w:jc w:val="both"/>
      </w:pPr>
      <w:r w:rsidRPr="00AA07AF">
        <w:lastRenderedPageBreak/>
        <w:t>Anomalous glands were</w:t>
      </w:r>
      <w:r w:rsidR="005C091C" w:rsidRPr="00AA07AF">
        <w:t xml:space="preserve"> more co</w:t>
      </w:r>
      <w:r w:rsidR="0023348A">
        <w:t>mm</w:t>
      </w:r>
      <w:r w:rsidR="005C091C" w:rsidRPr="00AA07AF">
        <w:t>only found in patients with neoplasia as opposed to those without (100%</w:t>
      </w:r>
      <w:r w:rsidR="0023348A" w:rsidRPr="0023348A">
        <w:rPr>
          <w:i/>
        </w:rPr>
        <w:t xml:space="preserve"> vs </w:t>
      </w:r>
      <w:r w:rsidR="005C091C" w:rsidRPr="00AA07AF">
        <w:t xml:space="preserve">59.2%, </w:t>
      </w:r>
      <w:r w:rsidR="00443AFD" w:rsidRPr="00443AFD">
        <w:rPr>
          <w:i/>
        </w:rPr>
        <w:t xml:space="preserve">P &lt; </w:t>
      </w:r>
      <w:r w:rsidR="00873C16" w:rsidRPr="00AA07AF">
        <w:t>0.05</w:t>
      </w:r>
      <w:r w:rsidR="005C091C" w:rsidRPr="00AA07AF">
        <w:t xml:space="preserve">). When analyzed together, patients with either neoplasia or non-dysplastic BE were found to have </w:t>
      </w:r>
      <w:r w:rsidRPr="00AA07AF">
        <w:t>anomalous</w:t>
      </w:r>
      <w:r w:rsidR="005C091C" w:rsidRPr="00AA07AF">
        <w:t xml:space="preserve"> glands more often that those with infla</w:t>
      </w:r>
      <w:r w:rsidR="0023348A">
        <w:t>mm</w:t>
      </w:r>
      <w:r w:rsidR="005C091C" w:rsidRPr="00AA07AF">
        <w:t>ation or normal mucosa (92.3%</w:t>
      </w:r>
      <w:r w:rsidR="0023348A" w:rsidRPr="0023348A">
        <w:rPr>
          <w:i/>
        </w:rPr>
        <w:t xml:space="preserve"> vs </w:t>
      </w:r>
      <w:r w:rsidR="005C091C" w:rsidRPr="00AA07AF">
        <w:t xml:space="preserve">52.4%, </w:t>
      </w:r>
      <w:r w:rsidR="00443AFD" w:rsidRPr="00443AFD">
        <w:rPr>
          <w:i/>
        </w:rPr>
        <w:t xml:space="preserve">P &lt; </w:t>
      </w:r>
      <w:r w:rsidR="00873C16" w:rsidRPr="00AA07AF">
        <w:t>0.05</w:t>
      </w:r>
      <w:r w:rsidR="005C091C" w:rsidRPr="00AA07AF">
        <w:t xml:space="preserve">). </w:t>
      </w:r>
    </w:p>
    <w:p w14:paraId="66BE77FB" w14:textId="789D8500" w:rsidR="005C091C" w:rsidRPr="00AA07AF" w:rsidRDefault="00873C16" w:rsidP="000E278B">
      <w:pPr>
        <w:spacing w:before="0" w:after="0"/>
        <w:ind w:firstLine="720"/>
        <w:jc w:val="both"/>
      </w:pPr>
      <w:r w:rsidRPr="00AA07AF">
        <w:t>In terms of the number of a</w:t>
      </w:r>
      <w:r w:rsidR="000A1E74" w:rsidRPr="00AA07AF">
        <w:t xml:space="preserve">nomalous </w:t>
      </w:r>
      <w:r w:rsidRPr="00AA07AF">
        <w:t xml:space="preserve">glands found, </w:t>
      </w:r>
      <w:r w:rsidR="005C091C" w:rsidRPr="00AA07AF">
        <w:t>ANOVA analysis</w:t>
      </w:r>
      <w:r w:rsidRPr="00AA07AF">
        <w:t xml:space="preserve"> did not reveal a difference</w:t>
      </w:r>
      <w:r w:rsidR="005C091C" w:rsidRPr="00AA07AF">
        <w:t xml:space="preserve"> between individual histologic subgroups (</w:t>
      </w:r>
      <w:r w:rsidR="00443AFD" w:rsidRPr="00443AFD">
        <w:rPr>
          <w:i/>
        </w:rPr>
        <w:t xml:space="preserve">P = </w:t>
      </w:r>
      <w:r w:rsidR="006E41C7" w:rsidRPr="00AA07AF">
        <w:t>NS</w:t>
      </w:r>
      <w:r w:rsidR="005C091C" w:rsidRPr="00AA07AF">
        <w:t xml:space="preserve">). </w:t>
      </w:r>
      <w:r w:rsidR="006E41C7" w:rsidRPr="00AA07AF">
        <w:t>When grouped</w:t>
      </w:r>
      <w:r w:rsidR="005C091C" w:rsidRPr="00AA07AF">
        <w:t>, patients with neoplasia did not have a significantly higher number of a</w:t>
      </w:r>
      <w:r w:rsidR="000A1E74" w:rsidRPr="00AA07AF">
        <w:t>nomalous</w:t>
      </w:r>
      <w:r w:rsidR="005C091C" w:rsidRPr="00AA07AF">
        <w:t xml:space="preserve"> glands than all patients without neoplasia (</w:t>
      </w:r>
      <w:r w:rsidR="0023348A" w:rsidRPr="0023348A">
        <w:rPr>
          <w:i/>
        </w:rPr>
        <w:t>t-</w:t>
      </w:r>
      <w:r w:rsidR="005C091C" w:rsidRPr="00AA07AF">
        <w:t xml:space="preserve">test </w:t>
      </w:r>
      <w:r w:rsidR="00443AFD" w:rsidRPr="00443AFD">
        <w:rPr>
          <w:i/>
        </w:rPr>
        <w:t>P =</w:t>
      </w:r>
      <w:r w:rsidR="00915447">
        <w:rPr>
          <w:i/>
        </w:rPr>
        <w:t xml:space="preserve"> </w:t>
      </w:r>
      <w:r w:rsidR="006E41C7" w:rsidRPr="00AA07AF">
        <w:t>NS</w:t>
      </w:r>
      <w:r w:rsidR="005C091C" w:rsidRPr="00AA07AF">
        <w:t>). However, patients with neoplasia did have significantly more a</w:t>
      </w:r>
      <w:r w:rsidR="000A1E74" w:rsidRPr="00AA07AF">
        <w:t>nomalous</w:t>
      </w:r>
      <w:r w:rsidR="005C091C" w:rsidRPr="00AA07AF">
        <w:t xml:space="preserve"> glands than the subgroup of patients with no </w:t>
      </w:r>
      <w:r w:rsidR="006E41C7" w:rsidRPr="00AA07AF">
        <w:t>mucosal abnormality (</w:t>
      </w:r>
      <w:r w:rsidR="0023348A" w:rsidRPr="0023348A">
        <w:rPr>
          <w:i/>
        </w:rPr>
        <w:t>t-</w:t>
      </w:r>
      <w:r w:rsidR="006E41C7" w:rsidRPr="00AA07AF">
        <w:t xml:space="preserve">test </w:t>
      </w:r>
      <w:r w:rsidR="00443AFD" w:rsidRPr="00443AFD">
        <w:rPr>
          <w:i/>
        </w:rPr>
        <w:t xml:space="preserve">P &lt; </w:t>
      </w:r>
      <w:r w:rsidR="006E41C7" w:rsidRPr="00AA07AF">
        <w:t>0.05</w:t>
      </w:r>
      <w:r w:rsidR="005C091C" w:rsidRPr="00AA07AF">
        <w:t xml:space="preserve">). Septated glands were seen in 8 patients across histology subtypes and did not appear to be associated </w:t>
      </w:r>
      <w:r w:rsidR="00020E29" w:rsidRPr="00AA07AF">
        <w:t>with higher levels of pathology.</w:t>
      </w:r>
    </w:p>
    <w:p w14:paraId="3C246480" w14:textId="45094A2E" w:rsidR="00B11C4B" w:rsidRDefault="00B11C4B" w:rsidP="000E278B">
      <w:pPr>
        <w:spacing w:before="0" w:after="0"/>
        <w:ind w:firstLine="720"/>
        <w:jc w:val="both"/>
        <w:rPr>
          <w:lang w:eastAsia="zh-CN"/>
        </w:rPr>
      </w:pPr>
      <w:r w:rsidRPr="00AA07AF">
        <w:t xml:space="preserve">Notably, WLE or </w:t>
      </w:r>
      <w:r w:rsidR="007951E1" w:rsidRPr="00AA07AF">
        <w:t>narrow band imaging (</w:t>
      </w:r>
      <w:r w:rsidRPr="00AA07AF">
        <w:t>NBI</w:t>
      </w:r>
      <w:r w:rsidR="007951E1" w:rsidRPr="00AA07AF">
        <w:t>)</w:t>
      </w:r>
      <w:r w:rsidRPr="00AA07AF">
        <w:t xml:space="preserve"> failed to detect suspicious lesions within BE at the GEJ or cardia in </w:t>
      </w:r>
      <w:r w:rsidR="00C654C1" w:rsidRPr="00AA07AF">
        <w:t>3</w:t>
      </w:r>
      <w:r w:rsidRPr="00AA07AF">
        <w:t xml:space="preserve"> cases of LGD.</w:t>
      </w:r>
    </w:p>
    <w:p w14:paraId="27FB0804" w14:textId="77777777" w:rsidR="0023348A" w:rsidRPr="00AA07AF" w:rsidRDefault="0023348A" w:rsidP="00B02C42">
      <w:pPr>
        <w:spacing w:before="0" w:after="0"/>
        <w:jc w:val="both"/>
        <w:rPr>
          <w:lang w:eastAsia="zh-CN"/>
        </w:rPr>
      </w:pPr>
    </w:p>
    <w:p w14:paraId="340DC32F" w14:textId="6750DFF9" w:rsidR="005C091C" w:rsidRPr="0023348A" w:rsidRDefault="001A468D" w:rsidP="00B02C42">
      <w:pPr>
        <w:spacing w:before="0" w:after="0"/>
        <w:jc w:val="both"/>
        <w:rPr>
          <w:b/>
          <w:lang w:eastAsia="zh-CN"/>
        </w:rPr>
      </w:pPr>
      <w:r w:rsidRPr="0023348A">
        <w:rPr>
          <w:b/>
        </w:rPr>
        <w:t>D</w:t>
      </w:r>
      <w:r w:rsidR="00524C71" w:rsidRPr="0023348A">
        <w:rPr>
          <w:b/>
        </w:rPr>
        <w:t>ISCUSSION</w:t>
      </w:r>
    </w:p>
    <w:p w14:paraId="6D763F9D" w14:textId="14AC7797" w:rsidR="001A5707" w:rsidRPr="00AA07AF" w:rsidRDefault="00771BC7" w:rsidP="00B02C42">
      <w:pPr>
        <w:spacing w:before="0" w:after="0"/>
        <w:jc w:val="both"/>
      </w:pPr>
      <w:r w:rsidRPr="00AA07AF">
        <w:t>This is the first study to analyze the correlation between imaging features and histology specifically in the GEJ and gastric cardia region. Our first main finding was that all scans exhibited features such as broad based rugae, gastric pits, and poor penetration</w:t>
      </w:r>
      <w:r w:rsidR="00F76E97" w:rsidRPr="00AA07AF">
        <w:t>. These features have been previously described in the gastric cardia, and our findings confirm that these are reliable markers for identifying the transition from tubular esophagus to gastric cardia.</w:t>
      </w:r>
      <w:r w:rsidR="00915447">
        <w:t xml:space="preserve"> </w:t>
      </w:r>
    </w:p>
    <w:p w14:paraId="7EA0711C" w14:textId="0CF0A9F6" w:rsidR="00771BC7" w:rsidRPr="00AA07AF" w:rsidRDefault="001A5707" w:rsidP="000E278B">
      <w:pPr>
        <w:spacing w:before="0" w:after="0"/>
        <w:ind w:firstLine="720"/>
        <w:jc w:val="both"/>
      </w:pPr>
      <w:r w:rsidRPr="00AA07AF">
        <w:t>W</w:t>
      </w:r>
      <w:r w:rsidR="00771BC7" w:rsidRPr="00AA07AF">
        <w:t xml:space="preserve">e found that patients with </w:t>
      </w:r>
      <w:r w:rsidR="00F76E97" w:rsidRPr="00AA07AF">
        <w:t>neoplasia</w:t>
      </w:r>
      <w:r w:rsidR="00771BC7" w:rsidRPr="00AA07AF">
        <w:t xml:space="preserve"> at the GEJ and gastric cardia more frequently have abnormal features on VLE imaging.</w:t>
      </w:r>
      <w:r w:rsidR="00915447">
        <w:t xml:space="preserve"> </w:t>
      </w:r>
      <w:r w:rsidR="009E0283" w:rsidRPr="00AA07AF">
        <w:t>In fact, t</w:t>
      </w:r>
      <w:r w:rsidR="00771BC7" w:rsidRPr="00AA07AF">
        <w:t xml:space="preserve">he loss of normal gastric pit architecture was the only abnormal feature that did not differ significantly between those with neoplasia and those without. This is likely because this feature was loosely defined, and any deviation from the normal gastric pit architecture was counted. In the tubular esophagus, loss of layering is found in cases of NDBE. Thus, it was already known that NDBE can appear with an irregular architecture. In addition, gastric pit </w:t>
      </w:r>
      <w:r w:rsidR="00771BC7" w:rsidRPr="00AA07AF">
        <w:lastRenderedPageBreak/>
        <w:t>architecture appears as subtle alternation of vertical dark and light bands at the mucosal surface and this imaging feature could have been easily disturbed by artifact.</w:t>
      </w:r>
    </w:p>
    <w:p w14:paraId="22C7114C" w14:textId="765E13E1" w:rsidR="008D0367" w:rsidRPr="00AA07AF" w:rsidRDefault="008D0367" w:rsidP="000E278B">
      <w:pPr>
        <w:spacing w:before="0" w:after="0"/>
        <w:ind w:firstLine="720"/>
        <w:jc w:val="both"/>
      </w:pPr>
      <w:r w:rsidRPr="00AA07AF">
        <w:t>Other studies of VLE have similarly shown this imaging modality to be a safe and useful adjuvant to endoscopy. The safety and feasibility of VLE imag</w:t>
      </w:r>
      <w:r w:rsidR="00FC09B5">
        <w:t>ing was evaluated by Wolfson et</w:t>
      </w:r>
      <w:r w:rsidRPr="00AA07AF">
        <w:t xml:space="preserve"> al. who were able to successfully perform VLE imaging in 87% of a 100 patient cohort</w:t>
      </w:r>
      <w:r w:rsidRPr="00AA07AF">
        <w:rPr>
          <w:vertAlign w:val="superscript"/>
        </w:rPr>
        <w:t>[14]</w:t>
      </w:r>
      <w:r w:rsidRPr="00AA07AF">
        <w:t xml:space="preserve">. Probe and console issues were the reason for unsuccessful VLE imaging in 13 patients. Two minor mucosal lacerations occurred in the study and neither required therapy. The diagnostic utility of VLE has been explored by several groups. Trindade </w:t>
      </w:r>
      <w:r w:rsidR="000E278B" w:rsidRPr="000E278B">
        <w:rPr>
          <w:i/>
        </w:rPr>
        <w:t>et al</w:t>
      </w:r>
      <w:r w:rsidR="00544AC5" w:rsidRPr="00AA07AF">
        <w:rPr>
          <w:vertAlign w:val="superscript"/>
        </w:rPr>
        <w:t>[15]</w:t>
      </w:r>
      <w:r w:rsidRPr="00AA07AF">
        <w:t xml:space="preserve"> presented a small case series which found that targeted biopsy by VLE upstaged or diagnosed dysplasia in several patients who then became candidates for ablation or resection. VLE has even been found to detect dysplasia missed by other advanced imaging techniques such as NBI</w:t>
      </w:r>
      <w:r w:rsidRPr="00AA07AF">
        <w:rPr>
          <w:vertAlign w:val="superscript"/>
        </w:rPr>
        <w:t>[16]</w:t>
      </w:r>
      <w:r w:rsidRPr="00AA07AF">
        <w:t xml:space="preserve"> and missed on random biopsy</w:t>
      </w:r>
      <w:r w:rsidRPr="00AA07AF">
        <w:rPr>
          <w:vertAlign w:val="superscript"/>
        </w:rPr>
        <w:t>[17]</w:t>
      </w:r>
      <w:r w:rsidRPr="00AA07AF">
        <w:t xml:space="preserve">. Currently, two validated OCT image assessment algorithms exist. The OCT-scoring index (OCT-SI) created in 2005 by Evans </w:t>
      </w:r>
      <w:r w:rsidR="000E278B" w:rsidRPr="000E278B">
        <w:rPr>
          <w:i/>
        </w:rPr>
        <w:t>et al</w:t>
      </w:r>
      <w:r w:rsidRPr="00AA07AF">
        <w:rPr>
          <w:vertAlign w:val="superscript"/>
        </w:rPr>
        <w:t>]13]</w:t>
      </w:r>
      <w:r w:rsidRPr="00AA07AF">
        <w:t xml:space="preserve"> focuses on signal intensity and glandular architecture whereas the newer VLE diagnostic algorithm (VLE-DA) from Leggett </w:t>
      </w:r>
      <w:r w:rsidR="000E278B" w:rsidRPr="000E278B">
        <w:rPr>
          <w:i/>
        </w:rPr>
        <w:t>et al</w:t>
      </w:r>
      <w:r w:rsidRPr="00AA07AF">
        <w:rPr>
          <w:vertAlign w:val="superscript"/>
        </w:rPr>
        <w:t>[18]</w:t>
      </w:r>
      <w:r w:rsidRPr="00AA07AF">
        <w:t xml:space="preserve"> is based on degree of mucosal effacement, surface intensity, and atypical glands. The OCT scoring index (score &gt;</w:t>
      </w:r>
      <w:r w:rsidR="00544AC5">
        <w:rPr>
          <w:rFonts w:hint="eastAsia"/>
          <w:lang w:eastAsia="zh-CN"/>
        </w:rPr>
        <w:t xml:space="preserve"> </w:t>
      </w:r>
      <w:r w:rsidRPr="00AA07AF">
        <w:t xml:space="preserve">2) was found to have an 83% sensitivity and 75% specificity for dysplasia detection when tested </w:t>
      </w:r>
      <w:r w:rsidRPr="00544AC5">
        <w:rPr>
          <w:i/>
        </w:rPr>
        <w:t>in-vivo</w:t>
      </w:r>
      <w:r w:rsidRPr="00AA07AF">
        <w:rPr>
          <w:vertAlign w:val="superscript"/>
        </w:rPr>
        <w:t>[13]</w:t>
      </w:r>
      <w:r w:rsidRPr="00AA07AF">
        <w:t xml:space="preserve">. The VLE-DA performed slightly better with 86% sensitivity, 88% specificity, and 87% diagnostic accuracy, thought this is based on an </w:t>
      </w:r>
      <w:r w:rsidRPr="00544AC5">
        <w:rPr>
          <w:i/>
        </w:rPr>
        <w:t>ex-vivo</w:t>
      </w:r>
      <w:r w:rsidRPr="00AA07AF">
        <w:t xml:space="preserve"> study</w:t>
      </w:r>
      <w:r w:rsidRPr="00AA07AF">
        <w:rPr>
          <w:vertAlign w:val="superscript"/>
        </w:rPr>
        <w:t>[18]</w:t>
      </w:r>
      <w:r w:rsidRPr="00AA07AF">
        <w:t xml:space="preserve">. Based on our results, we propose adding </w:t>
      </w:r>
      <w:r w:rsidR="000E278B" w:rsidRPr="00AA07AF">
        <w:rPr>
          <w:lang w:eastAsia="zh-CN"/>
        </w:rPr>
        <w:t>“red-flag”</w:t>
      </w:r>
      <w:r w:rsidR="000E278B">
        <w:rPr>
          <w:rFonts w:hint="eastAsia"/>
          <w:lang w:eastAsia="zh-CN"/>
        </w:rPr>
        <w:t xml:space="preserve"> </w:t>
      </w:r>
      <w:r w:rsidRPr="00AA07AF">
        <w:t xml:space="preserve">features of irregular surface and heterogeneous scattering in the GEJ region to the current protocols in order to capture areas of dysplasia which may otherwise be missed. </w:t>
      </w:r>
    </w:p>
    <w:p w14:paraId="3D2ABA60" w14:textId="1F2DCDFF" w:rsidR="004900E6" w:rsidRPr="00AA07AF" w:rsidRDefault="00D518C0" w:rsidP="000E278B">
      <w:pPr>
        <w:spacing w:before="0" w:after="0"/>
        <w:ind w:firstLine="720"/>
        <w:jc w:val="both"/>
      </w:pPr>
      <w:r w:rsidRPr="00AA07AF">
        <w:t xml:space="preserve">These </w:t>
      </w:r>
      <w:r w:rsidR="00F900A4" w:rsidRPr="00AA07AF">
        <w:t xml:space="preserve">interpretation </w:t>
      </w:r>
      <w:r w:rsidRPr="00AA07AF">
        <w:t xml:space="preserve">systems </w:t>
      </w:r>
      <w:r w:rsidR="00F900A4" w:rsidRPr="00AA07AF">
        <w:t xml:space="preserve">are focused on the </w:t>
      </w:r>
      <w:r w:rsidRPr="00AA07AF">
        <w:t xml:space="preserve">tubular esophagus. However, </w:t>
      </w:r>
      <w:r w:rsidR="00361668" w:rsidRPr="00AA07AF">
        <w:t>there is a role for expanding the applicability of these criteria to the GEJ/cardia region since this is a difficult place to assess endoscopi</w:t>
      </w:r>
      <w:r w:rsidR="00EC3F66" w:rsidRPr="00AA07AF">
        <w:t>cally and can harbor SIM or dysplasia</w:t>
      </w:r>
      <w:r w:rsidR="008D0367" w:rsidRPr="00AA07AF">
        <w:rPr>
          <w:vertAlign w:val="superscript"/>
        </w:rPr>
        <w:t>[19]</w:t>
      </w:r>
      <w:r w:rsidR="004900E6" w:rsidRPr="00AA07AF">
        <w:t xml:space="preserve">. </w:t>
      </w:r>
      <w:r w:rsidR="00361668" w:rsidRPr="00AA07AF">
        <w:t xml:space="preserve">Cardia tissue may be present at the anatomical region of the cardia but may also be present in a mosaic pattern </w:t>
      </w:r>
      <w:r w:rsidR="00F900A4" w:rsidRPr="00AA07AF">
        <w:t xml:space="preserve">in Barrett’s esophagus </w:t>
      </w:r>
      <w:r w:rsidR="00EF0E5D" w:rsidRPr="00AA07AF">
        <w:t>amidst</w:t>
      </w:r>
      <w:r w:rsidR="00F900A4" w:rsidRPr="00AA07AF">
        <w:t xml:space="preserve"> intestinal type mucosa </w:t>
      </w:r>
      <w:r w:rsidR="00361668" w:rsidRPr="00AA07AF">
        <w:t>and fundic type mucosa.</w:t>
      </w:r>
      <w:r w:rsidR="00EC3F66" w:rsidRPr="00AA07AF">
        <w:t xml:space="preserve"> </w:t>
      </w:r>
      <w:r w:rsidR="00361668" w:rsidRPr="00AA07AF">
        <w:t xml:space="preserve">The </w:t>
      </w:r>
      <w:r w:rsidR="0080694E" w:rsidRPr="00AA07AF">
        <w:t xml:space="preserve">appearance of </w:t>
      </w:r>
      <w:r w:rsidR="00F900A4" w:rsidRPr="00AA07AF">
        <w:t xml:space="preserve">cardia type tissue within this </w:t>
      </w:r>
      <w:r w:rsidR="00361668" w:rsidRPr="00AA07AF">
        <w:lastRenderedPageBreak/>
        <w:t>mosaic pattern</w:t>
      </w:r>
      <w:r w:rsidR="00F900A4" w:rsidRPr="00AA07AF">
        <w:t xml:space="preserve"> in the tubular esophagus is a</w:t>
      </w:r>
      <w:r w:rsidR="004900E6" w:rsidRPr="00AA07AF">
        <w:t xml:space="preserve"> potential confounder</w:t>
      </w:r>
      <w:r w:rsidR="0080694E" w:rsidRPr="00AA07AF">
        <w:t xml:space="preserve"> and may be a cause for false positives in VLE interpretation</w:t>
      </w:r>
      <w:r w:rsidR="004900E6" w:rsidRPr="00AA07AF">
        <w:t xml:space="preserve">. </w:t>
      </w:r>
    </w:p>
    <w:p w14:paraId="6553F610" w14:textId="3B447C5D" w:rsidR="00EC3F66" w:rsidRPr="00AA07AF" w:rsidRDefault="00B345EB" w:rsidP="000E278B">
      <w:pPr>
        <w:spacing w:before="0" w:after="0"/>
        <w:ind w:firstLine="720"/>
        <w:jc w:val="both"/>
      </w:pPr>
      <w:r w:rsidRPr="00AA07AF">
        <w:t xml:space="preserve">One limitation of this study is that </w:t>
      </w:r>
      <w:r w:rsidR="006450D8" w:rsidRPr="00AA07AF">
        <w:t>exact correlation of biopsy</w:t>
      </w:r>
      <w:r w:rsidRPr="00AA07AF">
        <w:t xml:space="preserve"> location to VLE scan location</w:t>
      </w:r>
      <w:r w:rsidR="006450D8" w:rsidRPr="00AA07AF">
        <w:t xml:space="preserve"> was unable to be performed</w:t>
      </w:r>
      <w:r w:rsidR="0080694E" w:rsidRPr="00AA07AF">
        <w:t xml:space="preserve"> in this retrospective study</w:t>
      </w:r>
      <w:r w:rsidRPr="00AA07AF">
        <w:t xml:space="preserve">. Rather, a circumferential area scanning 1cm in length was designated as the GEJ/gastric cardia region and biopsy and imaging features from this area were compared. </w:t>
      </w:r>
      <w:r w:rsidR="006C6759" w:rsidRPr="00AA07AF">
        <w:t xml:space="preserve">Currently, general location correlation can be done by matching a registration line on the probe to one of the cross-sectional image. This allows for clock-face orientation. </w:t>
      </w:r>
      <w:r w:rsidR="000B6B2F" w:rsidRPr="00AA07AF">
        <w:t>However, to allow for even more precise targeting</w:t>
      </w:r>
      <w:r w:rsidR="00B51744" w:rsidRPr="00AA07AF">
        <w:t xml:space="preserve"> Suter et. a</w:t>
      </w:r>
      <w:r w:rsidR="00D13CA9" w:rsidRPr="00AA07AF">
        <w:t xml:space="preserve">l. </w:t>
      </w:r>
      <w:r w:rsidR="001A5707" w:rsidRPr="00AA07AF">
        <w:t xml:space="preserve">validated </w:t>
      </w:r>
      <w:r w:rsidR="0080694E" w:rsidRPr="00AA07AF">
        <w:t>the recently developed</w:t>
      </w:r>
      <w:r w:rsidR="00D13CA9" w:rsidRPr="00AA07AF">
        <w:t xml:space="preserve"> method for using</w:t>
      </w:r>
      <w:r w:rsidR="000B2753" w:rsidRPr="00AA07AF">
        <w:t xml:space="preserve"> a cautery marking laser coupled into the VLE balloon catheter’s optical fiber to mark areas of interest with simultaneously acquiring a VLE image</w:t>
      </w:r>
      <w:r w:rsidR="008D0367" w:rsidRPr="00AA07AF">
        <w:rPr>
          <w:vertAlign w:val="superscript"/>
        </w:rPr>
        <w:t>[20]</w:t>
      </w:r>
      <w:r w:rsidR="00D13CA9" w:rsidRPr="00AA07AF">
        <w:t xml:space="preserve">. </w:t>
      </w:r>
    </w:p>
    <w:p w14:paraId="220C59E7" w14:textId="122D9BF2" w:rsidR="003A206F" w:rsidRPr="00AA07AF" w:rsidRDefault="00103235" w:rsidP="000E278B">
      <w:pPr>
        <w:spacing w:before="0" w:after="0"/>
        <w:ind w:firstLine="720"/>
        <w:jc w:val="both"/>
      </w:pPr>
      <w:r w:rsidRPr="00AA07AF">
        <w:t>The results of this study show a promising role for VLE as an adjuvant for endoscopic assessment of the GEJ and</w:t>
      </w:r>
      <w:r w:rsidR="00812F8A" w:rsidRPr="00AA07AF">
        <w:t xml:space="preserve"> gastric cardia region. </w:t>
      </w:r>
      <w:r w:rsidR="0026295C" w:rsidRPr="00AA07AF">
        <w:t xml:space="preserve">The current </w:t>
      </w:r>
      <w:r w:rsidR="00E26BD4" w:rsidRPr="00AA07AF">
        <w:t xml:space="preserve">OCT-scoring algorithms </w:t>
      </w:r>
      <w:r w:rsidR="0080694E" w:rsidRPr="00AA07AF">
        <w:t xml:space="preserve">may </w:t>
      </w:r>
      <w:r w:rsidR="00E26BD4" w:rsidRPr="00AA07AF">
        <w:t xml:space="preserve">be expanded to include GEJ/cardia assessment </w:t>
      </w:r>
      <w:r w:rsidR="0080694E" w:rsidRPr="00AA07AF">
        <w:t xml:space="preserve">in order to target </w:t>
      </w:r>
      <w:r w:rsidR="00E26BD4" w:rsidRPr="00AA07AF">
        <w:t xml:space="preserve">areas that exhibit </w:t>
      </w:r>
      <w:r w:rsidR="0026295C" w:rsidRPr="00AA07AF">
        <w:t xml:space="preserve">irregular surface, heterogeneous scattering, </w:t>
      </w:r>
      <w:r w:rsidR="005F0523" w:rsidRPr="00AA07AF">
        <w:t>or</w:t>
      </w:r>
      <w:r w:rsidR="0026295C" w:rsidRPr="00AA07AF">
        <w:t xml:space="preserve"> anomalous glands</w:t>
      </w:r>
      <w:r w:rsidR="005F0523" w:rsidRPr="00AA07AF">
        <w:t xml:space="preserve">. </w:t>
      </w:r>
      <w:r w:rsidR="0080694E" w:rsidRPr="00AA07AF">
        <w:t>A</w:t>
      </w:r>
      <w:r w:rsidR="0026295C" w:rsidRPr="00AA07AF">
        <w:t xml:space="preserve"> prospective study validating </w:t>
      </w:r>
      <w:r w:rsidR="0080694E" w:rsidRPr="00AA07AF">
        <w:t>these features</w:t>
      </w:r>
      <w:r w:rsidR="0026295C" w:rsidRPr="00AA07AF">
        <w:t xml:space="preserve"> </w:t>
      </w:r>
      <w:r w:rsidR="005F0523" w:rsidRPr="00AA07AF">
        <w:t>utilizing</w:t>
      </w:r>
      <w:r w:rsidR="0026295C" w:rsidRPr="00AA07AF">
        <w:t xml:space="preserve"> 1:1 histologic correlation</w:t>
      </w:r>
      <w:r w:rsidR="0080694E" w:rsidRPr="00AA07AF">
        <w:t xml:space="preserve"> will be required</w:t>
      </w:r>
      <w:r w:rsidR="0026295C" w:rsidRPr="00AA07AF">
        <w:t xml:space="preserve">. </w:t>
      </w:r>
      <w:r w:rsidR="00987ACE" w:rsidRPr="00AA07AF">
        <w:t>With in-vivo laser marking soon to be co</w:t>
      </w:r>
      <w:r w:rsidR="0023348A">
        <w:t>mm</w:t>
      </w:r>
      <w:r w:rsidR="00987ACE" w:rsidRPr="00AA07AF">
        <w:t xml:space="preserve">ercially available, we anticipate </w:t>
      </w:r>
      <w:r w:rsidR="00B51744" w:rsidRPr="00AA07AF">
        <w:t>with this be a</w:t>
      </w:r>
      <w:r w:rsidR="00987ACE" w:rsidRPr="00AA07AF">
        <w:t xml:space="preserve"> feasible study in the near future.</w:t>
      </w:r>
      <w:r w:rsidR="00915447">
        <w:t xml:space="preserve"> </w:t>
      </w:r>
      <w:r w:rsidR="0080694E" w:rsidRPr="00AA07AF">
        <w:t xml:space="preserve">Ultimately, the clinical comparison of yield of VLE targeted biopsy protocol compared with a standard Seattle protocol biopsy protocol will be needed to assess clinical impact. </w:t>
      </w:r>
    </w:p>
    <w:p w14:paraId="40E9DE4D" w14:textId="45DD5B8D" w:rsidR="00A6234A" w:rsidRPr="00AA07AF" w:rsidRDefault="00A6234A" w:rsidP="00B02C42">
      <w:pPr>
        <w:spacing w:before="0" w:after="0"/>
        <w:jc w:val="both"/>
      </w:pPr>
    </w:p>
    <w:p w14:paraId="57FF822E" w14:textId="24AD3085" w:rsidR="00443101" w:rsidRPr="0023348A" w:rsidRDefault="000C25D3" w:rsidP="00B02C42">
      <w:pPr>
        <w:pStyle w:val="a5"/>
        <w:spacing w:before="0" w:line="360" w:lineRule="auto"/>
        <w:jc w:val="both"/>
        <w:rPr>
          <w:b/>
          <w:lang w:eastAsia="zh-CN"/>
        </w:rPr>
      </w:pPr>
      <w:r w:rsidRPr="0023348A">
        <w:rPr>
          <w:b/>
          <w:lang w:eastAsia="zh-CN"/>
        </w:rPr>
        <w:t>COMMENTS</w:t>
      </w:r>
    </w:p>
    <w:p w14:paraId="6A2596E3" w14:textId="7544E09D" w:rsidR="005A31AC" w:rsidRPr="0023348A" w:rsidRDefault="005A31AC" w:rsidP="00B02C42">
      <w:pPr>
        <w:spacing w:before="0" w:after="0"/>
        <w:jc w:val="both"/>
        <w:rPr>
          <w:b/>
          <w:i/>
          <w:lang w:eastAsia="zh-CN"/>
        </w:rPr>
      </w:pPr>
      <w:r w:rsidRPr="0023348A">
        <w:rPr>
          <w:b/>
          <w:i/>
          <w:lang w:eastAsia="zh-CN"/>
        </w:rPr>
        <w:t>Background</w:t>
      </w:r>
    </w:p>
    <w:p w14:paraId="16AF307D" w14:textId="7AC45A78" w:rsidR="005A31AC" w:rsidRDefault="005A31AC" w:rsidP="00B02C42">
      <w:pPr>
        <w:spacing w:before="0" w:after="0"/>
        <w:jc w:val="both"/>
        <w:rPr>
          <w:lang w:eastAsia="zh-CN"/>
        </w:rPr>
      </w:pPr>
      <w:r w:rsidRPr="00AA07AF">
        <w:rPr>
          <w:lang w:eastAsia="zh-CN"/>
        </w:rPr>
        <w:t>Barrett’s esophagus can lead to the development of esophageal adenocarcinoma. Because of this, patients with known Barrett’s esophagus are reco</w:t>
      </w:r>
      <w:r w:rsidR="0023348A">
        <w:rPr>
          <w:lang w:eastAsia="zh-CN"/>
        </w:rPr>
        <w:t>mm</w:t>
      </w:r>
      <w:r w:rsidRPr="00AA07AF">
        <w:rPr>
          <w:lang w:eastAsia="zh-CN"/>
        </w:rPr>
        <w:t xml:space="preserve">ended to have surveillance upper endoscopies. </w:t>
      </w:r>
      <w:r w:rsidR="000453E8" w:rsidRPr="00AA07AF">
        <w:rPr>
          <w:lang w:eastAsia="zh-CN"/>
        </w:rPr>
        <w:t xml:space="preserve">Biopsies are taken of visible lesions as well as in a random fashion according to the Seattle Protocol. However, this technique is suboptimal because occult dysplasia may still be missed. Several adjuvant modalities have been explored to help identify potentially dysplastic areas and allow for more </w:t>
      </w:r>
      <w:r w:rsidR="000453E8" w:rsidRPr="00AA07AF">
        <w:rPr>
          <w:lang w:eastAsia="zh-CN"/>
        </w:rPr>
        <w:lastRenderedPageBreak/>
        <w:t>targeted biopsies. Targeted biopsies improve dysplasia detection rates. VLE is a type of OCT imaging modality that produces cross sectional images of the esophagus and proximal stomach. It is currently used for Barrett’s surveillance and biopsy targeting in the tubular esophagus. This study explores the use of VLE specifically at the GEJ and gastric cardia to determine the correlation of imaging features with neoplasia in this region.</w:t>
      </w:r>
    </w:p>
    <w:p w14:paraId="2E555799" w14:textId="77777777" w:rsidR="00544AC5" w:rsidRPr="00AA07AF" w:rsidRDefault="00544AC5" w:rsidP="00B02C42">
      <w:pPr>
        <w:spacing w:before="0" w:after="0"/>
        <w:jc w:val="both"/>
        <w:rPr>
          <w:lang w:eastAsia="zh-CN"/>
        </w:rPr>
      </w:pPr>
    </w:p>
    <w:p w14:paraId="3F1A769B" w14:textId="0D00332B" w:rsidR="005A31AC" w:rsidRPr="0023348A" w:rsidRDefault="005A31AC" w:rsidP="00B02C42">
      <w:pPr>
        <w:spacing w:before="0" w:after="0"/>
        <w:jc w:val="both"/>
        <w:rPr>
          <w:b/>
          <w:i/>
          <w:lang w:eastAsia="zh-CN"/>
        </w:rPr>
      </w:pPr>
      <w:r w:rsidRPr="0023348A">
        <w:rPr>
          <w:b/>
          <w:i/>
          <w:lang w:eastAsia="zh-CN"/>
        </w:rPr>
        <w:t xml:space="preserve">Research </w:t>
      </w:r>
      <w:r w:rsidR="00544AC5" w:rsidRPr="0023348A">
        <w:rPr>
          <w:b/>
          <w:i/>
          <w:lang w:eastAsia="zh-CN"/>
        </w:rPr>
        <w:t>f</w:t>
      </w:r>
      <w:r w:rsidRPr="0023348A">
        <w:rPr>
          <w:b/>
          <w:i/>
          <w:lang w:eastAsia="zh-CN"/>
        </w:rPr>
        <w:t>rontiers</w:t>
      </w:r>
    </w:p>
    <w:p w14:paraId="572C4C50" w14:textId="6DF89796" w:rsidR="00D600D8" w:rsidRDefault="00D600D8" w:rsidP="00B02C42">
      <w:pPr>
        <w:spacing w:before="0" w:after="0"/>
        <w:jc w:val="both"/>
        <w:rPr>
          <w:lang w:eastAsia="zh-CN"/>
        </w:rPr>
      </w:pPr>
      <w:r w:rsidRPr="00AA07AF">
        <w:rPr>
          <w:lang w:eastAsia="zh-CN"/>
        </w:rPr>
        <w:t xml:space="preserve">In Barrett’s esophagus, there is increasing interest in a moving toward </w:t>
      </w:r>
      <w:r w:rsidR="00FA5451" w:rsidRPr="00AA07AF">
        <w:rPr>
          <w:lang w:eastAsia="zh-CN"/>
        </w:rPr>
        <w:t xml:space="preserve">targeted biopsies by identifying abnormal “red-flag” areas. The correlation of VLE imaging with histology is increasingly being studied, however many of these studies are </w:t>
      </w:r>
      <w:r w:rsidR="00FA5451" w:rsidRPr="00544AC5">
        <w:rPr>
          <w:i/>
          <w:lang w:eastAsia="zh-CN"/>
        </w:rPr>
        <w:t>ex-vivo</w:t>
      </w:r>
      <w:r w:rsidR="00FA5451" w:rsidRPr="00AA07AF">
        <w:rPr>
          <w:lang w:eastAsia="zh-CN"/>
        </w:rPr>
        <w:t xml:space="preserve"> and their applicability may be limited. Additionally, most studies of VLE are limited to the tubular esophagus even though VLE scans also image the GEJ and gastric cardia. The results of this </w:t>
      </w:r>
      <w:r w:rsidR="00FA5451" w:rsidRPr="00544AC5">
        <w:rPr>
          <w:i/>
          <w:lang w:eastAsia="zh-CN"/>
        </w:rPr>
        <w:t>in-vivo</w:t>
      </w:r>
      <w:r w:rsidR="00FA5451" w:rsidRPr="00AA07AF">
        <w:rPr>
          <w:lang w:eastAsia="zh-CN"/>
        </w:rPr>
        <w:t xml:space="preserve"> study contribute to understanding </w:t>
      </w:r>
      <w:r w:rsidR="00686F24" w:rsidRPr="00AA07AF">
        <w:rPr>
          <w:lang w:eastAsia="zh-CN"/>
        </w:rPr>
        <w:t xml:space="preserve">the applicability of VLE imaging at the GEJ/cardia, as well as contributing to knowledge of correct VLE image interpretation. </w:t>
      </w:r>
    </w:p>
    <w:p w14:paraId="5BB7A13B" w14:textId="77777777" w:rsidR="00544AC5" w:rsidRPr="00AA07AF" w:rsidRDefault="00544AC5" w:rsidP="00B02C42">
      <w:pPr>
        <w:spacing w:before="0" w:after="0"/>
        <w:jc w:val="both"/>
        <w:rPr>
          <w:lang w:eastAsia="zh-CN"/>
        </w:rPr>
      </w:pPr>
    </w:p>
    <w:p w14:paraId="574456F8" w14:textId="4229D392" w:rsidR="005A31AC" w:rsidRPr="0023348A" w:rsidRDefault="005A31AC" w:rsidP="00B02C42">
      <w:pPr>
        <w:spacing w:before="0" w:after="0"/>
        <w:jc w:val="both"/>
        <w:rPr>
          <w:b/>
          <w:i/>
          <w:lang w:eastAsia="zh-CN"/>
        </w:rPr>
      </w:pPr>
      <w:r w:rsidRPr="0023348A">
        <w:rPr>
          <w:b/>
          <w:i/>
          <w:lang w:eastAsia="zh-CN"/>
        </w:rPr>
        <w:t xml:space="preserve">Innovations and </w:t>
      </w:r>
      <w:r w:rsidR="001053C5" w:rsidRPr="0023348A">
        <w:rPr>
          <w:b/>
          <w:i/>
          <w:lang w:eastAsia="zh-CN"/>
        </w:rPr>
        <w:t>b</w:t>
      </w:r>
      <w:r w:rsidRPr="0023348A">
        <w:rPr>
          <w:b/>
          <w:i/>
          <w:lang w:eastAsia="zh-CN"/>
        </w:rPr>
        <w:t>reakthroughs</w:t>
      </w:r>
    </w:p>
    <w:p w14:paraId="74DC426F" w14:textId="4B3D64E2" w:rsidR="00686F24" w:rsidRDefault="00686F24" w:rsidP="00B02C42">
      <w:pPr>
        <w:spacing w:before="0" w:after="0"/>
        <w:jc w:val="both"/>
        <w:rPr>
          <w:lang w:eastAsia="zh-CN"/>
        </w:rPr>
      </w:pPr>
      <w:r w:rsidRPr="00AA07AF">
        <w:rPr>
          <w:lang w:eastAsia="zh-CN"/>
        </w:rPr>
        <w:t xml:space="preserve">This is the only study known to date which focus on VLE imaging characteristics specifically at the GEJ and gastric cardia. </w:t>
      </w:r>
      <w:r w:rsidR="008932DA" w:rsidRPr="00AA07AF">
        <w:rPr>
          <w:lang w:eastAsia="zh-CN"/>
        </w:rPr>
        <w:t xml:space="preserve">This is important because dysplasia can occur in this region just as it can in the tubular esophagus. </w:t>
      </w:r>
      <w:r w:rsidRPr="00AA07AF">
        <w:rPr>
          <w:lang w:eastAsia="zh-CN"/>
        </w:rPr>
        <w:t xml:space="preserve">Similar to </w:t>
      </w:r>
      <w:r w:rsidR="008932DA" w:rsidRPr="00AA07AF">
        <w:rPr>
          <w:lang w:eastAsia="zh-CN"/>
        </w:rPr>
        <w:t xml:space="preserve">prior VLE studies, this study found that </w:t>
      </w:r>
      <w:r w:rsidRPr="00AA07AF">
        <w:rPr>
          <w:lang w:eastAsia="zh-CN"/>
        </w:rPr>
        <w:t xml:space="preserve">VLE features of </w:t>
      </w:r>
      <w:r w:rsidR="008932DA" w:rsidRPr="00AA07AF">
        <w:rPr>
          <w:lang w:eastAsia="zh-CN"/>
        </w:rPr>
        <w:t xml:space="preserve">abnormal </w:t>
      </w:r>
      <w:r w:rsidRPr="00AA07AF">
        <w:rPr>
          <w:lang w:eastAsia="zh-CN"/>
        </w:rPr>
        <w:t xml:space="preserve">surface architecture and </w:t>
      </w:r>
      <w:r w:rsidR="008932DA" w:rsidRPr="00AA07AF">
        <w:rPr>
          <w:lang w:eastAsia="zh-CN"/>
        </w:rPr>
        <w:t>atypical glands are associated with dysplasia. However, this study also found that the scattering pattern of the VLE image (heterogeneous</w:t>
      </w:r>
      <w:r w:rsidR="0023348A" w:rsidRPr="0023348A">
        <w:rPr>
          <w:i/>
          <w:lang w:eastAsia="zh-CN"/>
        </w:rPr>
        <w:t xml:space="preserve"> vs </w:t>
      </w:r>
      <w:r w:rsidR="008932DA" w:rsidRPr="00AA07AF">
        <w:rPr>
          <w:lang w:eastAsia="zh-CN"/>
        </w:rPr>
        <w:t>homogeneous) was correlated with dysplasia and should be considered in the image assessment.</w:t>
      </w:r>
    </w:p>
    <w:p w14:paraId="2EB13F82" w14:textId="77777777" w:rsidR="00544AC5" w:rsidRPr="00AA07AF" w:rsidRDefault="00544AC5" w:rsidP="00B02C42">
      <w:pPr>
        <w:spacing w:before="0" w:after="0"/>
        <w:jc w:val="both"/>
        <w:rPr>
          <w:lang w:eastAsia="zh-CN"/>
        </w:rPr>
      </w:pPr>
    </w:p>
    <w:p w14:paraId="73C94D52" w14:textId="55F09BD4" w:rsidR="005A31AC" w:rsidRPr="0023348A" w:rsidRDefault="005A31AC" w:rsidP="00B02C42">
      <w:pPr>
        <w:spacing w:before="0" w:after="0"/>
        <w:jc w:val="both"/>
        <w:rPr>
          <w:b/>
          <w:i/>
          <w:lang w:eastAsia="zh-CN"/>
        </w:rPr>
      </w:pPr>
      <w:r w:rsidRPr="0023348A">
        <w:rPr>
          <w:b/>
          <w:i/>
          <w:lang w:eastAsia="zh-CN"/>
        </w:rPr>
        <w:t>Applications</w:t>
      </w:r>
    </w:p>
    <w:p w14:paraId="7E2085EE" w14:textId="3F1D773C" w:rsidR="008932DA" w:rsidRDefault="008932DA" w:rsidP="00B02C42">
      <w:pPr>
        <w:spacing w:before="0" w:after="0"/>
        <w:jc w:val="both"/>
        <w:rPr>
          <w:lang w:eastAsia="zh-CN"/>
        </w:rPr>
      </w:pPr>
      <w:r w:rsidRPr="00AA07AF">
        <w:rPr>
          <w:lang w:eastAsia="zh-CN"/>
        </w:rPr>
        <w:t xml:space="preserve">This study </w:t>
      </w:r>
      <w:r w:rsidR="00E129E5" w:rsidRPr="00AA07AF">
        <w:rPr>
          <w:lang w:eastAsia="zh-CN"/>
        </w:rPr>
        <w:t>suggests that VLE imaging is useful for assessing the GEJ and gastric cardia. Current OCT scoring systems can be expanded for use</w:t>
      </w:r>
      <w:r w:rsidR="00B42AAF" w:rsidRPr="00AA07AF">
        <w:rPr>
          <w:lang w:eastAsia="zh-CN"/>
        </w:rPr>
        <w:t xml:space="preserve"> in this region.</w:t>
      </w:r>
    </w:p>
    <w:p w14:paraId="60DE275B" w14:textId="77777777" w:rsidR="00544AC5" w:rsidRPr="00AA07AF" w:rsidRDefault="00544AC5" w:rsidP="00B02C42">
      <w:pPr>
        <w:spacing w:before="0" w:after="0"/>
        <w:jc w:val="both"/>
        <w:rPr>
          <w:lang w:eastAsia="zh-CN"/>
        </w:rPr>
      </w:pPr>
    </w:p>
    <w:p w14:paraId="2AA6A40F" w14:textId="0A96FFB1" w:rsidR="005A31AC" w:rsidRPr="0023348A" w:rsidRDefault="005A31AC" w:rsidP="00B02C42">
      <w:pPr>
        <w:spacing w:before="0" w:after="0"/>
        <w:jc w:val="both"/>
        <w:rPr>
          <w:b/>
          <w:i/>
          <w:lang w:eastAsia="zh-CN"/>
        </w:rPr>
      </w:pPr>
      <w:r w:rsidRPr="0023348A">
        <w:rPr>
          <w:b/>
          <w:i/>
          <w:lang w:eastAsia="zh-CN"/>
        </w:rPr>
        <w:t>Terminology</w:t>
      </w:r>
    </w:p>
    <w:p w14:paraId="68FE40E4" w14:textId="7AD3504A" w:rsidR="00B42AAF" w:rsidRDefault="00B42AAF" w:rsidP="00B02C42">
      <w:pPr>
        <w:spacing w:before="0" w:after="0"/>
        <w:jc w:val="both"/>
        <w:rPr>
          <w:lang w:eastAsia="zh-CN"/>
        </w:rPr>
      </w:pPr>
      <w:r w:rsidRPr="00AA07AF">
        <w:rPr>
          <w:lang w:eastAsia="zh-CN"/>
        </w:rPr>
        <w:t>Barrett’s esophagus: A pre-cancerous cellular change in the esophagus that is often the result of longstanding acid reflux.</w:t>
      </w:r>
      <w:r w:rsidR="00544AC5">
        <w:rPr>
          <w:rFonts w:hint="eastAsia"/>
          <w:lang w:eastAsia="zh-CN"/>
        </w:rPr>
        <w:t xml:space="preserve"> </w:t>
      </w:r>
      <w:r w:rsidRPr="00AA07AF">
        <w:t>Optical coherence tomography (OCT): An imaging technique that produces high resolution images of biologic tissue by measuring back-scatter light intensity from a near-infrared light source.</w:t>
      </w:r>
      <w:r w:rsidR="00544AC5">
        <w:rPr>
          <w:rFonts w:hint="eastAsia"/>
          <w:lang w:eastAsia="zh-CN"/>
        </w:rPr>
        <w:t xml:space="preserve"> </w:t>
      </w:r>
      <w:r w:rsidRPr="00AA07AF">
        <w:rPr>
          <w:lang w:eastAsia="zh-CN"/>
        </w:rPr>
        <w:t>Volumetric laser endomicroscopy (VLE): A specific type of OCT that is probe-based and produces cross sectional images of the esophagus and gastric cardia.</w:t>
      </w:r>
    </w:p>
    <w:p w14:paraId="17BC109C" w14:textId="77777777" w:rsidR="00544AC5" w:rsidRPr="00AA07AF" w:rsidRDefault="00544AC5" w:rsidP="00B02C42">
      <w:pPr>
        <w:spacing w:before="0" w:after="0"/>
        <w:jc w:val="both"/>
        <w:rPr>
          <w:lang w:eastAsia="zh-CN"/>
        </w:rPr>
      </w:pPr>
    </w:p>
    <w:p w14:paraId="5DDBDD73" w14:textId="7139FF29" w:rsidR="005A31AC" w:rsidRPr="0023348A" w:rsidRDefault="00544AC5" w:rsidP="00B02C42">
      <w:pPr>
        <w:spacing w:before="0" w:after="0"/>
        <w:jc w:val="both"/>
        <w:rPr>
          <w:b/>
          <w:i/>
          <w:lang w:eastAsia="zh-CN"/>
        </w:rPr>
      </w:pPr>
      <w:r>
        <w:rPr>
          <w:b/>
          <w:i/>
          <w:lang w:eastAsia="zh-CN"/>
        </w:rPr>
        <w:t>Peer</w:t>
      </w:r>
      <w:r>
        <w:rPr>
          <w:rFonts w:hint="eastAsia"/>
          <w:b/>
          <w:i/>
          <w:lang w:eastAsia="zh-CN"/>
        </w:rPr>
        <w:t>-r</w:t>
      </w:r>
      <w:r w:rsidR="005A31AC" w:rsidRPr="0023348A">
        <w:rPr>
          <w:b/>
          <w:i/>
          <w:lang w:eastAsia="zh-CN"/>
        </w:rPr>
        <w:t>eview</w:t>
      </w:r>
    </w:p>
    <w:p w14:paraId="1430EE2C" w14:textId="58F85CD0" w:rsidR="00007E23" w:rsidRPr="00AA07AF" w:rsidRDefault="00007E23" w:rsidP="00C70A5E">
      <w:pPr>
        <w:spacing w:before="0" w:after="0"/>
        <w:jc w:val="both"/>
        <w:rPr>
          <w:lang w:eastAsia="zh-CN"/>
        </w:rPr>
      </w:pPr>
      <w:r w:rsidRPr="00AA07AF">
        <w:rPr>
          <w:lang w:eastAsia="zh-CN"/>
        </w:rPr>
        <w:t xml:space="preserve">This retrospective study correlates VLE imaging </w:t>
      </w:r>
      <w:r w:rsidR="00A74075" w:rsidRPr="00AA07AF">
        <w:rPr>
          <w:lang w:eastAsia="zh-CN"/>
        </w:rPr>
        <w:t>characteristics</w:t>
      </w:r>
      <w:r w:rsidRPr="00AA07AF">
        <w:rPr>
          <w:lang w:eastAsia="zh-CN"/>
        </w:rPr>
        <w:t xml:space="preserve"> with histology at the GEJ and gastric cardia, which is helpful to determine specific features associated with neoplasia.</w:t>
      </w:r>
      <w:r w:rsidR="00A74075" w:rsidRPr="00AA07AF">
        <w:rPr>
          <w:lang w:eastAsia="zh-CN"/>
        </w:rPr>
        <w:t xml:space="preserve"> </w:t>
      </w:r>
      <w:r w:rsidR="00C70A5E" w:rsidRPr="00C70A5E">
        <w:rPr>
          <w:lang w:eastAsia="zh-CN"/>
        </w:rPr>
        <w:t xml:space="preserve">The authors investigated a new area of </w:t>
      </w:r>
      <w:r w:rsidR="00FC09B5" w:rsidRPr="00C70A5E">
        <w:rPr>
          <w:lang w:eastAsia="zh-CN"/>
        </w:rPr>
        <w:t>invasive</w:t>
      </w:r>
      <w:r w:rsidR="00C70A5E" w:rsidRPr="00C70A5E">
        <w:rPr>
          <w:lang w:eastAsia="zh-CN"/>
        </w:rPr>
        <w:t xml:space="preserve"> </w:t>
      </w:r>
      <w:r w:rsidR="00FC09B5" w:rsidRPr="00C70A5E">
        <w:rPr>
          <w:lang w:eastAsia="zh-CN"/>
        </w:rPr>
        <w:t>gastroenterology</w:t>
      </w:r>
      <w:r w:rsidR="00C70A5E" w:rsidRPr="00C70A5E">
        <w:rPr>
          <w:lang w:eastAsia="zh-CN"/>
        </w:rPr>
        <w:t xml:space="preserve"> field. </w:t>
      </w:r>
      <w:r w:rsidR="00C70A5E">
        <w:rPr>
          <w:rFonts w:hint="eastAsia"/>
          <w:lang w:eastAsia="zh-CN"/>
        </w:rPr>
        <w:t>T</w:t>
      </w:r>
      <w:r w:rsidR="00C70A5E">
        <w:rPr>
          <w:lang w:eastAsia="zh-CN"/>
        </w:rPr>
        <w:t xml:space="preserve">heir findings </w:t>
      </w:r>
      <w:r w:rsidR="00C70A5E" w:rsidRPr="00C70A5E">
        <w:rPr>
          <w:lang w:eastAsia="zh-CN"/>
        </w:rPr>
        <w:t>have some novel findings and also lead new investigations as a prospective designed.</w:t>
      </w:r>
    </w:p>
    <w:p w14:paraId="417E7169" w14:textId="77777777" w:rsidR="000C25D3" w:rsidRPr="00AA07AF" w:rsidRDefault="000C25D3" w:rsidP="00B02C42">
      <w:pPr>
        <w:spacing w:before="0" w:after="0"/>
        <w:jc w:val="both"/>
        <w:rPr>
          <w:lang w:eastAsia="zh-CN"/>
        </w:rPr>
      </w:pPr>
    </w:p>
    <w:p w14:paraId="3C3602D2" w14:textId="77777777" w:rsidR="000C25D3" w:rsidRPr="00AA07AF" w:rsidRDefault="000C25D3" w:rsidP="00B02C42">
      <w:pPr>
        <w:spacing w:before="0" w:after="0"/>
        <w:jc w:val="both"/>
      </w:pPr>
      <w:r w:rsidRPr="00AA07AF">
        <w:br w:type="page"/>
      </w:r>
    </w:p>
    <w:p w14:paraId="060A746D" w14:textId="5A2125BB" w:rsidR="00EF569D" w:rsidRDefault="00EF569D" w:rsidP="00B02C42">
      <w:pPr>
        <w:pStyle w:val="a5"/>
        <w:spacing w:before="0" w:line="360" w:lineRule="auto"/>
        <w:jc w:val="both"/>
        <w:rPr>
          <w:b/>
          <w:lang w:eastAsia="zh-CN"/>
        </w:rPr>
      </w:pPr>
      <w:r w:rsidRPr="0023348A">
        <w:rPr>
          <w:b/>
          <w:lang w:eastAsia="zh-CN"/>
        </w:rPr>
        <w:lastRenderedPageBreak/>
        <w:t>REFERENCES</w:t>
      </w:r>
    </w:p>
    <w:p w14:paraId="205BE21D" w14:textId="77777777" w:rsidR="00BE0859" w:rsidRDefault="00544AC5" w:rsidP="00BE0859">
      <w:pPr>
        <w:pStyle w:val="a5"/>
        <w:numPr>
          <w:ilvl w:val="0"/>
          <w:numId w:val="2"/>
        </w:numPr>
        <w:spacing w:line="360" w:lineRule="auto"/>
        <w:ind w:left="426"/>
        <w:jc w:val="both"/>
        <w:rPr>
          <w:lang w:eastAsia="zh-CN"/>
        </w:rPr>
      </w:pPr>
      <w:r w:rsidRPr="00BE0859">
        <w:rPr>
          <w:rFonts w:hint="eastAsia"/>
          <w:b/>
          <w:bCs/>
          <w:lang w:eastAsia="zh-CN"/>
        </w:rPr>
        <w:t>Drewitz DJ</w:t>
      </w:r>
      <w:r w:rsidRPr="00544AC5">
        <w:rPr>
          <w:rFonts w:hint="eastAsia"/>
          <w:lang w:eastAsia="zh-CN"/>
        </w:rPr>
        <w:t>, Sampliner RE, Garewal HS. The incidence of adenocarcinoma in Barrett's esophagus: a prospective study of 170 patients followed 4.8 years. </w:t>
      </w:r>
      <w:r w:rsidRPr="00BE0859">
        <w:rPr>
          <w:rFonts w:hint="eastAsia"/>
          <w:i/>
          <w:iCs/>
          <w:lang w:eastAsia="zh-CN"/>
        </w:rPr>
        <w:t>Am J Gastroenterol</w:t>
      </w:r>
      <w:r w:rsidRPr="00544AC5">
        <w:rPr>
          <w:rFonts w:hint="eastAsia"/>
          <w:lang w:eastAsia="zh-CN"/>
        </w:rPr>
        <w:t> 1997; </w:t>
      </w:r>
      <w:r w:rsidRPr="00BE0859">
        <w:rPr>
          <w:rFonts w:hint="eastAsia"/>
          <w:b/>
          <w:bCs/>
          <w:lang w:eastAsia="zh-CN"/>
        </w:rPr>
        <w:t>92</w:t>
      </w:r>
      <w:r w:rsidRPr="00544AC5">
        <w:rPr>
          <w:rFonts w:hint="eastAsia"/>
          <w:lang w:eastAsia="zh-CN"/>
        </w:rPr>
        <w:t>: 212-215 [PMID: 9040193]</w:t>
      </w:r>
    </w:p>
    <w:p w14:paraId="4C5DFBC8" w14:textId="7FFE48C6" w:rsidR="00BE0859" w:rsidRPr="00BE0859" w:rsidRDefault="00BE0859" w:rsidP="00BE0859">
      <w:pPr>
        <w:pStyle w:val="a5"/>
        <w:numPr>
          <w:ilvl w:val="0"/>
          <w:numId w:val="2"/>
        </w:numPr>
        <w:spacing w:line="360" w:lineRule="auto"/>
        <w:ind w:left="426"/>
        <w:jc w:val="both"/>
        <w:rPr>
          <w:lang w:eastAsia="zh-CN"/>
        </w:rPr>
      </w:pPr>
      <w:r w:rsidRPr="00BE0859">
        <w:rPr>
          <w:rFonts w:hint="eastAsia"/>
          <w:b/>
          <w:bCs/>
          <w:lang w:eastAsia="zh-CN"/>
        </w:rPr>
        <w:t>Sharma P</w:t>
      </w:r>
      <w:r w:rsidRPr="00BE0859">
        <w:rPr>
          <w:rFonts w:hint="eastAsia"/>
          <w:lang w:eastAsia="zh-CN"/>
        </w:rPr>
        <w:t>, Falk GW, Weston AP, Reker D, Johnston M, Sampliner RE. Dysplasia and cancer in a large multicenter cohort of patients with Barrett's esophagus. </w:t>
      </w:r>
      <w:r w:rsidRPr="00BE0859">
        <w:rPr>
          <w:rFonts w:hint="eastAsia"/>
          <w:i/>
          <w:iCs/>
          <w:lang w:eastAsia="zh-CN"/>
        </w:rPr>
        <w:t>Clin Gastroenterol Hepatol</w:t>
      </w:r>
      <w:r w:rsidRPr="00BE0859">
        <w:rPr>
          <w:rFonts w:hint="eastAsia"/>
          <w:lang w:eastAsia="zh-CN"/>
        </w:rPr>
        <w:t> 2006; </w:t>
      </w:r>
      <w:r w:rsidRPr="00BE0859">
        <w:rPr>
          <w:rFonts w:hint="eastAsia"/>
          <w:b/>
          <w:bCs/>
          <w:lang w:eastAsia="zh-CN"/>
        </w:rPr>
        <w:t>4</w:t>
      </w:r>
      <w:r w:rsidRPr="00BE0859">
        <w:rPr>
          <w:rFonts w:hint="eastAsia"/>
          <w:lang w:eastAsia="zh-CN"/>
        </w:rPr>
        <w:t>: 566-572 [PMID: 16630761 DOI: 10.1016/j.cgh.2006.03.001]</w:t>
      </w:r>
    </w:p>
    <w:p w14:paraId="11EEA89F" w14:textId="127C78E5"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Evans JA</w:t>
      </w:r>
      <w:r w:rsidRPr="00544AC5">
        <w:rPr>
          <w:rFonts w:hint="eastAsia"/>
          <w:lang w:eastAsia="zh-CN"/>
        </w:rPr>
        <w:t>, Early DS, Fukami N, Ben-Menachem T, Chandrasekhara V, Chathadi KV, Decker GA, Fanelli RD, Fisher DA, Foley KQ, Hwang JH, Jain R, Jue TL, Khan KM, Lightdale J, Malpas PM, Maple JT, Pasha SF, Saltzman JR, Sharaf RN, Shergill A, Dominitz JA, Cash BD. The role of endoscopy in Barrett's esophagus and other premalignant conditions of the esophagus. </w:t>
      </w:r>
      <w:r w:rsidRPr="00544AC5">
        <w:rPr>
          <w:rFonts w:hint="eastAsia"/>
          <w:i/>
          <w:iCs/>
          <w:lang w:eastAsia="zh-CN"/>
        </w:rPr>
        <w:t>Gastrointest Endosc</w:t>
      </w:r>
      <w:r w:rsidRPr="00544AC5">
        <w:rPr>
          <w:rFonts w:hint="eastAsia"/>
          <w:lang w:eastAsia="zh-CN"/>
        </w:rPr>
        <w:t> 2012; </w:t>
      </w:r>
      <w:r w:rsidRPr="00544AC5">
        <w:rPr>
          <w:rFonts w:hint="eastAsia"/>
          <w:b/>
          <w:bCs/>
          <w:lang w:eastAsia="zh-CN"/>
        </w:rPr>
        <w:t>76</w:t>
      </w:r>
      <w:r w:rsidRPr="00544AC5">
        <w:rPr>
          <w:rFonts w:hint="eastAsia"/>
          <w:lang w:eastAsia="zh-CN"/>
        </w:rPr>
        <w:t>: 1087-1094 [PMID: 23164510 DOI: 10.1016/j.gie.2012.08.004]</w:t>
      </w:r>
    </w:p>
    <w:p w14:paraId="0BC79A7B" w14:textId="4C36B1F2"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Shaheen NJ</w:t>
      </w:r>
      <w:r w:rsidRPr="00544AC5">
        <w:rPr>
          <w:rFonts w:hint="eastAsia"/>
          <w:lang w:eastAsia="zh-CN"/>
        </w:rPr>
        <w:t>, Falk GW, Iyer PG, Gerson LB. ACG Clinical Guideline: Diagnosis and Management of Barrett's Esophagus. </w:t>
      </w:r>
      <w:r w:rsidRPr="00544AC5">
        <w:rPr>
          <w:rFonts w:hint="eastAsia"/>
          <w:i/>
          <w:iCs/>
          <w:lang w:eastAsia="zh-CN"/>
        </w:rPr>
        <w:t>Am J Gastroenterol</w:t>
      </w:r>
      <w:r w:rsidRPr="00544AC5">
        <w:rPr>
          <w:rFonts w:hint="eastAsia"/>
          <w:lang w:eastAsia="zh-CN"/>
        </w:rPr>
        <w:t> 2016; </w:t>
      </w:r>
      <w:r w:rsidRPr="00544AC5">
        <w:rPr>
          <w:rFonts w:hint="eastAsia"/>
          <w:b/>
          <w:bCs/>
          <w:lang w:eastAsia="zh-CN"/>
        </w:rPr>
        <w:t>111</w:t>
      </w:r>
      <w:r w:rsidRPr="00544AC5">
        <w:rPr>
          <w:rFonts w:hint="eastAsia"/>
          <w:lang w:eastAsia="zh-CN"/>
        </w:rPr>
        <w:t>: 30-50; quiz 51 [PMID: 26526079 DOI: 10.1038/ajg.2015.322]</w:t>
      </w:r>
    </w:p>
    <w:p w14:paraId="037E1570" w14:textId="69557910"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Cameron AJ</w:t>
      </w:r>
      <w:r w:rsidRPr="00544AC5">
        <w:rPr>
          <w:rFonts w:hint="eastAsia"/>
          <w:lang w:eastAsia="zh-CN"/>
        </w:rPr>
        <w:t>, Carpenter HA. Barrett's esophagus, high-grade dysplasia, and early adenocarcinoma: a pathological study. </w:t>
      </w:r>
      <w:r w:rsidRPr="00544AC5">
        <w:rPr>
          <w:rFonts w:hint="eastAsia"/>
          <w:i/>
          <w:iCs/>
          <w:lang w:eastAsia="zh-CN"/>
        </w:rPr>
        <w:t>Am J Gastroenterol</w:t>
      </w:r>
      <w:r w:rsidRPr="00544AC5">
        <w:rPr>
          <w:rFonts w:hint="eastAsia"/>
          <w:lang w:eastAsia="zh-CN"/>
        </w:rPr>
        <w:t> 1997; </w:t>
      </w:r>
      <w:r w:rsidRPr="00544AC5">
        <w:rPr>
          <w:rFonts w:hint="eastAsia"/>
          <w:b/>
          <w:bCs/>
          <w:lang w:eastAsia="zh-CN"/>
        </w:rPr>
        <w:t>92</w:t>
      </w:r>
      <w:r w:rsidRPr="00544AC5">
        <w:rPr>
          <w:rFonts w:hint="eastAsia"/>
          <w:lang w:eastAsia="zh-CN"/>
        </w:rPr>
        <w:t>: 586-591 [PMID: 9128304]</w:t>
      </w:r>
    </w:p>
    <w:p w14:paraId="1709185F" w14:textId="0F124716"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Pohl J</w:t>
      </w:r>
      <w:r w:rsidRPr="00544AC5">
        <w:rPr>
          <w:rFonts w:hint="eastAsia"/>
          <w:lang w:eastAsia="zh-CN"/>
        </w:rPr>
        <w:t>, Pech O, May A, Manner H, Fissler-Eckhoff A, Ell C. Incidence of macroscopically occult neoplasias in Barrett's esophagus: are random biopsies dispensable in the era of advanced endoscopic imaging? </w:t>
      </w:r>
      <w:r w:rsidRPr="00544AC5">
        <w:rPr>
          <w:rFonts w:hint="eastAsia"/>
          <w:i/>
          <w:iCs/>
          <w:lang w:eastAsia="zh-CN"/>
        </w:rPr>
        <w:t>Am J Gastroenterol</w:t>
      </w:r>
      <w:r w:rsidRPr="00544AC5">
        <w:rPr>
          <w:rFonts w:hint="eastAsia"/>
          <w:lang w:eastAsia="zh-CN"/>
        </w:rPr>
        <w:t> 2010; </w:t>
      </w:r>
      <w:r w:rsidRPr="00544AC5">
        <w:rPr>
          <w:rFonts w:hint="eastAsia"/>
          <w:b/>
          <w:bCs/>
          <w:lang w:eastAsia="zh-CN"/>
        </w:rPr>
        <w:t>105</w:t>
      </w:r>
      <w:r w:rsidRPr="00544AC5">
        <w:rPr>
          <w:rFonts w:hint="eastAsia"/>
          <w:lang w:eastAsia="zh-CN"/>
        </w:rPr>
        <w:t>: 2350-2356 [PMID: 20664531 DOI: 10.1038/ajg.2010.280]</w:t>
      </w:r>
    </w:p>
    <w:p w14:paraId="52F8AE35" w14:textId="4B3DDC86"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Thosani N</w:t>
      </w:r>
      <w:r w:rsidRPr="00544AC5">
        <w:rPr>
          <w:rFonts w:hint="eastAsia"/>
          <w:lang w:eastAsia="zh-CN"/>
        </w:rPr>
        <w:t xml:space="preserve">, Abu Dayyeh BK, Sharma P, Aslanian HR, Enestvedt BK, Komanduri S, Manfredi M, Navaneethan U, Maple JT, Pannala R, Parsi MA, Smith ZL, Sullivan SA, Banerjee S. ASGE Technology Committee systematic review and meta-analysis assessing the ASGE Preservation and Incorporation of Valuable Endoscopic Innovations thresholds for adopting real-time imaging-assisted endoscopic targeted </w:t>
      </w:r>
      <w:r w:rsidRPr="00544AC5">
        <w:rPr>
          <w:rFonts w:hint="eastAsia"/>
          <w:lang w:eastAsia="zh-CN"/>
        </w:rPr>
        <w:lastRenderedPageBreak/>
        <w:t>biopsy during endoscopic surveillance of Barrett's esophagus. </w:t>
      </w:r>
      <w:r w:rsidRPr="00544AC5">
        <w:rPr>
          <w:rFonts w:hint="eastAsia"/>
          <w:i/>
          <w:iCs/>
          <w:lang w:eastAsia="zh-CN"/>
        </w:rPr>
        <w:t>Gastrointest Endosc</w:t>
      </w:r>
      <w:r w:rsidRPr="00544AC5">
        <w:rPr>
          <w:rFonts w:hint="eastAsia"/>
          <w:lang w:eastAsia="zh-CN"/>
        </w:rPr>
        <w:t> 2016; </w:t>
      </w:r>
      <w:r w:rsidRPr="00544AC5">
        <w:rPr>
          <w:rFonts w:hint="eastAsia"/>
          <w:b/>
          <w:bCs/>
          <w:lang w:eastAsia="zh-CN"/>
        </w:rPr>
        <w:t>83</w:t>
      </w:r>
      <w:r w:rsidRPr="00544AC5">
        <w:rPr>
          <w:rFonts w:hint="eastAsia"/>
          <w:lang w:eastAsia="zh-CN"/>
        </w:rPr>
        <w:t>: 684-98.e7 [PMID: 26874597 DOI: 10.1016/j.gie.2016.01.007]</w:t>
      </w:r>
    </w:p>
    <w:p w14:paraId="293FFBDA" w14:textId="1F41F01A"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Muthusamy VR</w:t>
      </w:r>
      <w:r w:rsidRPr="00544AC5">
        <w:rPr>
          <w:rFonts w:hint="eastAsia"/>
          <w:lang w:eastAsia="zh-CN"/>
        </w:rPr>
        <w:t>, Kim S, Wallace MB. Advanced Imaging in Barrett's Esophagus. </w:t>
      </w:r>
      <w:r w:rsidRPr="00544AC5">
        <w:rPr>
          <w:rFonts w:hint="eastAsia"/>
          <w:i/>
          <w:iCs/>
          <w:lang w:eastAsia="zh-CN"/>
        </w:rPr>
        <w:t>Gastroenterol Clin North Am</w:t>
      </w:r>
      <w:r w:rsidRPr="00544AC5">
        <w:rPr>
          <w:rFonts w:hint="eastAsia"/>
          <w:lang w:eastAsia="zh-CN"/>
        </w:rPr>
        <w:t> 2015; </w:t>
      </w:r>
      <w:r w:rsidRPr="00544AC5">
        <w:rPr>
          <w:rFonts w:hint="eastAsia"/>
          <w:b/>
          <w:bCs/>
          <w:lang w:eastAsia="zh-CN"/>
        </w:rPr>
        <w:t>44</w:t>
      </w:r>
      <w:r w:rsidRPr="00544AC5">
        <w:rPr>
          <w:rFonts w:hint="eastAsia"/>
          <w:lang w:eastAsia="zh-CN"/>
        </w:rPr>
        <w:t>: 439-458 [PMID: 26021204 DOI: 10.1016/j.gtc.2015.02.012]</w:t>
      </w:r>
    </w:p>
    <w:p w14:paraId="16AD9072" w14:textId="3FA4CCBE"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Testoni PA</w:t>
      </w:r>
      <w:r w:rsidRPr="00544AC5">
        <w:rPr>
          <w:rFonts w:hint="eastAsia"/>
          <w:lang w:eastAsia="zh-CN"/>
        </w:rPr>
        <w:t>. Optical coherence tomography. </w:t>
      </w:r>
      <w:r w:rsidRPr="00544AC5">
        <w:rPr>
          <w:rFonts w:hint="eastAsia"/>
          <w:i/>
          <w:iCs/>
          <w:lang w:eastAsia="zh-CN"/>
        </w:rPr>
        <w:t>ScientificWorldJournal</w:t>
      </w:r>
      <w:r w:rsidRPr="00544AC5">
        <w:rPr>
          <w:rFonts w:hint="eastAsia"/>
          <w:lang w:eastAsia="zh-CN"/>
        </w:rPr>
        <w:t> 2007; </w:t>
      </w:r>
      <w:r w:rsidRPr="00544AC5">
        <w:rPr>
          <w:rFonts w:hint="eastAsia"/>
          <w:b/>
          <w:bCs/>
          <w:lang w:eastAsia="zh-CN"/>
        </w:rPr>
        <w:t>7</w:t>
      </w:r>
      <w:r w:rsidRPr="00544AC5">
        <w:rPr>
          <w:rFonts w:hint="eastAsia"/>
          <w:lang w:eastAsia="zh-CN"/>
        </w:rPr>
        <w:t>: 87-108 [PMID: 17334603 DOI: 10.1100/tsw.2007.29]</w:t>
      </w:r>
    </w:p>
    <w:p w14:paraId="1B8B2C60" w14:textId="304F70D0"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Vakoc BJ</w:t>
      </w:r>
      <w:r w:rsidRPr="00544AC5">
        <w:rPr>
          <w:rFonts w:hint="eastAsia"/>
          <w:lang w:eastAsia="zh-CN"/>
        </w:rPr>
        <w:t>, Shishko M, Yun SH, Oh WY, Suter MJ, Desjardins AE, Evans JA, Nishioka NS, Tearney GJ, Bouma BE. Comprehensive esophageal microscopy by using optical frequency-domain imaging (with video). </w:t>
      </w:r>
      <w:r w:rsidRPr="00544AC5">
        <w:rPr>
          <w:rFonts w:hint="eastAsia"/>
          <w:i/>
          <w:iCs/>
          <w:lang w:eastAsia="zh-CN"/>
        </w:rPr>
        <w:t>Gastrointest Endosc</w:t>
      </w:r>
      <w:r w:rsidRPr="00544AC5">
        <w:rPr>
          <w:rFonts w:hint="eastAsia"/>
          <w:lang w:eastAsia="zh-CN"/>
        </w:rPr>
        <w:t> 2007; </w:t>
      </w:r>
      <w:r w:rsidRPr="00544AC5">
        <w:rPr>
          <w:rFonts w:hint="eastAsia"/>
          <w:b/>
          <w:bCs/>
          <w:lang w:eastAsia="zh-CN"/>
        </w:rPr>
        <w:t>65</w:t>
      </w:r>
      <w:r w:rsidRPr="00544AC5">
        <w:rPr>
          <w:rFonts w:hint="eastAsia"/>
          <w:lang w:eastAsia="zh-CN"/>
        </w:rPr>
        <w:t>: 898-905 [PMID: 17383652 DOI: 10.1016/j.gie.2006.08.009]</w:t>
      </w:r>
    </w:p>
    <w:p w14:paraId="453212E0" w14:textId="72A7A297"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Sauk J</w:t>
      </w:r>
      <w:r w:rsidRPr="00544AC5">
        <w:rPr>
          <w:rFonts w:hint="eastAsia"/>
          <w:lang w:eastAsia="zh-CN"/>
        </w:rPr>
        <w:t>, Coron E, Kava L, Suter M, Gora M, Gallagher K, Rosenberg M, Ananthakrishnan A, Nishioka N, Lauwers G, Woods K, Brugge W, Forcione D, Bouma BE, Tearney G. Interobserver agreement for the detection of Barrett's esophagus with optical frequency domain imaging. </w:t>
      </w:r>
      <w:r w:rsidRPr="00544AC5">
        <w:rPr>
          <w:rFonts w:hint="eastAsia"/>
          <w:i/>
          <w:iCs/>
          <w:lang w:eastAsia="zh-CN"/>
        </w:rPr>
        <w:t>Dig Dis Sci</w:t>
      </w:r>
      <w:r w:rsidRPr="00544AC5">
        <w:rPr>
          <w:rFonts w:hint="eastAsia"/>
          <w:lang w:eastAsia="zh-CN"/>
        </w:rPr>
        <w:t> 2013; </w:t>
      </w:r>
      <w:r w:rsidRPr="00544AC5">
        <w:rPr>
          <w:rFonts w:hint="eastAsia"/>
          <w:b/>
          <w:bCs/>
          <w:lang w:eastAsia="zh-CN"/>
        </w:rPr>
        <w:t>58</w:t>
      </w:r>
      <w:r w:rsidRPr="00544AC5">
        <w:rPr>
          <w:rFonts w:hint="eastAsia"/>
          <w:lang w:eastAsia="zh-CN"/>
        </w:rPr>
        <w:t>: 2261-2265 [PMID: 23508980 DOI: 10.1007/s10620-013-2625-x]</w:t>
      </w:r>
    </w:p>
    <w:p w14:paraId="2D0AF777" w14:textId="2415828D"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Evans JA</w:t>
      </w:r>
      <w:r w:rsidRPr="00544AC5">
        <w:rPr>
          <w:rFonts w:hint="eastAsia"/>
          <w:lang w:eastAsia="zh-CN"/>
        </w:rPr>
        <w:t>, Bouma BE, Bressner J, Shishkov M, Lauwers GY, Mino-Kenudson M, Nishioka NS, Tearney GJ. Identifying intestinal metaplasia at the squamocolumnar junction by using optical coherence tomography. </w:t>
      </w:r>
      <w:r w:rsidRPr="00544AC5">
        <w:rPr>
          <w:rFonts w:hint="eastAsia"/>
          <w:i/>
          <w:iCs/>
          <w:lang w:eastAsia="zh-CN"/>
        </w:rPr>
        <w:t>Gastrointest Endosc</w:t>
      </w:r>
      <w:r w:rsidRPr="00544AC5">
        <w:rPr>
          <w:rFonts w:hint="eastAsia"/>
          <w:lang w:eastAsia="zh-CN"/>
        </w:rPr>
        <w:t> 2007; </w:t>
      </w:r>
      <w:r w:rsidRPr="00544AC5">
        <w:rPr>
          <w:rFonts w:hint="eastAsia"/>
          <w:b/>
          <w:bCs/>
          <w:lang w:eastAsia="zh-CN"/>
        </w:rPr>
        <w:t>65</w:t>
      </w:r>
      <w:r w:rsidRPr="00544AC5">
        <w:rPr>
          <w:rFonts w:hint="eastAsia"/>
          <w:lang w:eastAsia="zh-CN"/>
        </w:rPr>
        <w:t>: 50-56 [PMID: 17137858 DOI: 10.1016/j.gie.2006.04.027]</w:t>
      </w:r>
    </w:p>
    <w:p w14:paraId="18C44CC6" w14:textId="683E3343"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Evans JA</w:t>
      </w:r>
      <w:r w:rsidRPr="00544AC5">
        <w:rPr>
          <w:rFonts w:hint="eastAsia"/>
          <w:lang w:eastAsia="zh-CN"/>
        </w:rPr>
        <w:t>, Poneros JM, Bouma BE, Bressner J, Halpern EF, Shishkov M, Lauwers GY, Mino-Kenudson M, Nishioka NS, Tearney GJ. Optical coherence tomography to identify intramucosal carcinoma and high-grade dysplasia in Barrett's esophagus. </w:t>
      </w:r>
      <w:r w:rsidRPr="00544AC5">
        <w:rPr>
          <w:rFonts w:hint="eastAsia"/>
          <w:i/>
          <w:iCs/>
          <w:lang w:eastAsia="zh-CN"/>
        </w:rPr>
        <w:t>Clin Gastroenterol Hepatol</w:t>
      </w:r>
      <w:r w:rsidRPr="00544AC5">
        <w:rPr>
          <w:rFonts w:hint="eastAsia"/>
          <w:lang w:eastAsia="zh-CN"/>
        </w:rPr>
        <w:t> 2006; </w:t>
      </w:r>
      <w:r w:rsidRPr="00544AC5">
        <w:rPr>
          <w:rFonts w:hint="eastAsia"/>
          <w:b/>
          <w:bCs/>
          <w:lang w:eastAsia="zh-CN"/>
        </w:rPr>
        <w:t>4</w:t>
      </w:r>
      <w:r w:rsidRPr="00544AC5">
        <w:rPr>
          <w:rFonts w:hint="eastAsia"/>
          <w:lang w:eastAsia="zh-CN"/>
        </w:rPr>
        <w:t>: 38-43 [PMID: 16431303 DOI: 10.1016/S1542-3565(05)00746-9]</w:t>
      </w:r>
    </w:p>
    <w:p w14:paraId="3DC218C7" w14:textId="35417B97"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Wolfsen HC</w:t>
      </w:r>
      <w:r w:rsidRPr="00544AC5">
        <w:rPr>
          <w:rFonts w:hint="eastAsia"/>
          <w:lang w:eastAsia="zh-CN"/>
        </w:rPr>
        <w:t xml:space="preserve">, Sharma P, Wallace MB, Leggett C, Tearney G, Wang KK. Safety and feasibility of volumetric laser endomicroscopy in patients with Barrett's esophagus </w:t>
      </w:r>
      <w:r w:rsidRPr="00544AC5">
        <w:rPr>
          <w:rFonts w:hint="eastAsia"/>
          <w:lang w:eastAsia="zh-CN"/>
        </w:rPr>
        <w:lastRenderedPageBreak/>
        <w:t>(with videos). </w:t>
      </w:r>
      <w:r w:rsidRPr="00544AC5">
        <w:rPr>
          <w:rFonts w:hint="eastAsia"/>
          <w:i/>
          <w:iCs/>
          <w:lang w:eastAsia="zh-CN"/>
        </w:rPr>
        <w:t>Gastrointest Endosc</w:t>
      </w:r>
      <w:r w:rsidRPr="00544AC5">
        <w:rPr>
          <w:rFonts w:hint="eastAsia"/>
          <w:lang w:eastAsia="zh-CN"/>
        </w:rPr>
        <w:t> 2015; </w:t>
      </w:r>
      <w:r w:rsidRPr="00544AC5">
        <w:rPr>
          <w:rFonts w:hint="eastAsia"/>
          <w:b/>
          <w:bCs/>
          <w:lang w:eastAsia="zh-CN"/>
        </w:rPr>
        <w:t>82</w:t>
      </w:r>
      <w:r w:rsidRPr="00544AC5">
        <w:rPr>
          <w:rFonts w:hint="eastAsia"/>
          <w:lang w:eastAsia="zh-CN"/>
        </w:rPr>
        <w:t>: 631-640 [PMID: 25956472 DOI: 10.1016/j.gie.2015.03.1968]</w:t>
      </w:r>
    </w:p>
    <w:p w14:paraId="5A3D63C2" w14:textId="2C2F1910"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Trindade AJ</w:t>
      </w:r>
      <w:r w:rsidRPr="00544AC5">
        <w:rPr>
          <w:rFonts w:hint="eastAsia"/>
          <w:lang w:eastAsia="zh-CN"/>
        </w:rPr>
        <w:t>, George BJ, Berkowitz J, Sejpal DV, McKinley MJ. Volumetric laser endomicroscopy can target neoplasia not detected by conventional endoscopic measures in long segment Barrett's esophagus. </w:t>
      </w:r>
      <w:r w:rsidRPr="00544AC5">
        <w:rPr>
          <w:rFonts w:hint="eastAsia"/>
          <w:i/>
          <w:iCs/>
          <w:lang w:eastAsia="zh-CN"/>
        </w:rPr>
        <w:t>Endosc Int Open</w:t>
      </w:r>
      <w:r w:rsidRPr="00544AC5">
        <w:rPr>
          <w:rFonts w:hint="eastAsia"/>
          <w:lang w:eastAsia="zh-CN"/>
        </w:rPr>
        <w:t> 2016; </w:t>
      </w:r>
      <w:r w:rsidRPr="00544AC5">
        <w:rPr>
          <w:rFonts w:hint="eastAsia"/>
          <w:b/>
          <w:bCs/>
          <w:lang w:eastAsia="zh-CN"/>
        </w:rPr>
        <w:t>4</w:t>
      </w:r>
      <w:r w:rsidRPr="00544AC5">
        <w:rPr>
          <w:rFonts w:hint="eastAsia"/>
          <w:lang w:eastAsia="zh-CN"/>
        </w:rPr>
        <w:t>: E318-E322 [PMID: 27004250 DOI: 10.1055/s-0042-101409]</w:t>
      </w:r>
    </w:p>
    <w:p w14:paraId="0028DEAD" w14:textId="25E1400C"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Atkinson C</w:t>
      </w:r>
      <w:r w:rsidRPr="00544AC5">
        <w:rPr>
          <w:rFonts w:hint="eastAsia"/>
          <w:lang w:eastAsia="zh-CN"/>
        </w:rPr>
        <w:t>, Singh S, Fisichella PM. Volumetric laser endomicroscopy in the detection of neoplastic lesions of the esophagus. </w:t>
      </w:r>
      <w:r w:rsidRPr="00544AC5">
        <w:rPr>
          <w:rFonts w:hint="eastAsia"/>
          <w:i/>
          <w:iCs/>
          <w:lang w:eastAsia="zh-CN"/>
        </w:rPr>
        <w:t>Dig Liver Dis</w:t>
      </w:r>
      <w:r w:rsidRPr="00544AC5">
        <w:rPr>
          <w:rFonts w:hint="eastAsia"/>
          <w:lang w:eastAsia="zh-CN"/>
        </w:rPr>
        <w:t> 2016; </w:t>
      </w:r>
      <w:r w:rsidRPr="00544AC5">
        <w:rPr>
          <w:rFonts w:hint="eastAsia"/>
          <w:b/>
          <w:bCs/>
          <w:lang w:eastAsia="zh-CN"/>
        </w:rPr>
        <w:t>48</w:t>
      </w:r>
      <w:r w:rsidRPr="00544AC5">
        <w:rPr>
          <w:rFonts w:hint="eastAsia"/>
          <w:lang w:eastAsia="zh-CN"/>
        </w:rPr>
        <w:t>: 692 [PMID: 26976783 DOI: 10.1016/j.dld.2016.02.013]</w:t>
      </w:r>
    </w:p>
    <w:p w14:paraId="3AF3341E" w14:textId="4D62DFE7"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Trindade AJ</w:t>
      </w:r>
      <w:r w:rsidRPr="00544AC5">
        <w:rPr>
          <w:rFonts w:hint="eastAsia"/>
          <w:lang w:eastAsia="zh-CN"/>
        </w:rPr>
        <w:t>, Vamadevan AS, Sejpal DV. Finding a needle in a haystack: use of volumetric laser endomicroscopy in targeting focal dysplasia in long-segment Barrett's esophagus. </w:t>
      </w:r>
      <w:r w:rsidRPr="00544AC5">
        <w:rPr>
          <w:rFonts w:hint="eastAsia"/>
          <w:i/>
          <w:iCs/>
          <w:lang w:eastAsia="zh-CN"/>
        </w:rPr>
        <w:t>Gastrointest Endosc</w:t>
      </w:r>
      <w:r w:rsidRPr="00544AC5">
        <w:rPr>
          <w:rFonts w:hint="eastAsia"/>
          <w:lang w:eastAsia="zh-CN"/>
        </w:rPr>
        <w:t> 2015; </w:t>
      </w:r>
      <w:r w:rsidRPr="00544AC5">
        <w:rPr>
          <w:rFonts w:hint="eastAsia"/>
          <w:b/>
          <w:bCs/>
          <w:lang w:eastAsia="zh-CN"/>
        </w:rPr>
        <w:t>82</w:t>
      </w:r>
      <w:r w:rsidRPr="00544AC5">
        <w:rPr>
          <w:rFonts w:hint="eastAsia"/>
          <w:lang w:eastAsia="zh-CN"/>
        </w:rPr>
        <w:t>: 756; discussion 757 [PMID: 26005011 DOI: 10.1016/j.gie.2015.03.1984]</w:t>
      </w:r>
    </w:p>
    <w:p w14:paraId="1F232F41" w14:textId="65348F10"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Leggett CL</w:t>
      </w:r>
      <w:r w:rsidRPr="00544AC5">
        <w:rPr>
          <w:rFonts w:hint="eastAsia"/>
          <w:lang w:eastAsia="zh-CN"/>
        </w:rPr>
        <w:t>, Gorospe EC, Chan DK, Muppa P, Owens V, Smyrk TC, Anderson M, Lutzke LS, Tearney G, Wang KK. Comparative diagnostic performance of volumetric laser endomicroscopy and confocal laser endomicroscopy in the detection of dysplasia associated with Barrett's esophagus. </w:t>
      </w:r>
      <w:r w:rsidRPr="00544AC5">
        <w:rPr>
          <w:rFonts w:hint="eastAsia"/>
          <w:i/>
          <w:iCs/>
          <w:lang w:eastAsia="zh-CN"/>
        </w:rPr>
        <w:t>Gastrointest Endosc</w:t>
      </w:r>
      <w:r w:rsidRPr="00544AC5">
        <w:rPr>
          <w:rFonts w:hint="eastAsia"/>
          <w:lang w:eastAsia="zh-CN"/>
        </w:rPr>
        <w:t> 2016; </w:t>
      </w:r>
      <w:r w:rsidRPr="00544AC5">
        <w:rPr>
          <w:rFonts w:hint="eastAsia"/>
          <w:b/>
          <w:bCs/>
          <w:lang w:eastAsia="zh-CN"/>
        </w:rPr>
        <w:t>83</w:t>
      </w:r>
      <w:r w:rsidRPr="00544AC5">
        <w:rPr>
          <w:rFonts w:hint="eastAsia"/>
          <w:lang w:eastAsia="zh-CN"/>
        </w:rPr>
        <w:t>: 880-888.e2 [PMID: 26344884 DOI: 10.1016/j.gie.2015.08.050]</w:t>
      </w:r>
    </w:p>
    <w:p w14:paraId="23D89600" w14:textId="2C61331A" w:rsidR="00544AC5" w:rsidRP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Pascarenco OD</w:t>
      </w:r>
      <w:r w:rsidRPr="00544AC5">
        <w:rPr>
          <w:rFonts w:hint="eastAsia"/>
          <w:lang w:eastAsia="zh-CN"/>
        </w:rPr>
        <w:t>, Boeriu A, Mocan S, Pascarenco G, Drasoveanu S, Galeanu M, Dobru D. Barrett's esophagus and intestinal metaplasia of gastric cardia: prevalence, clinical, endoscopic and histological features. </w:t>
      </w:r>
      <w:r w:rsidRPr="00544AC5">
        <w:rPr>
          <w:rFonts w:hint="eastAsia"/>
          <w:i/>
          <w:iCs/>
          <w:lang w:eastAsia="zh-CN"/>
        </w:rPr>
        <w:t>J Gastrointestin Liver Dis</w:t>
      </w:r>
      <w:r w:rsidRPr="00544AC5">
        <w:rPr>
          <w:rFonts w:hint="eastAsia"/>
          <w:lang w:eastAsia="zh-CN"/>
        </w:rPr>
        <w:t> 2014; </w:t>
      </w:r>
      <w:r w:rsidRPr="00544AC5">
        <w:rPr>
          <w:rFonts w:hint="eastAsia"/>
          <w:b/>
          <w:bCs/>
          <w:lang w:eastAsia="zh-CN"/>
        </w:rPr>
        <w:t>23</w:t>
      </w:r>
      <w:r w:rsidRPr="00544AC5">
        <w:rPr>
          <w:rFonts w:hint="eastAsia"/>
          <w:lang w:eastAsia="zh-CN"/>
        </w:rPr>
        <w:t>: 19-25 [PMID: 24689092]</w:t>
      </w:r>
    </w:p>
    <w:p w14:paraId="46FF391E" w14:textId="27F24191" w:rsidR="00544AC5" w:rsidRDefault="00544AC5" w:rsidP="00544AC5">
      <w:pPr>
        <w:pStyle w:val="a5"/>
        <w:numPr>
          <w:ilvl w:val="0"/>
          <w:numId w:val="2"/>
        </w:numPr>
        <w:spacing w:line="360" w:lineRule="auto"/>
        <w:ind w:left="426"/>
        <w:jc w:val="both"/>
        <w:rPr>
          <w:lang w:eastAsia="zh-CN"/>
        </w:rPr>
      </w:pPr>
      <w:r w:rsidRPr="00544AC5">
        <w:rPr>
          <w:rFonts w:hint="eastAsia"/>
          <w:b/>
          <w:bCs/>
          <w:lang w:eastAsia="zh-CN"/>
        </w:rPr>
        <w:t>Suter MJ</w:t>
      </w:r>
      <w:r w:rsidRPr="00544AC5">
        <w:rPr>
          <w:rFonts w:hint="eastAsia"/>
          <w:lang w:eastAsia="zh-CN"/>
        </w:rPr>
        <w:t>, Gora MJ, Lauwers GY, Arnason T, Sauk J, Gallagher KA, Kava L, Tan KM, Soomro AR, Gallagher TP, Gardecki JA, Bouma BE, Rosenberg M, Nishioka NS, Tearney GJ. Esophageal-guided biopsy with volumetric laser endomicroscopy and laser cautery marking: a pilot clinical study. </w:t>
      </w:r>
      <w:r w:rsidRPr="00544AC5">
        <w:rPr>
          <w:rFonts w:hint="eastAsia"/>
          <w:i/>
          <w:iCs/>
          <w:lang w:eastAsia="zh-CN"/>
        </w:rPr>
        <w:t>Gastrointest Endosc</w:t>
      </w:r>
      <w:r w:rsidRPr="00544AC5">
        <w:rPr>
          <w:rFonts w:hint="eastAsia"/>
          <w:lang w:eastAsia="zh-CN"/>
        </w:rPr>
        <w:t> 2014; </w:t>
      </w:r>
      <w:r w:rsidRPr="00544AC5">
        <w:rPr>
          <w:rFonts w:hint="eastAsia"/>
          <w:b/>
          <w:bCs/>
          <w:lang w:eastAsia="zh-CN"/>
        </w:rPr>
        <w:t>79</w:t>
      </w:r>
      <w:r w:rsidRPr="00544AC5">
        <w:rPr>
          <w:rFonts w:hint="eastAsia"/>
          <w:lang w:eastAsia="zh-CN"/>
        </w:rPr>
        <w:t>: 886-896 [PMID: 24462171 DOI: 10.1016/j.gie.2013.11.016]</w:t>
      </w:r>
    </w:p>
    <w:p w14:paraId="2B13007F" w14:textId="7641EBC6" w:rsidR="00F75FCA" w:rsidRPr="00C52BCF" w:rsidRDefault="00F75FCA" w:rsidP="00F75FCA">
      <w:pPr>
        <w:snapToGrid w:val="0"/>
        <w:spacing w:after="0"/>
        <w:jc w:val="right"/>
        <w:rPr>
          <w:rFonts w:cs="Times New Roman"/>
          <w:b/>
          <w:color w:val="000000"/>
        </w:rPr>
      </w:pPr>
      <w:bookmarkStart w:id="83" w:name="OLE_LINK307"/>
      <w:bookmarkStart w:id="84" w:name="OLE_LINK308"/>
      <w:bookmarkStart w:id="85" w:name="OLE_LINK319"/>
      <w:bookmarkStart w:id="86" w:name="OLE_LINK338"/>
      <w:bookmarkStart w:id="87" w:name="OLE_LINK384"/>
      <w:bookmarkStart w:id="88" w:name="OLE_LINK370"/>
      <w:bookmarkStart w:id="89" w:name="OLE_LINK393"/>
      <w:bookmarkStart w:id="90" w:name="OLE_LINK429"/>
      <w:bookmarkStart w:id="91" w:name="OLE_LINK430"/>
      <w:bookmarkStart w:id="92" w:name="OLE_LINK444"/>
      <w:bookmarkStart w:id="93" w:name="OLE_LINK447"/>
      <w:bookmarkStart w:id="94" w:name="OLE_LINK479"/>
      <w:bookmarkStart w:id="95" w:name="OLE_LINK480"/>
      <w:bookmarkStart w:id="96" w:name="OLE_LINK502"/>
      <w:bookmarkStart w:id="97" w:name="OLE_LINK538"/>
      <w:bookmarkStart w:id="98" w:name="OLE_LINK554"/>
      <w:bookmarkStart w:id="99" w:name="OLE_LINK567"/>
      <w:bookmarkStart w:id="100" w:name="OLE_LINK595"/>
      <w:bookmarkStart w:id="101" w:name="OLE_LINK605"/>
      <w:bookmarkStart w:id="102" w:name="OLE_LINK623"/>
      <w:bookmarkStart w:id="103" w:name="OLE_LINK675"/>
      <w:bookmarkStart w:id="104" w:name="OLE_LINK690"/>
      <w:bookmarkStart w:id="105" w:name="OLE_LINK696"/>
      <w:bookmarkStart w:id="106" w:name="OLE_LINK746"/>
      <w:bookmarkStart w:id="107" w:name="OLE_LINK754"/>
      <w:bookmarkStart w:id="108" w:name="OLE_LINK759"/>
      <w:bookmarkStart w:id="109" w:name="OLE_LINK764"/>
      <w:bookmarkStart w:id="110" w:name="OLE_LINK804"/>
      <w:bookmarkStart w:id="111" w:name="OLE_LINK797"/>
      <w:bookmarkStart w:id="112" w:name="OLE_LINK816"/>
      <w:r w:rsidRPr="00C52BCF">
        <w:rPr>
          <w:rFonts w:cs="Times New Roman"/>
          <w:b/>
          <w:color w:val="000000"/>
        </w:rPr>
        <w:t>P-Reviewer:</w:t>
      </w:r>
      <w:r w:rsidRPr="00C52BCF">
        <w:rPr>
          <w:rFonts w:cs="Times New Roman"/>
          <w:color w:val="000000"/>
        </w:rPr>
        <w:t xml:space="preserve"> </w:t>
      </w:r>
      <w:r w:rsidRPr="00F75FCA">
        <w:rPr>
          <w:rFonts w:cs="Times New Roman"/>
          <w:color w:val="000000"/>
        </w:rPr>
        <w:t>Bilir</w:t>
      </w:r>
      <w:r w:rsidRPr="00F75FCA">
        <w:rPr>
          <w:rFonts w:cs="Times New Roman" w:hint="eastAsia"/>
          <w:color w:val="000000"/>
        </w:rPr>
        <w:t xml:space="preserve"> C, </w:t>
      </w:r>
      <w:r w:rsidRPr="00F75FCA">
        <w:rPr>
          <w:rFonts w:cs="Times New Roman"/>
          <w:color w:val="000000"/>
        </w:rPr>
        <w:t>Chen</w:t>
      </w:r>
      <w:r w:rsidRPr="00F75FCA">
        <w:rPr>
          <w:rFonts w:cs="Times New Roman" w:hint="eastAsia"/>
          <w:color w:val="000000"/>
        </w:rPr>
        <w:t xml:space="preserve"> JQ</w:t>
      </w:r>
      <w:r>
        <w:rPr>
          <w:rFonts w:ascii="Verdana" w:hAnsi="Verdana" w:hint="eastAsia"/>
          <w:color w:val="000000"/>
          <w:sz w:val="17"/>
          <w:szCs w:val="17"/>
          <w:shd w:val="clear" w:color="auto" w:fill="FFFFFF"/>
          <w:lang w:eastAsia="zh-CN"/>
        </w:rPr>
        <w:t xml:space="preserve"> </w:t>
      </w:r>
      <w:r w:rsidRPr="00C52BCF">
        <w:rPr>
          <w:rFonts w:cs="Times New Roman"/>
          <w:b/>
          <w:color w:val="000000"/>
        </w:rPr>
        <w:t xml:space="preserve">S-Editor: </w:t>
      </w:r>
      <w:r w:rsidRPr="00C52BCF">
        <w:rPr>
          <w:rFonts w:cs="Times New Roman"/>
          <w:color w:val="000000"/>
        </w:rPr>
        <w:t xml:space="preserve">Kong JX </w:t>
      </w:r>
      <w:r w:rsidRPr="00C52BCF">
        <w:rPr>
          <w:rFonts w:cs="Times New Roman"/>
          <w:b/>
          <w:color w:val="000000"/>
        </w:rPr>
        <w:t>L-Editor: E-Editor:</w:t>
      </w:r>
    </w:p>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14:paraId="3F77CE0A" w14:textId="77777777" w:rsidR="00544AC5" w:rsidRPr="0023348A" w:rsidRDefault="00544AC5" w:rsidP="00B02C42">
      <w:pPr>
        <w:pStyle w:val="a5"/>
        <w:spacing w:before="0" w:line="360" w:lineRule="auto"/>
        <w:jc w:val="both"/>
        <w:rPr>
          <w:b/>
          <w:lang w:eastAsia="zh-CN"/>
        </w:rPr>
      </w:pPr>
    </w:p>
    <w:p w14:paraId="4669FC93" w14:textId="4513631E" w:rsidR="00B116BD" w:rsidRPr="00AA07AF" w:rsidRDefault="008D0367" w:rsidP="00B02C42">
      <w:pPr>
        <w:spacing w:before="0" w:after="0"/>
        <w:jc w:val="both"/>
      </w:pPr>
      <w:r w:rsidRPr="00AA07AF">
        <w:rPr>
          <w:noProof/>
          <w:lang w:eastAsia="zh-CN"/>
        </w:rPr>
        <w:lastRenderedPageBreak/>
        <w:drawing>
          <wp:inline distT="0" distB="0" distL="0" distR="0" wp14:anchorId="5A45478A" wp14:editId="61924FFC">
            <wp:extent cx="3716867" cy="4263575"/>
            <wp:effectExtent l="0" t="0" r="0" b="3810"/>
            <wp:docPr id="2" name="Picture 2" descr="C:\Users\Nina Gupta\Downloads\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 Gupta\Downloads\flowchart.png"/>
                    <pic:cNvPicPr>
                      <a:picLocks noChangeAspect="1" noChangeArrowheads="1"/>
                    </pic:cNvPicPr>
                  </pic:nvPicPr>
                  <pic:blipFill rotWithShape="1">
                    <a:blip r:embed="rId9">
                      <a:extLst>
                        <a:ext uri="{28A0092B-C50C-407E-A947-70E740481C1C}">
                          <a14:useLocalDpi xmlns:a14="http://schemas.microsoft.com/office/drawing/2010/main" val="0"/>
                        </a:ext>
                      </a:extLst>
                    </a:blip>
                    <a:srcRect t="4910"/>
                    <a:stretch/>
                  </pic:blipFill>
                  <pic:spPr bwMode="auto">
                    <a:xfrm>
                      <a:off x="0" y="0"/>
                      <a:ext cx="3724810" cy="4272686"/>
                    </a:xfrm>
                    <a:prstGeom prst="rect">
                      <a:avLst/>
                    </a:prstGeom>
                    <a:noFill/>
                    <a:ln>
                      <a:noFill/>
                    </a:ln>
                    <a:extLst>
                      <a:ext uri="{53640926-AAD7-44D8-BBD7-CCE9431645EC}">
                        <a14:shadowObscured xmlns:a14="http://schemas.microsoft.com/office/drawing/2010/main"/>
                      </a:ext>
                    </a:extLst>
                  </pic:spPr>
                </pic:pic>
              </a:graphicData>
            </a:graphic>
          </wp:inline>
        </w:drawing>
      </w:r>
    </w:p>
    <w:p w14:paraId="490B0274" w14:textId="65E145B4" w:rsidR="00B116BD" w:rsidRPr="00AA07AF" w:rsidRDefault="00C850EC" w:rsidP="00B02C42">
      <w:pPr>
        <w:spacing w:before="0" w:after="0"/>
        <w:jc w:val="both"/>
        <w:rPr>
          <w:lang w:eastAsia="zh-CN"/>
        </w:rPr>
      </w:pPr>
      <w:r w:rsidRPr="00C850EC">
        <w:rPr>
          <w:b/>
          <w:lang w:eastAsia="zh-CN"/>
        </w:rPr>
        <w:t>Figure</w:t>
      </w:r>
      <w:r w:rsidRPr="00C850EC">
        <w:rPr>
          <w:rFonts w:hint="eastAsia"/>
          <w:b/>
          <w:lang w:eastAsia="zh-CN"/>
        </w:rPr>
        <w:t xml:space="preserve"> 1 Inclusion and exclusion criteria flowchart.</w:t>
      </w:r>
      <w:r>
        <w:rPr>
          <w:rFonts w:hint="eastAsia"/>
          <w:b/>
          <w:lang w:eastAsia="zh-CN"/>
        </w:rPr>
        <w:t xml:space="preserve"> </w:t>
      </w:r>
      <w:r w:rsidRPr="00AA07AF">
        <w:t>VLE</w:t>
      </w:r>
      <w:r>
        <w:rPr>
          <w:rFonts w:hint="eastAsia"/>
          <w:lang w:eastAsia="zh-CN"/>
        </w:rPr>
        <w:t>:</w:t>
      </w:r>
      <w:r w:rsidRPr="00AA07AF">
        <w:t xml:space="preserve"> Volumetric laser endomicroscopy</w:t>
      </w:r>
      <w:r w:rsidR="006E0517">
        <w:rPr>
          <w:rFonts w:hint="eastAsia"/>
          <w:lang w:eastAsia="zh-CN"/>
        </w:rPr>
        <w:t>;</w:t>
      </w:r>
      <w:r w:rsidRPr="00AA07AF">
        <w:t xml:space="preserve"> </w:t>
      </w:r>
      <w:r>
        <w:rPr>
          <w:rFonts w:hint="eastAsia"/>
          <w:lang w:eastAsia="zh-CN"/>
        </w:rPr>
        <w:t xml:space="preserve">GEJ: </w:t>
      </w:r>
      <w:r w:rsidRPr="00AA07AF">
        <w:t>G</w:t>
      </w:r>
      <w:r>
        <w:t>astroesophageal junction</w:t>
      </w:r>
      <w:r>
        <w:rPr>
          <w:rFonts w:hint="eastAsia"/>
          <w:lang w:eastAsia="zh-CN"/>
        </w:rPr>
        <w:t xml:space="preserve">. </w:t>
      </w:r>
    </w:p>
    <w:p w14:paraId="3321FD9C" w14:textId="29392328" w:rsidR="008D0367" w:rsidRDefault="00D33903" w:rsidP="00B02C42">
      <w:pPr>
        <w:spacing w:before="0" w:after="0"/>
        <w:jc w:val="both"/>
        <w:rPr>
          <w:lang w:eastAsia="zh-CN"/>
        </w:rPr>
      </w:pPr>
      <w:r w:rsidRPr="00AA07AF">
        <w:rPr>
          <w:noProof/>
          <w:lang w:eastAsia="zh-CN"/>
        </w:rPr>
        <w:lastRenderedPageBreak/>
        <w:drawing>
          <wp:inline distT="0" distB="0" distL="0" distR="0" wp14:anchorId="3DAF2E90" wp14:editId="36B05F82">
            <wp:extent cx="5459618" cy="3996267"/>
            <wp:effectExtent l="0" t="0" r="825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4521" b="13391"/>
                    <a:stretch/>
                  </pic:blipFill>
                  <pic:spPr bwMode="auto">
                    <a:xfrm>
                      <a:off x="0" y="0"/>
                      <a:ext cx="5462610" cy="3998457"/>
                    </a:xfrm>
                    <a:prstGeom prst="rect">
                      <a:avLst/>
                    </a:prstGeom>
                    <a:noFill/>
                    <a:ln>
                      <a:noFill/>
                    </a:ln>
                    <a:extLst>
                      <a:ext uri="{53640926-AAD7-44D8-BBD7-CCE9431645EC}">
                        <a14:shadowObscured xmlns:a14="http://schemas.microsoft.com/office/drawing/2010/main"/>
                      </a:ext>
                    </a:extLst>
                  </pic:spPr>
                </pic:pic>
              </a:graphicData>
            </a:graphic>
          </wp:inline>
        </w:drawing>
      </w:r>
    </w:p>
    <w:p w14:paraId="2F3BE85F" w14:textId="17B01279" w:rsidR="006E0517" w:rsidRPr="006E0517" w:rsidRDefault="006E0517" w:rsidP="006E0517">
      <w:pPr>
        <w:jc w:val="both"/>
        <w:rPr>
          <w:lang w:eastAsia="zh-CN"/>
        </w:rPr>
      </w:pPr>
      <w:r w:rsidRPr="006E0517">
        <w:rPr>
          <w:b/>
          <w:lang w:eastAsia="zh-CN"/>
        </w:rPr>
        <w:t>Figure 2 Correlating histology</w:t>
      </w:r>
      <w:r w:rsidRPr="006E0517">
        <w:rPr>
          <w:rFonts w:hint="eastAsia"/>
          <w:b/>
          <w:lang w:eastAsia="zh-CN"/>
        </w:rPr>
        <w:t>.</w:t>
      </w:r>
      <w:r>
        <w:rPr>
          <w:rFonts w:hint="eastAsia"/>
          <w:lang w:eastAsia="zh-CN"/>
        </w:rPr>
        <w:t xml:space="preserve"> </w:t>
      </w:r>
      <w:r w:rsidRPr="006E0517">
        <w:t>A: Normal gastric cardia with r</w:t>
      </w:r>
      <w:r>
        <w:t>egular gastric pit architecture</w:t>
      </w:r>
      <w:r>
        <w:rPr>
          <w:rFonts w:hint="eastAsia"/>
          <w:lang w:eastAsia="zh-CN"/>
        </w:rPr>
        <w:t xml:space="preserve">; </w:t>
      </w:r>
      <w:r w:rsidRPr="006E0517">
        <w:rPr>
          <w:lang w:eastAsia="zh-CN"/>
        </w:rPr>
        <w:t>B: Inflamed gastric cardia with chronic inflammatory infiltrate and loss of structured gastric pits</w:t>
      </w:r>
      <w:r>
        <w:rPr>
          <w:rFonts w:hint="eastAsia"/>
          <w:lang w:eastAsia="zh-CN"/>
        </w:rPr>
        <w:t xml:space="preserve">; </w:t>
      </w:r>
      <w:r w:rsidRPr="006E0517">
        <w:rPr>
          <w:lang w:eastAsia="zh-CN"/>
        </w:rPr>
        <w:t>C: Low grade dysplasia in Barrett</w:t>
      </w:r>
      <w:r>
        <w:rPr>
          <w:lang w:eastAsia="zh-CN"/>
        </w:rPr>
        <w:t>’</w:t>
      </w:r>
      <w:r>
        <w:rPr>
          <w:rFonts w:hint="eastAsia"/>
          <w:lang w:eastAsia="zh-CN"/>
        </w:rPr>
        <w:t>s</w:t>
      </w:r>
      <w:r w:rsidRPr="006E0517">
        <w:rPr>
          <w:lang w:eastAsia="zh-CN"/>
        </w:rPr>
        <w:t xml:space="preserve"> mucosa with a prominent atypical septated gland</w:t>
      </w:r>
      <w:r>
        <w:rPr>
          <w:rFonts w:hint="eastAsia"/>
          <w:lang w:eastAsia="zh-CN"/>
        </w:rPr>
        <w:t xml:space="preserve">; </w:t>
      </w:r>
      <w:r w:rsidRPr="006E0517">
        <w:rPr>
          <w:lang w:eastAsia="zh-CN"/>
        </w:rPr>
        <w:t>D: High grade dysplasia with cytologic and architectural atypia extending to the surface</w:t>
      </w:r>
      <w:r>
        <w:rPr>
          <w:rFonts w:hint="eastAsia"/>
          <w:lang w:eastAsia="zh-CN"/>
        </w:rPr>
        <w:t>.</w:t>
      </w:r>
    </w:p>
    <w:p w14:paraId="52875199" w14:textId="02C56366" w:rsidR="006E0517" w:rsidRPr="006E0517" w:rsidRDefault="006E0517" w:rsidP="006E0517">
      <w:pPr>
        <w:spacing w:before="0" w:after="0"/>
        <w:jc w:val="both"/>
        <w:rPr>
          <w:lang w:eastAsia="zh-CN"/>
        </w:rPr>
      </w:pPr>
    </w:p>
    <w:p w14:paraId="470616D4" w14:textId="77777777" w:rsidR="006E0517" w:rsidRPr="00AA07AF" w:rsidRDefault="006E0517" w:rsidP="00B02C42">
      <w:pPr>
        <w:spacing w:before="0" w:after="0"/>
        <w:jc w:val="both"/>
        <w:rPr>
          <w:lang w:eastAsia="zh-CN"/>
        </w:rPr>
      </w:pPr>
    </w:p>
    <w:p w14:paraId="3718C024" w14:textId="0DEDC6C3" w:rsidR="00D33903" w:rsidRDefault="00D33903" w:rsidP="00B02C42">
      <w:pPr>
        <w:spacing w:before="0" w:after="0"/>
        <w:jc w:val="both"/>
        <w:rPr>
          <w:lang w:eastAsia="zh-CN"/>
        </w:rPr>
      </w:pPr>
      <w:r w:rsidRPr="00AA07AF">
        <w:rPr>
          <w:noProof/>
          <w:lang w:eastAsia="zh-CN"/>
        </w:rPr>
        <w:lastRenderedPageBreak/>
        <w:drawing>
          <wp:inline distT="0" distB="0" distL="0" distR="0" wp14:anchorId="7C070F13" wp14:editId="37D21E64">
            <wp:extent cx="5472533" cy="3877734"/>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5074" b="14711"/>
                    <a:stretch/>
                  </pic:blipFill>
                  <pic:spPr bwMode="auto">
                    <a:xfrm>
                      <a:off x="0" y="0"/>
                      <a:ext cx="5486811" cy="3887851"/>
                    </a:xfrm>
                    <a:prstGeom prst="rect">
                      <a:avLst/>
                    </a:prstGeom>
                    <a:noFill/>
                    <a:ln>
                      <a:noFill/>
                    </a:ln>
                    <a:extLst>
                      <a:ext uri="{53640926-AAD7-44D8-BBD7-CCE9431645EC}">
                        <a14:shadowObscured xmlns:a14="http://schemas.microsoft.com/office/drawing/2010/main"/>
                      </a:ext>
                    </a:extLst>
                  </pic:spPr>
                </pic:pic>
              </a:graphicData>
            </a:graphic>
          </wp:inline>
        </w:drawing>
      </w:r>
    </w:p>
    <w:p w14:paraId="4C805CC2" w14:textId="63EABA30" w:rsidR="006E0517" w:rsidRPr="006E0517" w:rsidRDefault="006E0517" w:rsidP="006E0517">
      <w:pPr>
        <w:jc w:val="both"/>
        <w:rPr>
          <w:lang w:eastAsia="zh-CN"/>
        </w:rPr>
      </w:pPr>
      <w:r w:rsidRPr="006E0517">
        <w:rPr>
          <w:b/>
          <w:lang w:eastAsia="zh-CN"/>
        </w:rPr>
        <w:t xml:space="preserve">Figure 3 </w:t>
      </w:r>
      <w:r w:rsidRPr="006E0517">
        <w:rPr>
          <w:b/>
        </w:rPr>
        <w:t>Volumetric laser endomicroscopy</w:t>
      </w:r>
      <w:r w:rsidRPr="006E0517">
        <w:rPr>
          <w:b/>
          <w:lang w:eastAsia="zh-CN"/>
        </w:rPr>
        <w:t xml:space="preserve"> imaging snapshots</w:t>
      </w:r>
      <w:r w:rsidRPr="006E0517">
        <w:rPr>
          <w:rFonts w:hint="eastAsia"/>
          <w:b/>
          <w:lang w:eastAsia="zh-CN"/>
        </w:rPr>
        <w:t>.</w:t>
      </w:r>
      <w:r>
        <w:rPr>
          <w:rFonts w:hint="eastAsia"/>
          <w:lang w:eastAsia="zh-CN"/>
        </w:rPr>
        <w:t xml:space="preserve"> </w:t>
      </w:r>
      <w:r w:rsidRPr="006E0517">
        <w:t>A: Normal gastric cardia with gastric rug</w:t>
      </w:r>
      <w:r>
        <w:t>ae and gastric pit architecture</w:t>
      </w:r>
      <w:r>
        <w:rPr>
          <w:rFonts w:hint="eastAsia"/>
          <w:lang w:eastAsia="zh-CN"/>
        </w:rPr>
        <w:t xml:space="preserve">; </w:t>
      </w:r>
      <w:r w:rsidRPr="006E0517">
        <w:rPr>
          <w:lang w:eastAsia="zh-CN"/>
        </w:rPr>
        <w:t>B: Inflamed gastric cardia with loss of gastric pit architecture and anomalous glands</w:t>
      </w:r>
      <w:r>
        <w:rPr>
          <w:rFonts w:hint="eastAsia"/>
          <w:lang w:eastAsia="zh-CN"/>
        </w:rPr>
        <w:t xml:space="preserve">; </w:t>
      </w:r>
      <w:r w:rsidRPr="006E0517">
        <w:rPr>
          <w:lang w:eastAsia="zh-CN"/>
        </w:rPr>
        <w:t>C: Low grade dysplasia with loss of gastric pit architecture, heterogeneous scattering, anomalous septated gland</w:t>
      </w:r>
      <w:r>
        <w:rPr>
          <w:rFonts w:hint="eastAsia"/>
          <w:lang w:eastAsia="zh-CN"/>
        </w:rPr>
        <w:t xml:space="preserve">; </w:t>
      </w:r>
      <w:r w:rsidRPr="006E0517">
        <w:rPr>
          <w:lang w:eastAsia="zh-CN"/>
        </w:rPr>
        <w:t>D: High grade dysplasia with irregular surface and anomalous glands</w:t>
      </w:r>
      <w:r>
        <w:rPr>
          <w:rFonts w:hint="eastAsia"/>
          <w:lang w:eastAsia="zh-CN"/>
        </w:rPr>
        <w:t>.</w:t>
      </w:r>
    </w:p>
    <w:p w14:paraId="0EB0F2FD" w14:textId="35C0C6D7" w:rsidR="006E0517" w:rsidRPr="006E0517" w:rsidRDefault="006E0517" w:rsidP="006E0517">
      <w:pPr>
        <w:spacing w:before="0" w:after="0"/>
        <w:jc w:val="both"/>
        <w:rPr>
          <w:lang w:eastAsia="zh-CN"/>
        </w:rPr>
      </w:pPr>
    </w:p>
    <w:p w14:paraId="12E4A9F6" w14:textId="6D1D4CBF" w:rsidR="006E0517" w:rsidRDefault="006E0517">
      <w:pPr>
        <w:spacing w:before="0" w:line="259" w:lineRule="auto"/>
        <w:rPr>
          <w:lang w:eastAsia="zh-CN"/>
        </w:rPr>
      </w:pPr>
      <w:r>
        <w:rPr>
          <w:lang w:eastAsia="zh-CN"/>
        </w:rPr>
        <w:br w:type="page"/>
      </w:r>
    </w:p>
    <w:p w14:paraId="27664820" w14:textId="77777777" w:rsidR="006E0517" w:rsidRPr="001C012F" w:rsidRDefault="006E0517" w:rsidP="006E0517">
      <w:pPr>
        <w:spacing w:before="0" w:after="0"/>
        <w:jc w:val="both"/>
        <w:rPr>
          <w:b/>
          <w:lang w:eastAsia="zh-CN"/>
        </w:rPr>
      </w:pPr>
      <w:r w:rsidRPr="001C012F">
        <w:rPr>
          <w:b/>
          <w:color w:val="000000" w:themeColor="text1"/>
        </w:rPr>
        <w:lastRenderedPageBreak/>
        <w:t xml:space="preserve">Table 1 </w:t>
      </w:r>
      <w:r w:rsidRPr="001C012F">
        <w:rPr>
          <w:b/>
        </w:rPr>
        <w:t>Validated criteria for interpretation of volumetric laser endomicroscopy Images of gastroesophageal tissue</w:t>
      </w:r>
      <w:r w:rsidRPr="001C012F">
        <w:rPr>
          <w:rFonts w:hint="eastAsia"/>
          <w:b/>
          <w:vertAlign w:val="superscript"/>
          <w:lang w:eastAsia="zh-CN"/>
        </w:rPr>
        <w:t>[</w:t>
      </w:r>
      <w:r w:rsidRPr="001C012F">
        <w:rPr>
          <w:b/>
          <w:vertAlign w:val="superscript"/>
        </w:rPr>
        <w:t>12</w:t>
      </w:r>
      <w:r w:rsidRPr="001C012F">
        <w:rPr>
          <w:rFonts w:hint="eastAsia"/>
          <w:b/>
          <w:vertAlign w:val="superscript"/>
          <w:lang w:eastAsia="zh-CN"/>
        </w:rPr>
        <w:t>]</w:t>
      </w:r>
    </w:p>
    <w:tbl>
      <w:tblPr>
        <w:tblStyle w:val="GridTable3-Accent211"/>
        <w:tblW w:w="905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2"/>
        <w:gridCol w:w="6237"/>
      </w:tblGrid>
      <w:tr w:rsidR="006E0517" w:rsidRPr="001C012F" w14:paraId="50C9CE28" w14:textId="77777777" w:rsidTr="00B67644">
        <w:trPr>
          <w:cnfStyle w:val="100000000000" w:firstRow="1" w:lastRow="0" w:firstColumn="0" w:lastColumn="0" w:oddVBand="0" w:evenVBand="0" w:oddHBand="0" w:evenHBand="0" w:firstRowFirstColumn="0" w:firstRowLastColumn="0" w:lastRowFirstColumn="0" w:lastRowLastColumn="0"/>
          <w:trHeight w:val="440"/>
        </w:trPr>
        <w:tc>
          <w:tcPr>
            <w:cnfStyle w:val="001000000100" w:firstRow="0" w:lastRow="0" w:firstColumn="1" w:lastColumn="0" w:oddVBand="0" w:evenVBand="0" w:oddHBand="0" w:evenHBand="0" w:firstRowFirstColumn="1" w:firstRowLastColumn="0" w:lastRowFirstColumn="0" w:lastRowLastColumn="0"/>
            <w:tcW w:w="2822" w:type="dxa"/>
            <w:tcBorders>
              <w:top w:val="single" w:sz="4" w:space="0" w:color="000000" w:themeColor="text1"/>
              <w:left w:val="none" w:sz="0" w:space="0" w:color="auto"/>
              <w:bottom w:val="single" w:sz="4" w:space="0" w:color="000000" w:themeColor="text1"/>
              <w:right w:val="none" w:sz="0" w:space="0" w:color="auto"/>
            </w:tcBorders>
            <w:shd w:val="clear" w:color="auto" w:fill="auto"/>
          </w:tcPr>
          <w:p w14:paraId="19E9B903" w14:textId="77777777" w:rsidR="006E0517" w:rsidRPr="001C012F" w:rsidRDefault="006E0517" w:rsidP="00B67644">
            <w:pPr>
              <w:spacing w:before="0"/>
              <w:jc w:val="left"/>
              <w:rPr>
                <w:i w:val="0"/>
              </w:rPr>
            </w:pPr>
            <w:r w:rsidRPr="001C012F">
              <w:rPr>
                <w:i w:val="0"/>
              </w:rPr>
              <w:t>Diagnosis</w:t>
            </w:r>
          </w:p>
        </w:tc>
        <w:tc>
          <w:tcPr>
            <w:tcW w:w="6237" w:type="dxa"/>
            <w:tcBorders>
              <w:top w:val="single" w:sz="4" w:space="0" w:color="000000" w:themeColor="text1"/>
              <w:left w:val="none" w:sz="0" w:space="0" w:color="auto"/>
              <w:bottom w:val="single" w:sz="4" w:space="0" w:color="000000" w:themeColor="text1"/>
              <w:right w:val="none" w:sz="0" w:space="0" w:color="auto"/>
            </w:tcBorders>
            <w:shd w:val="clear" w:color="auto" w:fill="auto"/>
          </w:tcPr>
          <w:p w14:paraId="366B6336" w14:textId="77777777" w:rsidR="006E0517" w:rsidRPr="001C012F" w:rsidRDefault="006E0517" w:rsidP="00B67644">
            <w:pPr>
              <w:spacing w:before="0"/>
              <w:jc w:val="center"/>
              <w:cnfStyle w:val="100000000000" w:firstRow="1" w:lastRow="0" w:firstColumn="0" w:lastColumn="0" w:oddVBand="0" w:evenVBand="0" w:oddHBand="0" w:evenHBand="0" w:firstRowFirstColumn="0" w:firstRowLastColumn="0" w:lastRowFirstColumn="0" w:lastRowLastColumn="0"/>
            </w:pPr>
            <w:r w:rsidRPr="001C012F">
              <w:t>Imaging criteria on volumetric laser endomicroscopy</w:t>
            </w:r>
          </w:p>
        </w:tc>
      </w:tr>
      <w:tr w:rsidR="006E0517" w:rsidRPr="00AA07AF" w14:paraId="368736B7" w14:textId="77777777" w:rsidTr="00B67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2" w:type="dxa"/>
            <w:tcBorders>
              <w:top w:val="single" w:sz="4" w:space="0" w:color="000000" w:themeColor="text1"/>
              <w:left w:val="none" w:sz="0" w:space="0" w:color="auto"/>
              <w:bottom w:val="none" w:sz="0" w:space="0" w:color="auto"/>
            </w:tcBorders>
            <w:shd w:val="clear" w:color="auto" w:fill="auto"/>
          </w:tcPr>
          <w:p w14:paraId="68F6AF91" w14:textId="77777777" w:rsidR="006E0517" w:rsidRPr="00AA07AF" w:rsidRDefault="006E0517" w:rsidP="00B67644">
            <w:pPr>
              <w:spacing w:before="0"/>
              <w:jc w:val="left"/>
              <w:rPr>
                <w:i w:val="0"/>
              </w:rPr>
            </w:pPr>
            <w:r w:rsidRPr="00AA07AF">
              <w:rPr>
                <w:i w:val="0"/>
              </w:rPr>
              <w:t>Squamous epithelium</w:t>
            </w:r>
          </w:p>
        </w:tc>
        <w:tc>
          <w:tcPr>
            <w:tcW w:w="6237" w:type="dxa"/>
            <w:tcBorders>
              <w:top w:val="single" w:sz="4" w:space="0" w:color="000000" w:themeColor="text1"/>
            </w:tcBorders>
            <w:shd w:val="clear" w:color="auto" w:fill="auto"/>
          </w:tcPr>
          <w:p w14:paraId="5ABA421D" w14:textId="77777777" w:rsidR="006E0517" w:rsidRPr="00AA07AF" w:rsidRDefault="006E0517" w:rsidP="00B67644">
            <w:pPr>
              <w:spacing w:before="0"/>
              <w:jc w:val="center"/>
              <w:cnfStyle w:val="000000100000" w:firstRow="0" w:lastRow="0" w:firstColumn="0" w:lastColumn="0" w:oddVBand="0" w:evenVBand="0" w:oddHBand="1" w:evenHBand="0" w:firstRowFirstColumn="0" w:firstRowLastColumn="0" w:lastRowFirstColumn="0" w:lastRowLastColumn="0"/>
            </w:pPr>
            <w:r w:rsidRPr="00AA07AF">
              <w:t>Layered horizontal architecture</w:t>
            </w:r>
          </w:p>
        </w:tc>
      </w:tr>
      <w:tr w:rsidR="006E0517" w:rsidRPr="00AA07AF" w14:paraId="5BBF5588" w14:textId="77777777" w:rsidTr="00B67644">
        <w:tc>
          <w:tcPr>
            <w:cnfStyle w:val="001000000000" w:firstRow="0" w:lastRow="0" w:firstColumn="1" w:lastColumn="0" w:oddVBand="0" w:evenVBand="0" w:oddHBand="0" w:evenHBand="0" w:firstRowFirstColumn="0" w:firstRowLastColumn="0" w:lastRowFirstColumn="0" w:lastRowLastColumn="0"/>
            <w:tcW w:w="2822" w:type="dxa"/>
            <w:tcBorders>
              <w:left w:val="none" w:sz="0" w:space="0" w:color="auto"/>
              <w:bottom w:val="none" w:sz="0" w:space="0" w:color="auto"/>
            </w:tcBorders>
            <w:shd w:val="clear" w:color="auto" w:fill="auto"/>
          </w:tcPr>
          <w:p w14:paraId="7C4ADEB2" w14:textId="77777777" w:rsidR="006E0517" w:rsidRPr="00AA07AF" w:rsidRDefault="006E0517" w:rsidP="00B67644">
            <w:pPr>
              <w:spacing w:before="0"/>
              <w:jc w:val="left"/>
              <w:rPr>
                <w:i w:val="0"/>
              </w:rPr>
            </w:pPr>
          </w:p>
        </w:tc>
        <w:tc>
          <w:tcPr>
            <w:tcW w:w="6237" w:type="dxa"/>
            <w:shd w:val="clear" w:color="auto" w:fill="auto"/>
          </w:tcPr>
          <w:p w14:paraId="5F4E5929" w14:textId="77777777" w:rsidR="006E0517" w:rsidRPr="00AA07AF" w:rsidRDefault="006E0517" w:rsidP="00B67644">
            <w:pPr>
              <w:spacing w:before="0"/>
              <w:jc w:val="center"/>
              <w:cnfStyle w:val="000000000000" w:firstRow="0" w:lastRow="0" w:firstColumn="0" w:lastColumn="0" w:oddVBand="0" w:evenVBand="0" w:oddHBand="0" w:evenHBand="0" w:firstRowFirstColumn="0" w:firstRowLastColumn="0" w:lastRowFirstColumn="0" w:lastRowLastColumn="0"/>
            </w:pPr>
            <w:r w:rsidRPr="00AA07AF">
              <w:t>Absence of glands</w:t>
            </w:r>
          </w:p>
        </w:tc>
      </w:tr>
      <w:tr w:rsidR="006E0517" w:rsidRPr="00AA07AF" w14:paraId="3D704324" w14:textId="77777777" w:rsidTr="00B67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2" w:type="dxa"/>
            <w:tcBorders>
              <w:left w:val="none" w:sz="0" w:space="0" w:color="auto"/>
              <w:bottom w:val="none" w:sz="0" w:space="0" w:color="auto"/>
            </w:tcBorders>
            <w:shd w:val="clear" w:color="auto" w:fill="auto"/>
          </w:tcPr>
          <w:p w14:paraId="564121DD" w14:textId="77777777" w:rsidR="006E0517" w:rsidRPr="00AA07AF" w:rsidRDefault="006E0517" w:rsidP="00B67644">
            <w:pPr>
              <w:spacing w:before="0"/>
              <w:jc w:val="left"/>
              <w:rPr>
                <w:i w:val="0"/>
              </w:rPr>
            </w:pPr>
            <w:r w:rsidRPr="00AA07AF">
              <w:rPr>
                <w:i w:val="0"/>
              </w:rPr>
              <w:t>Gastric cardia</w:t>
            </w:r>
          </w:p>
        </w:tc>
        <w:tc>
          <w:tcPr>
            <w:tcW w:w="6237" w:type="dxa"/>
            <w:shd w:val="clear" w:color="auto" w:fill="auto"/>
          </w:tcPr>
          <w:p w14:paraId="1BBD04DD" w14:textId="77777777" w:rsidR="006E0517" w:rsidRPr="00AA07AF" w:rsidRDefault="006E0517" w:rsidP="00B67644">
            <w:pPr>
              <w:spacing w:before="0"/>
              <w:jc w:val="center"/>
              <w:cnfStyle w:val="000000100000" w:firstRow="0" w:lastRow="0" w:firstColumn="0" w:lastColumn="0" w:oddVBand="0" w:evenVBand="0" w:oddHBand="1" w:evenHBand="0" w:firstRowFirstColumn="0" w:firstRowLastColumn="0" w:lastRowFirstColumn="0" w:lastRowLastColumn="0"/>
            </w:pPr>
            <w:r w:rsidRPr="00AA07AF">
              <w:t>Vertical pit architecture</w:t>
            </w:r>
          </w:p>
        </w:tc>
      </w:tr>
      <w:tr w:rsidR="006E0517" w:rsidRPr="00AA07AF" w14:paraId="7028F94F" w14:textId="77777777" w:rsidTr="00B67644">
        <w:tc>
          <w:tcPr>
            <w:cnfStyle w:val="001000000000" w:firstRow="0" w:lastRow="0" w:firstColumn="1" w:lastColumn="0" w:oddVBand="0" w:evenVBand="0" w:oddHBand="0" w:evenHBand="0" w:firstRowFirstColumn="0" w:firstRowLastColumn="0" w:lastRowFirstColumn="0" w:lastRowLastColumn="0"/>
            <w:tcW w:w="2822" w:type="dxa"/>
            <w:tcBorders>
              <w:left w:val="none" w:sz="0" w:space="0" w:color="auto"/>
              <w:bottom w:val="none" w:sz="0" w:space="0" w:color="auto"/>
            </w:tcBorders>
            <w:shd w:val="clear" w:color="auto" w:fill="auto"/>
          </w:tcPr>
          <w:p w14:paraId="16CC800A" w14:textId="77777777" w:rsidR="006E0517" w:rsidRPr="00AA07AF" w:rsidRDefault="006E0517" w:rsidP="00B67644">
            <w:pPr>
              <w:spacing w:before="0"/>
              <w:jc w:val="left"/>
              <w:rPr>
                <w:i w:val="0"/>
              </w:rPr>
            </w:pPr>
          </w:p>
        </w:tc>
        <w:tc>
          <w:tcPr>
            <w:tcW w:w="6237" w:type="dxa"/>
            <w:shd w:val="clear" w:color="auto" w:fill="auto"/>
          </w:tcPr>
          <w:p w14:paraId="3E58CFCE" w14:textId="77777777" w:rsidR="006E0517" w:rsidRPr="00AA07AF" w:rsidRDefault="006E0517" w:rsidP="00B67644">
            <w:pPr>
              <w:spacing w:before="0"/>
              <w:jc w:val="center"/>
              <w:cnfStyle w:val="000000000000" w:firstRow="0" w:lastRow="0" w:firstColumn="0" w:lastColumn="0" w:oddVBand="0" w:evenVBand="0" w:oddHBand="0" w:evenHBand="0" w:firstRowFirstColumn="0" w:firstRowLastColumn="0" w:lastRowFirstColumn="0" w:lastRowLastColumn="0"/>
            </w:pPr>
            <w:r w:rsidRPr="00AA07AF">
              <w:t>Regular glandular architecture</w:t>
            </w:r>
          </w:p>
        </w:tc>
      </w:tr>
      <w:tr w:rsidR="006E0517" w:rsidRPr="00AA07AF" w14:paraId="32F102F5" w14:textId="77777777" w:rsidTr="00B67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2" w:type="dxa"/>
            <w:tcBorders>
              <w:left w:val="none" w:sz="0" w:space="0" w:color="auto"/>
              <w:bottom w:val="none" w:sz="0" w:space="0" w:color="auto"/>
            </w:tcBorders>
            <w:shd w:val="clear" w:color="auto" w:fill="auto"/>
          </w:tcPr>
          <w:p w14:paraId="6EF145FB" w14:textId="77777777" w:rsidR="006E0517" w:rsidRPr="00AA07AF" w:rsidRDefault="006E0517" w:rsidP="00B67644">
            <w:pPr>
              <w:spacing w:before="0"/>
              <w:jc w:val="left"/>
              <w:rPr>
                <w:i w:val="0"/>
              </w:rPr>
            </w:pPr>
          </w:p>
        </w:tc>
        <w:tc>
          <w:tcPr>
            <w:tcW w:w="6237" w:type="dxa"/>
            <w:shd w:val="clear" w:color="auto" w:fill="auto"/>
          </w:tcPr>
          <w:p w14:paraId="391698CF" w14:textId="77777777" w:rsidR="006E0517" w:rsidRPr="00AA07AF" w:rsidRDefault="006E0517" w:rsidP="00B67644">
            <w:pPr>
              <w:spacing w:before="0"/>
              <w:jc w:val="center"/>
              <w:cnfStyle w:val="000000100000" w:firstRow="0" w:lastRow="0" w:firstColumn="0" w:lastColumn="0" w:oddVBand="0" w:evenVBand="0" w:oddHBand="1" w:evenHBand="0" w:firstRowFirstColumn="0" w:firstRowLastColumn="0" w:lastRowFirstColumn="0" w:lastRowLastColumn="0"/>
            </w:pPr>
            <w:r w:rsidRPr="00AA07AF">
              <w:t>Poor image penetration</w:t>
            </w:r>
          </w:p>
        </w:tc>
      </w:tr>
      <w:tr w:rsidR="006E0517" w:rsidRPr="00AA07AF" w14:paraId="303C8875" w14:textId="77777777" w:rsidTr="00B67644">
        <w:tc>
          <w:tcPr>
            <w:cnfStyle w:val="001000000000" w:firstRow="0" w:lastRow="0" w:firstColumn="1" w:lastColumn="0" w:oddVBand="0" w:evenVBand="0" w:oddHBand="0" w:evenHBand="0" w:firstRowFirstColumn="0" w:firstRowLastColumn="0" w:lastRowFirstColumn="0" w:lastRowLastColumn="0"/>
            <w:tcW w:w="2822" w:type="dxa"/>
            <w:tcBorders>
              <w:left w:val="none" w:sz="0" w:space="0" w:color="auto"/>
              <w:bottom w:val="none" w:sz="0" w:space="0" w:color="auto"/>
            </w:tcBorders>
            <w:shd w:val="clear" w:color="auto" w:fill="auto"/>
          </w:tcPr>
          <w:p w14:paraId="630B4EF6" w14:textId="77777777" w:rsidR="006E0517" w:rsidRPr="00AA07AF" w:rsidRDefault="006E0517" w:rsidP="00B67644">
            <w:pPr>
              <w:spacing w:before="0"/>
              <w:jc w:val="left"/>
              <w:rPr>
                <w:i w:val="0"/>
              </w:rPr>
            </w:pPr>
          </w:p>
        </w:tc>
        <w:tc>
          <w:tcPr>
            <w:tcW w:w="6237" w:type="dxa"/>
            <w:shd w:val="clear" w:color="auto" w:fill="auto"/>
          </w:tcPr>
          <w:p w14:paraId="43E12B07" w14:textId="77777777" w:rsidR="006E0517" w:rsidRPr="00AA07AF" w:rsidRDefault="006E0517" w:rsidP="00B67644">
            <w:pPr>
              <w:spacing w:before="0"/>
              <w:jc w:val="center"/>
              <w:cnfStyle w:val="000000000000" w:firstRow="0" w:lastRow="0" w:firstColumn="0" w:lastColumn="0" w:oddVBand="0" w:evenVBand="0" w:oddHBand="0" w:evenHBand="0" w:firstRowFirstColumn="0" w:firstRowLastColumn="0" w:lastRowFirstColumn="0" w:lastRowLastColumn="0"/>
            </w:pPr>
            <w:r w:rsidRPr="00AA07AF">
              <w:t>Homogeneous scattering</w:t>
            </w:r>
          </w:p>
        </w:tc>
      </w:tr>
      <w:tr w:rsidR="006E0517" w:rsidRPr="00AA07AF" w14:paraId="1E8F3ED4" w14:textId="77777777" w:rsidTr="00B67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2" w:type="dxa"/>
            <w:tcBorders>
              <w:left w:val="none" w:sz="0" w:space="0" w:color="auto"/>
              <w:bottom w:val="none" w:sz="0" w:space="0" w:color="auto"/>
            </w:tcBorders>
            <w:shd w:val="clear" w:color="auto" w:fill="auto"/>
          </w:tcPr>
          <w:p w14:paraId="1D4BACF9" w14:textId="77777777" w:rsidR="006E0517" w:rsidRPr="00AA07AF" w:rsidRDefault="006E0517" w:rsidP="00B67644">
            <w:pPr>
              <w:spacing w:before="0"/>
              <w:jc w:val="left"/>
              <w:rPr>
                <w:i w:val="0"/>
              </w:rPr>
            </w:pPr>
          </w:p>
        </w:tc>
        <w:tc>
          <w:tcPr>
            <w:tcW w:w="6237" w:type="dxa"/>
            <w:shd w:val="clear" w:color="auto" w:fill="auto"/>
          </w:tcPr>
          <w:p w14:paraId="7B379655" w14:textId="77777777" w:rsidR="006E0517" w:rsidRPr="00AA07AF" w:rsidRDefault="006E0517" w:rsidP="00B67644">
            <w:pPr>
              <w:spacing w:before="0"/>
              <w:jc w:val="center"/>
              <w:cnfStyle w:val="000000100000" w:firstRow="0" w:lastRow="0" w:firstColumn="0" w:lastColumn="0" w:oddVBand="0" w:evenVBand="0" w:oddHBand="1" w:evenHBand="0" w:firstRowFirstColumn="0" w:firstRowLastColumn="0" w:lastRowFirstColumn="0" w:lastRowLastColumn="0"/>
            </w:pPr>
            <w:r w:rsidRPr="00AA07AF">
              <w:t>Regular, broad gastric rugae</w:t>
            </w:r>
          </w:p>
        </w:tc>
      </w:tr>
      <w:tr w:rsidR="006E0517" w:rsidRPr="00AA07AF" w14:paraId="169EDF0B" w14:textId="77777777" w:rsidTr="00B67644">
        <w:trPr>
          <w:trHeight w:val="288"/>
        </w:trPr>
        <w:tc>
          <w:tcPr>
            <w:cnfStyle w:val="001000000000" w:firstRow="0" w:lastRow="0" w:firstColumn="1" w:lastColumn="0" w:oddVBand="0" w:evenVBand="0" w:oddHBand="0" w:evenHBand="0" w:firstRowFirstColumn="0" w:firstRowLastColumn="0" w:lastRowFirstColumn="0" w:lastRowLastColumn="0"/>
            <w:tcW w:w="2822" w:type="dxa"/>
            <w:tcBorders>
              <w:left w:val="none" w:sz="0" w:space="0" w:color="auto"/>
              <w:bottom w:val="none" w:sz="0" w:space="0" w:color="auto"/>
            </w:tcBorders>
            <w:shd w:val="clear" w:color="auto" w:fill="auto"/>
          </w:tcPr>
          <w:p w14:paraId="786A1FE8" w14:textId="77777777" w:rsidR="006E0517" w:rsidRPr="00AA07AF" w:rsidRDefault="006E0517" w:rsidP="00B67644">
            <w:pPr>
              <w:spacing w:before="0"/>
              <w:jc w:val="left"/>
              <w:rPr>
                <w:i w:val="0"/>
              </w:rPr>
            </w:pPr>
            <w:r w:rsidRPr="00AA07AF">
              <w:rPr>
                <w:i w:val="0"/>
              </w:rPr>
              <w:t>Metaplasia</w:t>
            </w:r>
          </w:p>
        </w:tc>
        <w:tc>
          <w:tcPr>
            <w:tcW w:w="6237" w:type="dxa"/>
            <w:shd w:val="clear" w:color="auto" w:fill="auto"/>
          </w:tcPr>
          <w:p w14:paraId="1A56FFC5" w14:textId="77777777" w:rsidR="006E0517" w:rsidRPr="00AA07AF" w:rsidRDefault="006E0517" w:rsidP="00B67644">
            <w:pPr>
              <w:spacing w:before="0"/>
              <w:jc w:val="center"/>
              <w:cnfStyle w:val="000000000000" w:firstRow="0" w:lastRow="0" w:firstColumn="0" w:lastColumn="0" w:oddVBand="0" w:evenVBand="0" w:oddHBand="0" w:evenHBand="0" w:firstRowFirstColumn="0" w:firstRowLastColumn="0" w:lastRowFirstColumn="0" w:lastRowLastColumn="0"/>
            </w:pPr>
            <w:r w:rsidRPr="00AA07AF">
              <w:t>Lack of layered or vertical pit architecture</w:t>
            </w:r>
          </w:p>
        </w:tc>
      </w:tr>
      <w:tr w:rsidR="006E0517" w:rsidRPr="00AA07AF" w14:paraId="482DA7ED" w14:textId="77777777" w:rsidTr="00B67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2" w:type="dxa"/>
            <w:tcBorders>
              <w:left w:val="none" w:sz="0" w:space="0" w:color="auto"/>
              <w:bottom w:val="none" w:sz="0" w:space="0" w:color="auto"/>
            </w:tcBorders>
            <w:shd w:val="clear" w:color="auto" w:fill="auto"/>
          </w:tcPr>
          <w:p w14:paraId="67DF5E7E" w14:textId="77777777" w:rsidR="006E0517" w:rsidRPr="00AA07AF" w:rsidRDefault="006E0517" w:rsidP="00B67644">
            <w:pPr>
              <w:spacing w:before="0"/>
              <w:jc w:val="left"/>
              <w:rPr>
                <w:i w:val="0"/>
              </w:rPr>
            </w:pPr>
          </w:p>
        </w:tc>
        <w:tc>
          <w:tcPr>
            <w:tcW w:w="6237" w:type="dxa"/>
            <w:shd w:val="clear" w:color="auto" w:fill="auto"/>
          </w:tcPr>
          <w:p w14:paraId="7F38FC22" w14:textId="77777777" w:rsidR="006E0517" w:rsidRPr="00AA07AF" w:rsidRDefault="006E0517" w:rsidP="00B67644">
            <w:pPr>
              <w:spacing w:before="0"/>
              <w:jc w:val="center"/>
              <w:cnfStyle w:val="000000100000" w:firstRow="0" w:lastRow="0" w:firstColumn="0" w:lastColumn="0" w:oddVBand="0" w:evenVBand="0" w:oddHBand="1" w:evenHBand="0" w:firstRowFirstColumn="0" w:firstRowLastColumn="0" w:lastRowFirstColumn="0" w:lastRowLastColumn="0"/>
            </w:pPr>
            <w:r w:rsidRPr="00AA07AF">
              <w:t>Heterogeneous scattering</w:t>
            </w:r>
          </w:p>
        </w:tc>
      </w:tr>
      <w:tr w:rsidR="006E0517" w:rsidRPr="00AA07AF" w14:paraId="45147B80" w14:textId="77777777" w:rsidTr="00B67644">
        <w:tc>
          <w:tcPr>
            <w:cnfStyle w:val="001000000000" w:firstRow="0" w:lastRow="0" w:firstColumn="1" w:lastColumn="0" w:oddVBand="0" w:evenVBand="0" w:oddHBand="0" w:evenHBand="0" w:firstRowFirstColumn="0" w:firstRowLastColumn="0" w:lastRowFirstColumn="0" w:lastRowLastColumn="0"/>
            <w:tcW w:w="2822" w:type="dxa"/>
            <w:tcBorders>
              <w:left w:val="none" w:sz="0" w:space="0" w:color="auto"/>
              <w:bottom w:val="none" w:sz="0" w:space="0" w:color="auto"/>
            </w:tcBorders>
            <w:shd w:val="clear" w:color="auto" w:fill="auto"/>
          </w:tcPr>
          <w:p w14:paraId="1A900771" w14:textId="77777777" w:rsidR="006E0517" w:rsidRPr="00AA07AF" w:rsidRDefault="006E0517" w:rsidP="00B67644">
            <w:pPr>
              <w:spacing w:before="0"/>
              <w:jc w:val="left"/>
              <w:rPr>
                <w:i w:val="0"/>
              </w:rPr>
            </w:pPr>
          </w:p>
        </w:tc>
        <w:tc>
          <w:tcPr>
            <w:tcW w:w="6237" w:type="dxa"/>
            <w:shd w:val="clear" w:color="auto" w:fill="auto"/>
          </w:tcPr>
          <w:p w14:paraId="227A3373" w14:textId="77777777" w:rsidR="006E0517" w:rsidRPr="00AA07AF" w:rsidRDefault="006E0517" w:rsidP="00B67644">
            <w:pPr>
              <w:spacing w:before="0"/>
              <w:jc w:val="center"/>
              <w:cnfStyle w:val="000000000000" w:firstRow="0" w:lastRow="0" w:firstColumn="0" w:lastColumn="0" w:oddVBand="0" w:evenVBand="0" w:oddHBand="0" w:evenHBand="0" w:firstRowFirstColumn="0" w:firstRowLastColumn="0" w:lastRowFirstColumn="0" w:lastRowLastColumn="0"/>
            </w:pPr>
            <w:r w:rsidRPr="00AA07AF">
              <w:t>Irregular surface</w:t>
            </w:r>
          </w:p>
        </w:tc>
      </w:tr>
      <w:tr w:rsidR="006E0517" w:rsidRPr="00AA07AF" w14:paraId="16674111" w14:textId="77777777" w:rsidTr="00B67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2" w:type="dxa"/>
            <w:tcBorders>
              <w:left w:val="none" w:sz="0" w:space="0" w:color="auto"/>
              <w:bottom w:val="single" w:sz="4" w:space="0" w:color="000000" w:themeColor="text1"/>
            </w:tcBorders>
            <w:shd w:val="clear" w:color="auto" w:fill="auto"/>
          </w:tcPr>
          <w:p w14:paraId="3DD2A43C" w14:textId="77777777" w:rsidR="006E0517" w:rsidRPr="00AA07AF" w:rsidRDefault="006E0517" w:rsidP="00B67644">
            <w:pPr>
              <w:spacing w:before="0"/>
              <w:jc w:val="left"/>
              <w:rPr>
                <w:i w:val="0"/>
              </w:rPr>
            </w:pPr>
          </w:p>
        </w:tc>
        <w:tc>
          <w:tcPr>
            <w:tcW w:w="6237" w:type="dxa"/>
            <w:tcBorders>
              <w:bottom w:val="single" w:sz="4" w:space="0" w:color="000000" w:themeColor="text1"/>
            </w:tcBorders>
            <w:shd w:val="clear" w:color="auto" w:fill="auto"/>
          </w:tcPr>
          <w:p w14:paraId="54F35741" w14:textId="77777777" w:rsidR="006E0517" w:rsidRPr="00AA07AF" w:rsidRDefault="006E0517" w:rsidP="00B67644">
            <w:pPr>
              <w:spacing w:before="0"/>
              <w:jc w:val="center"/>
              <w:cnfStyle w:val="000000100000" w:firstRow="0" w:lastRow="0" w:firstColumn="0" w:lastColumn="0" w:oddVBand="0" w:evenVBand="0" w:oddHBand="1" w:evenHBand="0" w:firstRowFirstColumn="0" w:firstRowLastColumn="0" w:lastRowFirstColumn="0" w:lastRowLastColumn="0"/>
            </w:pPr>
            <w:r w:rsidRPr="00AA07AF">
              <w:t>Atypical glandular structure</w:t>
            </w:r>
          </w:p>
        </w:tc>
      </w:tr>
    </w:tbl>
    <w:p w14:paraId="1237E499" w14:textId="77777777" w:rsidR="006E0517" w:rsidRDefault="006E0517" w:rsidP="006E0517">
      <w:pPr>
        <w:spacing w:before="0" w:after="0"/>
        <w:jc w:val="both"/>
      </w:pPr>
    </w:p>
    <w:p w14:paraId="054976A3" w14:textId="77777777" w:rsidR="006E0517" w:rsidRDefault="006E0517" w:rsidP="006E0517">
      <w:pPr>
        <w:spacing w:before="0" w:line="259" w:lineRule="auto"/>
      </w:pPr>
      <w:r>
        <w:br w:type="page"/>
      </w:r>
    </w:p>
    <w:p w14:paraId="6E58EF67" w14:textId="77777777" w:rsidR="006E0517" w:rsidRDefault="006E0517" w:rsidP="006E0517">
      <w:pPr>
        <w:spacing w:before="0" w:after="0"/>
        <w:jc w:val="both"/>
        <w:rPr>
          <w:b/>
          <w:color w:val="000000" w:themeColor="text1"/>
        </w:rPr>
        <w:sectPr w:rsidR="006E0517" w:rsidSect="001C012F">
          <w:pgSz w:w="12240" w:h="15840"/>
          <w:pgMar w:top="1440" w:right="1440" w:bottom="1440" w:left="1440" w:header="720" w:footer="720" w:gutter="0"/>
          <w:cols w:space="720"/>
          <w:docGrid w:linePitch="360"/>
        </w:sectPr>
      </w:pPr>
    </w:p>
    <w:p w14:paraId="64E5385A" w14:textId="77777777" w:rsidR="006E0517" w:rsidRPr="000D7B24" w:rsidRDefault="006E0517" w:rsidP="006E0517">
      <w:pPr>
        <w:spacing w:before="0" w:after="0"/>
        <w:jc w:val="both"/>
        <w:rPr>
          <w:b/>
        </w:rPr>
      </w:pPr>
      <w:r w:rsidRPr="000D7B24">
        <w:rPr>
          <w:b/>
          <w:color w:val="000000" w:themeColor="text1"/>
        </w:rPr>
        <w:lastRenderedPageBreak/>
        <w:t xml:space="preserve">Table 2 Frequency of </w:t>
      </w:r>
      <w:r w:rsidRPr="000D7B24">
        <w:rPr>
          <w:b/>
        </w:rPr>
        <w:t>volumetric laser endomicroscopy</w:t>
      </w:r>
      <w:r w:rsidRPr="000D7B24">
        <w:rPr>
          <w:b/>
          <w:color w:val="000000" w:themeColor="text1"/>
        </w:rPr>
        <w:t xml:space="preserve"> imaging features in histologic subgroups</w:t>
      </w:r>
    </w:p>
    <w:tbl>
      <w:tblPr>
        <w:tblStyle w:val="GridTable3-Accent211"/>
        <w:tblW w:w="11624" w:type="dxa"/>
        <w:tblInd w:w="-1026"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ayout w:type="fixed"/>
        <w:tblLook w:val="04A0" w:firstRow="1" w:lastRow="0" w:firstColumn="1" w:lastColumn="0" w:noHBand="0" w:noVBand="1"/>
      </w:tblPr>
      <w:tblGrid>
        <w:gridCol w:w="1663"/>
        <w:gridCol w:w="971"/>
        <w:gridCol w:w="992"/>
        <w:gridCol w:w="992"/>
        <w:gridCol w:w="1230"/>
        <w:gridCol w:w="1665"/>
        <w:gridCol w:w="1471"/>
        <w:gridCol w:w="1506"/>
        <w:gridCol w:w="1134"/>
      </w:tblGrid>
      <w:tr w:rsidR="006E0517" w:rsidRPr="0012454B" w14:paraId="1A6C87FD" w14:textId="77777777" w:rsidTr="005869E2">
        <w:trPr>
          <w:cnfStyle w:val="100000000000" w:firstRow="1" w:lastRow="0" w:firstColumn="0" w:lastColumn="0" w:oddVBand="0" w:evenVBand="0" w:oddHBand="0" w:evenHBand="0" w:firstRowFirstColumn="0" w:firstRowLastColumn="0" w:lastRowFirstColumn="0" w:lastRowLastColumn="0"/>
          <w:trHeight w:val="638"/>
        </w:trPr>
        <w:tc>
          <w:tcPr>
            <w:cnfStyle w:val="001000000100" w:firstRow="0" w:lastRow="0" w:firstColumn="1" w:lastColumn="0" w:oddVBand="0" w:evenVBand="0" w:oddHBand="0" w:evenHBand="0" w:firstRowFirstColumn="1" w:firstRowLastColumn="0" w:lastRowFirstColumn="0" w:lastRowLastColumn="0"/>
            <w:tcW w:w="1663" w:type="dxa"/>
            <w:tcBorders>
              <w:top w:val="single" w:sz="4" w:space="0" w:color="000000" w:themeColor="text1"/>
              <w:bottom w:val="single" w:sz="4" w:space="0" w:color="000000" w:themeColor="text1"/>
            </w:tcBorders>
          </w:tcPr>
          <w:p w14:paraId="48AFD127" w14:textId="77777777" w:rsidR="006E0517" w:rsidRPr="0012454B" w:rsidRDefault="006E0517" w:rsidP="00B67644">
            <w:pPr>
              <w:spacing w:before="0"/>
              <w:jc w:val="left"/>
              <w:rPr>
                <w:color w:val="000000" w:themeColor="text1"/>
              </w:rPr>
            </w:pPr>
          </w:p>
        </w:tc>
        <w:tc>
          <w:tcPr>
            <w:tcW w:w="971" w:type="dxa"/>
            <w:tcBorders>
              <w:top w:val="single" w:sz="4" w:space="0" w:color="000000" w:themeColor="text1"/>
              <w:bottom w:val="single" w:sz="4" w:space="0" w:color="000000" w:themeColor="text1"/>
            </w:tcBorders>
            <w:shd w:val="clear" w:color="auto" w:fill="auto"/>
          </w:tcPr>
          <w:p w14:paraId="1BF793B2" w14:textId="77777777" w:rsidR="006E0517" w:rsidRPr="0012454B" w:rsidRDefault="006E0517" w:rsidP="00B67644">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0012454B">
              <w:rPr>
                <w:color w:val="000000" w:themeColor="text1"/>
              </w:rPr>
              <w:t>IMC/HGD</w:t>
            </w:r>
          </w:p>
          <w:p w14:paraId="03E9D4EE" w14:textId="77777777" w:rsidR="006E0517" w:rsidRPr="0012454B" w:rsidRDefault="006E0517" w:rsidP="00B67644">
            <w:pPr>
              <w:spacing w:before="0"/>
              <w:cnfStyle w:val="100000000000" w:firstRow="1" w:lastRow="0" w:firstColumn="0" w:lastColumn="0" w:oddVBand="0" w:evenVBand="0" w:oddHBand="0" w:evenHBand="0" w:firstRowFirstColumn="0" w:firstRowLastColumn="0" w:lastRowFirstColumn="0" w:lastRowLastColumn="0"/>
              <w:rPr>
                <w:color w:val="000000" w:themeColor="text1"/>
                <w:lang w:eastAsia="zh-CN"/>
              </w:rPr>
            </w:pPr>
            <w:r w:rsidRPr="0012454B">
              <w:rPr>
                <w:color w:val="000000" w:themeColor="text1"/>
              </w:rPr>
              <w:t>(</w:t>
            </w:r>
            <w:r w:rsidRPr="0012454B">
              <w:rPr>
                <w:i/>
                <w:color w:val="000000" w:themeColor="text1"/>
              </w:rPr>
              <w:t xml:space="preserve">n </w:t>
            </w:r>
            <w:r w:rsidRPr="0012454B">
              <w:rPr>
                <w:color w:val="000000" w:themeColor="text1"/>
              </w:rPr>
              <w:t>= 1)</w:t>
            </w:r>
            <w:r w:rsidRPr="0012454B">
              <w:rPr>
                <w:color w:val="000000" w:themeColor="text1"/>
                <w:lang w:eastAsia="zh-CN"/>
              </w:rPr>
              <w:t xml:space="preserve">, </w:t>
            </w:r>
            <w:r w:rsidRPr="0012454B">
              <w:rPr>
                <w:i/>
                <w:color w:val="000000" w:themeColor="text1"/>
                <w:lang w:eastAsia="zh-CN"/>
              </w:rPr>
              <w:t>n</w:t>
            </w:r>
            <w:r w:rsidRPr="0012454B">
              <w:rPr>
                <w:color w:val="000000" w:themeColor="text1"/>
                <w:lang w:eastAsia="zh-CN"/>
              </w:rPr>
              <w:t xml:space="preserve"> (%)</w:t>
            </w:r>
          </w:p>
        </w:tc>
        <w:tc>
          <w:tcPr>
            <w:tcW w:w="992" w:type="dxa"/>
            <w:tcBorders>
              <w:top w:val="single" w:sz="4" w:space="0" w:color="000000" w:themeColor="text1"/>
              <w:bottom w:val="single" w:sz="4" w:space="0" w:color="000000" w:themeColor="text1"/>
            </w:tcBorders>
            <w:shd w:val="clear" w:color="auto" w:fill="auto"/>
          </w:tcPr>
          <w:p w14:paraId="3C9A69F4" w14:textId="77777777" w:rsidR="006E0517" w:rsidRPr="0012454B" w:rsidRDefault="006E0517" w:rsidP="00B67644">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0012454B">
              <w:rPr>
                <w:color w:val="000000" w:themeColor="text1"/>
              </w:rPr>
              <w:t>LGD</w:t>
            </w:r>
          </w:p>
          <w:p w14:paraId="0ADF9806" w14:textId="77777777" w:rsidR="006E0517" w:rsidRPr="0012454B" w:rsidRDefault="006E0517" w:rsidP="00B67644">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0012454B">
              <w:rPr>
                <w:color w:val="000000" w:themeColor="text1"/>
              </w:rPr>
              <w:t>(</w:t>
            </w:r>
            <w:r w:rsidRPr="0012454B">
              <w:rPr>
                <w:i/>
                <w:color w:val="000000" w:themeColor="text1"/>
              </w:rPr>
              <w:t xml:space="preserve">n </w:t>
            </w:r>
            <w:r w:rsidRPr="0012454B">
              <w:rPr>
                <w:color w:val="000000" w:themeColor="text1"/>
              </w:rPr>
              <w:t>= 6)</w:t>
            </w:r>
            <w:r w:rsidRPr="0012454B">
              <w:rPr>
                <w:color w:val="000000" w:themeColor="text1"/>
                <w:lang w:eastAsia="zh-CN"/>
              </w:rPr>
              <w:t xml:space="preserve">, </w:t>
            </w:r>
            <w:r w:rsidRPr="0012454B">
              <w:rPr>
                <w:i/>
                <w:color w:val="000000" w:themeColor="text1"/>
                <w:lang w:eastAsia="zh-CN"/>
              </w:rPr>
              <w:t>n</w:t>
            </w:r>
            <w:r w:rsidRPr="0012454B">
              <w:rPr>
                <w:color w:val="000000" w:themeColor="text1"/>
                <w:lang w:eastAsia="zh-CN"/>
              </w:rPr>
              <w:t xml:space="preserve"> (%)</w:t>
            </w:r>
          </w:p>
        </w:tc>
        <w:tc>
          <w:tcPr>
            <w:tcW w:w="992" w:type="dxa"/>
            <w:tcBorders>
              <w:top w:val="single" w:sz="4" w:space="0" w:color="000000" w:themeColor="text1"/>
              <w:bottom w:val="single" w:sz="4" w:space="0" w:color="000000" w:themeColor="text1"/>
            </w:tcBorders>
            <w:shd w:val="clear" w:color="auto" w:fill="auto"/>
          </w:tcPr>
          <w:p w14:paraId="3ED7E49D" w14:textId="77777777" w:rsidR="006E0517" w:rsidRPr="0012454B" w:rsidRDefault="006E0517" w:rsidP="00B67644">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0012454B">
              <w:rPr>
                <w:color w:val="000000" w:themeColor="text1"/>
              </w:rPr>
              <w:t>NDBE</w:t>
            </w:r>
          </w:p>
          <w:p w14:paraId="7B6A2AFB" w14:textId="77777777" w:rsidR="006E0517" w:rsidRPr="0012454B" w:rsidRDefault="006E0517" w:rsidP="00B67644">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0012454B">
              <w:rPr>
                <w:color w:val="000000" w:themeColor="text1"/>
              </w:rPr>
              <w:t>(</w:t>
            </w:r>
            <w:r w:rsidRPr="0012454B">
              <w:rPr>
                <w:i/>
                <w:color w:val="000000" w:themeColor="text1"/>
              </w:rPr>
              <w:t xml:space="preserve">n </w:t>
            </w:r>
            <w:r w:rsidRPr="0012454B">
              <w:rPr>
                <w:color w:val="000000" w:themeColor="text1"/>
              </w:rPr>
              <w:t>= 6)</w:t>
            </w:r>
            <w:r w:rsidRPr="0012454B">
              <w:rPr>
                <w:color w:val="000000" w:themeColor="text1"/>
                <w:lang w:eastAsia="zh-CN"/>
              </w:rPr>
              <w:t xml:space="preserve">, </w:t>
            </w:r>
            <w:r w:rsidRPr="0012454B">
              <w:rPr>
                <w:i/>
                <w:color w:val="000000" w:themeColor="text1"/>
                <w:lang w:eastAsia="zh-CN"/>
              </w:rPr>
              <w:t>n</w:t>
            </w:r>
            <w:r w:rsidRPr="0012454B">
              <w:rPr>
                <w:color w:val="000000" w:themeColor="text1"/>
                <w:lang w:eastAsia="zh-CN"/>
              </w:rPr>
              <w:t xml:space="preserve"> (%)</w:t>
            </w:r>
          </w:p>
        </w:tc>
        <w:tc>
          <w:tcPr>
            <w:tcW w:w="1230" w:type="dxa"/>
            <w:tcBorders>
              <w:top w:val="single" w:sz="4" w:space="0" w:color="000000" w:themeColor="text1"/>
              <w:bottom w:val="single" w:sz="4" w:space="0" w:color="000000" w:themeColor="text1"/>
            </w:tcBorders>
            <w:shd w:val="clear" w:color="auto" w:fill="auto"/>
          </w:tcPr>
          <w:p w14:paraId="32FFD81E" w14:textId="77777777" w:rsidR="006E0517" w:rsidRPr="0012454B" w:rsidRDefault="006E0517" w:rsidP="00B67644">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0012454B">
              <w:rPr>
                <w:color w:val="000000" w:themeColor="text1"/>
              </w:rPr>
              <w:t>Inflamed cardia</w:t>
            </w:r>
          </w:p>
          <w:p w14:paraId="1C12D72F" w14:textId="77777777" w:rsidR="006E0517" w:rsidRPr="0012454B" w:rsidRDefault="006E0517" w:rsidP="00B67644">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0012454B">
              <w:rPr>
                <w:color w:val="000000" w:themeColor="text1"/>
              </w:rPr>
              <w:t>(</w:t>
            </w:r>
            <w:r w:rsidRPr="0012454B">
              <w:rPr>
                <w:i/>
                <w:color w:val="000000" w:themeColor="text1"/>
              </w:rPr>
              <w:t xml:space="preserve">n </w:t>
            </w:r>
            <w:r w:rsidRPr="0012454B">
              <w:rPr>
                <w:color w:val="000000" w:themeColor="text1"/>
              </w:rPr>
              <w:t>= 9)</w:t>
            </w:r>
            <w:r w:rsidRPr="0012454B">
              <w:rPr>
                <w:color w:val="000000" w:themeColor="text1"/>
                <w:lang w:eastAsia="zh-CN"/>
              </w:rPr>
              <w:t xml:space="preserve">, </w:t>
            </w:r>
            <w:r w:rsidRPr="0012454B">
              <w:rPr>
                <w:i/>
                <w:color w:val="000000" w:themeColor="text1"/>
                <w:lang w:eastAsia="zh-CN"/>
              </w:rPr>
              <w:t>n</w:t>
            </w:r>
            <w:r w:rsidRPr="0012454B">
              <w:rPr>
                <w:color w:val="000000" w:themeColor="text1"/>
                <w:lang w:eastAsia="zh-CN"/>
              </w:rPr>
              <w:t xml:space="preserve"> (%)</w:t>
            </w:r>
          </w:p>
        </w:tc>
        <w:tc>
          <w:tcPr>
            <w:tcW w:w="1665" w:type="dxa"/>
            <w:tcBorders>
              <w:top w:val="single" w:sz="4" w:space="0" w:color="000000" w:themeColor="text1"/>
              <w:bottom w:val="single" w:sz="4" w:space="0" w:color="000000" w:themeColor="text1"/>
            </w:tcBorders>
            <w:shd w:val="clear" w:color="auto" w:fill="auto"/>
          </w:tcPr>
          <w:p w14:paraId="19D5E936" w14:textId="77777777" w:rsidR="006E0517" w:rsidRPr="0012454B" w:rsidRDefault="006E0517" w:rsidP="00B67644">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0012454B">
              <w:rPr>
                <w:color w:val="000000" w:themeColor="text1"/>
              </w:rPr>
              <w:t>No diagnostic abnormality</w:t>
            </w:r>
          </w:p>
          <w:p w14:paraId="3E608CDE" w14:textId="77777777" w:rsidR="006E0517" w:rsidRPr="0012454B" w:rsidRDefault="006E0517" w:rsidP="00B67644">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0012454B">
              <w:rPr>
                <w:color w:val="000000" w:themeColor="text1"/>
              </w:rPr>
              <w:t>(</w:t>
            </w:r>
            <w:r w:rsidRPr="0012454B">
              <w:rPr>
                <w:i/>
                <w:color w:val="000000" w:themeColor="text1"/>
              </w:rPr>
              <w:t xml:space="preserve">n </w:t>
            </w:r>
            <w:r w:rsidRPr="0012454B">
              <w:rPr>
                <w:color w:val="000000" w:themeColor="text1"/>
              </w:rPr>
              <w:t>= 12)</w:t>
            </w:r>
            <w:r w:rsidRPr="0012454B">
              <w:rPr>
                <w:color w:val="000000" w:themeColor="text1"/>
                <w:lang w:eastAsia="zh-CN"/>
              </w:rPr>
              <w:t xml:space="preserve">, </w:t>
            </w:r>
            <w:r w:rsidRPr="0012454B">
              <w:rPr>
                <w:i/>
                <w:color w:val="000000" w:themeColor="text1"/>
                <w:lang w:eastAsia="zh-CN"/>
              </w:rPr>
              <w:t>n</w:t>
            </w:r>
            <w:r w:rsidRPr="0012454B">
              <w:rPr>
                <w:color w:val="000000" w:themeColor="text1"/>
                <w:lang w:eastAsia="zh-CN"/>
              </w:rPr>
              <w:t xml:space="preserve"> (%)</w:t>
            </w:r>
          </w:p>
        </w:tc>
        <w:tc>
          <w:tcPr>
            <w:tcW w:w="1471" w:type="dxa"/>
            <w:tcBorders>
              <w:top w:val="single" w:sz="4" w:space="0" w:color="000000" w:themeColor="text1"/>
              <w:bottom w:val="single" w:sz="4" w:space="0" w:color="000000" w:themeColor="text1"/>
            </w:tcBorders>
            <w:shd w:val="clear" w:color="auto" w:fill="auto"/>
          </w:tcPr>
          <w:p w14:paraId="1908E8BB" w14:textId="77777777" w:rsidR="006E0517" w:rsidRPr="0012454B" w:rsidRDefault="006E0517" w:rsidP="00B67644">
            <w:pPr>
              <w:spacing w:before="0"/>
              <w:cnfStyle w:val="100000000000" w:firstRow="1" w:lastRow="0" w:firstColumn="0" w:lastColumn="0" w:oddVBand="0" w:evenVBand="0" w:oddHBand="0" w:evenHBand="0" w:firstRowFirstColumn="0" w:firstRowLastColumn="0" w:lastRowFirstColumn="0" w:lastRowLastColumn="0"/>
              <w:rPr>
                <w:color w:val="000000" w:themeColor="text1"/>
                <w:lang w:eastAsia="zh-CN"/>
              </w:rPr>
            </w:pPr>
            <w:r w:rsidRPr="0012454B">
              <w:rPr>
                <w:color w:val="000000" w:themeColor="text1"/>
              </w:rPr>
              <w:t>Neoplastic</w:t>
            </w:r>
            <w:r w:rsidRPr="0012454B">
              <w:rPr>
                <w:color w:val="000000" w:themeColor="text1"/>
                <w:vertAlign w:val="superscript"/>
                <w:lang w:eastAsia="zh-CN"/>
              </w:rPr>
              <w:t>1</w:t>
            </w:r>
            <w:r w:rsidRPr="0012454B">
              <w:rPr>
                <w:color w:val="000000" w:themeColor="text1"/>
              </w:rPr>
              <w:t xml:space="preserve"> (</w:t>
            </w:r>
            <w:r w:rsidRPr="0012454B">
              <w:rPr>
                <w:i/>
                <w:color w:val="000000" w:themeColor="text1"/>
              </w:rPr>
              <w:t xml:space="preserve">n </w:t>
            </w:r>
            <w:r w:rsidRPr="0012454B">
              <w:rPr>
                <w:color w:val="000000" w:themeColor="text1"/>
              </w:rPr>
              <w:t>= 7)</w:t>
            </w:r>
            <w:r w:rsidRPr="0012454B">
              <w:rPr>
                <w:color w:val="000000" w:themeColor="text1"/>
                <w:lang w:eastAsia="zh-CN"/>
              </w:rPr>
              <w:t xml:space="preserve">, </w:t>
            </w:r>
            <w:r w:rsidRPr="0012454B">
              <w:rPr>
                <w:i/>
                <w:color w:val="000000" w:themeColor="text1"/>
                <w:lang w:eastAsia="zh-CN"/>
              </w:rPr>
              <w:t>n</w:t>
            </w:r>
            <w:r w:rsidRPr="0012454B">
              <w:rPr>
                <w:color w:val="000000" w:themeColor="text1"/>
                <w:lang w:eastAsia="zh-CN"/>
              </w:rPr>
              <w:t xml:space="preserve"> (%)</w:t>
            </w:r>
          </w:p>
        </w:tc>
        <w:tc>
          <w:tcPr>
            <w:tcW w:w="1506" w:type="dxa"/>
            <w:tcBorders>
              <w:top w:val="single" w:sz="4" w:space="0" w:color="000000" w:themeColor="text1"/>
              <w:bottom w:val="single" w:sz="4" w:space="0" w:color="000000" w:themeColor="text1"/>
            </w:tcBorders>
            <w:shd w:val="clear" w:color="auto" w:fill="auto"/>
          </w:tcPr>
          <w:p w14:paraId="05D51DBC" w14:textId="77777777" w:rsidR="006E0517" w:rsidRPr="0012454B" w:rsidRDefault="006E0517" w:rsidP="00B67644">
            <w:pPr>
              <w:spacing w:before="0"/>
              <w:cnfStyle w:val="100000000000" w:firstRow="1" w:lastRow="0" w:firstColumn="0" w:lastColumn="0" w:oddVBand="0" w:evenVBand="0" w:oddHBand="0" w:evenHBand="0" w:firstRowFirstColumn="0" w:firstRowLastColumn="0" w:lastRowFirstColumn="0" w:lastRowLastColumn="0"/>
              <w:rPr>
                <w:color w:val="000000" w:themeColor="text1"/>
              </w:rPr>
            </w:pPr>
            <w:r w:rsidRPr="0012454B">
              <w:rPr>
                <w:color w:val="000000" w:themeColor="text1"/>
              </w:rPr>
              <w:t>Non-neoplastic</w:t>
            </w:r>
            <w:r w:rsidRPr="0012454B">
              <w:rPr>
                <w:color w:val="000000" w:themeColor="text1"/>
                <w:vertAlign w:val="superscript"/>
                <w:lang w:eastAsia="zh-CN"/>
              </w:rPr>
              <w:t>2</w:t>
            </w:r>
            <w:r w:rsidRPr="0012454B">
              <w:rPr>
                <w:color w:val="000000" w:themeColor="text1"/>
              </w:rPr>
              <w:t xml:space="preserve"> (</w:t>
            </w:r>
            <w:r w:rsidRPr="0012454B">
              <w:rPr>
                <w:i/>
                <w:color w:val="000000" w:themeColor="text1"/>
              </w:rPr>
              <w:t xml:space="preserve">n </w:t>
            </w:r>
            <w:r w:rsidRPr="0012454B">
              <w:rPr>
                <w:color w:val="000000" w:themeColor="text1"/>
              </w:rPr>
              <w:t>= 27)</w:t>
            </w:r>
            <w:r w:rsidRPr="0012454B">
              <w:rPr>
                <w:color w:val="000000" w:themeColor="text1"/>
                <w:lang w:eastAsia="zh-CN"/>
              </w:rPr>
              <w:t xml:space="preserve">, </w:t>
            </w:r>
            <w:r w:rsidRPr="0012454B">
              <w:rPr>
                <w:i/>
                <w:color w:val="000000" w:themeColor="text1"/>
                <w:lang w:eastAsia="zh-CN"/>
              </w:rPr>
              <w:t>n</w:t>
            </w:r>
            <w:r w:rsidRPr="0012454B">
              <w:rPr>
                <w:color w:val="000000" w:themeColor="text1"/>
                <w:lang w:eastAsia="zh-CN"/>
              </w:rPr>
              <w:t xml:space="preserve"> (%)</w:t>
            </w:r>
          </w:p>
        </w:tc>
        <w:tc>
          <w:tcPr>
            <w:tcW w:w="1134" w:type="dxa"/>
            <w:tcBorders>
              <w:top w:val="single" w:sz="4" w:space="0" w:color="000000" w:themeColor="text1"/>
              <w:bottom w:val="single" w:sz="4" w:space="0" w:color="000000" w:themeColor="text1"/>
            </w:tcBorders>
            <w:shd w:val="clear" w:color="auto" w:fill="auto"/>
          </w:tcPr>
          <w:p w14:paraId="5BE279EE" w14:textId="77777777" w:rsidR="006E0517" w:rsidRPr="0012454B" w:rsidRDefault="006E0517" w:rsidP="00B67644">
            <w:pPr>
              <w:spacing w:before="0"/>
              <w:cnfStyle w:val="100000000000" w:firstRow="1" w:lastRow="0" w:firstColumn="0" w:lastColumn="0" w:oddVBand="0" w:evenVBand="0" w:oddHBand="0" w:evenHBand="0" w:firstRowFirstColumn="0" w:firstRowLastColumn="0" w:lastRowFirstColumn="0" w:lastRowLastColumn="0"/>
              <w:rPr>
                <w:color w:val="000000" w:themeColor="text1"/>
                <w:lang w:eastAsia="zh-CN"/>
              </w:rPr>
            </w:pPr>
            <w:r w:rsidRPr="0012454B">
              <w:rPr>
                <w:i/>
                <w:color w:val="000000" w:themeColor="text1"/>
              </w:rPr>
              <w:t>P</w:t>
            </w:r>
            <w:r>
              <w:rPr>
                <w:rFonts w:hint="eastAsia"/>
                <w:i/>
                <w:color w:val="000000" w:themeColor="text1"/>
                <w:lang w:eastAsia="zh-CN"/>
              </w:rPr>
              <w:t>-</w:t>
            </w:r>
            <w:r w:rsidRPr="0012454B">
              <w:rPr>
                <w:color w:val="000000" w:themeColor="text1"/>
              </w:rPr>
              <w:t>value</w:t>
            </w:r>
            <w:r w:rsidRPr="0012454B">
              <w:rPr>
                <w:color w:val="000000" w:themeColor="text1"/>
                <w:vertAlign w:val="superscript"/>
                <w:lang w:eastAsia="zh-CN"/>
              </w:rPr>
              <w:t>3</w:t>
            </w:r>
          </w:p>
        </w:tc>
      </w:tr>
      <w:tr w:rsidR="006E0517" w:rsidRPr="0012454B" w14:paraId="3E50277E" w14:textId="77777777" w:rsidTr="00586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Borders>
              <w:top w:val="single" w:sz="4" w:space="0" w:color="000000" w:themeColor="text1"/>
            </w:tcBorders>
            <w:shd w:val="clear" w:color="auto" w:fill="auto"/>
          </w:tcPr>
          <w:p w14:paraId="50A9B74C" w14:textId="77777777" w:rsidR="006E0517" w:rsidRPr="0012454B" w:rsidRDefault="006E0517" w:rsidP="00B67644">
            <w:pPr>
              <w:spacing w:before="0"/>
              <w:jc w:val="left"/>
              <w:rPr>
                <w:i w:val="0"/>
                <w:color w:val="000000" w:themeColor="text1"/>
              </w:rPr>
            </w:pPr>
            <w:r w:rsidRPr="0012454B">
              <w:rPr>
                <w:i w:val="0"/>
                <w:color w:val="000000" w:themeColor="text1"/>
              </w:rPr>
              <w:t>Gastric rugae</w:t>
            </w:r>
          </w:p>
        </w:tc>
        <w:tc>
          <w:tcPr>
            <w:tcW w:w="971" w:type="dxa"/>
            <w:tcBorders>
              <w:top w:val="single" w:sz="4" w:space="0" w:color="000000" w:themeColor="text1"/>
              <w:bottom w:val="nil"/>
            </w:tcBorders>
            <w:shd w:val="clear" w:color="auto" w:fill="auto"/>
          </w:tcPr>
          <w:p w14:paraId="19E9B5E7"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1 (100)</w:t>
            </w:r>
          </w:p>
        </w:tc>
        <w:tc>
          <w:tcPr>
            <w:tcW w:w="992" w:type="dxa"/>
            <w:tcBorders>
              <w:top w:val="single" w:sz="4" w:space="0" w:color="000000" w:themeColor="text1"/>
              <w:bottom w:val="nil"/>
            </w:tcBorders>
            <w:shd w:val="clear" w:color="auto" w:fill="auto"/>
          </w:tcPr>
          <w:p w14:paraId="35F429D9"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6 (100)</w:t>
            </w:r>
          </w:p>
        </w:tc>
        <w:tc>
          <w:tcPr>
            <w:tcW w:w="992" w:type="dxa"/>
            <w:tcBorders>
              <w:top w:val="single" w:sz="4" w:space="0" w:color="000000" w:themeColor="text1"/>
              <w:bottom w:val="nil"/>
            </w:tcBorders>
            <w:shd w:val="clear" w:color="auto" w:fill="auto"/>
          </w:tcPr>
          <w:p w14:paraId="72F635E2"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6 (100)</w:t>
            </w:r>
          </w:p>
        </w:tc>
        <w:tc>
          <w:tcPr>
            <w:tcW w:w="1230" w:type="dxa"/>
            <w:tcBorders>
              <w:top w:val="single" w:sz="4" w:space="0" w:color="000000" w:themeColor="text1"/>
              <w:bottom w:val="nil"/>
            </w:tcBorders>
            <w:shd w:val="clear" w:color="auto" w:fill="auto"/>
          </w:tcPr>
          <w:p w14:paraId="6A7E06F3"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9 (100)</w:t>
            </w:r>
          </w:p>
        </w:tc>
        <w:tc>
          <w:tcPr>
            <w:tcW w:w="1665" w:type="dxa"/>
            <w:tcBorders>
              <w:top w:val="single" w:sz="4" w:space="0" w:color="000000" w:themeColor="text1"/>
              <w:bottom w:val="nil"/>
            </w:tcBorders>
            <w:shd w:val="clear" w:color="auto" w:fill="auto"/>
          </w:tcPr>
          <w:p w14:paraId="7FDD8F09"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12 (100)</w:t>
            </w:r>
          </w:p>
        </w:tc>
        <w:tc>
          <w:tcPr>
            <w:tcW w:w="1471" w:type="dxa"/>
            <w:tcBorders>
              <w:top w:val="single" w:sz="4" w:space="0" w:color="000000" w:themeColor="text1"/>
              <w:bottom w:val="nil"/>
            </w:tcBorders>
            <w:shd w:val="clear" w:color="auto" w:fill="auto"/>
          </w:tcPr>
          <w:p w14:paraId="71C548A6"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7 (100)</w:t>
            </w:r>
          </w:p>
        </w:tc>
        <w:tc>
          <w:tcPr>
            <w:tcW w:w="1506" w:type="dxa"/>
            <w:tcBorders>
              <w:top w:val="single" w:sz="4" w:space="0" w:color="000000" w:themeColor="text1"/>
              <w:bottom w:val="nil"/>
            </w:tcBorders>
            <w:shd w:val="clear" w:color="auto" w:fill="auto"/>
          </w:tcPr>
          <w:p w14:paraId="3880F63A"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27 (100)</w:t>
            </w:r>
          </w:p>
        </w:tc>
        <w:tc>
          <w:tcPr>
            <w:tcW w:w="1134" w:type="dxa"/>
            <w:tcBorders>
              <w:top w:val="single" w:sz="4" w:space="0" w:color="000000" w:themeColor="text1"/>
              <w:bottom w:val="nil"/>
              <w:right w:val="nil"/>
            </w:tcBorders>
            <w:shd w:val="clear" w:color="auto" w:fill="auto"/>
          </w:tcPr>
          <w:p w14:paraId="4672D487"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NS</w:t>
            </w:r>
          </w:p>
        </w:tc>
      </w:tr>
      <w:tr w:rsidR="006E0517" w:rsidRPr="0012454B" w14:paraId="2368D1BB" w14:textId="77777777" w:rsidTr="005869E2">
        <w:tc>
          <w:tcPr>
            <w:cnfStyle w:val="001000000000" w:firstRow="0" w:lastRow="0" w:firstColumn="1" w:lastColumn="0" w:oddVBand="0" w:evenVBand="0" w:oddHBand="0" w:evenHBand="0" w:firstRowFirstColumn="0" w:firstRowLastColumn="0" w:lastRowFirstColumn="0" w:lastRowLastColumn="0"/>
            <w:tcW w:w="1663" w:type="dxa"/>
            <w:tcBorders>
              <w:top w:val="nil"/>
            </w:tcBorders>
            <w:shd w:val="clear" w:color="auto" w:fill="auto"/>
          </w:tcPr>
          <w:p w14:paraId="2407EE8F" w14:textId="77777777" w:rsidR="006E0517" w:rsidRPr="0012454B" w:rsidRDefault="006E0517" w:rsidP="00B67644">
            <w:pPr>
              <w:spacing w:before="0"/>
              <w:jc w:val="left"/>
              <w:rPr>
                <w:i w:val="0"/>
                <w:color w:val="000000" w:themeColor="text1"/>
              </w:rPr>
            </w:pPr>
            <w:r w:rsidRPr="0012454B">
              <w:rPr>
                <w:i w:val="0"/>
                <w:color w:val="000000" w:themeColor="text1"/>
              </w:rPr>
              <w:t>Gastric pit architecture</w:t>
            </w:r>
          </w:p>
        </w:tc>
        <w:tc>
          <w:tcPr>
            <w:tcW w:w="971" w:type="dxa"/>
            <w:tcBorders>
              <w:top w:val="nil"/>
              <w:bottom w:val="nil"/>
            </w:tcBorders>
            <w:shd w:val="clear" w:color="auto" w:fill="auto"/>
          </w:tcPr>
          <w:p w14:paraId="5F5798FF"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1 (100)</w:t>
            </w:r>
          </w:p>
        </w:tc>
        <w:tc>
          <w:tcPr>
            <w:tcW w:w="992" w:type="dxa"/>
            <w:tcBorders>
              <w:top w:val="nil"/>
              <w:bottom w:val="nil"/>
            </w:tcBorders>
            <w:shd w:val="clear" w:color="auto" w:fill="auto"/>
          </w:tcPr>
          <w:p w14:paraId="3E955F8E"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6 (100)</w:t>
            </w:r>
          </w:p>
        </w:tc>
        <w:tc>
          <w:tcPr>
            <w:tcW w:w="992" w:type="dxa"/>
            <w:tcBorders>
              <w:top w:val="nil"/>
              <w:bottom w:val="nil"/>
            </w:tcBorders>
            <w:shd w:val="clear" w:color="auto" w:fill="auto"/>
          </w:tcPr>
          <w:p w14:paraId="037F9A2A"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6 (100)</w:t>
            </w:r>
          </w:p>
        </w:tc>
        <w:tc>
          <w:tcPr>
            <w:tcW w:w="1230" w:type="dxa"/>
            <w:tcBorders>
              <w:top w:val="nil"/>
              <w:bottom w:val="nil"/>
            </w:tcBorders>
            <w:shd w:val="clear" w:color="auto" w:fill="auto"/>
          </w:tcPr>
          <w:p w14:paraId="5149ECFD"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9 (100)</w:t>
            </w:r>
          </w:p>
        </w:tc>
        <w:tc>
          <w:tcPr>
            <w:tcW w:w="1665" w:type="dxa"/>
            <w:tcBorders>
              <w:top w:val="nil"/>
              <w:bottom w:val="nil"/>
            </w:tcBorders>
            <w:shd w:val="clear" w:color="auto" w:fill="auto"/>
          </w:tcPr>
          <w:p w14:paraId="1C157470"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12 (100)</w:t>
            </w:r>
          </w:p>
        </w:tc>
        <w:tc>
          <w:tcPr>
            <w:tcW w:w="1471" w:type="dxa"/>
            <w:tcBorders>
              <w:top w:val="nil"/>
              <w:bottom w:val="nil"/>
            </w:tcBorders>
            <w:shd w:val="clear" w:color="auto" w:fill="auto"/>
          </w:tcPr>
          <w:p w14:paraId="7E20ADF2"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7 (100)</w:t>
            </w:r>
          </w:p>
        </w:tc>
        <w:tc>
          <w:tcPr>
            <w:tcW w:w="1506" w:type="dxa"/>
            <w:tcBorders>
              <w:top w:val="nil"/>
              <w:bottom w:val="nil"/>
            </w:tcBorders>
            <w:shd w:val="clear" w:color="auto" w:fill="auto"/>
          </w:tcPr>
          <w:p w14:paraId="46BE2522"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27 (100)</w:t>
            </w:r>
          </w:p>
        </w:tc>
        <w:tc>
          <w:tcPr>
            <w:tcW w:w="1134" w:type="dxa"/>
            <w:tcBorders>
              <w:top w:val="nil"/>
              <w:bottom w:val="nil"/>
              <w:right w:val="nil"/>
            </w:tcBorders>
            <w:shd w:val="clear" w:color="auto" w:fill="auto"/>
          </w:tcPr>
          <w:p w14:paraId="07A36BBC"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NS</w:t>
            </w:r>
          </w:p>
        </w:tc>
      </w:tr>
      <w:tr w:rsidR="006E0517" w:rsidRPr="0012454B" w14:paraId="5CFE72AD" w14:textId="77777777" w:rsidTr="00586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Borders>
              <w:top w:val="nil"/>
            </w:tcBorders>
            <w:shd w:val="clear" w:color="auto" w:fill="auto"/>
          </w:tcPr>
          <w:p w14:paraId="0742C2E3" w14:textId="77777777" w:rsidR="006E0517" w:rsidRPr="0012454B" w:rsidRDefault="006E0517" w:rsidP="00B67644">
            <w:pPr>
              <w:spacing w:before="0"/>
              <w:jc w:val="left"/>
              <w:rPr>
                <w:i w:val="0"/>
                <w:color w:val="000000" w:themeColor="text1"/>
              </w:rPr>
            </w:pPr>
            <w:r w:rsidRPr="0012454B">
              <w:rPr>
                <w:i w:val="0"/>
                <w:color w:val="000000" w:themeColor="text1"/>
              </w:rPr>
              <w:t>Poor penetration</w:t>
            </w:r>
          </w:p>
        </w:tc>
        <w:tc>
          <w:tcPr>
            <w:tcW w:w="971" w:type="dxa"/>
            <w:tcBorders>
              <w:top w:val="nil"/>
              <w:bottom w:val="nil"/>
            </w:tcBorders>
            <w:shd w:val="clear" w:color="auto" w:fill="auto"/>
          </w:tcPr>
          <w:p w14:paraId="273B2AAD"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1 (100)</w:t>
            </w:r>
          </w:p>
        </w:tc>
        <w:tc>
          <w:tcPr>
            <w:tcW w:w="992" w:type="dxa"/>
            <w:tcBorders>
              <w:top w:val="nil"/>
              <w:bottom w:val="nil"/>
            </w:tcBorders>
            <w:shd w:val="clear" w:color="auto" w:fill="auto"/>
          </w:tcPr>
          <w:p w14:paraId="23E0E8C5"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6 (100)</w:t>
            </w:r>
          </w:p>
        </w:tc>
        <w:tc>
          <w:tcPr>
            <w:tcW w:w="992" w:type="dxa"/>
            <w:tcBorders>
              <w:top w:val="nil"/>
              <w:bottom w:val="nil"/>
            </w:tcBorders>
            <w:shd w:val="clear" w:color="auto" w:fill="auto"/>
          </w:tcPr>
          <w:p w14:paraId="064E90B5"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6 (100)</w:t>
            </w:r>
          </w:p>
        </w:tc>
        <w:tc>
          <w:tcPr>
            <w:tcW w:w="1230" w:type="dxa"/>
            <w:tcBorders>
              <w:top w:val="nil"/>
              <w:bottom w:val="nil"/>
            </w:tcBorders>
            <w:shd w:val="clear" w:color="auto" w:fill="auto"/>
          </w:tcPr>
          <w:p w14:paraId="0F1219A4"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9 (100)</w:t>
            </w:r>
          </w:p>
        </w:tc>
        <w:tc>
          <w:tcPr>
            <w:tcW w:w="1665" w:type="dxa"/>
            <w:tcBorders>
              <w:top w:val="nil"/>
              <w:bottom w:val="nil"/>
            </w:tcBorders>
            <w:shd w:val="clear" w:color="auto" w:fill="auto"/>
          </w:tcPr>
          <w:p w14:paraId="446E70A9"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12 (100)</w:t>
            </w:r>
          </w:p>
        </w:tc>
        <w:tc>
          <w:tcPr>
            <w:tcW w:w="1471" w:type="dxa"/>
            <w:tcBorders>
              <w:top w:val="nil"/>
              <w:bottom w:val="nil"/>
            </w:tcBorders>
            <w:shd w:val="clear" w:color="auto" w:fill="auto"/>
          </w:tcPr>
          <w:p w14:paraId="5BE4D331"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7 (100)</w:t>
            </w:r>
          </w:p>
        </w:tc>
        <w:tc>
          <w:tcPr>
            <w:tcW w:w="1506" w:type="dxa"/>
            <w:tcBorders>
              <w:top w:val="nil"/>
              <w:bottom w:val="nil"/>
            </w:tcBorders>
            <w:shd w:val="clear" w:color="auto" w:fill="auto"/>
          </w:tcPr>
          <w:p w14:paraId="7486E9CC"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27 (100)</w:t>
            </w:r>
          </w:p>
        </w:tc>
        <w:tc>
          <w:tcPr>
            <w:tcW w:w="1134" w:type="dxa"/>
            <w:tcBorders>
              <w:top w:val="nil"/>
              <w:bottom w:val="nil"/>
              <w:right w:val="nil"/>
            </w:tcBorders>
            <w:shd w:val="clear" w:color="auto" w:fill="auto"/>
          </w:tcPr>
          <w:p w14:paraId="76C41FA2"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NS</w:t>
            </w:r>
          </w:p>
        </w:tc>
      </w:tr>
      <w:tr w:rsidR="006E0517" w:rsidRPr="0012454B" w14:paraId="7C4D5E81" w14:textId="77777777" w:rsidTr="005869E2">
        <w:trPr>
          <w:trHeight w:val="675"/>
        </w:trPr>
        <w:tc>
          <w:tcPr>
            <w:cnfStyle w:val="001000000000" w:firstRow="0" w:lastRow="0" w:firstColumn="1" w:lastColumn="0" w:oddVBand="0" w:evenVBand="0" w:oddHBand="0" w:evenHBand="0" w:firstRowFirstColumn="0" w:firstRowLastColumn="0" w:lastRowFirstColumn="0" w:lastRowLastColumn="0"/>
            <w:tcW w:w="1663" w:type="dxa"/>
            <w:tcBorders>
              <w:top w:val="nil"/>
            </w:tcBorders>
            <w:shd w:val="clear" w:color="auto" w:fill="auto"/>
          </w:tcPr>
          <w:p w14:paraId="2882352F" w14:textId="77777777" w:rsidR="006E0517" w:rsidRPr="0012454B" w:rsidRDefault="006E0517" w:rsidP="00B67644">
            <w:pPr>
              <w:spacing w:before="0"/>
              <w:jc w:val="left"/>
              <w:rPr>
                <w:i w:val="0"/>
                <w:color w:val="000000" w:themeColor="text1"/>
              </w:rPr>
            </w:pPr>
            <w:r w:rsidRPr="0012454B">
              <w:rPr>
                <w:i w:val="0"/>
                <w:color w:val="000000" w:themeColor="text1"/>
              </w:rPr>
              <w:t>Loss of normal gastric pit architecture</w:t>
            </w:r>
          </w:p>
        </w:tc>
        <w:tc>
          <w:tcPr>
            <w:tcW w:w="971" w:type="dxa"/>
            <w:tcBorders>
              <w:top w:val="nil"/>
              <w:bottom w:val="nil"/>
            </w:tcBorders>
            <w:shd w:val="clear" w:color="auto" w:fill="auto"/>
          </w:tcPr>
          <w:p w14:paraId="263F19DA"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1 (100)</w:t>
            </w:r>
          </w:p>
        </w:tc>
        <w:tc>
          <w:tcPr>
            <w:tcW w:w="992" w:type="dxa"/>
            <w:tcBorders>
              <w:top w:val="nil"/>
              <w:bottom w:val="nil"/>
            </w:tcBorders>
            <w:shd w:val="clear" w:color="auto" w:fill="auto"/>
          </w:tcPr>
          <w:p w14:paraId="5DCF8880"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6 (100)</w:t>
            </w:r>
          </w:p>
        </w:tc>
        <w:tc>
          <w:tcPr>
            <w:tcW w:w="992" w:type="dxa"/>
            <w:tcBorders>
              <w:top w:val="nil"/>
              <w:bottom w:val="nil"/>
            </w:tcBorders>
            <w:shd w:val="clear" w:color="auto" w:fill="auto"/>
          </w:tcPr>
          <w:p w14:paraId="7DB47B33"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5 (83)</w:t>
            </w:r>
          </w:p>
        </w:tc>
        <w:tc>
          <w:tcPr>
            <w:tcW w:w="1230" w:type="dxa"/>
            <w:tcBorders>
              <w:top w:val="nil"/>
              <w:bottom w:val="nil"/>
            </w:tcBorders>
            <w:shd w:val="clear" w:color="auto" w:fill="auto"/>
          </w:tcPr>
          <w:p w14:paraId="0FE75887"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8 (89)</w:t>
            </w:r>
          </w:p>
        </w:tc>
        <w:tc>
          <w:tcPr>
            <w:tcW w:w="1665" w:type="dxa"/>
            <w:tcBorders>
              <w:top w:val="nil"/>
              <w:bottom w:val="nil"/>
            </w:tcBorders>
            <w:shd w:val="clear" w:color="auto" w:fill="auto"/>
          </w:tcPr>
          <w:p w14:paraId="393BF667"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7 (58)</w:t>
            </w:r>
          </w:p>
        </w:tc>
        <w:tc>
          <w:tcPr>
            <w:tcW w:w="1471" w:type="dxa"/>
            <w:tcBorders>
              <w:top w:val="nil"/>
              <w:bottom w:val="nil"/>
            </w:tcBorders>
            <w:shd w:val="clear" w:color="auto" w:fill="auto"/>
          </w:tcPr>
          <w:p w14:paraId="4C68B292"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7 (100)</w:t>
            </w:r>
          </w:p>
        </w:tc>
        <w:tc>
          <w:tcPr>
            <w:tcW w:w="1506" w:type="dxa"/>
            <w:tcBorders>
              <w:top w:val="nil"/>
              <w:bottom w:val="nil"/>
            </w:tcBorders>
            <w:shd w:val="clear" w:color="auto" w:fill="auto"/>
          </w:tcPr>
          <w:p w14:paraId="67976D1E"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20 (74)</w:t>
            </w:r>
          </w:p>
        </w:tc>
        <w:tc>
          <w:tcPr>
            <w:tcW w:w="1134" w:type="dxa"/>
            <w:tcBorders>
              <w:top w:val="nil"/>
              <w:bottom w:val="nil"/>
              <w:right w:val="nil"/>
            </w:tcBorders>
            <w:shd w:val="clear" w:color="auto" w:fill="auto"/>
          </w:tcPr>
          <w:p w14:paraId="37420F2F"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NS</w:t>
            </w:r>
          </w:p>
        </w:tc>
      </w:tr>
      <w:tr w:rsidR="006E0517" w:rsidRPr="0012454B" w14:paraId="3566105B" w14:textId="77777777" w:rsidTr="00586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Borders>
              <w:top w:val="nil"/>
            </w:tcBorders>
            <w:shd w:val="clear" w:color="auto" w:fill="auto"/>
          </w:tcPr>
          <w:p w14:paraId="3F2F724D" w14:textId="77777777" w:rsidR="006E0517" w:rsidRPr="0012454B" w:rsidRDefault="006E0517" w:rsidP="00B67644">
            <w:pPr>
              <w:spacing w:before="0"/>
              <w:jc w:val="left"/>
              <w:rPr>
                <w:i w:val="0"/>
                <w:color w:val="000000" w:themeColor="text1"/>
              </w:rPr>
            </w:pPr>
            <w:r w:rsidRPr="0012454B">
              <w:rPr>
                <w:i w:val="0"/>
                <w:color w:val="000000" w:themeColor="text1"/>
              </w:rPr>
              <w:t>Irregular surface</w:t>
            </w:r>
          </w:p>
        </w:tc>
        <w:tc>
          <w:tcPr>
            <w:tcW w:w="971" w:type="dxa"/>
            <w:tcBorders>
              <w:top w:val="nil"/>
              <w:bottom w:val="nil"/>
            </w:tcBorders>
            <w:shd w:val="clear" w:color="auto" w:fill="auto"/>
          </w:tcPr>
          <w:p w14:paraId="1A40BBFB"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1 (100)</w:t>
            </w:r>
          </w:p>
        </w:tc>
        <w:tc>
          <w:tcPr>
            <w:tcW w:w="992" w:type="dxa"/>
            <w:tcBorders>
              <w:top w:val="nil"/>
              <w:bottom w:val="nil"/>
            </w:tcBorders>
            <w:shd w:val="clear" w:color="auto" w:fill="auto"/>
          </w:tcPr>
          <w:p w14:paraId="40785504"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6 (100)</w:t>
            </w:r>
          </w:p>
        </w:tc>
        <w:tc>
          <w:tcPr>
            <w:tcW w:w="992" w:type="dxa"/>
            <w:tcBorders>
              <w:top w:val="nil"/>
              <w:bottom w:val="nil"/>
            </w:tcBorders>
            <w:shd w:val="clear" w:color="auto" w:fill="auto"/>
          </w:tcPr>
          <w:p w14:paraId="63624335"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2 (33)</w:t>
            </w:r>
          </w:p>
        </w:tc>
        <w:tc>
          <w:tcPr>
            <w:tcW w:w="1230" w:type="dxa"/>
            <w:tcBorders>
              <w:top w:val="nil"/>
              <w:bottom w:val="nil"/>
            </w:tcBorders>
            <w:shd w:val="clear" w:color="auto" w:fill="auto"/>
          </w:tcPr>
          <w:p w14:paraId="4BB93067"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1 (11)</w:t>
            </w:r>
          </w:p>
        </w:tc>
        <w:tc>
          <w:tcPr>
            <w:tcW w:w="1665" w:type="dxa"/>
            <w:tcBorders>
              <w:top w:val="nil"/>
              <w:bottom w:val="nil"/>
            </w:tcBorders>
            <w:shd w:val="clear" w:color="auto" w:fill="auto"/>
          </w:tcPr>
          <w:p w14:paraId="1A82CBB1"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2 (20)</w:t>
            </w:r>
          </w:p>
        </w:tc>
        <w:tc>
          <w:tcPr>
            <w:tcW w:w="1471" w:type="dxa"/>
            <w:tcBorders>
              <w:top w:val="nil"/>
              <w:bottom w:val="nil"/>
            </w:tcBorders>
            <w:shd w:val="clear" w:color="auto" w:fill="auto"/>
          </w:tcPr>
          <w:p w14:paraId="26CD0AD6"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7 (100)</w:t>
            </w:r>
          </w:p>
        </w:tc>
        <w:tc>
          <w:tcPr>
            <w:tcW w:w="1506" w:type="dxa"/>
            <w:tcBorders>
              <w:top w:val="nil"/>
              <w:bottom w:val="nil"/>
            </w:tcBorders>
            <w:shd w:val="clear" w:color="auto" w:fill="auto"/>
          </w:tcPr>
          <w:p w14:paraId="23257CCD"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5 (19)</w:t>
            </w:r>
          </w:p>
        </w:tc>
        <w:tc>
          <w:tcPr>
            <w:tcW w:w="1134" w:type="dxa"/>
            <w:tcBorders>
              <w:top w:val="nil"/>
              <w:bottom w:val="nil"/>
              <w:right w:val="nil"/>
            </w:tcBorders>
            <w:shd w:val="clear" w:color="auto" w:fill="auto"/>
          </w:tcPr>
          <w:p w14:paraId="70317BC4"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&lt;</w:t>
            </w:r>
            <w:r w:rsidRPr="0012454B">
              <w:rPr>
                <w:lang w:eastAsia="zh-CN"/>
              </w:rPr>
              <w:t xml:space="preserve"> </w:t>
            </w:r>
            <w:r w:rsidRPr="0012454B">
              <w:t>0.0001</w:t>
            </w:r>
          </w:p>
        </w:tc>
      </w:tr>
      <w:tr w:rsidR="006E0517" w:rsidRPr="0012454B" w14:paraId="16452C05" w14:textId="77777777" w:rsidTr="005869E2">
        <w:tc>
          <w:tcPr>
            <w:cnfStyle w:val="001000000000" w:firstRow="0" w:lastRow="0" w:firstColumn="1" w:lastColumn="0" w:oddVBand="0" w:evenVBand="0" w:oddHBand="0" w:evenHBand="0" w:firstRowFirstColumn="0" w:firstRowLastColumn="0" w:lastRowFirstColumn="0" w:lastRowLastColumn="0"/>
            <w:tcW w:w="1663" w:type="dxa"/>
            <w:tcBorders>
              <w:top w:val="nil"/>
            </w:tcBorders>
            <w:shd w:val="clear" w:color="auto" w:fill="auto"/>
          </w:tcPr>
          <w:p w14:paraId="278E3A2B" w14:textId="77777777" w:rsidR="006E0517" w:rsidRPr="0012454B" w:rsidRDefault="006E0517" w:rsidP="00B67644">
            <w:pPr>
              <w:spacing w:before="0"/>
              <w:jc w:val="left"/>
              <w:rPr>
                <w:i w:val="0"/>
                <w:color w:val="000000" w:themeColor="text1"/>
              </w:rPr>
            </w:pPr>
            <w:r w:rsidRPr="0012454B">
              <w:rPr>
                <w:i w:val="0"/>
                <w:color w:val="000000" w:themeColor="text1"/>
              </w:rPr>
              <w:t>Heterogeneous scattering</w:t>
            </w:r>
          </w:p>
        </w:tc>
        <w:tc>
          <w:tcPr>
            <w:tcW w:w="971" w:type="dxa"/>
            <w:tcBorders>
              <w:top w:val="nil"/>
              <w:bottom w:val="nil"/>
            </w:tcBorders>
            <w:shd w:val="clear" w:color="auto" w:fill="auto"/>
          </w:tcPr>
          <w:p w14:paraId="165A4590"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1 (100)</w:t>
            </w:r>
          </w:p>
        </w:tc>
        <w:tc>
          <w:tcPr>
            <w:tcW w:w="992" w:type="dxa"/>
            <w:tcBorders>
              <w:top w:val="nil"/>
              <w:bottom w:val="nil"/>
            </w:tcBorders>
            <w:shd w:val="clear" w:color="auto" w:fill="auto"/>
          </w:tcPr>
          <w:p w14:paraId="202B52CC"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5 (83)</w:t>
            </w:r>
          </w:p>
        </w:tc>
        <w:tc>
          <w:tcPr>
            <w:tcW w:w="992" w:type="dxa"/>
            <w:tcBorders>
              <w:top w:val="nil"/>
              <w:bottom w:val="nil"/>
            </w:tcBorders>
            <w:shd w:val="clear" w:color="auto" w:fill="auto"/>
          </w:tcPr>
          <w:p w14:paraId="39141967"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5 (83)</w:t>
            </w:r>
          </w:p>
        </w:tc>
        <w:tc>
          <w:tcPr>
            <w:tcW w:w="1230" w:type="dxa"/>
            <w:tcBorders>
              <w:top w:val="nil"/>
              <w:bottom w:val="nil"/>
            </w:tcBorders>
            <w:shd w:val="clear" w:color="auto" w:fill="auto"/>
          </w:tcPr>
          <w:p w14:paraId="531F4E39"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6 (67)</w:t>
            </w:r>
          </w:p>
        </w:tc>
        <w:tc>
          <w:tcPr>
            <w:tcW w:w="1665" w:type="dxa"/>
            <w:tcBorders>
              <w:top w:val="nil"/>
              <w:bottom w:val="nil"/>
            </w:tcBorders>
            <w:shd w:val="clear" w:color="auto" w:fill="auto"/>
          </w:tcPr>
          <w:p w14:paraId="7308B752"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3 (25)</w:t>
            </w:r>
          </w:p>
        </w:tc>
        <w:tc>
          <w:tcPr>
            <w:tcW w:w="1471" w:type="dxa"/>
            <w:tcBorders>
              <w:top w:val="nil"/>
              <w:bottom w:val="nil"/>
            </w:tcBorders>
            <w:shd w:val="clear" w:color="auto" w:fill="auto"/>
          </w:tcPr>
          <w:p w14:paraId="306DC418"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6 (86)</w:t>
            </w:r>
          </w:p>
        </w:tc>
        <w:tc>
          <w:tcPr>
            <w:tcW w:w="1506" w:type="dxa"/>
            <w:tcBorders>
              <w:top w:val="nil"/>
              <w:bottom w:val="nil"/>
            </w:tcBorders>
            <w:shd w:val="clear" w:color="auto" w:fill="auto"/>
          </w:tcPr>
          <w:p w14:paraId="7E089792"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14 (52)</w:t>
            </w:r>
          </w:p>
        </w:tc>
        <w:tc>
          <w:tcPr>
            <w:tcW w:w="1134" w:type="dxa"/>
            <w:tcBorders>
              <w:top w:val="nil"/>
              <w:bottom w:val="nil"/>
              <w:right w:val="nil"/>
            </w:tcBorders>
            <w:shd w:val="clear" w:color="auto" w:fill="auto"/>
          </w:tcPr>
          <w:p w14:paraId="2AABA77D"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&lt;</w:t>
            </w:r>
            <w:r w:rsidRPr="0012454B">
              <w:rPr>
                <w:lang w:eastAsia="zh-CN"/>
              </w:rPr>
              <w:t xml:space="preserve"> </w:t>
            </w:r>
            <w:r w:rsidRPr="0012454B">
              <w:t>0.005</w:t>
            </w:r>
          </w:p>
        </w:tc>
      </w:tr>
      <w:tr w:rsidR="006E0517" w:rsidRPr="0012454B" w14:paraId="13EF325B" w14:textId="77777777" w:rsidTr="00586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Borders>
              <w:top w:val="nil"/>
            </w:tcBorders>
            <w:shd w:val="clear" w:color="auto" w:fill="auto"/>
          </w:tcPr>
          <w:p w14:paraId="76B68BD6" w14:textId="77777777" w:rsidR="006E0517" w:rsidRPr="0012454B" w:rsidRDefault="006E0517" w:rsidP="00B67644">
            <w:pPr>
              <w:spacing w:before="0"/>
              <w:jc w:val="left"/>
              <w:rPr>
                <w:i w:val="0"/>
                <w:color w:val="000000" w:themeColor="text1"/>
              </w:rPr>
            </w:pPr>
            <w:r w:rsidRPr="0012454B">
              <w:rPr>
                <w:i w:val="0"/>
                <w:color w:val="000000" w:themeColor="text1"/>
              </w:rPr>
              <w:t>Epithelial glands</w:t>
            </w:r>
          </w:p>
        </w:tc>
        <w:tc>
          <w:tcPr>
            <w:tcW w:w="971" w:type="dxa"/>
            <w:tcBorders>
              <w:top w:val="nil"/>
              <w:bottom w:val="nil"/>
            </w:tcBorders>
            <w:shd w:val="clear" w:color="auto" w:fill="auto"/>
          </w:tcPr>
          <w:p w14:paraId="541F90A5"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1 (100)</w:t>
            </w:r>
          </w:p>
        </w:tc>
        <w:tc>
          <w:tcPr>
            <w:tcW w:w="992" w:type="dxa"/>
            <w:tcBorders>
              <w:top w:val="nil"/>
              <w:bottom w:val="nil"/>
            </w:tcBorders>
            <w:shd w:val="clear" w:color="auto" w:fill="auto"/>
          </w:tcPr>
          <w:p w14:paraId="59FCE62D"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6 (100)</w:t>
            </w:r>
          </w:p>
        </w:tc>
        <w:tc>
          <w:tcPr>
            <w:tcW w:w="992" w:type="dxa"/>
            <w:tcBorders>
              <w:top w:val="nil"/>
              <w:bottom w:val="nil"/>
            </w:tcBorders>
            <w:shd w:val="clear" w:color="auto" w:fill="auto"/>
          </w:tcPr>
          <w:p w14:paraId="56173D30"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6 (100)</w:t>
            </w:r>
          </w:p>
        </w:tc>
        <w:tc>
          <w:tcPr>
            <w:tcW w:w="1230" w:type="dxa"/>
            <w:tcBorders>
              <w:top w:val="nil"/>
              <w:bottom w:val="nil"/>
            </w:tcBorders>
            <w:shd w:val="clear" w:color="auto" w:fill="auto"/>
          </w:tcPr>
          <w:p w14:paraId="54934968"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9 (100)</w:t>
            </w:r>
          </w:p>
        </w:tc>
        <w:tc>
          <w:tcPr>
            <w:tcW w:w="1665" w:type="dxa"/>
            <w:tcBorders>
              <w:top w:val="nil"/>
              <w:bottom w:val="nil"/>
            </w:tcBorders>
            <w:shd w:val="clear" w:color="auto" w:fill="auto"/>
          </w:tcPr>
          <w:p w14:paraId="3173F4FF"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12 (100)</w:t>
            </w:r>
          </w:p>
        </w:tc>
        <w:tc>
          <w:tcPr>
            <w:tcW w:w="1471" w:type="dxa"/>
            <w:tcBorders>
              <w:top w:val="nil"/>
              <w:bottom w:val="nil"/>
            </w:tcBorders>
            <w:shd w:val="clear" w:color="auto" w:fill="auto"/>
          </w:tcPr>
          <w:p w14:paraId="488AA8C9"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7 (100)</w:t>
            </w:r>
          </w:p>
        </w:tc>
        <w:tc>
          <w:tcPr>
            <w:tcW w:w="1506" w:type="dxa"/>
            <w:tcBorders>
              <w:top w:val="nil"/>
              <w:bottom w:val="nil"/>
            </w:tcBorders>
            <w:shd w:val="clear" w:color="auto" w:fill="auto"/>
          </w:tcPr>
          <w:p w14:paraId="0A7A122C"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27 (100)</w:t>
            </w:r>
          </w:p>
        </w:tc>
        <w:tc>
          <w:tcPr>
            <w:tcW w:w="1134" w:type="dxa"/>
            <w:tcBorders>
              <w:top w:val="nil"/>
              <w:bottom w:val="nil"/>
              <w:right w:val="nil"/>
            </w:tcBorders>
            <w:shd w:val="clear" w:color="auto" w:fill="auto"/>
          </w:tcPr>
          <w:p w14:paraId="0817CBB9" w14:textId="77777777" w:rsidR="006E0517" w:rsidRPr="0012454B" w:rsidRDefault="006E0517" w:rsidP="00B67644">
            <w:pPr>
              <w:spacing w:before="0"/>
              <w:cnfStyle w:val="000000100000" w:firstRow="0" w:lastRow="0" w:firstColumn="0" w:lastColumn="0" w:oddVBand="0" w:evenVBand="0" w:oddHBand="1" w:evenHBand="0" w:firstRowFirstColumn="0" w:firstRowLastColumn="0" w:lastRowFirstColumn="0" w:lastRowLastColumn="0"/>
            </w:pPr>
            <w:r w:rsidRPr="0012454B">
              <w:t>NS</w:t>
            </w:r>
          </w:p>
        </w:tc>
      </w:tr>
      <w:tr w:rsidR="006E0517" w:rsidRPr="0012454B" w14:paraId="39F54429" w14:textId="77777777" w:rsidTr="005869E2">
        <w:tc>
          <w:tcPr>
            <w:cnfStyle w:val="001000000000" w:firstRow="0" w:lastRow="0" w:firstColumn="1" w:lastColumn="0" w:oddVBand="0" w:evenVBand="0" w:oddHBand="0" w:evenHBand="0" w:firstRowFirstColumn="0" w:firstRowLastColumn="0" w:lastRowFirstColumn="0" w:lastRowLastColumn="0"/>
            <w:tcW w:w="1663" w:type="dxa"/>
            <w:tcBorders>
              <w:top w:val="nil"/>
              <w:bottom w:val="single" w:sz="4" w:space="0" w:color="000000" w:themeColor="text1"/>
            </w:tcBorders>
            <w:shd w:val="clear" w:color="auto" w:fill="auto"/>
          </w:tcPr>
          <w:p w14:paraId="5A6B7EBC" w14:textId="77777777" w:rsidR="006E0517" w:rsidRPr="0012454B" w:rsidRDefault="006E0517" w:rsidP="00B67644">
            <w:pPr>
              <w:spacing w:before="0"/>
              <w:jc w:val="left"/>
              <w:rPr>
                <w:i w:val="0"/>
                <w:color w:val="000000" w:themeColor="text1"/>
              </w:rPr>
            </w:pPr>
            <w:r w:rsidRPr="0012454B">
              <w:rPr>
                <w:i w:val="0"/>
                <w:color w:val="000000" w:themeColor="text1"/>
              </w:rPr>
              <w:t>Anomalous glands</w:t>
            </w:r>
          </w:p>
        </w:tc>
        <w:tc>
          <w:tcPr>
            <w:tcW w:w="971" w:type="dxa"/>
            <w:tcBorders>
              <w:top w:val="nil"/>
              <w:bottom w:val="single" w:sz="4" w:space="0" w:color="000000" w:themeColor="text1"/>
            </w:tcBorders>
            <w:shd w:val="clear" w:color="auto" w:fill="auto"/>
          </w:tcPr>
          <w:p w14:paraId="68E9DC8B"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1 (100)</w:t>
            </w:r>
          </w:p>
        </w:tc>
        <w:tc>
          <w:tcPr>
            <w:tcW w:w="992" w:type="dxa"/>
            <w:tcBorders>
              <w:top w:val="nil"/>
              <w:bottom w:val="single" w:sz="4" w:space="0" w:color="000000" w:themeColor="text1"/>
            </w:tcBorders>
            <w:shd w:val="clear" w:color="auto" w:fill="auto"/>
          </w:tcPr>
          <w:p w14:paraId="6EBEB010"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6 (100)</w:t>
            </w:r>
          </w:p>
        </w:tc>
        <w:tc>
          <w:tcPr>
            <w:tcW w:w="992" w:type="dxa"/>
            <w:tcBorders>
              <w:top w:val="nil"/>
              <w:bottom w:val="single" w:sz="4" w:space="0" w:color="000000" w:themeColor="text1"/>
            </w:tcBorders>
            <w:shd w:val="clear" w:color="auto" w:fill="auto"/>
          </w:tcPr>
          <w:p w14:paraId="24754169"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5 (83)</w:t>
            </w:r>
          </w:p>
        </w:tc>
        <w:tc>
          <w:tcPr>
            <w:tcW w:w="1230" w:type="dxa"/>
            <w:tcBorders>
              <w:top w:val="nil"/>
              <w:bottom w:val="single" w:sz="4" w:space="0" w:color="000000" w:themeColor="text1"/>
            </w:tcBorders>
            <w:shd w:val="clear" w:color="auto" w:fill="auto"/>
          </w:tcPr>
          <w:p w14:paraId="415B2CB1"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6 (67)</w:t>
            </w:r>
          </w:p>
        </w:tc>
        <w:tc>
          <w:tcPr>
            <w:tcW w:w="1665" w:type="dxa"/>
            <w:tcBorders>
              <w:top w:val="nil"/>
              <w:bottom w:val="single" w:sz="4" w:space="0" w:color="000000" w:themeColor="text1"/>
            </w:tcBorders>
            <w:shd w:val="clear" w:color="auto" w:fill="auto"/>
          </w:tcPr>
          <w:p w14:paraId="61CE4A15"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5 (42)</w:t>
            </w:r>
          </w:p>
        </w:tc>
        <w:tc>
          <w:tcPr>
            <w:tcW w:w="1471" w:type="dxa"/>
            <w:tcBorders>
              <w:top w:val="nil"/>
              <w:bottom w:val="single" w:sz="4" w:space="0" w:color="000000" w:themeColor="text1"/>
            </w:tcBorders>
            <w:shd w:val="clear" w:color="auto" w:fill="auto"/>
          </w:tcPr>
          <w:p w14:paraId="41FCE1EB"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7 (100)</w:t>
            </w:r>
          </w:p>
        </w:tc>
        <w:tc>
          <w:tcPr>
            <w:tcW w:w="1506" w:type="dxa"/>
            <w:tcBorders>
              <w:top w:val="nil"/>
              <w:bottom w:val="single" w:sz="4" w:space="0" w:color="000000" w:themeColor="text1"/>
            </w:tcBorders>
            <w:shd w:val="clear" w:color="auto" w:fill="auto"/>
          </w:tcPr>
          <w:p w14:paraId="1D73C97E"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16 (59)</w:t>
            </w:r>
          </w:p>
        </w:tc>
        <w:tc>
          <w:tcPr>
            <w:tcW w:w="1134" w:type="dxa"/>
            <w:tcBorders>
              <w:top w:val="nil"/>
              <w:bottom w:val="single" w:sz="4" w:space="0" w:color="000000" w:themeColor="text1"/>
              <w:right w:val="nil"/>
            </w:tcBorders>
            <w:shd w:val="clear" w:color="auto" w:fill="auto"/>
          </w:tcPr>
          <w:p w14:paraId="7E05A76F" w14:textId="77777777" w:rsidR="006E0517" w:rsidRPr="0012454B" w:rsidRDefault="006E0517" w:rsidP="00B67644">
            <w:pPr>
              <w:spacing w:before="0"/>
              <w:cnfStyle w:val="000000000000" w:firstRow="0" w:lastRow="0" w:firstColumn="0" w:lastColumn="0" w:oddVBand="0" w:evenVBand="0" w:oddHBand="0" w:evenHBand="0" w:firstRowFirstColumn="0" w:firstRowLastColumn="0" w:lastRowFirstColumn="0" w:lastRowLastColumn="0"/>
            </w:pPr>
            <w:r w:rsidRPr="0012454B">
              <w:t>&lt;</w:t>
            </w:r>
            <w:r w:rsidRPr="0012454B">
              <w:rPr>
                <w:lang w:eastAsia="zh-CN"/>
              </w:rPr>
              <w:t xml:space="preserve"> </w:t>
            </w:r>
            <w:r w:rsidRPr="0012454B">
              <w:t>0.05</w:t>
            </w:r>
          </w:p>
        </w:tc>
      </w:tr>
    </w:tbl>
    <w:p w14:paraId="181637C5" w14:textId="18372C12" w:rsidR="006E0517" w:rsidRPr="00B02C42" w:rsidRDefault="006E0517" w:rsidP="006E0517">
      <w:pPr>
        <w:spacing w:before="0"/>
        <w:rPr>
          <w:lang w:eastAsia="zh-CN"/>
        </w:rPr>
      </w:pPr>
      <w:r w:rsidRPr="0012454B">
        <w:rPr>
          <w:rFonts w:hint="eastAsia"/>
          <w:color w:val="000000" w:themeColor="text1"/>
          <w:vertAlign w:val="superscript"/>
          <w:lang w:eastAsia="zh-CN"/>
        </w:rPr>
        <w:t>1</w:t>
      </w:r>
      <w:r w:rsidRPr="0012454B">
        <w:rPr>
          <w:color w:val="000000" w:themeColor="text1"/>
        </w:rPr>
        <w:t>Neoplastic</w:t>
      </w:r>
      <w:r w:rsidRPr="0012454B">
        <w:rPr>
          <w:rFonts w:hint="eastAsia"/>
          <w:color w:val="000000" w:themeColor="text1"/>
          <w:lang w:eastAsia="zh-CN"/>
        </w:rPr>
        <w:t>:</w:t>
      </w:r>
      <w:r w:rsidRPr="0012454B">
        <w:rPr>
          <w:color w:val="000000" w:themeColor="text1"/>
        </w:rPr>
        <w:t xml:space="preserve"> HGD + IMC</w:t>
      </w:r>
      <w:r w:rsidRPr="0012454B">
        <w:rPr>
          <w:rFonts w:hint="eastAsia"/>
          <w:color w:val="000000" w:themeColor="text1"/>
          <w:lang w:eastAsia="zh-CN"/>
        </w:rPr>
        <w:t xml:space="preserve">; </w:t>
      </w:r>
      <w:r w:rsidRPr="0012454B">
        <w:rPr>
          <w:rFonts w:hint="eastAsia"/>
          <w:color w:val="000000" w:themeColor="text1"/>
          <w:vertAlign w:val="superscript"/>
          <w:lang w:eastAsia="zh-CN"/>
        </w:rPr>
        <w:t>2</w:t>
      </w:r>
      <w:r w:rsidRPr="0012454B">
        <w:rPr>
          <w:color w:val="000000" w:themeColor="text1"/>
        </w:rPr>
        <w:t>Non-neoplastic</w:t>
      </w:r>
      <w:r w:rsidRPr="0012454B">
        <w:rPr>
          <w:rFonts w:hint="eastAsia"/>
          <w:color w:val="000000" w:themeColor="text1"/>
          <w:lang w:eastAsia="zh-CN"/>
        </w:rPr>
        <w:t>:</w:t>
      </w:r>
      <w:r w:rsidRPr="0012454B">
        <w:rPr>
          <w:color w:val="000000" w:themeColor="text1"/>
        </w:rPr>
        <w:t xml:space="preserve"> NDBE + IGC + NL</w:t>
      </w:r>
      <w:r w:rsidRPr="0012454B">
        <w:rPr>
          <w:rFonts w:hint="eastAsia"/>
          <w:color w:val="000000" w:themeColor="text1"/>
          <w:lang w:eastAsia="zh-CN"/>
        </w:rPr>
        <w:t xml:space="preserve">; </w:t>
      </w:r>
      <w:r w:rsidRPr="0012454B">
        <w:rPr>
          <w:rFonts w:hint="eastAsia"/>
          <w:color w:val="000000" w:themeColor="text1"/>
          <w:vertAlign w:val="superscript"/>
          <w:lang w:eastAsia="zh-CN"/>
        </w:rPr>
        <w:t>3</w:t>
      </w:r>
      <w:r w:rsidRPr="0012454B">
        <w:rPr>
          <w:i/>
          <w:color w:val="000000" w:themeColor="text1"/>
        </w:rPr>
        <w:t xml:space="preserve"> P</w:t>
      </w:r>
      <w:r w:rsidRPr="0012454B">
        <w:rPr>
          <w:color w:val="000000" w:themeColor="text1"/>
        </w:rPr>
        <w:t xml:space="preserve"> value</w:t>
      </w:r>
      <w:r w:rsidRPr="0012454B">
        <w:rPr>
          <w:rFonts w:hint="eastAsia"/>
          <w:color w:val="000000" w:themeColor="text1"/>
          <w:lang w:eastAsia="zh-CN"/>
        </w:rPr>
        <w:t>:</w:t>
      </w:r>
      <w:r w:rsidRPr="0012454B">
        <w:rPr>
          <w:color w:val="000000" w:themeColor="text1"/>
        </w:rPr>
        <w:t xml:space="preserve"> Neoplastic</w:t>
      </w:r>
      <w:r w:rsidRPr="0012454B">
        <w:rPr>
          <w:i/>
          <w:color w:val="000000" w:themeColor="text1"/>
        </w:rPr>
        <w:t xml:space="preserve"> vs </w:t>
      </w:r>
      <w:r w:rsidRPr="0012454B">
        <w:rPr>
          <w:color w:val="000000" w:themeColor="text1"/>
        </w:rPr>
        <w:t>non-neoplastic</w:t>
      </w:r>
      <w:r w:rsidRPr="0012454B">
        <w:rPr>
          <w:rFonts w:hint="eastAsia"/>
          <w:color w:val="000000" w:themeColor="text1"/>
          <w:lang w:eastAsia="zh-CN"/>
        </w:rPr>
        <w:t xml:space="preserve">. </w:t>
      </w:r>
      <w:r w:rsidRPr="0012454B">
        <w:rPr>
          <w:color w:val="000000" w:themeColor="text1"/>
        </w:rPr>
        <w:t>IMC</w:t>
      </w:r>
      <w:r w:rsidRPr="0012454B">
        <w:rPr>
          <w:rFonts w:hint="eastAsia"/>
          <w:color w:val="000000" w:themeColor="text1"/>
          <w:lang w:eastAsia="zh-CN"/>
        </w:rPr>
        <w:t>:</w:t>
      </w:r>
      <w:r w:rsidRPr="0012454B">
        <w:t xml:space="preserve"> Intramucosal</w:t>
      </w:r>
      <w:r w:rsidRPr="00C850EC">
        <w:t xml:space="preserve"> carcinoma</w:t>
      </w:r>
      <w:r w:rsidRPr="00C850EC">
        <w:rPr>
          <w:rFonts w:hint="eastAsia"/>
          <w:lang w:eastAsia="zh-CN"/>
        </w:rPr>
        <w:t xml:space="preserve">; </w:t>
      </w:r>
      <w:r w:rsidRPr="00C850EC">
        <w:rPr>
          <w:color w:val="000000" w:themeColor="text1"/>
        </w:rPr>
        <w:t>HGD</w:t>
      </w:r>
      <w:r w:rsidRPr="00C850EC">
        <w:rPr>
          <w:rFonts w:hint="eastAsia"/>
          <w:color w:val="000000" w:themeColor="text1"/>
          <w:lang w:eastAsia="zh-CN"/>
        </w:rPr>
        <w:t xml:space="preserve">: </w:t>
      </w:r>
      <w:r w:rsidRPr="00C850EC">
        <w:t>High-grade dysplasia</w:t>
      </w:r>
      <w:r w:rsidRPr="00C850EC">
        <w:rPr>
          <w:rFonts w:hint="eastAsia"/>
          <w:lang w:eastAsia="zh-CN"/>
        </w:rPr>
        <w:t>;</w:t>
      </w:r>
      <w:r w:rsidRPr="00C850EC">
        <w:t xml:space="preserve"> </w:t>
      </w:r>
      <w:r w:rsidRPr="00C850EC">
        <w:rPr>
          <w:color w:val="000000" w:themeColor="text1"/>
        </w:rPr>
        <w:t>LGD</w:t>
      </w:r>
      <w:r w:rsidRPr="00C850EC">
        <w:rPr>
          <w:rFonts w:hint="eastAsia"/>
          <w:color w:val="000000" w:themeColor="text1"/>
          <w:lang w:eastAsia="zh-CN"/>
        </w:rPr>
        <w:t>:</w:t>
      </w:r>
      <w:r w:rsidRPr="00C850EC">
        <w:t xml:space="preserve"> Low grade dysplasia</w:t>
      </w:r>
      <w:r w:rsidRPr="00C850EC">
        <w:rPr>
          <w:rFonts w:hint="eastAsia"/>
          <w:lang w:eastAsia="zh-CN"/>
        </w:rPr>
        <w:t>;</w:t>
      </w:r>
      <w:r w:rsidRPr="00C850EC">
        <w:rPr>
          <w:color w:val="000000" w:themeColor="text1"/>
        </w:rPr>
        <w:t xml:space="preserve"> NDBE</w:t>
      </w:r>
      <w:r w:rsidRPr="00C850EC">
        <w:rPr>
          <w:rFonts w:hint="eastAsia"/>
          <w:color w:val="000000" w:themeColor="text1"/>
          <w:lang w:eastAsia="zh-CN"/>
        </w:rPr>
        <w:t>:</w:t>
      </w:r>
      <w:r w:rsidRPr="00C850EC">
        <w:t xml:space="preserve"> Barrett’s without no dysplasia</w:t>
      </w:r>
      <w:r w:rsidRPr="00C850EC">
        <w:rPr>
          <w:rFonts w:hint="eastAsia"/>
          <w:lang w:eastAsia="zh-CN"/>
        </w:rPr>
        <w:t>;</w:t>
      </w:r>
      <w:r w:rsidRPr="00C850EC">
        <w:rPr>
          <w:color w:val="000000" w:themeColor="text1"/>
        </w:rPr>
        <w:t xml:space="preserve"> IGC</w:t>
      </w:r>
      <w:r w:rsidRPr="00C850EC">
        <w:rPr>
          <w:rFonts w:hint="eastAsia"/>
          <w:color w:val="000000" w:themeColor="text1"/>
          <w:lang w:eastAsia="zh-CN"/>
        </w:rPr>
        <w:t>:</w:t>
      </w:r>
      <w:r w:rsidRPr="00C850EC">
        <w:t xml:space="preserve"> Inflamed gastric cardia</w:t>
      </w:r>
      <w:r w:rsidRPr="00C850EC">
        <w:rPr>
          <w:rFonts w:hint="eastAsia"/>
          <w:lang w:eastAsia="zh-CN"/>
        </w:rPr>
        <w:t>;</w:t>
      </w:r>
      <w:r w:rsidRPr="00C850EC">
        <w:rPr>
          <w:color w:val="000000" w:themeColor="text1"/>
        </w:rPr>
        <w:t xml:space="preserve"> NL</w:t>
      </w:r>
      <w:r w:rsidRPr="00C850EC">
        <w:rPr>
          <w:rFonts w:hint="eastAsia"/>
          <w:color w:val="000000" w:themeColor="text1"/>
          <w:lang w:eastAsia="zh-CN"/>
        </w:rPr>
        <w:t>:</w:t>
      </w:r>
      <w:r w:rsidRPr="00C850EC">
        <w:t xml:space="preserve"> Normal mucosa</w:t>
      </w:r>
      <w:r w:rsidRPr="00C850EC">
        <w:rPr>
          <w:rFonts w:hint="eastAsia"/>
          <w:lang w:eastAsia="zh-CN"/>
        </w:rPr>
        <w:t>.</w:t>
      </w:r>
      <w:r w:rsidR="00915447">
        <w:rPr>
          <w:rFonts w:hint="eastAsia"/>
          <w:lang w:eastAsia="zh-CN"/>
        </w:rPr>
        <w:t xml:space="preserve"> </w:t>
      </w:r>
    </w:p>
    <w:sectPr w:rsidR="006E0517" w:rsidRPr="00B02C42" w:rsidSect="00C850EC">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5E590A" w15:done="0"/>
  <w15:commentEx w15:paraId="17E2C61B" w15:done="0"/>
  <w15:commentEx w15:paraId="2F8F9F52" w15:done="0"/>
  <w15:commentEx w15:paraId="5DFC5218" w15:done="0"/>
  <w15:commentEx w15:paraId="7F17018F" w15:done="0"/>
  <w15:commentEx w15:paraId="44B15040" w15:done="0"/>
  <w15:commentEx w15:paraId="44E0A4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43D577" w14:textId="77777777" w:rsidR="006C78D0" w:rsidRDefault="006C78D0" w:rsidP="00292555">
      <w:r>
        <w:separator/>
      </w:r>
    </w:p>
  </w:endnote>
  <w:endnote w:type="continuationSeparator" w:id="0">
    <w:p w14:paraId="7954A90C" w14:textId="77777777" w:rsidR="006C78D0" w:rsidRDefault="006C78D0" w:rsidP="00292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5A4254" w14:textId="77777777" w:rsidR="006C78D0" w:rsidRDefault="006C78D0" w:rsidP="00397812">
      <w:r>
        <w:separator/>
      </w:r>
    </w:p>
  </w:footnote>
  <w:footnote w:type="continuationSeparator" w:id="0">
    <w:p w14:paraId="2406AAFB" w14:textId="77777777" w:rsidR="006C78D0" w:rsidRDefault="006C78D0" w:rsidP="002925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DF4EB8"/>
    <w:multiLevelType w:val="hybridMultilevel"/>
    <w:tmpl w:val="75A47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FF060A"/>
    <w:multiLevelType w:val="hybridMultilevel"/>
    <w:tmpl w:val="9A6CC022"/>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91C"/>
    <w:rsid w:val="00007DD0"/>
    <w:rsid w:val="00007E23"/>
    <w:rsid w:val="0001213A"/>
    <w:rsid w:val="0001348E"/>
    <w:rsid w:val="00013A35"/>
    <w:rsid w:val="00015703"/>
    <w:rsid w:val="000165A3"/>
    <w:rsid w:val="00020E29"/>
    <w:rsid w:val="000220A6"/>
    <w:rsid w:val="000250B7"/>
    <w:rsid w:val="0003231F"/>
    <w:rsid w:val="000453E8"/>
    <w:rsid w:val="0005043E"/>
    <w:rsid w:val="000537CF"/>
    <w:rsid w:val="000548DF"/>
    <w:rsid w:val="00054D5C"/>
    <w:rsid w:val="00057359"/>
    <w:rsid w:val="00066614"/>
    <w:rsid w:val="00071275"/>
    <w:rsid w:val="00073F7B"/>
    <w:rsid w:val="00080E95"/>
    <w:rsid w:val="00083CD5"/>
    <w:rsid w:val="000864C0"/>
    <w:rsid w:val="00091485"/>
    <w:rsid w:val="0009291F"/>
    <w:rsid w:val="00095AB8"/>
    <w:rsid w:val="000A1A55"/>
    <w:rsid w:val="000A1E74"/>
    <w:rsid w:val="000B0FA2"/>
    <w:rsid w:val="000B14E7"/>
    <w:rsid w:val="000B2753"/>
    <w:rsid w:val="000B37D0"/>
    <w:rsid w:val="000B5162"/>
    <w:rsid w:val="000B6B2F"/>
    <w:rsid w:val="000B7A02"/>
    <w:rsid w:val="000C1FF8"/>
    <w:rsid w:val="000C25D3"/>
    <w:rsid w:val="000D2E95"/>
    <w:rsid w:val="000D4BCE"/>
    <w:rsid w:val="000D4C2D"/>
    <w:rsid w:val="000D52F9"/>
    <w:rsid w:val="000D7B24"/>
    <w:rsid w:val="000E1A8E"/>
    <w:rsid w:val="000E278B"/>
    <w:rsid w:val="000E627D"/>
    <w:rsid w:val="000E640F"/>
    <w:rsid w:val="001019C9"/>
    <w:rsid w:val="00103235"/>
    <w:rsid w:val="00103BC9"/>
    <w:rsid w:val="001053C5"/>
    <w:rsid w:val="00115CA4"/>
    <w:rsid w:val="00120753"/>
    <w:rsid w:val="0012112D"/>
    <w:rsid w:val="00121E88"/>
    <w:rsid w:val="001222FC"/>
    <w:rsid w:val="0012454B"/>
    <w:rsid w:val="00131777"/>
    <w:rsid w:val="00132431"/>
    <w:rsid w:val="0013315F"/>
    <w:rsid w:val="00136B13"/>
    <w:rsid w:val="00142C74"/>
    <w:rsid w:val="00147893"/>
    <w:rsid w:val="001504D4"/>
    <w:rsid w:val="0015137B"/>
    <w:rsid w:val="001615A3"/>
    <w:rsid w:val="001621C6"/>
    <w:rsid w:val="00162850"/>
    <w:rsid w:val="00165A73"/>
    <w:rsid w:val="00166E30"/>
    <w:rsid w:val="00170BFD"/>
    <w:rsid w:val="001732C1"/>
    <w:rsid w:val="00181923"/>
    <w:rsid w:val="00196107"/>
    <w:rsid w:val="001A3360"/>
    <w:rsid w:val="001A468D"/>
    <w:rsid w:val="001A5707"/>
    <w:rsid w:val="001A5D16"/>
    <w:rsid w:val="001A7858"/>
    <w:rsid w:val="001A7EE8"/>
    <w:rsid w:val="001B1432"/>
    <w:rsid w:val="001B1434"/>
    <w:rsid w:val="001C012F"/>
    <w:rsid w:val="001C06F1"/>
    <w:rsid w:val="001C216C"/>
    <w:rsid w:val="001C298C"/>
    <w:rsid w:val="001D00B2"/>
    <w:rsid w:val="001D35DE"/>
    <w:rsid w:val="001D60BF"/>
    <w:rsid w:val="001E21D4"/>
    <w:rsid w:val="001E311F"/>
    <w:rsid w:val="001E4102"/>
    <w:rsid w:val="001F5CCB"/>
    <w:rsid w:val="0020155E"/>
    <w:rsid w:val="00202488"/>
    <w:rsid w:val="00203190"/>
    <w:rsid w:val="00210FB5"/>
    <w:rsid w:val="002234A3"/>
    <w:rsid w:val="002307CA"/>
    <w:rsid w:val="0023348A"/>
    <w:rsid w:val="002458B4"/>
    <w:rsid w:val="002505EE"/>
    <w:rsid w:val="0025428E"/>
    <w:rsid w:val="00254A2B"/>
    <w:rsid w:val="0026295C"/>
    <w:rsid w:val="0026502E"/>
    <w:rsid w:val="00274246"/>
    <w:rsid w:val="00276365"/>
    <w:rsid w:val="00277B1D"/>
    <w:rsid w:val="0028436B"/>
    <w:rsid w:val="00284D79"/>
    <w:rsid w:val="002858E1"/>
    <w:rsid w:val="00285F28"/>
    <w:rsid w:val="002901EC"/>
    <w:rsid w:val="00292555"/>
    <w:rsid w:val="00296343"/>
    <w:rsid w:val="0029728A"/>
    <w:rsid w:val="002A0D09"/>
    <w:rsid w:val="002A4F5D"/>
    <w:rsid w:val="002A7B24"/>
    <w:rsid w:val="002B084B"/>
    <w:rsid w:val="002B30A8"/>
    <w:rsid w:val="002B3960"/>
    <w:rsid w:val="002B4DFA"/>
    <w:rsid w:val="002B68CE"/>
    <w:rsid w:val="002C077A"/>
    <w:rsid w:val="002D48FC"/>
    <w:rsid w:val="002E29C4"/>
    <w:rsid w:val="002E3FBA"/>
    <w:rsid w:val="00310E78"/>
    <w:rsid w:val="00323B77"/>
    <w:rsid w:val="0032570E"/>
    <w:rsid w:val="00326932"/>
    <w:rsid w:val="00332087"/>
    <w:rsid w:val="0033423E"/>
    <w:rsid w:val="00337041"/>
    <w:rsid w:val="00344425"/>
    <w:rsid w:val="00344959"/>
    <w:rsid w:val="003543E8"/>
    <w:rsid w:val="003553C8"/>
    <w:rsid w:val="00356BAC"/>
    <w:rsid w:val="00361668"/>
    <w:rsid w:val="00361673"/>
    <w:rsid w:val="003630A6"/>
    <w:rsid w:val="003637EB"/>
    <w:rsid w:val="00371D32"/>
    <w:rsid w:val="003762EF"/>
    <w:rsid w:val="00380592"/>
    <w:rsid w:val="00383FB2"/>
    <w:rsid w:val="003870CA"/>
    <w:rsid w:val="00390D89"/>
    <w:rsid w:val="00394808"/>
    <w:rsid w:val="003949BD"/>
    <w:rsid w:val="00397812"/>
    <w:rsid w:val="003A0A8F"/>
    <w:rsid w:val="003A206F"/>
    <w:rsid w:val="003A738E"/>
    <w:rsid w:val="003B3FDE"/>
    <w:rsid w:val="003B451A"/>
    <w:rsid w:val="003C0ECD"/>
    <w:rsid w:val="003C363A"/>
    <w:rsid w:val="003C45B6"/>
    <w:rsid w:val="003C463E"/>
    <w:rsid w:val="003C63F7"/>
    <w:rsid w:val="003E078D"/>
    <w:rsid w:val="003F08BC"/>
    <w:rsid w:val="00400314"/>
    <w:rsid w:val="00401C7D"/>
    <w:rsid w:val="004024FD"/>
    <w:rsid w:val="00404295"/>
    <w:rsid w:val="0041404B"/>
    <w:rsid w:val="00417E54"/>
    <w:rsid w:val="004301C4"/>
    <w:rsid w:val="00434A98"/>
    <w:rsid w:val="00443101"/>
    <w:rsid w:val="00443AFD"/>
    <w:rsid w:val="0045275F"/>
    <w:rsid w:val="0045646F"/>
    <w:rsid w:val="00457F6C"/>
    <w:rsid w:val="00470767"/>
    <w:rsid w:val="004755AE"/>
    <w:rsid w:val="00481C3C"/>
    <w:rsid w:val="00484718"/>
    <w:rsid w:val="004900E6"/>
    <w:rsid w:val="00490601"/>
    <w:rsid w:val="00491609"/>
    <w:rsid w:val="004A500A"/>
    <w:rsid w:val="004A51F6"/>
    <w:rsid w:val="004B05CD"/>
    <w:rsid w:val="004B1DC2"/>
    <w:rsid w:val="004B3FC9"/>
    <w:rsid w:val="004C023F"/>
    <w:rsid w:val="004F44FE"/>
    <w:rsid w:val="004F4CCA"/>
    <w:rsid w:val="004F7E0C"/>
    <w:rsid w:val="00501DFA"/>
    <w:rsid w:val="00503060"/>
    <w:rsid w:val="00503094"/>
    <w:rsid w:val="005035B5"/>
    <w:rsid w:val="00504980"/>
    <w:rsid w:val="00507183"/>
    <w:rsid w:val="0051283E"/>
    <w:rsid w:val="00523D78"/>
    <w:rsid w:val="00524C71"/>
    <w:rsid w:val="00531D7D"/>
    <w:rsid w:val="005339C3"/>
    <w:rsid w:val="00541A4C"/>
    <w:rsid w:val="00542224"/>
    <w:rsid w:val="00544AC5"/>
    <w:rsid w:val="005463B9"/>
    <w:rsid w:val="00547B2D"/>
    <w:rsid w:val="00553368"/>
    <w:rsid w:val="00555782"/>
    <w:rsid w:val="005621DE"/>
    <w:rsid w:val="00562345"/>
    <w:rsid w:val="00562702"/>
    <w:rsid w:val="0056371E"/>
    <w:rsid w:val="005702A9"/>
    <w:rsid w:val="00573639"/>
    <w:rsid w:val="00577C46"/>
    <w:rsid w:val="00581BE2"/>
    <w:rsid w:val="005832E5"/>
    <w:rsid w:val="00583BCA"/>
    <w:rsid w:val="005857BC"/>
    <w:rsid w:val="005869E2"/>
    <w:rsid w:val="00591AAE"/>
    <w:rsid w:val="00593FFB"/>
    <w:rsid w:val="00594C65"/>
    <w:rsid w:val="005954CB"/>
    <w:rsid w:val="005A02D1"/>
    <w:rsid w:val="005A0623"/>
    <w:rsid w:val="005A1939"/>
    <w:rsid w:val="005A31AC"/>
    <w:rsid w:val="005A42FD"/>
    <w:rsid w:val="005A4CD8"/>
    <w:rsid w:val="005C091C"/>
    <w:rsid w:val="005C3B17"/>
    <w:rsid w:val="005C5666"/>
    <w:rsid w:val="005C6044"/>
    <w:rsid w:val="005C6D2E"/>
    <w:rsid w:val="005D046B"/>
    <w:rsid w:val="005D1049"/>
    <w:rsid w:val="005D5F19"/>
    <w:rsid w:val="005E0CC7"/>
    <w:rsid w:val="005E47AD"/>
    <w:rsid w:val="005F0523"/>
    <w:rsid w:val="005F2B12"/>
    <w:rsid w:val="005F3B40"/>
    <w:rsid w:val="00600CE1"/>
    <w:rsid w:val="0060664C"/>
    <w:rsid w:val="006207CC"/>
    <w:rsid w:val="006210B8"/>
    <w:rsid w:val="006450D8"/>
    <w:rsid w:val="00645963"/>
    <w:rsid w:val="006535CC"/>
    <w:rsid w:val="00653F0B"/>
    <w:rsid w:val="006650D1"/>
    <w:rsid w:val="00665FA0"/>
    <w:rsid w:val="00680716"/>
    <w:rsid w:val="00685E7D"/>
    <w:rsid w:val="00686F24"/>
    <w:rsid w:val="00692F14"/>
    <w:rsid w:val="00695095"/>
    <w:rsid w:val="0069659E"/>
    <w:rsid w:val="006A0381"/>
    <w:rsid w:val="006A3887"/>
    <w:rsid w:val="006A5D37"/>
    <w:rsid w:val="006B42D6"/>
    <w:rsid w:val="006C49CC"/>
    <w:rsid w:val="006C6759"/>
    <w:rsid w:val="006C78D0"/>
    <w:rsid w:val="006D0240"/>
    <w:rsid w:val="006D32D5"/>
    <w:rsid w:val="006D5339"/>
    <w:rsid w:val="006E0517"/>
    <w:rsid w:val="006E1808"/>
    <w:rsid w:val="006E1BAC"/>
    <w:rsid w:val="006E267C"/>
    <w:rsid w:val="006E279F"/>
    <w:rsid w:val="006E41C7"/>
    <w:rsid w:val="006F3D6F"/>
    <w:rsid w:val="006F3F25"/>
    <w:rsid w:val="006F619B"/>
    <w:rsid w:val="006F66B0"/>
    <w:rsid w:val="00703398"/>
    <w:rsid w:val="00703DC3"/>
    <w:rsid w:val="0070515F"/>
    <w:rsid w:val="00707330"/>
    <w:rsid w:val="00714E4C"/>
    <w:rsid w:val="007202FD"/>
    <w:rsid w:val="007216C4"/>
    <w:rsid w:val="00727181"/>
    <w:rsid w:val="00735752"/>
    <w:rsid w:val="00743C97"/>
    <w:rsid w:val="00745014"/>
    <w:rsid w:val="0074569E"/>
    <w:rsid w:val="007466B6"/>
    <w:rsid w:val="007474F4"/>
    <w:rsid w:val="007501E8"/>
    <w:rsid w:val="00760747"/>
    <w:rsid w:val="00765B80"/>
    <w:rsid w:val="00771BC7"/>
    <w:rsid w:val="00773D92"/>
    <w:rsid w:val="00775B29"/>
    <w:rsid w:val="00776223"/>
    <w:rsid w:val="0079386B"/>
    <w:rsid w:val="007951E1"/>
    <w:rsid w:val="007955CB"/>
    <w:rsid w:val="0079563E"/>
    <w:rsid w:val="007C789B"/>
    <w:rsid w:val="007E01C7"/>
    <w:rsid w:val="007F0DD2"/>
    <w:rsid w:val="007F5F66"/>
    <w:rsid w:val="00801275"/>
    <w:rsid w:val="0080694E"/>
    <w:rsid w:val="00812F8A"/>
    <w:rsid w:val="008138BD"/>
    <w:rsid w:val="00813EB8"/>
    <w:rsid w:val="00821525"/>
    <w:rsid w:val="008224C0"/>
    <w:rsid w:val="008303E1"/>
    <w:rsid w:val="00831B57"/>
    <w:rsid w:val="0084182E"/>
    <w:rsid w:val="008420C7"/>
    <w:rsid w:val="00843772"/>
    <w:rsid w:val="00844BD9"/>
    <w:rsid w:val="00845C39"/>
    <w:rsid w:val="00846850"/>
    <w:rsid w:val="00846C4C"/>
    <w:rsid w:val="00847CA3"/>
    <w:rsid w:val="00866DDA"/>
    <w:rsid w:val="00873C16"/>
    <w:rsid w:val="0087503C"/>
    <w:rsid w:val="0088216F"/>
    <w:rsid w:val="00883248"/>
    <w:rsid w:val="008845B8"/>
    <w:rsid w:val="008855D7"/>
    <w:rsid w:val="00891F90"/>
    <w:rsid w:val="00892767"/>
    <w:rsid w:val="00892E65"/>
    <w:rsid w:val="008932DA"/>
    <w:rsid w:val="0089333D"/>
    <w:rsid w:val="00893FB4"/>
    <w:rsid w:val="008A17A9"/>
    <w:rsid w:val="008A3847"/>
    <w:rsid w:val="008B1099"/>
    <w:rsid w:val="008B68B5"/>
    <w:rsid w:val="008B7C74"/>
    <w:rsid w:val="008C0E7F"/>
    <w:rsid w:val="008C3102"/>
    <w:rsid w:val="008C3BFD"/>
    <w:rsid w:val="008C5ED8"/>
    <w:rsid w:val="008D0367"/>
    <w:rsid w:val="008D2E30"/>
    <w:rsid w:val="008D6791"/>
    <w:rsid w:val="008E2E51"/>
    <w:rsid w:val="008E4136"/>
    <w:rsid w:val="008F3BC1"/>
    <w:rsid w:val="008F5E4E"/>
    <w:rsid w:val="008F7A10"/>
    <w:rsid w:val="009011F3"/>
    <w:rsid w:val="00901A6B"/>
    <w:rsid w:val="0090267D"/>
    <w:rsid w:val="00902D02"/>
    <w:rsid w:val="009069FE"/>
    <w:rsid w:val="0091366B"/>
    <w:rsid w:val="00915253"/>
    <w:rsid w:val="00915447"/>
    <w:rsid w:val="00915EE8"/>
    <w:rsid w:val="00917DC5"/>
    <w:rsid w:val="00921E49"/>
    <w:rsid w:val="0092593C"/>
    <w:rsid w:val="00932366"/>
    <w:rsid w:val="009366F2"/>
    <w:rsid w:val="00936B10"/>
    <w:rsid w:val="00937DD8"/>
    <w:rsid w:val="009435A9"/>
    <w:rsid w:val="00944C72"/>
    <w:rsid w:val="009468EA"/>
    <w:rsid w:val="00947360"/>
    <w:rsid w:val="00950852"/>
    <w:rsid w:val="00951777"/>
    <w:rsid w:val="00956B9C"/>
    <w:rsid w:val="00962FF7"/>
    <w:rsid w:val="00963A24"/>
    <w:rsid w:val="00966AAD"/>
    <w:rsid w:val="00967E97"/>
    <w:rsid w:val="00976D1F"/>
    <w:rsid w:val="00977EBC"/>
    <w:rsid w:val="00987ACE"/>
    <w:rsid w:val="009A1808"/>
    <w:rsid w:val="009A3E2D"/>
    <w:rsid w:val="009B18B0"/>
    <w:rsid w:val="009B27D2"/>
    <w:rsid w:val="009B6113"/>
    <w:rsid w:val="009B6D1A"/>
    <w:rsid w:val="009C7B0A"/>
    <w:rsid w:val="009D4118"/>
    <w:rsid w:val="009E0283"/>
    <w:rsid w:val="009F09E4"/>
    <w:rsid w:val="009F3150"/>
    <w:rsid w:val="009F6734"/>
    <w:rsid w:val="00A016E6"/>
    <w:rsid w:val="00A1276F"/>
    <w:rsid w:val="00A204F2"/>
    <w:rsid w:val="00A22AEB"/>
    <w:rsid w:val="00A273D8"/>
    <w:rsid w:val="00A43BC5"/>
    <w:rsid w:val="00A53432"/>
    <w:rsid w:val="00A610DD"/>
    <w:rsid w:val="00A6140B"/>
    <w:rsid w:val="00A6234A"/>
    <w:rsid w:val="00A62524"/>
    <w:rsid w:val="00A64BC4"/>
    <w:rsid w:val="00A7246E"/>
    <w:rsid w:val="00A74075"/>
    <w:rsid w:val="00A744D9"/>
    <w:rsid w:val="00A760A1"/>
    <w:rsid w:val="00A7795B"/>
    <w:rsid w:val="00A8122C"/>
    <w:rsid w:val="00A826FB"/>
    <w:rsid w:val="00A977A4"/>
    <w:rsid w:val="00AA07AF"/>
    <w:rsid w:val="00AA15F2"/>
    <w:rsid w:val="00AA49DF"/>
    <w:rsid w:val="00AA7B17"/>
    <w:rsid w:val="00AD5267"/>
    <w:rsid w:val="00AE2C3F"/>
    <w:rsid w:val="00AE4FEA"/>
    <w:rsid w:val="00AF033B"/>
    <w:rsid w:val="00B02C42"/>
    <w:rsid w:val="00B116BD"/>
    <w:rsid w:val="00B11C4B"/>
    <w:rsid w:val="00B13F50"/>
    <w:rsid w:val="00B15C04"/>
    <w:rsid w:val="00B169FA"/>
    <w:rsid w:val="00B25C69"/>
    <w:rsid w:val="00B33237"/>
    <w:rsid w:val="00B345EB"/>
    <w:rsid w:val="00B42AAF"/>
    <w:rsid w:val="00B51744"/>
    <w:rsid w:val="00B54321"/>
    <w:rsid w:val="00B54FCC"/>
    <w:rsid w:val="00B6042B"/>
    <w:rsid w:val="00B752FD"/>
    <w:rsid w:val="00B81CD2"/>
    <w:rsid w:val="00BA6C31"/>
    <w:rsid w:val="00BC2B3F"/>
    <w:rsid w:val="00BD4451"/>
    <w:rsid w:val="00BE0859"/>
    <w:rsid w:val="00BE1E04"/>
    <w:rsid w:val="00C04837"/>
    <w:rsid w:val="00C17008"/>
    <w:rsid w:val="00C17C82"/>
    <w:rsid w:val="00C22A7D"/>
    <w:rsid w:val="00C26E7F"/>
    <w:rsid w:val="00C276C2"/>
    <w:rsid w:val="00C33717"/>
    <w:rsid w:val="00C3667C"/>
    <w:rsid w:val="00C41377"/>
    <w:rsid w:val="00C422FB"/>
    <w:rsid w:val="00C44848"/>
    <w:rsid w:val="00C46BF5"/>
    <w:rsid w:val="00C517A9"/>
    <w:rsid w:val="00C54223"/>
    <w:rsid w:val="00C57DFB"/>
    <w:rsid w:val="00C62CF6"/>
    <w:rsid w:val="00C64CDC"/>
    <w:rsid w:val="00C654C1"/>
    <w:rsid w:val="00C67E81"/>
    <w:rsid w:val="00C70A5E"/>
    <w:rsid w:val="00C722F0"/>
    <w:rsid w:val="00C72E8F"/>
    <w:rsid w:val="00C7399B"/>
    <w:rsid w:val="00C75A10"/>
    <w:rsid w:val="00C7735D"/>
    <w:rsid w:val="00C777FE"/>
    <w:rsid w:val="00C77D16"/>
    <w:rsid w:val="00C850EC"/>
    <w:rsid w:val="00C857FD"/>
    <w:rsid w:val="00C86377"/>
    <w:rsid w:val="00C913A6"/>
    <w:rsid w:val="00C94CDD"/>
    <w:rsid w:val="00CA006F"/>
    <w:rsid w:val="00CC002D"/>
    <w:rsid w:val="00CC1589"/>
    <w:rsid w:val="00CC39F2"/>
    <w:rsid w:val="00CD5BB2"/>
    <w:rsid w:val="00CE7583"/>
    <w:rsid w:val="00D0162D"/>
    <w:rsid w:val="00D03B3E"/>
    <w:rsid w:val="00D06382"/>
    <w:rsid w:val="00D10AC3"/>
    <w:rsid w:val="00D1291C"/>
    <w:rsid w:val="00D12F00"/>
    <w:rsid w:val="00D13CA9"/>
    <w:rsid w:val="00D1647D"/>
    <w:rsid w:val="00D17158"/>
    <w:rsid w:val="00D20B20"/>
    <w:rsid w:val="00D22208"/>
    <w:rsid w:val="00D26417"/>
    <w:rsid w:val="00D31D7D"/>
    <w:rsid w:val="00D32817"/>
    <w:rsid w:val="00D33903"/>
    <w:rsid w:val="00D40500"/>
    <w:rsid w:val="00D465A0"/>
    <w:rsid w:val="00D47A63"/>
    <w:rsid w:val="00D518C0"/>
    <w:rsid w:val="00D51B01"/>
    <w:rsid w:val="00D53887"/>
    <w:rsid w:val="00D53B72"/>
    <w:rsid w:val="00D57C32"/>
    <w:rsid w:val="00D57E59"/>
    <w:rsid w:val="00D600D8"/>
    <w:rsid w:val="00D6622F"/>
    <w:rsid w:val="00D708B3"/>
    <w:rsid w:val="00D7316E"/>
    <w:rsid w:val="00D749C0"/>
    <w:rsid w:val="00D8018E"/>
    <w:rsid w:val="00D87041"/>
    <w:rsid w:val="00D96DB5"/>
    <w:rsid w:val="00DA6204"/>
    <w:rsid w:val="00DB444A"/>
    <w:rsid w:val="00DB44CA"/>
    <w:rsid w:val="00DB4D5F"/>
    <w:rsid w:val="00DB6451"/>
    <w:rsid w:val="00DC0A87"/>
    <w:rsid w:val="00DE021F"/>
    <w:rsid w:val="00DE1344"/>
    <w:rsid w:val="00DE3A1B"/>
    <w:rsid w:val="00DE5934"/>
    <w:rsid w:val="00DF17C1"/>
    <w:rsid w:val="00DF4958"/>
    <w:rsid w:val="00DF6722"/>
    <w:rsid w:val="00E04238"/>
    <w:rsid w:val="00E04D18"/>
    <w:rsid w:val="00E05543"/>
    <w:rsid w:val="00E05B1C"/>
    <w:rsid w:val="00E129E5"/>
    <w:rsid w:val="00E1359D"/>
    <w:rsid w:val="00E14C04"/>
    <w:rsid w:val="00E26BD4"/>
    <w:rsid w:val="00E42AB1"/>
    <w:rsid w:val="00E516D8"/>
    <w:rsid w:val="00E57525"/>
    <w:rsid w:val="00E74028"/>
    <w:rsid w:val="00E74A91"/>
    <w:rsid w:val="00E84158"/>
    <w:rsid w:val="00E84963"/>
    <w:rsid w:val="00E85537"/>
    <w:rsid w:val="00E86EAF"/>
    <w:rsid w:val="00E872F9"/>
    <w:rsid w:val="00EA1E5E"/>
    <w:rsid w:val="00EA2C6E"/>
    <w:rsid w:val="00EA530F"/>
    <w:rsid w:val="00EB17C4"/>
    <w:rsid w:val="00EC1604"/>
    <w:rsid w:val="00EC3F66"/>
    <w:rsid w:val="00ED30B7"/>
    <w:rsid w:val="00ED49EA"/>
    <w:rsid w:val="00ED53D8"/>
    <w:rsid w:val="00EE7201"/>
    <w:rsid w:val="00EF0E5D"/>
    <w:rsid w:val="00EF569D"/>
    <w:rsid w:val="00EF7803"/>
    <w:rsid w:val="00F02160"/>
    <w:rsid w:val="00F054CA"/>
    <w:rsid w:val="00F06CFA"/>
    <w:rsid w:val="00F11479"/>
    <w:rsid w:val="00F22E6C"/>
    <w:rsid w:val="00F23F53"/>
    <w:rsid w:val="00F24554"/>
    <w:rsid w:val="00F31E28"/>
    <w:rsid w:val="00F35048"/>
    <w:rsid w:val="00F36BDB"/>
    <w:rsid w:val="00F3750D"/>
    <w:rsid w:val="00F424E4"/>
    <w:rsid w:val="00F435BF"/>
    <w:rsid w:val="00F50736"/>
    <w:rsid w:val="00F53E1F"/>
    <w:rsid w:val="00F5668C"/>
    <w:rsid w:val="00F57C83"/>
    <w:rsid w:val="00F615EB"/>
    <w:rsid w:val="00F619D4"/>
    <w:rsid w:val="00F62F7A"/>
    <w:rsid w:val="00F678D3"/>
    <w:rsid w:val="00F72103"/>
    <w:rsid w:val="00F75679"/>
    <w:rsid w:val="00F75FCA"/>
    <w:rsid w:val="00F76E97"/>
    <w:rsid w:val="00F77580"/>
    <w:rsid w:val="00F80C15"/>
    <w:rsid w:val="00F81BD3"/>
    <w:rsid w:val="00F900A4"/>
    <w:rsid w:val="00F93A1F"/>
    <w:rsid w:val="00F96925"/>
    <w:rsid w:val="00FA5451"/>
    <w:rsid w:val="00FB646A"/>
    <w:rsid w:val="00FC09B5"/>
    <w:rsid w:val="00FD19BB"/>
    <w:rsid w:val="00FE4BF5"/>
    <w:rsid w:val="00FE5837"/>
    <w:rsid w:val="00FE6875"/>
    <w:rsid w:val="00FE72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868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812"/>
    <w:pPr>
      <w:spacing w:before="20" w:line="360" w:lineRule="auto"/>
    </w:pPr>
    <w:rPr>
      <w:rFonts w:ascii="Book Antiqua" w:hAnsi="Book Antiqu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9435A9"/>
    <w:pPr>
      <w:spacing w:after="0" w:line="240" w:lineRule="auto"/>
    </w:pPr>
    <w:rPr>
      <w:sz w:val="20"/>
      <w:szCs w:val="20"/>
    </w:rPr>
  </w:style>
  <w:style w:type="character" w:customStyle="1" w:styleId="Char">
    <w:name w:val="脚注文本 Char"/>
    <w:basedOn w:val="a0"/>
    <w:link w:val="a3"/>
    <w:uiPriority w:val="99"/>
    <w:semiHidden/>
    <w:rsid w:val="009435A9"/>
    <w:rPr>
      <w:sz w:val="20"/>
      <w:szCs w:val="20"/>
    </w:rPr>
  </w:style>
  <w:style w:type="character" w:styleId="a4">
    <w:name w:val="footnote reference"/>
    <w:basedOn w:val="a0"/>
    <w:uiPriority w:val="99"/>
    <w:semiHidden/>
    <w:unhideWhenUsed/>
    <w:rsid w:val="009435A9"/>
    <w:rPr>
      <w:vertAlign w:val="superscript"/>
    </w:rPr>
  </w:style>
  <w:style w:type="paragraph" w:styleId="a5">
    <w:name w:val="Bibliography"/>
    <w:basedOn w:val="a"/>
    <w:next w:val="a"/>
    <w:uiPriority w:val="37"/>
    <w:unhideWhenUsed/>
    <w:rsid w:val="009435A9"/>
    <w:pPr>
      <w:spacing w:after="0" w:line="240" w:lineRule="auto"/>
      <w:ind w:left="720" w:hanging="720"/>
    </w:pPr>
  </w:style>
  <w:style w:type="table" w:styleId="a6">
    <w:name w:val="Table Grid"/>
    <w:basedOn w:val="a1"/>
    <w:uiPriority w:val="39"/>
    <w:rsid w:val="00746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a1"/>
    <w:uiPriority w:val="49"/>
    <w:rsid w:val="0001348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1">
    <w:name w:val="Grid Table 5 Dark - Accent 11"/>
    <w:basedOn w:val="a1"/>
    <w:uiPriority w:val="50"/>
    <w:rsid w:val="000134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3-Accent11">
    <w:name w:val="Grid Table 3 - Accent 11"/>
    <w:basedOn w:val="a1"/>
    <w:uiPriority w:val="48"/>
    <w:rsid w:val="0001348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a1"/>
    <w:uiPriority w:val="48"/>
    <w:rsid w:val="0001348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4-Accent21">
    <w:name w:val="Grid Table 4 - Accent 21"/>
    <w:basedOn w:val="a1"/>
    <w:uiPriority w:val="49"/>
    <w:rsid w:val="008420C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7">
    <w:name w:val="Balloon Text"/>
    <w:basedOn w:val="a"/>
    <w:link w:val="Char0"/>
    <w:uiPriority w:val="99"/>
    <w:semiHidden/>
    <w:unhideWhenUsed/>
    <w:rsid w:val="005F0523"/>
    <w:pPr>
      <w:spacing w:after="0" w:line="240" w:lineRule="auto"/>
    </w:pPr>
    <w:rPr>
      <w:rFonts w:ascii="Segoe UI" w:hAnsi="Segoe UI" w:cs="Segoe UI"/>
      <w:sz w:val="18"/>
      <w:szCs w:val="18"/>
    </w:rPr>
  </w:style>
  <w:style w:type="character" w:customStyle="1" w:styleId="Char0">
    <w:name w:val="批注框文本 Char"/>
    <w:basedOn w:val="a0"/>
    <w:link w:val="a7"/>
    <w:uiPriority w:val="99"/>
    <w:semiHidden/>
    <w:rsid w:val="005F0523"/>
    <w:rPr>
      <w:rFonts w:ascii="Segoe UI" w:hAnsi="Segoe UI" w:cs="Segoe UI"/>
      <w:sz w:val="18"/>
      <w:szCs w:val="18"/>
    </w:rPr>
  </w:style>
  <w:style w:type="character" w:styleId="a8">
    <w:name w:val="annotation reference"/>
    <w:basedOn w:val="a0"/>
    <w:uiPriority w:val="99"/>
    <w:semiHidden/>
    <w:unhideWhenUsed/>
    <w:rsid w:val="00F900A4"/>
    <w:rPr>
      <w:sz w:val="18"/>
      <w:szCs w:val="18"/>
    </w:rPr>
  </w:style>
  <w:style w:type="paragraph" w:styleId="a9">
    <w:name w:val="annotation text"/>
    <w:basedOn w:val="a"/>
    <w:link w:val="Char1"/>
    <w:uiPriority w:val="99"/>
    <w:unhideWhenUsed/>
    <w:rsid w:val="00F900A4"/>
    <w:pPr>
      <w:spacing w:line="240" w:lineRule="auto"/>
    </w:pPr>
  </w:style>
  <w:style w:type="character" w:customStyle="1" w:styleId="Char1">
    <w:name w:val="批注文字 Char"/>
    <w:basedOn w:val="a0"/>
    <w:link w:val="a9"/>
    <w:uiPriority w:val="99"/>
    <w:rsid w:val="00F900A4"/>
    <w:rPr>
      <w:sz w:val="24"/>
      <w:szCs w:val="24"/>
    </w:rPr>
  </w:style>
  <w:style w:type="paragraph" w:styleId="aa">
    <w:name w:val="annotation subject"/>
    <w:basedOn w:val="a9"/>
    <w:next w:val="a9"/>
    <w:link w:val="Char2"/>
    <w:uiPriority w:val="99"/>
    <w:semiHidden/>
    <w:unhideWhenUsed/>
    <w:rsid w:val="00F900A4"/>
    <w:rPr>
      <w:b/>
      <w:bCs/>
      <w:sz w:val="20"/>
      <w:szCs w:val="20"/>
    </w:rPr>
  </w:style>
  <w:style w:type="character" w:customStyle="1" w:styleId="Char2">
    <w:name w:val="批注主题 Char"/>
    <w:basedOn w:val="Char1"/>
    <w:link w:val="aa"/>
    <w:uiPriority w:val="99"/>
    <w:semiHidden/>
    <w:rsid w:val="00F900A4"/>
    <w:rPr>
      <w:b/>
      <w:bCs/>
      <w:sz w:val="20"/>
      <w:szCs w:val="20"/>
    </w:rPr>
  </w:style>
  <w:style w:type="character" w:styleId="ab">
    <w:name w:val="Hyperlink"/>
    <w:basedOn w:val="a0"/>
    <w:uiPriority w:val="99"/>
    <w:unhideWhenUsed/>
    <w:rsid w:val="008303E1"/>
    <w:rPr>
      <w:color w:val="0563C1" w:themeColor="hyperlink"/>
      <w:u w:val="single"/>
    </w:rPr>
  </w:style>
  <w:style w:type="paragraph" w:styleId="ac">
    <w:name w:val="header"/>
    <w:basedOn w:val="a"/>
    <w:link w:val="Char3"/>
    <w:uiPriority w:val="99"/>
    <w:unhideWhenUsed/>
    <w:rsid w:val="0013315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c"/>
    <w:uiPriority w:val="99"/>
    <w:rsid w:val="0013315F"/>
    <w:rPr>
      <w:sz w:val="18"/>
      <w:szCs w:val="18"/>
    </w:rPr>
  </w:style>
  <w:style w:type="paragraph" w:styleId="ad">
    <w:name w:val="footer"/>
    <w:basedOn w:val="a"/>
    <w:link w:val="Char4"/>
    <w:uiPriority w:val="99"/>
    <w:unhideWhenUsed/>
    <w:rsid w:val="0013315F"/>
    <w:pPr>
      <w:tabs>
        <w:tab w:val="center" w:pos="4153"/>
        <w:tab w:val="right" w:pos="8306"/>
      </w:tabs>
      <w:snapToGrid w:val="0"/>
      <w:spacing w:line="240" w:lineRule="auto"/>
    </w:pPr>
    <w:rPr>
      <w:sz w:val="18"/>
      <w:szCs w:val="18"/>
    </w:rPr>
  </w:style>
  <w:style w:type="character" w:customStyle="1" w:styleId="Char4">
    <w:name w:val="页脚 Char"/>
    <w:basedOn w:val="a0"/>
    <w:link w:val="ad"/>
    <w:uiPriority w:val="99"/>
    <w:rsid w:val="0013315F"/>
    <w:rPr>
      <w:sz w:val="18"/>
      <w:szCs w:val="18"/>
    </w:rPr>
  </w:style>
  <w:style w:type="character" w:customStyle="1" w:styleId="trans">
    <w:name w:val="trans"/>
    <w:basedOn w:val="a0"/>
    <w:rsid w:val="00E516D8"/>
  </w:style>
  <w:style w:type="character" w:customStyle="1" w:styleId="webdict">
    <w:name w:val="webdict"/>
    <w:basedOn w:val="a0"/>
    <w:rsid w:val="00E516D8"/>
  </w:style>
  <w:style w:type="table" w:customStyle="1" w:styleId="GridTable3-Accent211">
    <w:name w:val="Grid Table 3 - Accent 211"/>
    <w:basedOn w:val="a1"/>
    <w:uiPriority w:val="48"/>
    <w:rsid w:val="00C722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ae">
    <w:name w:val="Revision"/>
    <w:hidden/>
    <w:uiPriority w:val="99"/>
    <w:semiHidden/>
    <w:rsid w:val="00292555"/>
    <w:pPr>
      <w:spacing w:after="0" w:line="240" w:lineRule="auto"/>
    </w:pPr>
    <w:rPr>
      <w:rFonts w:ascii="Book Antiqua" w:hAnsi="Book Antiqua"/>
      <w:sz w:val="24"/>
      <w:szCs w:val="24"/>
    </w:rPr>
  </w:style>
  <w:style w:type="paragraph" w:styleId="af">
    <w:name w:val="List Paragraph"/>
    <w:basedOn w:val="a"/>
    <w:uiPriority w:val="34"/>
    <w:qFormat/>
    <w:rsid w:val="00443AFD"/>
    <w:pPr>
      <w:spacing w:before="0" w:after="200" w:line="276" w:lineRule="auto"/>
      <w:ind w:left="720"/>
      <w:contextualSpacing/>
    </w:pPr>
    <w:rPr>
      <w:rFonts w:asciiTheme="minorHAnsi" w:hAnsiTheme="minorHAnsi"/>
      <w:sz w:val="22"/>
      <w:szCs w:val="22"/>
      <w:lang w:eastAsia="zh-CN"/>
    </w:rPr>
  </w:style>
  <w:style w:type="paragraph" w:styleId="af0">
    <w:name w:val="Normal (Web)"/>
    <w:basedOn w:val="a"/>
    <w:uiPriority w:val="99"/>
    <w:semiHidden/>
    <w:unhideWhenUsed/>
    <w:rsid w:val="006E0517"/>
    <w:pPr>
      <w:spacing w:before="100" w:beforeAutospacing="1" w:after="100" w:afterAutospacing="1" w:line="240" w:lineRule="auto"/>
    </w:pPr>
    <w:rPr>
      <w:rFonts w:ascii="Times New Roman" w:eastAsia="Times New Roman" w:hAnsi="Times New Roman" w:cs="Times New Roman"/>
      <w:lang w:eastAsia="zh-CN"/>
    </w:rPr>
  </w:style>
  <w:style w:type="character" w:styleId="af1">
    <w:name w:val="Emphasis"/>
    <w:qFormat/>
    <w:rsid w:val="00FC09B5"/>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812"/>
    <w:pPr>
      <w:spacing w:before="20" w:line="360" w:lineRule="auto"/>
    </w:pPr>
    <w:rPr>
      <w:rFonts w:ascii="Book Antiqua" w:hAnsi="Book Antiqu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9435A9"/>
    <w:pPr>
      <w:spacing w:after="0" w:line="240" w:lineRule="auto"/>
    </w:pPr>
    <w:rPr>
      <w:sz w:val="20"/>
      <w:szCs w:val="20"/>
    </w:rPr>
  </w:style>
  <w:style w:type="character" w:customStyle="1" w:styleId="Char">
    <w:name w:val="脚注文本 Char"/>
    <w:basedOn w:val="a0"/>
    <w:link w:val="a3"/>
    <w:uiPriority w:val="99"/>
    <w:semiHidden/>
    <w:rsid w:val="009435A9"/>
    <w:rPr>
      <w:sz w:val="20"/>
      <w:szCs w:val="20"/>
    </w:rPr>
  </w:style>
  <w:style w:type="character" w:styleId="a4">
    <w:name w:val="footnote reference"/>
    <w:basedOn w:val="a0"/>
    <w:uiPriority w:val="99"/>
    <w:semiHidden/>
    <w:unhideWhenUsed/>
    <w:rsid w:val="009435A9"/>
    <w:rPr>
      <w:vertAlign w:val="superscript"/>
    </w:rPr>
  </w:style>
  <w:style w:type="paragraph" w:styleId="a5">
    <w:name w:val="Bibliography"/>
    <w:basedOn w:val="a"/>
    <w:next w:val="a"/>
    <w:uiPriority w:val="37"/>
    <w:unhideWhenUsed/>
    <w:rsid w:val="009435A9"/>
    <w:pPr>
      <w:spacing w:after="0" w:line="240" w:lineRule="auto"/>
      <w:ind w:left="720" w:hanging="720"/>
    </w:pPr>
  </w:style>
  <w:style w:type="table" w:styleId="a6">
    <w:name w:val="Table Grid"/>
    <w:basedOn w:val="a1"/>
    <w:uiPriority w:val="39"/>
    <w:rsid w:val="00746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a1"/>
    <w:uiPriority w:val="49"/>
    <w:rsid w:val="0001348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1">
    <w:name w:val="Grid Table 5 Dark - Accent 11"/>
    <w:basedOn w:val="a1"/>
    <w:uiPriority w:val="50"/>
    <w:rsid w:val="000134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3-Accent11">
    <w:name w:val="Grid Table 3 - Accent 11"/>
    <w:basedOn w:val="a1"/>
    <w:uiPriority w:val="48"/>
    <w:rsid w:val="0001348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a1"/>
    <w:uiPriority w:val="48"/>
    <w:rsid w:val="0001348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4-Accent21">
    <w:name w:val="Grid Table 4 - Accent 21"/>
    <w:basedOn w:val="a1"/>
    <w:uiPriority w:val="49"/>
    <w:rsid w:val="008420C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7">
    <w:name w:val="Balloon Text"/>
    <w:basedOn w:val="a"/>
    <w:link w:val="Char0"/>
    <w:uiPriority w:val="99"/>
    <w:semiHidden/>
    <w:unhideWhenUsed/>
    <w:rsid w:val="005F0523"/>
    <w:pPr>
      <w:spacing w:after="0" w:line="240" w:lineRule="auto"/>
    </w:pPr>
    <w:rPr>
      <w:rFonts w:ascii="Segoe UI" w:hAnsi="Segoe UI" w:cs="Segoe UI"/>
      <w:sz w:val="18"/>
      <w:szCs w:val="18"/>
    </w:rPr>
  </w:style>
  <w:style w:type="character" w:customStyle="1" w:styleId="Char0">
    <w:name w:val="批注框文本 Char"/>
    <w:basedOn w:val="a0"/>
    <w:link w:val="a7"/>
    <w:uiPriority w:val="99"/>
    <w:semiHidden/>
    <w:rsid w:val="005F0523"/>
    <w:rPr>
      <w:rFonts w:ascii="Segoe UI" w:hAnsi="Segoe UI" w:cs="Segoe UI"/>
      <w:sz w:val="18"/>
      <w:szCs w:val="18"/>
    </w:rPr>
  </w:style>
  <w:style w:type="character" w:styleId="a8">
    <w:name w:val="annotation reference"/>
    <w:basedOn w:val="a0"/>
    <w:uiPriority w:val="99"/>
    <w:semiHidden/>
    <w:unhideWhenUsed/>
    <w:rsid w:val="00F900A4"/>
    <w:rPr>
      <w:sz w:val="18"/>
      <w:szCs w:val="18"/>
    </w:rPr>
  </w:style>
  <w:style w:type="paragraph" w:styleId="a9">
    <w:name w:val="annotation text"/>
    <w:basedOn w:val="a"/>
    <w:link w:val="Char1"/>
    <w:uiPriority w:val="99"/>
    <w:unhideWhenUsed/>
    <w:rsid w:val="00F900A4"/>
    <w:pPr>
      <w:spacing w:line="240" w:lineRule="auto"/>
    </w:pPr>
  </w:style>
  <w:style w:type="character" w:customStyle="1" w:styleId="Char1">
    <w:name w:val="批注文字 Char"/>
    <w:basedOn w:val="a0"/>
    <w:link w:val="a9"/>
    <w:uiPriority w:val="99"/>
    <w:rsid w:val="00F900A4"/>
    <w:rPr>
      <w:sz w:val="24"/>
      <w:szCs w:val="24"/>
    </w:rPr>
  </w:style>
  <w:style w:type="paragraph" w:styleId="aa">
    <w:name w:val="annotation subject"/>
    <w:basedOn w:val="a9"/>
    <w:next w:val="a9"/>
    <w:link w:val="Char2"/>
    <w:uiPriority w:val="99"/>
    <w:semiHidden/>
    <w:unhideWhenUsed/>
    <w:rsid w:val="00F900A4"/>
    <w:rPr>
      <w:b/>
      <w:bCs/>
      <w:sz w:val="20"/>
      <w:szCs w:val="20"/>
    </w:rPr>
  </w:style>
  <w:style w:type="character" w:customStyle="1" w:styleId="Char2">
    <w:name w:val="批注主题 Char"/>
    <w:basedOn w:val="Char1"/>
    <w:link w:val="aa"/>
    <w:uiPriority w:val="99"/>
    <w:semiHidden/>
    <w:rsid w:val="00F900A4"/>
    <w:rPr>
      <w:b/>
      <w:bCs/>
      <w:sz w:val="20"/>
      <w:szCs w:val="20"/>
    </w:rPr>
  </w:style>
  <w:style w:type="character" w:styleId="ab">
    <w:name w:val="Hyperlink"/>
    <w:basedOn w:val="a0"/>
    <w:uiPriority w:val="99"/>
    <w:unhideWhenUsed/>
    <w:rsid w:val="008303E1"/>
    <w:rPr>
      <w:color w:val="0563C1" w:themeColor="hyperlink"/>
      <w:u w:val="single"/>
    </w:rPr>
  </w:style>
  <w:style w:type="paragraph" w:styleId="ac">
    <w:name w:val="header"/>
    <w:basedOn w:val="a"/>
    <w:link w:val="Char3"/>
    <w:uiPriority w:val="99"/>
    <w:unhideWhenUsed/>
    <w:rsid w:val="0013315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c"/>
    <w:uiPriority w:val="99"/>
    <w:rsid w:val="0013315F"/>
    <w:rPr>
      <w:sz w:val="18"/>
      <w:szCs w:val="18"/>
    </w:rPr>
  </w:style>
  <w:style w:type="paragraph" w:styleId="ad">
    <w:name w:val="footer"/>
    <w:basedOn w:val="a"/>
    <w:link w:val="Char4"/>
    <w:uiPriority w:val="99"/>
    <w:unhideWhenUsed/>
    <w:rsid w:val="0013315F"/>
    <w:pPr>
      <w:tabs>
        <w:tab w:val="center" w:pos="4153"/>
        <w:tab w:val="right" w:pos="8306"/>
      </w:tabs>
      <w:snapToGrid w:val="0"/>
      <w:spacing w:line="240" w:lineRule="auto"/>
    </w:pPr>
    <w:rPr>
      <w:sz w:val="18"/>
      <w:szCs w:val="18"/>
    </w:rPr>
  </w:style>
  <w:style w:type="character" w:customStyle="1" w:styleId="Char4">
    <w:name w:val="页脚 Char"/>
    <w:basedOn w:val="a0"/>
    <w:link w:val="ad"/>
    <w:uiPriority w:val="99"/>
    <w:rsid w:val="0013315F"/>
    <w:rPr>
      <w:sz w:val="18"/>
      <w:szCs w:val="18"/>
    </w:rPr>
  </w:style>
  <w:style w:type="character" w:customStyle="1" w:styleId="trans">
    <w:name w:val="trans"/>
    <w:basedOn w:val="a0"/>
    <w:rsid w:val="00E516D8"/>
  </w:style>
  <w:style w:type="character" w:customStyle="1" w:styleId="webdict">
    <w:name w:val="webdict"/>
    <w:basedOn w:val="a0"/>
    <w:rsid w:val="00E516D8"/>
  </w:style>
  <w:style w:type="table" w:customStyle="1" w:styleId="GridTable3-Accent211">
    <w:name w:val="Grid Table 3 - Accent 211"/>
    <w:basedOn w:val="a1"/>
    <w:uiPriority w:val="48"/>
    <w:rsid w:val="00C722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ae">
    <w:name w:val="Revision"/>
    <w:hidden/>
    <w:uiPriority w:val="99"/>
    <w:semiHidden/>
    <w:rsid w:val="00292555"/>
    <w:pPr>
      <w:spacing w:after="0" w:line="240" w:lineRule="auto"/>
    </w:pPr>
    <w:rPr>
      <w:rFonts w:ascii="Book Antiqua" w:hAnsi="Book Antiqua"/>
      <w:sz w:val="24"/>
      <w:szCs w:val="24"/>
    </w:rPr>
  </w:style>
  <w:style w:type="paragraph" w:styleId="af">
    <w:name w:val="List Paragraph"/>
    <w:basedOn w:val="a"/>
    <w:uiPriority w:val="34"/>
    <w:qFormat/>
    <w:rsid w:val="00443AFD"/>
    <w:pPr>
      <w:spacing w:before="0" w:after="200" w:line="276" w:lineRule="auto"/>
      <w:ind w:left="720"/>
      <w:contextualSpacing/>
    </w:pPr>
    <w:rPr>
      <w:rFonts w:asciiTheme="minorHAnsi" w:hAnsiTheme="minorHAnsi"/>
      <w:sz w:val="22"/>
      <w:szCs w:val="22"/>
      <w:lang w:eastAsia="zh-CN"/>
    </w:rPr>
  </w:style>
  <w:style w:type="paragraph" w:styleId="af0">
    <w:name w:val="Normal (Web)"/>
    <w:basedOn w:val="a"/>
    <w:uiPriority w:val="99"/>
    <w:semiHidden/>
    <w:unhideWhenUsed/>
    <w:rsid w:val="006E0517"/>
    <w:pPr>
      <w:spacing w:before="100" w:beforeAutospacing="1" w:after="100" w:afterAutospacing="1" w:line="240" w:lineRule="auto"/>
    </w:pPr>
    <w:rPr>
      <w:rFonts w:ascii="Times New Roman" w:eastAsia="Times New Roman" w:hAnsi="Times New Roman" w:cs="Times New Roman"/>
      <w:lang w:eastAsia="zh-CN"/>
    </w:rPr>
  </w:style>
  <w:style w:type="character" w:styleId="af1">
    <w:name w:val="Emphasis"/>
    <w:qFormat/>
    <w:rsid w:val="00FC09B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7056">
      <w:bodyDiv w:val="1"/>
      <w:marLeft w:val="0"/>
      <w:marRight w:val="0"/>
      <w:marTop w:val="0"/>
      <w:marBottom w:val="0"/>
      <w:divBdr>
        <w:top w:val="none" w:sz="0" w:space="0" w:color="auto"/>
        <w:left w:val="none" w:sz="0" w:space="0" w:color="auto"/>
        <w:bottom w:val="none" w:sz="0" w:space="0" w:color="auto"/>
        <w:right w:val="none" w:sz="0" w:space="0" w:color="auto"/>
      </w:divBdr>
      <w:divsChild>
        <w:div w:id="1217356852">
          <w:marLeft w:val="0"/>
          <w:marRight w:val="0"/>
          <w:marTop w:val="0"/>
          <w:marBottom w:val="0"/>
          <w:divBdr>
            <w:top w:val="none" w:sz="0" w:space="0" w:color="auto"/>
            <w:left w:val="none" w:sz="0" w:space="0" w:color="auto"/>
            <w:bottom w:val="none" w:sz="0" w:space="0" w:color="auto"/>
            <w:right w:val="none" w:sz="0" w:space="0" w:color="auto"/>
          </w:divBdr>
        </w:div>
        <w:div w:id="916744940">
          <w:marLeft w:val="0"/>
          <w:marRight w:val="0"/>
          <w:marTop w:val="0"/>
          <w:marBottom w:val="0"/>
          <w:divBdr>
            <w:top w:val="none" w:sz="0" w:space="0" w:color="auto"/>
            <w:left w:val="none" w:sz="0" w:space="0" w:color="auto"/>
            <w:bottom w:val="none" w:sz="0" w:space="0" w:color="auto"/>
            <w:right w:val="none" w:sz="0" w:space="0" w:color="auto"/>
          </w:divBdr>
        </w:div>
        <w:div w:id="51539712">
          <w:marLeft w:val="0"/>
          <w:marRight w:val="0"/>
          <w:marTop w:val="0"/>
          <w:marBottom w:val="0"/>
          <w:divBdr>
            <w:top w:val="none" w:sz="0" w:space="0" w:color="auto"/>
            <w:left w:val="none" w:sz="0" w:space="0" w:color="auto"/>
            <w:bottom w:val="none" w:sz="0" w:space="0" w:color="auto"/>
            <w:right w:val="none" w:sz="0" w:space="0" w:color="auto"/>
          </w:divBdr>
        </w:div>
      </w:divsChild>
    </w:div>
    <w:div w:id="346449545">
      <w:bodyDiv w:val="1"/>
      <w:marLeft w:val="0"/>
      <w:marRight w:val="0"/>
      <w:marTop w:val="0"/>
      <w:marBottom w:val="0"/>
      <w:divBdr>
        <w:top w:val="none" w:sz="0" w:space="0" w:color="auto"/>
        <w:left w:val="none" w:sz="0" w:space="0" w:color="auto"/>
        <w:bottom w:val="none" w:sz="0" w:space="0" w:color="auto"/>
        <w:right w:val="none" w:sz="0" w:space="0" w:color="auto"/>
      </w:divBdr>
    </w:div>
    <w:div w:id="620107985">
      <w:bodyDiv w:val="1"/>
      <w:marLeft w:val="0"/>
      <w:marRight w:val="0"/>
      <w:marTop w:val="0"/>
      <w:marBottom w:val="0"/>
      <w:divBdr>
        <w:top w:val="none" w:sz="0" w:space="0" w:color="auto"/>
        <w:left w:val="none" w:sz="0" w:space="0" w:color="auto"/>
        <w:bottom w:val="none" w:sz="0" w:space="0" w:color="auto"/>
        <w:right w:val="none" w:sz="0" w:space="0" w:color="auto"/>
      </w:divBdr>
      <w:divsChild>
        <w:div w:id="669912502">
          <w:marLeft w:val="0"/>
          <w:marRight w:val="0"/>
          <w:marTop w:val="0"/>
          <w:marBottom w:val="0"/>
          <w:divBdr>
            <w:top w:val="none" w:sz="0" w:space="0" w:color="auto"/>
            <w:left w:val="none" w:sz="0" w:space="0" w:color="auto"/>
            <w:bottom w:val="none" w:sz="0" w:space="0" w:color="auto"/>
            <w:right w:val="none" w:sz="0" w:space="0" w:color="auto"/>
          </w:divBdr>
        </w:div>
        <w:div w:id="23478921">
          <w:marLeft w:val="0"/>
          <w:marRight w:val="0"/>
          <w:marTop w:val="0"/>
          <w:marBottom w:val="0"/>
          <w:divBdr>
            <w:top w:val="none" w:sz="0" w:space="0" w:color="auto"/>
            <w:left w:val="none" w:sz="0" w:space="0" w:color="auto"/>
            <w:bottom w:val="none" w:sz="0" w:space="0" w:color="auto"/>
            <w:right w:val="none" w:sz="0" w:space="0" w:color="auto"/>
          </w:divBdr>
        </w:div>
        <w:div w:id="698941778">
          <w:marLeft w:val="0"/>
          <w:marRight w:val="0"/>
          <w:marTop w:val="0"/>
          <w:marBottom w:val="0"/>
          <w:divBdr>
            <w:top w:val="none" w:sz="0" w:space="0" w:color="auto"/>
            <w:left w:val="none" w:sz="0" w:space="0" w:color="auto"/>
            <w:bottom w:val="none" w:sz="0" w:space="0" w:color="auto"/>
            <w:right w:val="none" w:sz="0" w:space="0" w:color="auto"/>
          </w:divBdr>
        </w:div>
      </w:divsChild>
    </w:div>
    <w:div w:id="706874183">
      <w:bodyDiv w:val="1"/>
      <w:marLeft w:val="0"/>
      <w:marRight w:val="0"/>
      <w:marTop w:val="0"/>
      <w:marBottom w:val="0"/>
      <w:divBdr>
        <w:top w:val="none" w:sz="0" w:space="0" w:color="auto"/>
        <w:left w:val="none" w:sz="0" w:space="0" w:color="auto"/>
        <w:bottom w:val="none" w:sz="0" w:space="0" w:color="auto"/>
        <w:right w:val="none" w:sz="0" w:space="0" w:color="auto"/>
      </w:divBdr>
    </w:div>
    <w:div w:id="802191785">
      <w:bodyDiv w:val="1"/>
      <w:marLeft w:val="0"/>
      <w:marRight w:val="0"/>
      <w:marTop w:val="0"/>
      <w:marBottom w:val="0"/>
      <w:divBdr>
        <w:top w:val="none" w:sz="0" w:space="0" w:color="auto"/>
        <w:left w:val="none" w:sz="0" w:space="0" w:color="auto"/>
        <w:bottom w:val="none" w:sz="0" w:space="0" w:color="auto"/>
        <w:right w:val="none" w:sz="0" w:space="0" w:color="auto"/>
      </w:divBdr>
      <w:divsChild>
        <w:div w:id="1991859020">
          <w:marLeft w:val="0"/>
          <w:marRight w:val="0"/>
          <w:marTop w:val="0"/>
          <w:marBottom w:val="0"/>
          <w:divBdr>
            <w:top w:val="none" w:sz="0" w:space="0" w:color="auto"/>
            <w:left w:val="none" w:sz="0" w:space="0" w:color="auto"/>
            <w:bottom w:val="none" w:sz="0" w:space="0" w:color="auto"/>
            <w:right w:val="none" w:sz="0" w:space="0" w:color="auto"/>
          </w:divBdr>
        </w:div>
        <w:div w:id="497499245">
          <w:marLeft w:val="0"/>
          <w:marRight w:val="0"/>
          <w:marTop w:val="0"/>
          <w:marBottom w:val="0"/>
          <w:divBdr>
            <w:top w:val="none" w:sz="0" w:space="0" w:color="auto"/>
            <w:left w:val="none" w:sz="0" w:space="0" w:color="auto"/>
            <w:bottom w:val="none" w:sz="0" w:space="0" w:color="auto"/>
            <w:right w:val="none" w:sz="0" w:space="0" w:color="auto"/>
          </w:divBdr>
        </w:div>
        <w:div w:id="754519580">
          <w:marLeft w:val="0"/>
          <w:marRight w:val="0"/>
          <w:marTop w:val="0"/>
          <w:marBottom w:val="0"/>
          <w:divBdr>
            <w:top w:val="none" w:sz="0" w:space="0" w:color="auto"/>
            <w:left w:val="none" w:sz="0" w:space="0" w:color="auto"/>
            <w:bottom w:val="none" w:sz="0" w:space="0" w:color="auto"/>
            <w:right w:val="none" w:sz="0" w:space="0" w:color="auto"/>
          </w:divBdr>
        </w:div>
        <w:div w:id="1693803610">
          <w:marLeft w:val="0"/>
          <w:marRight w:val="0"/>
          <w:marTop w:val="0"/>
          <w:marBottom w:val="0"/>
          <w:divBdr>
            <w:top w:val="none" w:sz="0" w:space="0" w:color="auto"/>
            <w:left w:val="none" w:sz="0" w:space="0" w:color="auto"/>
            <w:bottom w:val="none" w:sz="0" w:space="0" w:color="auto"/>
            <w:right w:val="none" w:sz="0" w:space="0" w:color="auto"/>
          </w:divBdr>
        </w:div>
        <w:div w:id="1787119999">
          <w:marLeft w:val="0"/>
          <w:marRight w:val="0"/>
          <w:marTop w:val="0"/>
          <w:marBottom w:val="0"/>
          <w:divBdr>
            <w:top w:val="none" w:sz="0" w:space="0" w:color="auto"/>
            <w:left w:val="none" w:sz="0" w:space="0" w:color="auto"/>
            <w:bottom w:val="none" w:sz="0" w:space="0" w:color="auto"/>
            <w:right w:val="none" w:sz="0" w:space="0" w:color="auto"/>
          </w:divBdr>
        </w:div>
        <w:div w:id="693650034">
          <w:marLeft w:val="0"/>
          <w:marRight w:val="0"/>
          <w:marTop w:val="0"/>
          <w:marBottom w:val="0"/>
          <w:divBdr>
            <w:top w:val="none" w:sz="0" w:space="0" w:color="auto"/>
            <w:left w:val="none" w:sz="0" w:space="0" w:color="auto"/>
            <w:bottom w:val="none" w:sz="0" w:space="0" w:color="auto"/>
            <w:right w:val="none" w:sz="0" w:space="0" w:color="auto"/>
          </w:divBdr>
        </w:div>
        <w:div w:id="641157608">
          <w:marLeft w:val="0"/>
          <w:marRight w:val="0"/>
          <w:marTop w:val="0"/>
          <w:marBottom w:val="0"/>
          <w:divBdr>
            <w:top w:val="none" w:sz="0" w:space="0" w:color="auto"/>
            <w:left w:val="none" w:sz="0" w:space="0" w:color="auto"/>
            <w:bottom w:val="none" w:sz="0" w:space="0" w:color="auto"/>
            <w:right w:val="none" w:sz="0" w:space="0" w:color="auto"/>
          </w:divBdr>
        </w:div>
        <w:div w:id="1475215741">
          <w:marLeft w:val="0"/>
          <w:marRight w:val="0"/>
          <w:marTop w:val="0"/>
          <w:marBottom w:val="0"/>
          <w:divBdr>
            <w:top w:val="none" w:sz="0" w:space="0" w:color="auto"/>
            <w:left w:val="none" w:sz="0" w:space="0" w:color="auto"/>
            <w:bottom w:val="none" w:sz="0" w:space="0" w:color="auto"/>
            <w:right w:val="none" w:sz="0" w:space="0" w:color="auto"/>
          </w:divBdr>
        </w:div>
        <w:div w:id="647394654">
          <w:marLeft w:val="0"/>
          <w:marRight w:val="0"/>
          <w:marTop w:val="0"/>
          <w:marBottom w:val="0"/>
          <w:divBdr>
            <w:top w:val="none" w:sz="0" w:space="0" w:color="auto"/>
            <w:left w:val="none" w:sz="0" w:space="0" w:color="auto"/>
            <w:bottom w:val="none" w:sz="0" w:space="0" w:color="auto"/>
            <w:right w:val="none" w:sz="0" w:space="0" w:color="auto"/>
          </w:divBdr>
        </w:div>
        <w:div w:id="804544992">
          <w:marLeft w:val="0"/>
          <w:marRight w:val="0"/>
          <w:marTop w:val="0"/>
          <w:marBottom w:val="0"/>
          <w:divBdr>
            <w:top w:val="none" w:sz="0" w:space="0" w:color="auto"/>
            <w:left w:val="none" w:sz="0" w:space="0" w:color="auto"/>
            <w:bottom w:val="none" w:sz="0" w:space="0" w:color="auto"/>
            <w:right w:val="none" w:sz="0" w:space="0" w:color="auto"/>
          </w:divBdr>
        </w:div>
        <w:div w:id="1633288769">
          <w:marLeft w:val="0"/>
          <w:marRight w:val="0"/>
          <w:marTop w:val="0"/>
          <w:marBottom w:val="0"/>
          <w:divBdr>
            <w:top w:val="none" w:sz="0" w:space="0" w:color="auto"/>
            <w:left w:val="none" w:sz="0" w:space="0" w:color="auto"/>
            <w:bottom w:val="none" w:sz="0" w:space="0" w:color="auto"/>
            <w:right w:val="none" w:sz="0" w:space="0" w:color="auto"/>
          </w:divBdr>
        </w:div>
        <w:div w:id="1863859004">
          <w:marLeft w:val="0"/>
          <w:marRight w:val="0"/>
          <w:marTop w:val="0"/>
          <w:marBottom w:val="0"/>
          <w:divBdr>
            <w:top w:val="none" w:sz="0" w:space="0" w:color="auto"/>
            <w:left w:val="none" w:sz="0" w:space="0" w:color="auto"/>
            <w:bottom w:val="none" w:sz="0" w:space="0" w:color="auto"/>
            <w:right w:val="none" w:sz="0" w:space="0" w:color="auto"/>
          </w:divBdr>
        </w:div>
        <w:div w:id="2144426900">
          <w:marLeft w:val="0"/>
          <w:marRight w:val="0"/>
          <w:marTop w:val="0"/>
          <w:marBottom w:val="0"/>
          <w:divBdr>
            <w:top w:val="none" w:sz="0" w:space="0" w:color="auto"/>
            <w:left w:val="none" w:sz="0" w:space="0" w:color="auto"/>
            <w:bottom w:val="none" w:sz="0" w:space="0" w:color="auto"/>
            <w:right w:val="none" w:sz="0" w:space="0" w:color="auto"/>
          </w:divBdr>
        </w:div>
        <w:div w:id="1381788338">
          <w:marLeft w:val="0"/>
          <w:marRight w:val="0"/>
          <w:marTop w:val="0"/>
          <w:marBottom w:val="0"/>
          <w:divBdr>
            <w:top w:val="none" w:sz="0" w:space="0" w:color="auto"/>
            <w:left w:val="none" w:sz="0" w:space="0" w:color="auto"/>
            <w:bottom w:val="none" w:sz="0" w:space="0" w:color="auto"/>
            <w:right w:val="none" w:sz="0" w:space="0" w:color="auto"/>
          </w:divBdr>
        </w:div>
        <w:div w:id="1152327043">
          <w:marLeft w:val="0"/>
          <w:marRight w:val="0"/>
          <w:marTop w:val="0"/>
          <w:marBottom w:val="0"/>
          <w:divBdr>
            <w:top w:val="none" w:sz="0" w:space="0" w:color="auto"/>
            <w:left w:val="none" w:sz="0" w:space="0" w:color="auto"/>
            <w:bottom w:val="none" w:sz="0" w:space="0" w:color="auto"/>
            <w:right w:val="none" w:sz="0" w:space="0" w:color="auto"/>
          </w:divBdr>
        </w:div>
        <w:div w:id="688994160">
          <w:marLeft w:val="0"/>
          <w:marRight w:val="0"/>
          <w:marTop w:val="0"/>
          <w:marBottom w:val="0"/>
          <w:divBdr>
            <w:top w:val="none" w:sz="0" w:space="0" w:color="auto"/>
            <w:left w:val="none" w:sz="0" w:space="0" w:color="auto"/>
            <w:bottom w:val="none" w:sz="0" w:space="0" w:color="auto"/>
            <w:right w:val="none" w:sz="0" w:space="0" w:color="auto"/>
          </w:divBdr>
        </w:div>
        <w:div w:id="1315570681">
          <w:marLeft w:val="0"/>
          <w:marRight w:val="0"/>
          <w:marTop w:val="0"/>
          <w:marBottom w:val="0"/>
          <w:divBdr>
            <w:top w:val="none" w:sz="0" w:space="0" w:color="auto"/>
            <w:left w:val="none" w:sz="0" w:space="0" w:color="auto"/>
            <w:bottom w:val="none" w:sz="0" w:space="0" w:color="auto"/>
            <w:right w:val="none" w:sz="0" w:space="0" w:color="auto"/>
          </w:divBdr>
        </w:div>
        <w:div w:id="1783496914">
          <w:marLeft w:val="0"/>
          <w:marRight w:val="0"/>
          <w:marTop w:val="0"/>
          <w:marBottom w:val="0"/>
          <w:divBdr>
            <w:top w:val="none" w:sz="0" w:space="0" w:color="auto"/>
            <w:left w:val="none" w:sz="0" w:space="0" w:color="auto"/>
            <w:bottom w:val="none" w:sz="0" w:space="0" w:color="auto"/>
            <w:right w:val="none" w:sz="0" w:space="0" w:color="auto"/>
          </w:divBdr>
        </w:div>
        <w:div w:id="2031636142">
          <w:marLeft w:val="0"/>
          <w:marRight w:val="0"/>
          <w:marTop w:val="0"/>
          <w:marBottom w:val="0"/>
          <w:divBdr>
            <w:top w:val="none" w:sz="0" w:space="0" w:color="auto"/>
            <w:left w:val="none" w:sz="0" w:space="0" w:color="auto"/>
            <w:bottom w:val="none" w:sz="0" w:space="0" w:color="auto"/>
            <w:right w:val="none" w:sz="0" w:space="0" w:color="auto"/>
          </w:divBdr>
        </w:div>
        <w:div w:id="309479497">
          <w:marLeft w:val="0"/>
          <w:marRight w:val="0"/>
          <w:marTop w:val="0"/>
          <w:marBottom w:val="0"/>
          <w:divBdr>
            <w:top w:val="none" w:sz="0" w:space="0" w:color="auto"/>
            <w:left w:val="none" w:sz="0" w:space="0" w:color="auto"/>
            <w:bottom w:val="none" w:sz="0" w:space="0" w:color="auto"/>
            <w:right w:val="none" w:sz="0" w:space="0" w:color="auto"/>
          </w:divBdr>
        </w:div>
      </w:divsChild>
    </w:div>
    <w:div w:id="1038772854">
      <w:bodyDiv w:val="1"/>
      <w:marLeft w:val="0"/>
      <w:marRight w:val="0"/>
      <w:marTop w:val="0"/>
      <w:marBottom w:val="0"/>
      <w:divBdr>
        <w:top w:val="none" w:sz="0" w:space="0" w:color="auto"/>
        <w:left w:val="none" w:sz="0" w:space="0" w:color="auto"/>
        <w:bottom w:val="none" w:sz="0" w:space="0" w:color="auto"/>
        <w:right w:val="none" w:sz="0" w:space="0" w:color="auto"/>
      </w:divBdr>
      <w:divsChild>
        <w:div w:id="1285499489">
          <w:marLeft w:val="0"/>
          <w:marRight w:val="0"/>
          <w:marTop w:val="0"/>
          <w:marBottom w:val="0"/>
          <w:divBdr>
            <w:top w:val="none" w:sz="0" w:space="0" w:color="auto"/>
            <w:left w:val="none" w:sz="0" w:space="0" w:color="auto"/>
            <w:bottom w:val="none" w:sz="0" w:space="0" w:color="auto"/>
            <w:right w:val="none" w:sz="0" w:space="0" w:color="auto"/>
          </w:divBdr>
        </w:div>
        <w:div w:id="1874534620">
          <w:marLeft w:val="0"/>
          <w:marRight w:val="0"/>
          <w:marTop w:val="0"/>
          <w:marBottom w:val="0"/>
          <w:divBdr>
            <w:top w:val="none" w:sz="0" w:space="0" w:color="auto"/>
            <w:left w:val="none" w:sz="0" w:space="0" w:color="auto"/>
            <w:bottom w:val="none" w:sz="0" w:space="0" w:color="auto"/>
            <w:right w:val="none" w:sz="0" w:space="0" w:color="auto"/>
          </w:divBdr>
        </w:div>
        <w:div w:id="1008413484">
          <w:marLeft w:val="0"/>
          <w:marRight w:val="0"/>
          <w:marTop w:val="0"/>
          <w:marBottom w:val="0"/>
          <w:divBdr>
            <w:top w:val="none" w:sz="0" w:space="0" w:color="auto"/>
            <w:left w:val="none" w:sz="0" w:space="0" w:color="auto"/>
            <w:bottom w:val="none" w:sz="0" w:space="0" w:color="auto"/>
            <w:right w:val="none" w:sz="0" w:space="0" w:color="auto"/>
          </w:divBdr>
        </w:div>
        <w:div w:id="1184706278">
          <w:marLeft w:val="0"/>
          <w:marRight w:val="0"/>
          <w:marTop w:val="0"/>
          <w:marBottom w:val="0"/>
          <w:divBdr>
            <w:top w:val="none" w:sz="0" w:space="0" w:color="auto"/>
            <w:left w:val="none" w:sz="0" w:space="0" w:color="auto"/>
            <w:bottom w:val="none" w:sz="0" w:space="0" w:color="auto"/>
            <w:right w:val="none" w:sz="0" w:space="0" w:color="auto"/>
          </w:divBdr>
        </w:div>
        <w:div w:id="1080979978">
          <w:marLeft w:val="0"/>
          <w:marRight w:val="0"/>
          <w:marTop w:val="0"/>
          <w:marBottom w:val="0"/>
          <w:divBdr>
            <w:top w:val="none" w:sz="0" w:space="0" w:color="auto"/>
            <w:left w:val="none" w:sz="0" w:space="0" w:color="auto"/>
            <w:bottom w:val="none" w:sz="0" w:space="0" w:color="auto"/>
            <w:right w:val="none" w:sz="0" w:space="0" w:color="auto"/>
          </w:divBdr>
        </w:div>
        <w:div w:id="339240204">
          <w:marLeft w:val="0"/>
          <w:marRight w:val="0"/>
          <w:marTop w:val="0"/>
          <w:marBottom w:val="0"/>
          <w:divBdr>
            <w:top w:val="none" w:sz="0" w:space="0" w:color="auto"/>
            <w:left w:val="none" w:sz="0" w:space="0" w:color="auto"/>
            <w:bottom w:val="none" w:sz="0" w:space="0" w:color="auto"/>
            <w:right w:val="none" w:sz="0" w:space="0" w:color="auto"/>
          </w:divBdr>
        </w:div>
        <w:div w:id="451827249">
          <w:marLeft w:val="0"/>
          <w:marRight w:val="0"/>
          <w:marTop w:val="0"/>
          <w:marBottom w:val="0"/>
          <w:divBdr>
            <w:top w:val="none" w:sz="0" w:space="0" w:color="auto"/>
            <w:left w:val="none" w:sz="0" w:space="0" w:color="auto"/>
            <w:bottom w:val="none" w:sz="0" w:space="0" w:color="auto"/>
            <w:right w:val="none" w:sz="0" w:space="0" w:color="auto"/>
          </w:divBdr>
        </w:div>
      </w:divsChild>
    </w:div>
    <w:div w:id="1638296826">
      <w:bodyDiv w:val="1"/>
      <w:marLeft w:val="0"/>
      <w:marRight w:val="0"/>
      <w:marTop w:val="0"/>
      <w:marBottom w:val="0"/>
      <w:divBdr>
        <w:top w:val="none" w:sz="0" w:space="0" w:color="auto"/>
        <w:left w:val="none" w:sz="0" w:space="0" w:color="auto"/>
        <w:bottom w:val="none" w:sz="0" w:space="0" w:color="auto"/>
        <w:right w:val="none" w:sz="0" w:space="0" w:color="auto"/>
      </w:divBdr>
    </w:div>
    <w:div w:id="186451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85535-B9BE-42F2-AD7D-661BC28FE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5184</Words>
  <Characters>29549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University of Chicago Medicine &amp; Biological Sciences</Company>
  <LinksUpToDate>false</LinksUpToDate>
  <CharactersWithSpaces>34664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Gupta</dc:creator>
  <cp:lastModifiedBy>Windows 用户</cp:lastModifiedBy>
  <cp:revision>3</cp:revision>
  <dcterms:created xsi:type="dcterms:W3CDTF">2017-04-19T03:07:00Z</dcterms:created>
  <dcterms:modified xsi:type="dcterms:W3CDTF">2017-04-19T08:13:00Z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id="6y6rXRHx"/&gt;&lt;style id="http://www.zotero.org/styles/chicago-note-bibliography" locale="en-US" hasBibliography="1" bibliographyStyleHasBeenSet="1"/&gt;&lt;prefs&gt;&lt;pref name="fieldType" value="Field"/&gt;&lt;p</vt:lpwstr>
  </property>
  <property fmtid="{D5CDD505-2E9C-101B-9397-08002B2CF9AE}" pid="3" name="ZOTERO_PREF_2">
    <vt:lpwstr>ref name="storeReferences" value="true"/&gt;&lt;pref name="automaticJournalAbbreviations" value="true"/&gt;&lt;pref name="noteType" value="1"/&gt;&lt;/prefs&gt;&lt;/data&gt;</vt:lpwstr>
  </property>
</Properties>
</file>