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E05B1" w14:textId="77777777" w:rsidR="00225C60" w:rsidRPr="005F2615" w:rsidRDefault="00225C60" w:rsidP="00B12312">
      <w:pPr>
        <w:spacing w:after="0" w:line="360" w:lineRule="auto"/>
        <w:jc w:val="both"/>
        <w:rPr>
          <w:rFonts w:ascii="Book Antiqua" w:hAnsi="Book Antiqua"/>
          <w:b/>
          <w:sz w:val="24"/>
          <w:szCs w:val="24"/>
        </w:rPr>
      </w:pPr>
      <w:r w:rsidRPr="005F2615">
        <w:rPr>
          <w:rFonts w:ascii="Book Antiqua" w:hAnsi="Book Antiqua"/>
          <w:b/>
          <w:sz w:val="24"/>
          <w:szCs w:val="24"/>
        </w:rPr>
        <w:t xml:space="preserve">Name of Journal: </w:t>
      </w:r>
      <w:r w:rsidRPr="005F2615">
        <w:rPr>
          <w:rFonts w:ascii="Book Antiqua" w:hAnsi="Book Antiqua"/>
          <w:b/>
          <w:i/>
          <w:iCs/>
          <w:sz w:val="24"/>
          <w:szCs w:val="24"/>
        </w:rPr>
        <w:t>World Journal of Methodology</w:t>
      </w:r>
    </w:p>
    <w:p w14:paraId="774D19D6" w14:textId="77777777" w:rsidR="00225C60" w:rsidRPr="005F2615" w:rsidRDefault="00225C60" w:rsidP="00B12312">
      <w:pPr>
        <w:spacing w:after="0" w:line="360" w:lineRule="auto"/>
        <w:jc w:val="both"/>
        <w:rPr>
          <w:rFonts w:ascii="Book Antiqua" w:hAnsi="Book Antiqua"/>
          <w:b/>
          <w:sz w:val="24"/>
          <w:szCs w:val="24"/>
          <w:lang w:eastAsia="zh-CN"/>
        </w:rPr>
      </w:pPr>
      <w:r w:rsidRPr="005F2615">
        <w:rPr>
          <w:rFonts w:ascii="Book Antiqua" w:hAnsi="Book Antiqua"/>
          <w:b/>
          <w:sz w:val="24"/>
          <w:szCs w:val="24"/>
        </w:rPr>
        <w:t xml:space="preserve">ESPS Manuscript NO: </w:t>
      </w:r>
      <w:r w:rsidRPr="005F2615">
        <w:rPr>
          <w:rFonts w:ascii="Book Antiqua" w:hAnsi="Book Antiqua"/>
          <w:b/>
          <w:sz w:val="24"/>
          <w:szCs w:val="24"/>
          <w:lang w:eastAsia="zh-CN"/>
        </w:rPr>
        <w:t>30770</w:t>
      </w:r>
    </w:p>
    <w:p w14:paraId="63E50BF8" w14:textId="77777777" w:rsidR="00225C60" w:rsidRPr="005F2615" w:rsidRDefault="00225C60" w:rsidP="00B12312">
      <w:pPr>
        <w:spacing w:after="0" w:line="360" w:lineRule="auto"/>
        <w:jc w:val="both"/>
        <w:rPr>
          <w:rFonts w:ascii="Book Antiqua" w:hAnsi="Book Antiqua"/>
          <w:b/>
          <w:sz w:val="24"/>
          <w:szCs w:val="24"/>
          <w:lang w:eastAsia="zh-CN"/>
        </w:rPr>
      </w:pPr>
      <w:r w:rsidRPr="005F2615">
        <w:rPr>
          <w:rFonts w:ascii="Book Antiqua" w:hAnsi="Book Antiqua"/>
          <w:b/>
          <w:sz w:val="24"/>
          <w:szCs w:val="24"/>
        </w:rPr>
        <w:t>Manuscript Type: Minireviews</w:t>
      </w:r>
    </w:p>
    <w:p w14:paraId="0EE8679F" w14:textId="77777777" w:rsidR="00225C60" w:rsidRPr="005F2615" w:rsidRDefault="00225C60" w:rsidP="00B12312">
      <w:pPr>
        <w:spacing w:after="0" w:line="360" w:lineRule="auto"/>
        <w:jc w:val="both"/>
        <w:rPr>
          <w:rFonts w:ascii="Book Antiqua" w:hAnsi="Book Antiqua"/>
          <w:b/>
          <w:sz w:val="24"/>
          <w:szCs w:val="24"/>
          <w:lang w:eastAsia="zh-CN"/>
        </w:rPr>
      </w:pPr>
    </w:p>
    <w:p w14:paraId="5D1B8EEA" w14:textId="16B11B29" w:rsidR="00282515" w:rsidRPr="005F2615" w:rsidRDefault="00282515" w:rsidP="00B12312">
      <w:pPr>
        <w:spacing w:after="0" w:line="360" w:lineRule="auto"/>
        <w:jc w:val="both"/>
        <w:rPr>
          <w:rFonts w:ascii="Book Antiqua" w:hAnsi="Book Antiqua" w:cs="Times New Roman"/>
          <w:b/>
          <w:bCs/>
          <w:sz w:val="24"/>
          <w:szCs w:val="24"/>
          <w:lang w:val="en-US" w:eastAsia="zh-CN"/>
        </w:rPr>
      </w:pPr>
      <w:r w:rsidRPr="005F2615">
        <w:rPr>
          <w:rFonts w:ascii="Book Antiqua" w:hAnsi="Book Antiqua" w:cs="Times New Roman"/>
          <w:b/>
          <w:bCs/>
          <w:sz w:val="24"/>
          <w:szCs w:val="24"/>
          <w:lang w:val="en-US"/>
        </w:rPr>
        <w:t xml:space="preserve">Chromogranin </w:t>
      </w:r>
      <w:r w:rsidR="00225C60" w:rsidRPr="005F2615">
        <w:rPr>
          <w:rFonts w:ascii="Book Antiqua" w:hAnsi="Book Antiqua" w:cs="Times New Roman"/>
          <w:b/>
          <w:bCs/>
          <w:sz w:val="24"/>
          <w:szCs w:val="24"/>
          <w:lang w:val="en-US"/>
        </w:rPr>
        <w:t xml:space="preserve">A </w:t>
      </w:r>
      <w:r w:rsidR="000078EE" w:rsidRPr="005F2615">
        <w:rPr>
          <w:rFonts w:ascii="Book Antiqua" w:hAnsi="Book Antiqua" w:cs="Times New Roman"/>
          <w:b/>
          <w:bCs/>
          <w:sz w:val="24"/>
          <w:szCs w:val="24"/>
          <w:lang w:val="en-US"/>
        </w:rPr>
        <w:t xml:space="preserve">as a valid marker </w:t>
      </w:r>
      <w:r w:rsidR="00CE1E56" w:rsidRPr="005F2615">
        <w:rPr>
          <w:rFonts w:ascii="Book Antiqua" w:hAnsi="Book Antiqua" w:cs="Times New Roman"/>
          <w:b/>
          <w:bCs/>
          <w:sz w:val="24"/>
          <w:szCs w:val="24"/>
          <w:lang w:val="en-US"/>
        </w:rPr>
        <w:t xml:space="preserve">in </w:t>
      </w:r>
      <w:r w:rsidR="00225C60" w:rsidRPr="005F2615">
        <w:rPr>
          <w:rFonts w:ascii="Book Antiqua" w:hAnsi="Book Antiqua" w:cs="Times New Roman"/>
          <w:b/>
          <w:bCs/>
          <w:sz w:val="24"/>
          <w:szCs w:val="24"/>
          <w:lang w:val="en-US"/>
        </w:rPr>
        <w:t>o</w:t>
      </w:r>
      <w:r w:rsidR="00CE1E56" w:rsidRPr="005F2615">
        <w:rPr>
          <w:rFonts w:ascii="Book Antiqua" w:hAnsi="Book Antiqua" w:cs="Times New Roman"/>
          <w:b/>
          <w:bCs/>
          <w:sz w:val="24"/>
          <w:szCs w:val="24"/>
          <w:lang w:val="en-US"/>
        </w:rPr>
        <w:t>ncology</w:t>
      </w:r>
      <w:r w:rsidR="00225C60" w:rsidRPr="005F2615">
        <w:rPr>
          <w:rFonts w:ascii="Book Antiqua" w:hAnsi="Book Antiqua" w:cs="Times New Roman"/>
          <w:b/>
          <w:bCs/>
          <w:sz w:val="24"/>
          <w:szCs w:val="24"/>
          <w:lang w:val="en-US" w:eastAsia="zh-CN"/>
        </w:rPr>
        <w:t xml:space="preserve">: </w:t>
      </w:r>
      <w:r w:rsidR="000078EE" w:rsidRPr="005F2615">
        <w:rPr>
          <w:rFonts w:ascii="Book Antiqua" w:hAnsi="Book Antiqua" w:cs="Times New Roman"/>
          <w:b/>
          <w:bCs/>
          <w:sz w:val="24"/>
          <w:szCs w:val="24"/>
          <w:lang w:val="en-US"/>
        </w:rPr>
        <w:t>Clinical application</w:t>
      </w:r>
      <w:r w:rsidR="00D167CF" w:rsidRPr="005F2615">
        <w:rPr>
          <w:rFonts w:ascii="Book Antiqua" w:hAnsi="Book Antiqua" w:cs="Times New Roman"/>
          <w:b/>
          <w:bCs/>
          <w:sz w:val="24"/>
          <w:szCs w:val="24"/>
          <w:lang w:val="en-US"/>
        </w:rPr>
        <w:t xml:space="preserve"> or false hopes?</w:t>
      </w:r>
    </w:p>
    <w:p w14:paraId="39EBF263" w14:textId="77777777" w:rsidR="00105D13" w:rsidRPr="005F2615" w:rsidRDefault="00105D13" w:rsidP="00B12312">
      <w:pPr>
        <w:spacing w:after="0" w:line="360" w:lineRule="auto"/>
        <w:jc w:val="both"/>
        <w:rPr>
          <w:rFonts w:ascii="Book Antiqua" w:hAnsi="Book Antiqua" w:cs="Times New Roman"/>
          <w:b/>
          <w:bCs/>
          <w:sz w:val="24"/>
          <w:szCs w:val="24"/>
          <w:lang w:val="en-US" w:eastAsia="zh-CN"/>
        </w:rPr>
      </w:pPr>
    </w:p>
    <w:p w14:paraId="05469CA6" w14:textId="1C31B4A6" w:rsidR="00EC0D62" w:rsidRPr="005F2615" w:rsidRDefault="00105D13" w:rsidP="00B12312">
      <w:pPr>
        <w:spacing w:after="0" w:line="360" w:lineRule="auto"/>
        <w:jc w:val="both"/>
        <w:rPr>
          <w:rFonts w:ascii="Book Antiqua" w:hAnsi="Book Antiqua" w:cs="Times New Roman"/>
          <w:i/>
          <w:sz w:val="24"/>
          <w:szCs w:val="24"/>
          <w:lang w:val="en-US" w:eastAsia="zh-CN"/>
        </w:rPr>
      </w:pPr>
      <w:r w:rsidRPr="005F2615">
        <w:rPr>
          <w:rFonts w:ascii="Book Antiqua" w:hAnsi="Book Antiqua" w:cs="Times New Roman"/>
          <w:sz w:val="24"/>
          <w:szCs w:val="24"/>
          <w:lang w:val="en-US"/>
        </w:rPr>
        <w:t>Gkolfinopoulos</w:t>
      </w:r>
      <w:r w:rsidRPr="005F2615">
        <w:rPr>
          <w:rFonts w:ascii="Book Antiqua" w:hAnsi="Book Antiqua" w:cs="Times New Roman"/>
          <w:sz w:val="24"/>
          <w:szCs w:val="24"/>
          <w:lang w:val="en-US" w:eastAsia="zh-CN"/>
        </w:rPr>
        <w:t xml:space="preserve"> S </w:t>
      </w:r>
      <w:r w:rsidRPr="005F2615">
        <w:rPr>
          <w:rFonts w:ascii="Book Antiqua" w:hAnsi="Book Antiqua" w:cs="Times New Roman"/>
          <w:i/>
          <w:sz w:val="24"/>
          <w:szCs w:val="24"/>
          <w:lang w:val="en-US" w:eastAsia="zh-CN"/>
        </w:rPr>
        <w:t>et al.</w:t>
      </w:r>
      <w:r w:rsidRPr="005F2615">
        <w:rPr>
          <w:rFonts w:ascii="Book Antiqua" w:hAnsi="Book Antiqua" w:cs="Times New Roman"/>
          <w:sz w:val="24"/>
          <w:szCs w:val="24"/>
          <w:lang w:val="en-US"/>
        </w:rPr>
        <w:t xml:space="preserve"> CgA as marker in oncology</w:t>
      </w:r>
    </w:p>
    <w:p w14:paraId="55958D47" w14:textId="77777777" w:rsidR="00105D13" w:rsidRPr="005F2615" w:rsidRDefault="00105D13" w:rsidP="00B12312">
      <w:pPr>
        <w:spacing w:after="0" w:line="360" w:lineRule="auto"/>
        <w:jc w:val="both"/>
        <w:rPr>
          <w:rFonts w:ascii="Book Antiqua" w:hAnsi="Book Antiqua" w:cs="Times New Roman"/>
          <w:b/>
          <w:bCs/>
          <w:sz w:val="24"/>
          <w:szCs w:val="24"/>
          <w:lang w:val="en-US" w:eastAsia="zh-CN"/>
        </w:rPr>
      </w:pPr>
    </w:p>
    <w:p w14:paraId="500A281B" w14:textId="1A7A0750" w:rsidR="00225C60" w:rsidRPr="005F2615" w:rsidRDefault="00225C60" w:rsidP="00B12312">
      <w:pPr>
        <w:spacing w:after="0" w:line="360" w:lineRule="auto"/>
        <w:jc w:val="both"/>
        <w:rPr>
          <w:rFonts w:ascii="Book Antiqua" w:hAnsi="Book Antiqua" w:cs="Times New Roman"/>
          <w:b/>
          <w:sz w:val="24"/>
          <w:szCs w:val="24"/>
          <w:vertAlign w:val="superscript"/>
          <w:lang w:val="en-US" w:eastAsia="zh-CN"/>
        </w:rPr>
      </w:pPr>
      <w:r w:rsidRPr="005F2615">
        <w:rPr>
          <w:rFonts w:ascii="Book Antiqua" w:hAnsi="Book Antiqua" w:cs="Times New Roman"/>
          <w:b/>
          <w:sz w:val="24"/>
          <w:szCs w:val="24"/>
          <w:lang w:val="en-US"/>
        </w:rPr>
        <w:t>Stavros Gkolfinopoulos, Konstantinos Tsapakidis,</w:t>
      </w:r>
      <w:r w:rsidRPr="005F2615">
        <w:rPr>
          <w:rFonts w:ascii="Book Antiqua" w:hAnsi="Book Antiqua"/>
          <w:b/>
          <w:sz w:val="24"/>
          <w:szCs w:val="24"/>
          <w:lang w:val="en-US"/>
        </w:rPr>
        <w:t xml:space="preserve"> </w:t>
      </w:r>
      <w:r w:rsidRPr="005F2615">
        <w:rPr>
          <w:rFonts w:ascii="Book Antiqua" w:hAnsi="Book Antiqua" w:cs="Times New Roman"/>
          <w:b/>
          <w:sz w:val="24"/>
          <w:szCs w:val="24"/>
        </w:rPr>
        <w:t>Konstantinos Papadimitriou</w:t>
      </w:r>
      <w:r w:rsidRPr="005F2615">
        <w:rPr>
          <w:rFonts w:ascii="Book Antiqua" w:hAnsi="Book Antiqua"/>
          <w:b/>
          <w:sz w:val="24"/>
          <w:szCs w:val="24"/>
          <w:vertAlign w:val="subscript"/>
        </w:rPr>
        <w:t>,</w:t>
      </w:r>
      <w:r w:rsidRPr="005F2615">
        <w:rPr>
          <w:rFonts w:ascii="Book Antiqua" w:hAnsi="Book Antiqua" w:cs="Times New Roman"/>
          <w:b/>
          <w:sz w:val="24"/>
          <w:szCs w:val="24"/>
          <w:lang w:val="en-US"/>
        </w:rPr>
        <w:t xml:space="preserve"> Demetris Papamichael,</w:t>
      </w:r>
      <w:r w:rsidR="005F2615">
        <w:rPr>
          <w:rFonts w:ascii="Book Antiqua" w:hAnsi="Book Antiqua" w:cs="Times New Roman"/>
          <w:b/>
          <w:sz w:val="24"/>
          <w:szCs w:val="24"/>
          <w:lang w:val="en-US"/>
        </w:rPr>
        <w:t xml:space="preserve"> </w:t>
      </w:r>
      <w:r w:rsidRPr="005F2615">
        <w:rPr>
          <w:rFonts w:ascii="Book Antiqua" w:hAnsi="Book Antiqua" w:cs="Times New Roman"/>
          <w:b/>
          <w:sz w:val="24"/>
          <w:szCs w:val="24"/>
          <w:lang w:val="en-US"/>
        </w:rPr>
        <w:t>Panteleimon Kountourakis</w:t>
      </w:r>
    </w:p>
    <w:p w14:paraId="15C49745" w14:textId="77777777" w:rsidR="000D6335" w:rsidRPr="005F2615" w:rsidRDefault="000D6335" w:rsidP="00B12312">
      <w:pPr>
        <w:spacing w:after="0" w:line="360" w:lineRule="auto"/>
        <w:jc w:val="both"/>
        <w:rPr>
          <w:rFonts w:ascii="Book Antiqua" w:hAnsi="Book Antiqua" w:cs="Times New Roman"/>
          <w:sz w:val="24"/>
          <w:szCs w:val="24"/>
          <w:vertAlign w:val="superscript"/>
          <w:lang w:val="en-US" w:eastAsia="zh-CN"/>
        </w:rPr>
      </w:pPr>
    </w:p>
    <w:p w14:paraId="7CC82F88" w14:textId="17D853FC" w:rsidR="000D6335" w:rsidRPr="005F2615" w:rsidRDefault="00741DF4" w:rsidP="00B12312">
      <w:pPr>
        <w:spacing w:after="0" w:line="360" w:lineRule="auto"/>
        <w:jc w:val="both"/>
        <w:rPr>
          <w:rFonts w:ascii="Book Antiqua" w:hAnsi="Book Antiqua" w:cs="Times New Roman"/>
          <w:b/>
          <w:sz w:val="24"/>
          <w:szCs w:val="24"/>
          <w:vertAlign w:val="superscript"/>
          <w:lang w:val="en-US" w:eastAsia="zh-CN"/>
        </w:rPr>
      </w:pPr>
      <w:r w:rsidRPr="005F2615">
        <w:rPr>
          <w:rFonts w:ascii="Book Antiqua" w:hAnsi="Book Antiqua" w:cs="Times New Roman"/>
          <w:b/>
          <w:sz w:val="24"/>
          <w:szCs w:val="24"/>
          <w:lang w:val="en-US"/>
        </w:rPr>
        <w:t xml:space="preserve">Stavros Gkolfinopoulos, </w:t>
      </w:r>
      <w:r w:rsidR="005F2615">
        <w:rPr>
          <w:rFonts w:ascii="Book Antiqua" w:hAnsi="Book Antiqua" w:cs="Times New Roman"/>
          <w:b/>
          <w:sz w:val="24"/>
          <w:szCs w:val="24"/>
          <w:lang w:val="en-US"/>
        </w:rPr>
        <w:t>Demetris Papamichael,</w:t>
      </w:r>
      <w:r w:rsidR="005F2615">
        <w:rPr>
          <w:rFonts w:ascii="Book Antiqua" w:hAnsi="Book Antiqua" w:cs="Times New Roman" w:hint="eastAsia"/>
          <w:b/>
          <w:sz w:val="24"/>
          <w:szCs w:val="24"/>
          <w:lang w:val="en-US" w:eastAsia="zh-CN"/>
        </w:rPr>
        <w:t xml:space="preserve"> </w:t>
      </w:r>
      <w:r w:rsidRPr="005F2615">
        <w:rPr>
          <w:rFonts w:ascii="Book Antiqua" w:hAnsi="Book Antiqua" w:cs="Times New Roman"/>
          <w:b/>
          <w:sz w:val="24"/>
          <w:szCs w:val="24"/>
          <w:lang w:val="en-US"/>
        </w:rPr>
        <w:t>Panteleimon Kountourakis</w:t>
      </w:r>
      <w:r w:rsidRPr="005F2615">
        <w:rPr>
          <w:rFonts w:ascii="Book Antiqua" w:hAnsi="Book Antiqua" w:cs="Times New Roman"/>
          <w:b/>
          <w:sz w:val="24"/>
          <w:szCs w:val="24"/>
          <w:lang w:val="en-US" w:eastAsia="zh-CN"/>
        </w:rPr>
        <w:t>,</w:t>
      </w:r>
      <w:r w:rsidRPr="005F2615">
        <w:rPr>
          <w:rFonts w:ascii="Book Antiqua" w:hAnsi="Book Antiqua" w:cs="Times New Roman"/>
          <w:b/>
          <w:sz w:val="24"/>
          <w:szCs w:val="24"/>
          <w:vertAlign w:val="superscript"/>
          <w:lang w:val="en-US" w:eastAsia="zh-CN"/>
        </w:rPr>
        <w:t xml:space="preserve"> </w:t>
      </w:r>
      <w:r w:rsidR="000D6335" w:rsidRPr="005F2615">
        <w:rPr>
          <w:rFonts w:ascii="Book Antiqua" w:hAnsi="Book Antiqua" w:cs="Times New Roman"/>
          <w:sz w:val="24"/>
          <w:szCs w:val="24"/>
          <w:lang w:val="en-US"/>
        </w:rPr>
        <w:t xml:space="preserve">Department of Medical </w:t>
      </w:r>
      <w:r w:rsidR="00105D13" w:rsidRPr="005F2615">
        <w:rPr>
          <w:rFonts w:ascii="Book Antiqua" w:hAnsi="Book Antiqua" w:cs="Times New Roman"/>
          <w:sz w:val="24"/>
          <w:szCs w:val="24"/>
          <w:lang w:val="en-US"/>
        </w:rPr>
        <w:t>Oncology, BOC Oncology Center, 2006 Strovolos,</w:t>
      </w:r>
      <w:r w:rsidR="00105D13" w:rsidRPr="005F2615">
        <w:rPr>
          <w:rFonts w:ascii="Book Antiqua" w:hAnsi="Book Antiqua" w:cs="Times New Roman"/>
          <w:sz w:val="24"/>
          <w:szCs w:val="24"/>
          <w:lang w:val="en-US" w:eastAsia="zh-CN"/>
        </w:rPr>
        <w:t xml:space="preserve"> </w:t>
      </w:r>
      <w:r w:rsidR="00105D13" w:rsidRPr="005F2615">
        <w:rPr>
          <w:rFonts w:ascii="Book Antiqua" w:hAnsi="Book Antiqua" w:cs="Times New Roman"/>
          <w:sz w:val="24"/>
          <w:szCs w:val="24"/>
          <w:lang w:val="en-US"/>
        </w:rPr>
        <w:t>Nicosia, Cyprus</w:t>
      </w:r>
    </w:p>
    <w:p w14:paraId="491176D3" w14:textId="77777777" w:rsidR="00741DF4" w:rsidRPr="005F2615" w:rsidRDefault="00741DF4" w:rsidP="00B12312">
      <w:pPr>
        <w:spacing w:after="0" w:line="360" w:lineRule="auto"/>
        <w:jc w:val="both"/>
        <w:rPr>
          <w:rFonts w:ascii="Book Antiqua" w:hAnsi="Book Antiqua" w:cs="Times New Roman"/>
          <w:sz w:val="24"/>
          <w:szCs w:val="24"/>
          <w:vertAlign w:val="superscript"/>
          <w:lang w:val="en-US" w:eastAsia="zh-CN"/>
        </w:rPr>
      </w:pPr>
    </w:p>
    <w:p w14:paraId="26D47EE0" w14:textId="07C26E63" w:rsidR="000D6335" w:rsidRPr="005F2615" w:rsidRDefault="00741DF4" w:rsidP="00B12312">
      <w:pPr>
        <w:spacing w:after="0" w:line="360" w:lineRule="auto"/>
        <w:jc w:val="both"/>
        <w:rPr>
          <w:rFonts w:ascii="Book Antiqua" w:hAnsi="Book Antiqua" w:cs="Times New Roman"/>
          <w:sz w:val="24"/>
          <w:szCs w:val="24"/>
          <w:lang w:val="en-US" w:eastAsia="zh-CN"/>
        </w:rPr>
      </w:pPr>
      <w:r w:rsidRPr="005F2615">
        <w:rPr>
          <w:rFonts w:ascii="Book Antiqua" w:hAnsi="Book Antiqua" w:cs="Times New Roman"/>
          <w:b/>
          <w:sz w:val="24"/>
          <w:szCs w:val="24"/>
          <w:lang w:val="en-US"/>
        </w:rPr>
        <w:t>Konstantinos Tsapakidis,</w:t>
      </w:r>
      <w:r w:rsidRPr="005F2615">
        <w:rPr>
          <w:rFonts w:ascii="Book Antiqua" w:hAnsi="Book Antiqua" w:cs="Times New Roman"/>
          <w:b/>
          <w:sz w:val="24"/>
          <w:szCs w:val="24"/>
          <w:lang w:val="en-US" w:eastAsia="zh-CN"/>
        </w:rPr>
        <w:t xml:space="preserve"> </w:t>
      </w:r>
      <w:r w:rsidR="000D6335" w:rsidRPr="005F2615">
        <w:rPr>
          <w:rFonts w:ascii="Book Antiqua" w:hAnsi="Book Antiqua" w:cs="Times New Roman"/>
          <w:sz w:val="24"/>
          <w:szCs w:val="24"/>
          <w:lang w:val="en-US"/>
        </w:rPr>
        <w:t>Department of Medical Oncology, University Hospi</w:t>
      </w:r>
      <w:r w:rsidR="00105D13" w:rsidRPr="005F2615">
        <w:rPr>
          <w:rFonts w:ascii="Book Antiqua" w:hAnsi="Book Antiqua" w:cs="Times New Roman"/>
          <w:sz w:val="24"/>
          <w:szCs w:val="24"/>
          <w:lang w:val="en-US"/>
        </w:rPr>
        <w:t xml:space="preserve">tal of Larissa, </w:t>
      </w:r>
      <w:r w:rsidR="00105D13" w:rsidRPr="005F2615">
        <w:rPr>
          <w:rFonts w:ascii="Book Antiqua" w:hAnsi="Book Antiqua" w:cs="Arial"/>
          <w:sz w:val="24"/>
          <w:szCs w:val="24"/>
        </w:rPr>
        <w:t>41110</w:t>
      </w:r>
      <w:r w:rsidR="00105D13" w:rsidRPr="005F2615">
        <w:rPr>
          <w:rFonts w:ascii="Book Antiqua" w:hAnsi="Book Antiqua" w:cs="Times New Roman"/>
          <w:sz w:val="24"/>
          <w:szCs w:val="24"/>
          <w:lang w:val="en-US"/>
        </w:rPr>
        <w:t xml:space="preserve"> Larissa, </w:t>
      </w:r>
      <w:r w:rsidR="00105D13" w:rsidRPr="005F2615">
        <w:rPr>
          <w:rFonts w:ascii="Book Antiqua" w:hAnsi="Book Antiqua" w:cs="Arial"/>
          <w:sz w:val="24"/>
          <w:szCs w:val="24"/>
        </w:rPr>
        <w:t>Greece</w:t>
      </w:r>
    </w:p>
    <w:p w14:paraId="1732826E" w14:textId="77777777" w:rsidR="00741DF4" w:rsidRPr="005F2615" w:rsidRDefault="00741DF4" w:rsidP="00B12312">
      <w:pPr>
        <w:spacing w:after="0" w:line="360" w:lineRule="auto"/>
        <w:jc w:val="both"/>
        <w:rPr>
          <w:rFonts w:ascii="Book Antiqua" w:hAnsi="Book Antiqua" w:cs="Times New Roman"/>
          <w:iCs/>
          <w:sz w:val="24"/>
          <w:szCs w:val="24"/>
          <w:vertAlign w:val="superscript"/>
          <w:lang w:eastAsia="zh-CN"/>
        </w:rPr>
      </w:pPr>
    </w:p>
    <w:p w14:paraId="05161B9C" w14:textId="2A1588EC" w:rsidR="000D6335" w:rsidRPr="005F2615" w:rsidRDefault="00741DF4" w:rsidP="00B12312">
      <w:pPr>
        <w:spacing w:after="0" w:line="360" w:lineRule="auto"/>
        <w:jc w:val="both"/>
        <w:rPr>
          <w:rFonts w:ascii="Book Antiqua" w:hAnsi="Book Antiqua" w:cs="Times New Roman"/>
          <w:iCs/>
          <w:sz w:val="24"/>
          <w:szCs w:val="24"/>
          <w:lang w:eastAsia="zh-CN"/>
        </w:rPr>
      </w:pPr>
      <w:r w:rsidRPr="005F2615">
        <w:rPr>
          <w:rFonts w:ascii="Book Antiqua" w:hAnsi="Book Antiqua" w:cs="Times New Roman"/>
          <w:b/>
          <w:sz w:val="24"/>
          <w:szCs w:val="24"/>
        </w:rPr>
        <w:t>Konstantinos Papadimitriou</w:t>
      </w:r>
      <w:r w:rsidRPr="005F2615">
        <w:rPr>
          <w:rFonts w:ascii="Book Antiqua" w:hAnsi="Book Antiqua"/>
          <w:b/>
          <w:sz w:val="24"/>
          <w:szCs w:val="24"/>
          <w:vertAlign w:val="subscript"/>
        </w:rPr>
        <w:t>,</w:t>
      </w:r>
      <w:r w:rsidRPr="005F2615">
        <w:rPr>
          <w:rFonts w:ascii="Book Antiqua" w:hAnsi="Book Antiqua"/>
          <w:b/>
          <w:sz w:val="24"/>
          <w:szCs w:val="24"/>
          <w:vertAlign w:val="subscript"/>
          <w:lang w:eastAsia="zh-CN"/>
        </w:rPr>
        <w:t xml:space="preserve"> </w:t>
      </w:r>
      <w:r w:rsidR="000D6335" w:rsidRPr="005F2615">
        <w:rPr>
          <w:rFonts w:ascii="Book Antiqua" w:hAnsi="Book Antiqua" w:cs="Times New Roman"/>
          <w:iCs/>
          <w:sz w:val="24"/>
          <w:szCs w:val="24"/>
        </w:rPr>
        <w:t>Department of Medical Oncology, University Hospit</w:t>
      </w:r>
      <w:r w:rsidR="005C178E" w:rsidRPr="005F2615">
        <w:rPr>
          <w:rFonts w:ascii="Book Antiqua" w:hAnsi="Book Antiqua" w:cs="Times New Roman"/>
          <w:iCs/>
          <w:sz w:val="24"/>
          <w:szCs w:val="24"/>
        </w:rPr>
        <w:t xml:space="preserve">al of Antwerp, </w:t>
      </w:r>
      <w:r w:rsidR="00105D13" w:rsidRPr="005F2615">
        <w:rPr>
          <w:rFonts w:ascii="Book Antiqua" w:hAnsi="Book Antiqua" w:cs="Calibri"/>
          <w:sz w:val="24"/>
          <w:szCs w:val="24"/>
        </w:rPr>
        <w:t>2610</w:t>
      </w:r>
      <w:r w:rsidR="00105D13" w:rsidRPr="005F2615">
        <w:rPr>
          <w:rFonts w:ascii="Book Antiqua" w:hAnsi="Book Antiqua" w:cs="Calibri"/>
          <w:sz w:val="24"/>
          <w:szCs w:val="24"/>
          <w:lang w:eastAsia="zh-CN"/>
        </w:rPr>
        <w:t xml:space="preserve"> </w:t>
      </w:r>
      <w:r w:rsidR="005C178E" w:rsidRPr="005F2615">
        <w:rPr>
          <w:rFonts w:ascii="Book Antiqua" w:hAnsi="Book Antiqua" w:cs="Times New Roman"/>
          <w:iCs/>
          <w:sz w:val="24"/>
          <w:szCs w:val="24"/>
        </w:rPr>
        <w:t>Antwerp, Belgium</w:t>
      </w:r>
    </w:p>
    <w:p w14:paraId="126A8744" w14:textId="77777777" w:rsidR="005C178E" w:rsidRPr="005F2615" w:rsidRDefault="005C178E" w:rsidP="00B12312">
      <w:pPr>
        <w:spacing w:after="0" w:line="360" w:lineRule="auto"/>
        <w:jc w:val="both"/>
        <w:rPr>
          <w:rFonts w:ascii="Book Antiqua" w:hAnsi="Book Antiqua" w:cs="Times New Roman"/>
          <w:iCs/>
          <w:sz w:val="24"/>
          <w:szCs w:val="24"/>
          <w:lang w:val="en-US" w:eastAsia="zh-CN"/>
        </w:rPr>
      </w:pPr>
    </w:p>
    <w:p w14:paraId="1A5F12F3" w14:textId="5968CD18" w:rsidR="00741DF4" w:rsidRPr="005F2615" w:rsidRDefault="00741DF4" w:rsidP="00B12312">
      <w:pPr>
        <w:spacing w:after="0" w:line="360" w:lineRule="auto"/>
        <w:jc w:val="both"/>
        <w:rPr>
          <w:rFonts w:ascii="Book Antiqua" w:hAnsi="Book Antiqua" w:cs="Times New Roman"/>
          <w:sz w:val="24"/>
          <w:szCs w:val="24"/>
          <w:lang w:val="en-US"/>
        </w:rPr>
      </w:pPr>
      <w:r w:rsidRPr="005F2615">
        <w:rPr>
          <w:rFonts w:ascii="Book Antiqua" w:hAnsi="Book Antiqua"/>
          <w:b/>
          <w:sz w:val="24"/>
          <w:szCs w:val="24"/>
        </w:rPr>
        <w:t>Author contributions:</w:t>
      </w:r>
      <w:r w:rsidRPr="005F2615">
        <w:rPr>
          <w:rFonts w:ascii="Book Antiqua" w:hAnsi="Book Antiqua"/>
          <w:b/>
          <w:sz w:val="24"/>
          <w:szCs w:val="24"/>
          <w:lang w:eastAsia="zh-CN"/>
        </w:rPr>
        <w:t xml:space="preserve"> </w:t>
      </w:r>
      <w:r w:rsidRPr="005F2615">
        <w:rPr>
          <w:rFonts w:ascii="Book Antiqua" w:hAnsi="Book Antiqua" w:cs="Times New Roman"/>
          <w:sz w:val="24"/>
          <w:szCs w:val="24"/>
          <w:lang w:val="en-US"/>
        </w:rPr>
        <w:t>Gkolfinopoulos S performed the majority of the manuscript preparation</w:t>
      </w:r>
      <w:r w:rsidRPr="005F2615">
        <w:rPr>
          <w:rFonts w:ascii="Book Antiqua" w:hAnsi="Book Antiqua" w:cs="Times New Roman"/>
          <w:sz w:val="24"/>
          <w:szCs w:val="24"/>
          <w:lang w:val="en-US" w:eastAsia="zh-CN"/>
        </w:rPr>
        <w:t>;</w:t>
      </w:r>
      <w:r w:rsidRPr="005F2615">
        <w:rPr>
          <w:rFonts w:ascii="Book Antiqua" w:hAnsi="Book Antiqua" w:cs="Times New Roman"/>
          <w:sz w:val="24"/>
          <w:szCs w:val="24"/>
          <w:lang w:val="en-US"/>
        </w:rPr>
        <w:t xml:space="preserve"> Tsapakidis K contributed to the manuscript preparation</w:t>
      </w:r>
      <w:r w:rsidRPr="005F2615">
        <w:rPr>
          <w:rFonts w:ascii="Book Antiqua" w:hAnsi="Book Antiqua" w:cs="Times New Roman"/>
          <w:sz w:val="24"/>
          <w:szCs w:val="24"/>
          <w:lang w:val="en-US" w:eastAsia="zh-CN"/>
        </w:rPr>
        <w:t>;</w:t>
      </w:r>
      <w:r w:rsidRPr="005F2615">
        <w:rPr>
          <w:rFonts w:ascii="Book Antiqua" w:hAnsi="Book Antiqua" w:cs="Times New Roman"/>
          <w:sz w:val="24"/>
          <w:szCs w:val="24"/>
          <w:lang w:val="en-US"/>
        </w:rPr>
        <w:t xml:space="preserve"> Papadimitriou K contributed to the manuscript preparation</w:t>
      </w:r>
      <w:r w:rsidRPr="005F2615">
        <w:rPr>
          <w:rFonts w:ascii="Book Antiqua" w:hAnsi="Book Antiqua" w:cs="Times New Roman"/>
          <w:sz w:val="24"/>
          <w:szCs w:val="24"/>
          <w:lang w:val="en-US" w:eastAsia="zh-CN"/>
        </w:rPr>
        <w:t>;</w:t>
      </w:r>
      <w:r w:rsidRPr="005F2615">
        <w:rPr>
          <w:rFonts w:ascii="Book Antiqua" w:hAnsi="Book Antiqua" w:cs="Times New Roman"/>
          <w:sz w:val="24"/>
          <w:szCs w:val="24"/>
          <w:lang w:val="en-US"/>
        </w:rPr>
        <w:t xml:space="preserve"> Papamichael D contributed to the manuscript preparation and revision</w:t>
      </w:r>
      <w:r w:rsidRPr="005F2615">
        <w:rPr>
          <w:rFonts w:ascii="Book Antiqua" w:hAnsi="Book Antiqua" w:cs="Times New Roman"/>
          <w:sz w:val="24"/>
          <w:szCs w:val="24"/>
          <w:lang w:val="en-US" w:eastAsia="zh-CN"/>
        </w:rPr>
        <w:t>;</w:t>
      </w:r>
      <w:r w:rsidRPr="005F2615">
        <w:rPr>
          <w:rFonts w:ascii="Book Antiqua" w:hAnsi="Book Antiqua" w:cs="Times New Roman"/>
          <w:sz w:val="24"/>
          <w:szCs w:val="24"/>
          <w:lang w:val="en-US"/>
        </w:rPr>
        <w:t xml:space="preserve"> Kountourakis P contributed to conception, designed the study, coordinated</w:t>
      </w:r>
      <w:r w:rsidR="005F2615">
        <w:rPr>
          <w:rFonts w:ascii="Book Antiqua" w:hAnsi="Book Antiqua" w:cs="Times New Roman"/>
          <w:sz w:val="24"/>
          <w:szCs w:val="24"/>
          <w:lang w:val="en-US"/>
        </w:rPr>
        <w:t xml:space="preserve"> </w:t>
      </w:r>
      <w:r w:rsidRPr="005F2615">
        <w:rPr>
          <w:rFonts w:ascii="Book Antiqua" w:hAnsi="Book Antiqua" w:cs="Times New Roman"/>
          <w:sz w:val="24"/>
          <w:szCs w:val="24"/>
          <w:lang w:val="en-US"/>
        </w:rPr>
        <w:t>manuscript preparation, prepared the revised version.</w:t>
      </w:r>
    </w:p>
    <w:p w14:paraId="10EE2070" w14:textId="77777777" w:rsidR="00741DF4" w:rsidRPr="005F2615" w:rsidRDefault="00741DF4" w:rsidP="00B12312">
      <w:pPr>
        <w:spacing w:after="0" w:line="360" w:lineRule="auto"/>
        <w:jc w:val="both"/>
        <w:rPr>
          <w:rFonts w:ascii="Book Antiqua" w:hAnsi="Book Antiqua" w:cs="Times New Roman"/>
          <w:iCs/>
          <w:sz w:val="24"/>
          <w:szCs w:val="24"/>
          <w:lang w:val="en-US" w:eastAsia="zh-CN"/>
        </w:rPr>
      </w:pPr>
    </w:p>
    <w:p w14:paraId="5FE91AD6" w14:textId="77777777" w:rsidR="00741DF4" w:rsidRPr="005F2615" w:rsidRDefault="00741DF4" w:rsidP="00B12312">
      <w:pPr>
        <w:spacing w:after="0" w:line="360" w:lineRule="auto"/>
        <w:jc w:val="both"/>
        <w:rPr>
          <w:rFonts w:ascii="Book Antiqua" w:eastAsia="Times New Roman" w:hAnsi="Book Antiqua" w:cs="Times New Roman"/>
          <w:sz w:val="24"/>
          <w:szCs w:val="24"/>
          <w:lang w:val="en-US"/>
        </w:rPr>
      </w:pPr>
      <w:r w:rsidRPr="005F2615">
        <w:rPr>
          <w:rFonts w:ascii="Book Antiqua" w:hAnsi="Book Antiqua"/>
          <w:b/>
          <w:sz w:val="24"/>
          <w:szCs w:val="24"/>
        </w:rPr>
        <w:t>Conflict-of-interest statement</w:t>
      </w:r>
      <w:r w:rsidRPr="005F2615">
        <w:rPr>
          <w:rFonts w:ascii="Book Antiqua" w:hAnsi="Book Antiqua" w:cs="TimesNewRomanPS-BoldItalicMT"/>
          <w:b/>
          <w:iCs/>
          <w:sz w:val="24"/>
          <w:szCs w:val="24"/>
        </w:rPr>
        <w:t xml:space="preserve">: </w:t>
      </w:r>
      <w:r w:rsidRPr="005F2615">
        <w:rPr>
          <w:rFonts w:ascii="Book Antiqua" w:eastAsia="Times New Roman" w:hAnsi="Book Antiqua" w:cs="Times New Roman"/>
          <w:sz w:val="24"/>
          <w:szCs w:val="24"/>
          <w:lang w:val="en-US"/>
        </w:rPr>
        <w:t>There is no conflict of interest on the part of any other authors on this study.</w:t>
      </w:r>
    </w:p>
    <w:p w14:paraId="30CAE631" w14:textId="77777777" w:rsidR="00741DF4" w:rsidRPr="005F2615" w:rsidRDefault="00741DF4" w:rsidP="00B12312">
      <w:pPr>
        <w:adjustRightInd w:val="0"/>
        <w:snapToGrid w:val="0"/>
        <w:spacing w:after="0" w:line="360" w:lineRule="auto"/>
        <w:jc w:val="both"/>
        <w:rPr>
          <w:rFonts w:ascii="Book Antiqua" w:hAnsi="Book Antiqua"/>
          <w:sz w:val="24"/>
          <w:szCs w:val="24"/>
          <w:lang w:eastAsia="zh-CN"/>
        </w:rPr>
      </w:pPr>
    </w:p>
    <w:p w14:paraId="72EDAC9B" w14:textId="77777777" w:rsidR="00741DF4" w:rsidRPr="005F2615" w:rsidRDefault="00741DF4" w:rsidP="00B12312">
      <w:pPr>
        <w:adjustRightInd w:val="0"/>
        <w:snapToGrid w:val="0"/>
        <w:spacing w:after="0" w:line="360" w:lineRule="auto"/>
        <w:jc w:val="both"/>
        <w:rPr>
          <w:rFonts w:ascii="Book Antiqua" w:hAnsi="Book Antiqua" w:cs="宋体"/>
          <w:sz w:val="24"/>
          <w:szCs w:val="24"/>
        </w:rPr>
      </w:pPr>
      <w:r w:rsidRPr="005F2615">
        <w:rPr>
          <w:rFonts w:ascii="Book Antiqua" w:hAnsi="Book Antiqua"/>
          <w:b/>
          <w:sz w:val="24"/>
          <w:szCs w:val="24"/>
        </w:rPr>
        <w:lastRenderedPageBreak/>
        <w:t xml:space="preserve">Open-Access: </w:t>
      </w:r>
      <w:r w:rsidRPr="005F2615">
        <w:rPr>
          <w:rFonts w:ascii="Book Antiqua" w:hAnsi="Book Antiqua"/>
          <w:sz w:val="24"/>
          <w:szCs w:val="24"/>
        </w:rPr>
        <w:t xml:space="preserve">This is an </w:t>
      </w:r>
      <w:r w:rsidRPr="005F2615">
        <w:rPr>
          <w:rFonts w:ascii="Book Antiqua" w:hAnsi="Book Antiqua" w:cs="宋体"/>
          <w:sz w:val="24"/>
          <w:szCs w:val="24"/>
        </w:rPr>
        <w:t xml:space="preserve">open-access article that was </w:t>
      </w:r>
      <w:r w:rsidRPr="005F2615">
        <w:rPr>
          <w:rFonts w:ascii="Book Antiqua" w:hAnsi="Book Antiqua"/>
          <w:sz w:val="24"/>
          <w:szCs w:val="24"/>
        </w:rPr>
        <w:t xml:space="preserve">selected by an in-house editor and fully peer-reviewed by external reviewers. It is </w:t>
      </w:r>
      <w:r w:rsidRPr="005F2615">
        <w:rPr>
          <w:rFonts w:ascii="Book Antiqua" w:hAnsi="Book Antiqua" w:cs="宋体"/>
          <w:sz w:val="24"/>
          <w:szCs w:val="24"/>
        </w:rPr>
        <w:t xml:space="preserve">distributed in accordance with </w:t>
      </w:r>
      <w:r w:rsidRPr="005F2615">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730FDD" w14:textId="77777777" w:rsidR="00741DF4" w:rsidRPr="005F2615" w:rsidRDefault="00741DF4" w:rsidP="00B12312">
      <w:pPr>
        <w:spacing w:after="0" w:line="360" w:lineRule="auto"/>
        <w:jc w:val="both"/>
        <w:rPr>
          <w:rFonts w:ascii="Book Antiqua" w:hAnsi="Book Antiqua" w:cs="宋体"/>
          <w:b/>
          <w:sz w:val="24"/>
          <w:szCs w:val="24"/>
          <w:lang w:eastAsia="zh-CN"/>
        </w:rPr>
      </w:pPr>
    </w:p>
    <w:p w14:paraId="1BD59B00" w14:textId="5E7B0869" w:rsidR="00741DF4" w:rsidRPr="005F2615" w:rsidRDefault="00741DF4" w:rsidP="00B12312">
      <w:pPr>
        <w:spacing w:after="0" w:line="360" w:lineRule="auto"/>
        <w:jc w:val="both"/>
        <w:rPr>
          <w:rFonts w:ascii="Book Antiqua" w:hAnsi="Book Antiqua" w:cs="宋体"/>
          <w:sz w:val="24"/>
          <w:szCs w:val="24"/>
          <w:lang w:eastAsia="zh-CN"/>
        </w:rPr>
      </w:pPr>
      <w:r w:rsidRPr="005F2615">
        <w:rPr>
          <w:rFonts w:ascii="Book Antiqua" w:hAnsi="Book Antiqua" w:cs="宋体"/>
          <w:b/>
          <w:sz w:val="24"/>
          <w:szCs w:val="24"/>
        </w:rPr>
        <w:t>Manuscript source:</w:t>
      </w:r>
      <w:r w:rsidRPr="005F2615">
        <w:rPr>
          <w:rFonts w:ascii="Book Antiqua" w:hAnsi="Book Antiqua" w:cs="宋体"/>
          <w:sz w:val="24"/>
          <w:szCs w:val="24"/>
        </w:rPr>
        <w:t> Invited manuscript</w:t>
      </w:r>
    </w:p>
    <w:p w14:paraId="30FE864D" w14:textId="77777777" w:rsidR="00741DF4" w:rsidRPr="005F2615" w:rsidRDefault="00741DF4" w:rsidP="00B12312">
      <w:pPr>
        <w:spacing w:after="0" w:line="360" w:lineRule="auto"/>
        <w:jc w:val="both"/>
        <w:rPr>
          <w:rFonts w:ascii="Book Antiqua" w:hAnsi="Book Antiqua" w:cs="Times New Roman"/>
          <w:iCs/>
          <w:sz w:val="24"/>
          <w:szCs w:val="24"/>
          <w:lang w:val="en-US" w:eastAsia="zh-CN"/>
        </w:rPr>
      </w:pPr>
    </w:p>
    <w:p w14:paraId="0A27F294" w14:textId="7865FAF9" w:rsidR="00741DF4" w:rsidRPr="005F2615" w:rsidRDefault="00741DF4" w:rsidP="00B12312">
      <w:pPr>
        <w:spacing w:after="0" w:line="360" w:lineRule="auto"/>
        <w:jc w:val="both"/>
        <w:rPr>
          <w:rFonts w:ascii="Book Antiqua" w:hAnsi="Book Antiqua" w:cs="Times New Roman"/>
          <w:sz w:val="24"/>
          <w:szCs w:val="24"/>
          <w:lang w:val="en-US" w:eastAsia="zh-CN"/>
        </w:rPr>
      </w:pPr>
      <w:r w:rsidRPr="005F2615">
        <w:rPr>
          <w:rFonts w:ascii="Book Antiqua" w:hAnsi="Book Antiqua"/>
          <w:b/>
          <w:sz w:val="24"/>
          <w:szCs w:val="24"/>
        </w:rPr>
        <w:t>Correspondence to:</w:t>
      </w:r>
      <w:r w:rsidRPr="005F2615">
        <w:rPr>
          <w:rFonts w:ascii="Book Antiqua" w:hAnsi="Book Antiqua"/>
          <w:b/>
          <w:sz w:val="24"/>
          <w:szCs w:val="24"/>
          <w:lang w:eastAsia="zh-CN"/>
        </w:rPr>
        <w:t xml:space="preserve"> </w:t>
      </w:r>
      <w:r w:rsidRPr="005F2615">
        <w:rPr>
          <w:rFonts w:ascii="Book Antiqua" w:hAnsi="Book Antiqua" w:cs="Times New Roman"/>
          <w:b/>
          <w:sz w:val="24"/>
          <w:szCs w:val="24"/>
          <w:lang w:val="en-US"/>
        </w:rPr>
        <w:t>Panteleimon Kountourakis</w:t>
      </w:r>
      <w:r w:rsidRPr="005F2615">
        <w:rPr>
          <w:rFonts w:ascii="Book Antiqua" w:hAnsi="Book Antiqua" w:cs="Times New Roman"/>
          <w:b/>
          <w:sz w:val="24"/>
          <w:szCs w:val="24"/>
          <w:lang w:val="en-US" w:eastAsia="zh-CN"/>
        </w:rPr>
        <w:t>,</w:t>
      </w:r>
      <w:r w:rsidR="00EB7CAD" w:rsidRPr="005F2615">
        <w:rPr>
          <w:rFonts w:ascii="Book Antiqua" w:hAnsi="Book Antiqua" w:cs="Times New Roman"/>
          <w:sz w:val="24"/>
          <w:szCs w:val="24"/>
          <w:lang w:val="en-US"/>
        </w:rPr>
        <w:t xml:space="preserve"> MD, PhD</w:t>
      </w:r>
      <w:r w:rsidRPr="005F2615">
        <w:rPr>
          <w:rFonts w:ascii="Book Antiqua" w:hAnsi="Book Antiqua" w:cs="Times New Roman"/>
          <w:sz w:val="24"/>
          <w:szCs w:val="24"/>
          <w:lang w:val="en-US" w:eastAsia="zh-CN"/>
        </w:rPr>
        <w:t>,</w:t>
      </w:r>
      <w:r w:rsidRPr="005F2615">
        <w:rPr>
          <w:rFonts w:ascii="Book Antiqua" w:hAnsi="Book Antiqua" w:cs="Times New Roman"/>
          <w:sz w:val="24"/>
          <w:szCs w:val="24"/>
          <w:lang w:val="en-US"/>
        </w:rPr>
        <w:t xml:space="preserve"> Department of Medical Oncology, BOC Oncology Center, 32 Acropoleos Ave,</w:t>
      </w:r>
      <w:r w:rsidRPr="005F2615">
        <w:rPr>
          <w:rFonts w:ascii="Book Antiqua" w:hAnsi="Book Antiqua" w:cs="Times New Roman"/>
          <w:sz w:val="24"/>
          <w:szCs w:val="24"/>
          <w:lang w:val="en-US" w:eastAsia="zh-CN"/>
        </w:rPr>
        <w:t xml:space="preserve"> </w:t>
      </w:r>
      <w:r w:rsidRPr="005F2615">
        <w:rPr>
          <w:rFonts w:ascii="Book Antiqua" w:hAnsi="Book Antiqua" w:cs="Times New Roman"/>
          <w:sz w:val="24"/>
          <w:szCs w:val="24"/>
          <w:lang w:val="en-US"/>
        </w:rPr>
        <w:t>2006 Strovolos,</w:t>
      </w:r>
      <w:r w:rsidRPr="005F2615">
        <w:rPr>
          <w:rFonts w:ascii="Book Antiqua" w:hAnsi="Book Antiqua" w:cs="Times New Roman"/>
          <w:sz w:val="24"/>
          <w:szCs w:val="24"/>
          <w:lang w:val="en-US" w:eastAsia="zh-CN"/>
        </w:rPr>
        <w:t xml:space="preserve"> </w:t>
      </w:r>
      <w:r w:rsidRPr="005F2615">
        <w:rPr>
          <w:rFonts w:ascii="Book Antiqua" w:hAnsi="Book Antiqua" w:cs="Times New Roman"/>
          <w:sz w:val="24"/>
          <w:szCs w:val="24"/>
          <w:lang w:val="en-US"/>
        </w:rPr>
        <w:t>Nicosia, Cyprus</w:t>
      </w:r>
      <w:r w:rsidRPr="005F2615">
        <w:rPr>
          <w:rFonts w:ascii="Book Antiqua" w:hAnsi="Book Antiqua" w:cs="Times New Roman"/>
          <w:sz w:val="24"/>
          <w:szCs w:val="24"/>
          <w:lang w:val="en-US" w:eastAsia="zh-CN"/>
        </w:rPr>
        <w:t>.</w:t>
      </w:r>
      <w:r w:rsidRPr="005F2615">
        <w:rPr>
          <w:rFonts w:ascii="Book Antiqua" w:hAnsi="Book Antiqua" w:cs="Times New Roman"/>
          <w:sz w:val="24"/>
          <w:szCs w:val="24"/>
          <w:lang w:val="en-US"/>
        </w:rPr>
        <w:t xml:space="preserve"> pantkount@gmail.com</w:t>
      </w:r>
    </w:p>
    <w:p w14:paraId="45050D51" w14:textId="149D4CE4" w:rsidR="00741DF4" w:rsidRPr="005F2615" w:rsidRDefault="00741DF4" w:rsidP="00B12312">
      <w:pPr>
        <w:spacing w:after="0" w:line="360" w:lineRule="auto"/>
        <w:jc w:val="both"/>
        <w:rPr>
          <w:rFonts w:ascii="Book Antiqua" w:hAnsi="Book Antiqua"/>
          <w:b/>
          <w:sz w:val="24"/>
          <w:szCs w:val="24"/>
        </w:rPr>
      </w:pPr>
      <w:r w:rsidRPr="005F2615">
        <w:rPr>
          <w:rFonts w:ascii="Book Antiqua" w:hAnsi="Book Antiqua"/>
          <w:b/>
          <w:sz w:val="24"/>
          <w:szCs w:val="24"/>
        </w:rPr>
        <w:t xml:space="preserve">Telephone: </w:t>
      </w:r>
      <w:r w:rsidRPr="005F2615">
        <w:rPr>
          <w:rFonts w:ascii="Book Antiqua" w:hAnsi="Book Antiqua" w:cs="Times New Roman"/>
          <w:sz w:val="24"/>
          <w:szCs w:val="24"/>
          <w:lang w:val="en-US"/>
        </w:rPr>
        <w:t>+357-22</w:t>
      </w:r>
      <w:r w:rsidRPr="005F2615">
        <w:rPr>
          <w:rFonts w:ascii="Book Antiqua" w:hAnsi="Book Antiqua" w:cs="Times New Roman"/>
          <w:sz w:val="24"/>
          <w:szCs w:val="24"/>
          <w:lang w:val="en-US" w:eastAsia="zh-CN"/>
        </w:rPr>
        <w:t>-</w:t>
      </w:r>
      <w:r w:rsidRPr="005F2615">
        <w:rPr>
          <w:rFonts w:ascii="Book Antiqua" w:hAnsi="Book Antiqua" w:cs="Times New Roman"/>
          <w:sz w:val="24"/>
          <w:szCs w:val="24"/>
          <w:lang w:val="en-US"/>
        </w:rPr>
        <w:t>847402</w:t>
      </w:r>
    </w:p>
    <w:p w14:paraId="22105D17" w14:textId="77AF517A" w:rsidR="005C178E" w:rsidRPr="005F2615" w:rsidRDefault="00741DF4" w:rsidP="00B12312">
      <w:pPr>
        <w:spacing w:after="0" w:line="360" w:lineRule="auto"/>
        <w:jc w:val="both"/>
        <w:rPr>
          <w:rFonts w:ascii="Book Antiqua" w:hAnsi="Book Antiqua"/>
          <w:b/>
          <w:sz w:val="24"/>
          <w:szCs w:val="24"/>
          <w:lang w:eastAsia="zh-CN"/>
        </w:rPr>
      </w:pPr>
      <w:r w:rsidRPr="005F2615">
        <w:rPr>
          <w:rFonts w:ascii="Book Antiqua" w:hAnsi="Book Antiqua"/>
          <w:b/>
          <w:sz w:val="24"/>
          <w:szCs w:val="24"/>
        </w:rPr>
        <w:t>Fax:</w:t>
      </w:r>
      <w:r w:rsidRPr="005F2615">
        <w:rPr>
          <w:rFonts w:ascii="Book Antiqua" w:hAnsi="Book Antiqua" w:cs="Times New Roman"/>
          <w:sz w:val="24"/>
          <w:szCs w:val="24"/>
          <w:lang w:val="en-US"/>
        </w:rPr>
        <w:t xml:space="preserve"> +357-22</w:t>
      </w:r>
      <w:r w:rsidRPr="005F2615">
        <w:rPr>
          <w:rFonts w:ascii="Book Antiqua" w:hAnsi="Book Antiqua" w:cs="Times New Roman"/>
          <w:sz w:val="24"/>
          <w:szCs w:val="24"/>
          <w:lang w:val="en-US" w:eastAsia="zh-CN"/>
        </w:rPr>
        <w:t>-</w:t>
      </w:r>
      <w:r w:rsidRPr="005F2615">
        <w:rPr>
          <w:rFonts w:ascii="Book Antiqua" w:hAnsi="Book Antiqua" w:cs="Times New Roman"/>
          <w:sz w:val="24"/>
          <w:szCs w:val="24"/>
          <w:lang w:val="en-US"/>
        </w:rPr>
        <w:t>511870</w:t>
      </w:r>
    </w:p>
    <w:p w14:paraId="68D0035C" w14:textId="77777777" w:rsidR="005C178E" w:rsidRPr="005F2615" w:rsidRDefault="005C178E" w:rsidP="00B12312">
      <w:pPr>
        <w:spacing w:after="0" w:line="360" w:lineRule="auto"/>
        <w:jc w:val="both"/>
        <w:rPr>
          <w:rFonts w:ascii="Book Antiqua" w:hAnsi="Book Antiqua" w:cs="Times New Roman"/>
          <w:b/>
          <w:sz w:val="24"/>
          <w:szCs w:val="24"/>
          <w:lang w:val="en-US" w:eastAsia="zh-CN"/>
        </w:rPr>
      </w:pPr>
    </w:p>
    <w:p w14:paraId="612506BC" w14:textId="697B1E28" w:rsidR="00741DF4" w:rsidRPr="005F2615" w:rsidRDefault="00741DF4" w:rsidP="00B12312">
      <w:pPr>
        <w:spacing w:after="0" w:line="360" w:lineRule="auto"/>
        <w:jc w:val="both"/>
        <w:rPr>
          <w:rFonts w:ascii="Book Antiqua" w:hAnsi="Book Antiqua"/>
          <w:b/>
          <w:sz w:val="24"/>
          <w:szCs w:val="24"/>
        </w:rPr>
      </w:pPr>
      <w:r w:rsidRPr="005F2615">
        <w:rPr>
          <w:rFonts w:ascii="Book Antiqua" w:hAnsi="Book Antiqua"/>
          <w:b/>
          <w:sz w:val="24"/>
          <w:szCs w:val="24"/>
        </w:rPr>
        <w:t xml:space="preserve">Received: </w:t>
      </w:r>
      <w:r w:rsidRPr="005F2615">
        <w:rPr>
          <w:rFonts w:ascii="Book Antiqua" w:hAnsi="Book Antiqua"/>
          <w:sz w:val="24"/>
          <w:szCs w:val="24"/>
          <w:lang w:eastAsia="zh-CN"/>
        </w:rPr>
        <w:t>October 16, 2016</w:t>
      </w:r>
      <w:r w:rsidR="005F2615">
        <w:rPr>
          <w:rFonts w:ascii="Book Antiqua" w:hAnsi="Book Antiqua"/>
          <w:sz w:val="24"/>
          <w:szCs w:val="24"/>
        </w:rPr>
        <w:t xml:space="preserve"> </w:t>
      </w:r>
    </w:p>
    <w:p w14:paraId="64803927" w14:textId="5BB93049" w:rsidR="00741DF4" w:rsidRPr="005F2615" w:rsidRDefault="00741DF4" w:rsidP="00B12312">
      <w:pPr>
        <w:spacing w:after="0" w:line="360" w:lineRule="auto"/>
        <w:jc w:val="both"/>
        <w:rPr>
          <w:rFonts w:ascii="Book Antiqua" w:hAnsi="Book Antiqua"/>
          <w:b/>
          <w:sz w:val="24"/>
          <w:szCs w:val="24"/>
        </w:rPr>
      </w:pPr>
      <w:r w:rsidRPr="005F2615">
        <w:rPr>
          <w:rFonts w:ascii="Book Antiqua" w:hAnsi="Book Antiqua"/>
          <w:b/>
          <w:sz w:val="24"/>
          <w:szCs w:val="24"/>
        </w:rPr>
        <w:t>Peer-review started:</w:t>
      </w:r>
      <w:r w:rsidRPr="005F2615">
        <w:rPr>
          <w:rFonts w:ascii="Book Antiqua" w:hAnsi="Book Antiqua"/>
          <w:sz w:val="24"/>
          <w:szCs w:val="24"/>
          <w:lang w:eastAsia="zh-CN"/>
        </w:rPr>
        <w:t xml:space="preserve"> October 19, 2016</w:t>
      </w:r>
      <w:r w:rsidR="005F2615">
        <w:rPr>
          <w:rFonts w:ascii="Book Antiqua" w:hAnsi="Book Antiqua"/>
          <w:sz w:val="24"/>
          <w:szCs w:val="24"/>
        </w:rPr>
        <w:t xml:space="preserve"> </w:t>
      </w:r>
    </w:p>
    <w:p w14:paraId="261D8BB9" w14:textId="056BE21C" w:rsidR="00741DF4" w:rsidRPr="005F2615" w:rsidRDefault="00741DF4" w:rsidP="00B12312">
      <w:pPr>
        <w:spacing w:after="0" w:line="360" w:lineRule="auto"/>
        <w:jc w:val="both"/>
        <w:rPr>
          <w:rFonts w:ascii="Book Antiqua" w:hAnsi="Book Antiqua"/>
          <w:b/>
          <w:sz w:val="24"/>
          <w:szCs w:val="24"/>
          <w:lang w:eastAsia="zh-CN"/>
        </w:rPr>
      </w:pPr>
      <w:r w:rsidRPr="005F2615">
        <w:rPr>
          <w:rFonts w:ascii="Book Antiqua" w:hAnsi="Book Antiqua"/>
          <w:b/>
          <w:sz w:val="24"/>
          <w:szCs w:val="24"/>
        </w:rPr>
        <w:t>First decision:</w:t>
      </w:r>
      <w:r w:rsidRPr="005F2615">
        <w:rPr>
          <w:rFonts w:ascii="Book Antiqua" w:hAnsi="Book Antiqua"/>
          <w:b/>
          <w:sz w:val="24"/>
          <w:szCs w:val="24"/>
          <w:lang w:eastAsia="zh-CN"/>
        </w:rPr>
        <w:t xml:space="preserve"> </w:t>
      </w:r>
      <w:r w:rsidRPr="005F2615">
        <w:rPr>
          <w:rFonts w:ascii="Book Antiqua" w:hAnsi="Book Antiqua"/>
          <w:sz w:val="24"/>
          <w:szCs w:val="24"/>
          <w:lang w:eastAsia="zh-CN"/>
        </w:rPr>
        <w:t>November 30, 2016</w:t>
      </w:r>
    </w:p>
    <w:p w14:paraId="56860A07" w14:textId="16CDED22" w:rsidR="00741DF4" w:rsidRPr="005F2615" w:rsidRDefault="00741DF4" w:rsidP="00B12312">
      <w:pPr>
        <w:spacing w:after="0" w:line="360" w:lineRule="auto"/>
        <w:jc w:val="both"/>
        <w:rPr>
          <w:rFonts w:ascii="Book Antiqua" w:hAnsi="Book Antiqua"/>
          <w:b/>
          <w:sz w:val="24"/>
          <w:szCs w:val="24"/>
        </w:rPr>
      </w:pPr>
      <w:r w:rsidRPr="005F2615">
        <w:rPr>
          <w:rFonts w:ascii="Book Antiqua" w:hAnsi="Book Antiqua"/>
          <w:b/>
          <w:sz w:val="24"/>
          <w:szCs w:val="24"/>
        </w:rPr>
        <w:t xml:space="preserve">Revised: </w:t>
      </w:r>
      <w:r w:rsidRPr="005F2615">
        <w:rPr>
          <w:rFonts w:ascii="Book Antiqua" w:hAnsi="Book Antiqua"/>
          <w:sz w:val="24"/>
          <w:szCs w:val="24"/>
          <w:lang w:eastAsia="zh-CN"/>
        </w:rPr>
        <w:t>December 15, 2016</w:t>
      </w:r>
      <w:r w:rsidRPr="005F2615">
        <w:rPr>
          <w:rFonts w:ascii="Book Antiqua" w:hAnsi="Book Antiqua"/>
          <w:sz w:val="24"/>
          <w:szCs w:val="24"/>
        </w:rPr>
        <w:t xml:space="preserve"> </w:t>
      </w:r>
    </w:p>
    <w:p w14:paraId="6F3B95DE" w14:textId="49BF657F" w:rsidR="00741DF4" w:rsidRPr="00981CD3" w:rsidRDefault="00741DF4" w:rsidP="00981CD3">
      <w:pPr>
        <w:rPr>
          <w:rFonts w:ascii="Book Antiqua" w:hAnsi="Book Antiqua"/>
          <w:iCs/>
          <w:sz w:val="24"/>
        </w:rPr>
      </w:pPr>
      <w:r w:rsidRPr="005F2615">
        <w:rPr>
          <w:rFonts w:ascii="Book Antiqua" w:hAnsi="Book Antiqua"/>
          <w:b/>
          <w:sz w:val="24"/>
          <w:szCs w:val="24"/>
        </w:rPr>
        <w:t>Accepted:</w:t>
      </w:r>
      <w:r w:rsidR="005F2615">
        <w:rPr>
          <w:rFonts w:ascii="Book Antiqua" w:hAnsi="Book Antiqua"/>
          <w:b/>
          <w:sz w:val="24"/>
          <w:szCs w:val="24"/>
        </w:rPr>
        <w:t xml:space="preserve"> </w:t>
      </w:r>
      <w:r w:rsidR="00981CD3">
        <w:rPr>
          <w:rStyle w:val="a7"/>
        </w:rPr>
        <w:t>January</w:t>
      </w:r>
      <w:r w:rsidR="00981CD3">
        <w:rPr>
          <w:rStyle w:val="a7"/>
          <w:rFonts w:ascii="宋体" w:hAnsi="宋体" w:cs="宋体" w:hint="eastAsia"/>
        </w:rPr>
        <w:t xml:space="preserve"> 2</w:t>
      </w:r>
      <w:r w:rsidR="00981CD3">
        <w:rPr>
          <w:rStyle w:val="a7"/>
          <w:rFonts w:cs="宋体"/>
        </w:rPr>
        <w:t>,</w:t>
      </w:r>
      <w:r w:rsidR="00981CD3">
        <w:rPr>
          <w:rStyle w:val="a7"/>
        </w:rPr>
        <w:t xml:space="preserve"> 2017</w:t>
      </w:r>
    </w:p>
    <w:p w14:paraId="5BF151FE" w14:textId="1BB0CF4C" w:rsidR="00741DF4" w:rsidRPr="005F2615" w:rsidRDefault="00741DF4" w:rsidP="00B12312">
      <w:pPr>
        <w:spacing w:after="0" w:line="360" w:lineRule="auto"/>
        <w:jc w:val="both"/>
        <w:rPr>
          <w:rFonts w:ascii="Book Antiqua" w:hAnsi="Book Antiqua"/>
          <w:sz w:val="24"/>
          <w:szCs w:val="24"/>
        </w:rPr>
      </w:pPr>
      <w:r w:rsidRPr="005F2615">
        <w:rPr>
          <w:rFonts w:ascii="Book Antiqua" w:hAnsi="Book Antiqua"/>
          <w:b/>
          <w:sz w:val="24"/>
          <w:szCs w:val="24"/>
        </w:rPr>
        <w:t>Article in press:</w:t>
      </w:r>
      <w:r w:rsidR="005F2615">
        <w:rPr>
          <w:rFonts w:ascii="Book Antiqua" w:hAnsi="Book Antiqua"/>
          <w:sz w:val="24"/>
          <w:szCs w:val="24"/>
        </w:rPr>
        <w:t xml:space="preserve"> </w:t>
      </w:r>
    </w:p>
    <w:p w14:paraId="53E37023" w14:textId="77777777" w:rsidR="00741DF4" w:rsidRPr="005F2615" w:rsidRDefault="00741DF4" w:rsidP="00B12312">
      <w:pPr>
        <w:spacing w:after="0" w:line="360" w:lineRule="auto"/>
        <w:jc w:val="both"/>
        <w:rPr>
          <w:rFonts w:ascii="Book Antiqua" w:hAnsi="Book Antiqua"/>
          <w:b/>
          <w:sz w:val="24"/>
          <w:szCs w:val="24"/>
        </w:rPr>
      </w:pPr>
      <w:r w:rsidRPr="005F2615">
        <w:rPr>
          <w:rFonts w:ascii="Book Antiqua" w:hAnsi="Book Antiqua"/>
          <w:b/>
          <w:sz w:val="24"/>
          <w:szCs w:val="24"/>
        </w:rPr>
        <w:t xml:space="preserve">Published online: </w:t>
      </w:r>
    </w:p>
    <w:p w14:paraId="0CB76467" w14:textId="77777777" w:rsidR="00741DF4" w:rsidRPr="005F2615" w:rsidRDefault="00741DF4" w:rsidP="00B12312">
      <w:pPr>
        <w:spacing w:after="0" w:line="360" w:lineRule="auto"/>
        <w:jc w:val="both"/>
        <w:rPr>
          <w:rFonts w:ascii="Book Antiqua" w:hAnsi="Book Antiqua" w:cs="Times New Roman"/>
          <w:b/>
          <w:sz w:val="24"/>
          <w:szCs w:val="24"/>
          <w:lang w:val="en-US" w:eastAsia="zh-CN"/>
        </w:rPr>
      </w:pPr>
    </w:p>
    <w:p w14:paraId="5A70DBFD" w14:textId="77777777" w:rsidR="00741DF4" w:rsidRPr="005F2615" w:rsidRDefault="00741DF4" w:rsidP="00B12312">
      <w:pPr>
        <w:spacing w:after="0" w:line="360" w:lineRule="auto"/>
        <w:jc w:val="both"/>
        <w:rPr>
          <w:rFonts w:ascii="Book Antiqua" w:hAnsi="Book Antiqua" w:cs="Times New Roman"/>
          <w:b/>
          <w:sz w:val="24"/>
          <w:szCs w:val="24"/>
          <w:lang w:val="en-US"/>
        </w:rPr>
      </w:pPr>
      <w:r w:rsidRPr="005F2615">
        <w:rPr>
          <w:rFonts w:ascii="Book Antiqua" w:hAnsi="Book Antiqua" w:cs="Times New Roman"/>
          <w:b/>
          <w:sz w:val="24"/>
          <w:szCs w:val="24"/>
          <w:lang w:val="en-US"/>
        </w:rPr>
        <w:br w:type="page"/>
      </w:r>
    </w:p>
    <w:p w14:paraId="7B47A56D" w14:textId="750EF8EF" w:rsidR="008E7376" w:rsidRPr="005F2615" w:rsidRDefault="00EA1071" w:rsidP="00B12312">
      <w:pPr>
        <w:spacing w:after="0" w:line="360" w:lineRule="auto"/>
        <w:jc w:val="both"/>
        <w:rPr>
          <w:rFonts w:ascii="Book Antiqua" w:hAnsi="Book Antiqua" w:cs="Times New Roman"/>
          <w:b/>
          <w:sz w:val="24"/>
          <w:szCs w:val="24"/>
          <w:lang w:val="en-US"/>
        </w:rPr>
      </w:pPr>
      <w:r w:rsidRPr="005F2615">
        <w:rPr>
          <w:rFonts w:ascii="Book Antiqua" w:hAnsi="Book Antiqua" w:cs="Times New Roman"/>
          <w:b/>
          <w:sz w:val="24"/>
          <w:szCs w:val="24"/>
          <w:lang w:val="en-US"/>
        </w:rPr>
        <w:lastRenderedPageBreak/>
        <w:t>Abstract</w:t>
      </w:r>
    </w:p>
    <w:p w14:paraId="06A232F3" w14:textId="6BCB2556" w:rsidR="003D577E" w:rsidRPr="005F2615" w:rsidRDefault="00B60E95" w:rsidP="00B12312">
      <w:pPr>
        <w:spacing w:after="0" w:line="360" w:lineRule="auto"/>
        <w:jc w:val="both"/>
        <w:rPr>
          <w:rFonts w:ascii="Book Antiqua" w:hAnsi="Book Antiqua" w:cs="Times New Roman"/>
          <w:sz w:val="24"/>
          <w:szCs w:val="24"/>
          <w:lang w:val="en-US"/>
        </w:rPr>
      </w:pPr>
      <w:r w:rsidRPr="005F2615">
        <w:rPr>
          <w:rFonts w:ascii="Book Antiqua" w:hAnsi="Book Antiqua" w:cs="Times New Roman"/>
          <w:sz w:val="24"/>
          <w:szCs w:val="24"/>
          <w:lang w:val="en-US"/>
        </w:rPr>
        <w:t xml:space="preserve">Chromogranin A, </w:t>
      </w:r>
      <w:r w:rsidR="004E2374" w:rsidRPr="005F2615">
        <w:rPr>
          <w:rFonts w:ascii="Book Antiqua" w:hAnsi="Book Antiqua" w:cs="Times New Roman"/>
          <w:sz w:val="24"/>
          <w:szCs w:val="24"/>
          <w:lang w:val="en-US"/>
        </w:rPr>
        <w:t xml:space="preserve">due to its </w:t>
      </w:r>
      <w:r w:rsidR="00E7542A" w:rsidRPr="005F2615">
        <w:rPr>
          <w:rFonts w:ascii="Book Antiqua" w:hAnsi="Book Antiqua" w:cs="Times New Roman"/>
          <w:sz w:val="24"/>
          <w:szCs w:val="24"/>
          <w:lang w:val="en-US"/>
        </w:rPr>
        <w:t xml:space="preserve">primary </w:t>
      </w:r>
      <w:r w:rsidR="004E2374" w:rsidRPr="005F2615">
        <w:rPr>
          <w:rFonts w:ascii="Book Antiqua" w:hAnsi="Book Antiqua" w:cs="Times New Roman"/>
          <w:sz w:val="24"/>
          <w:szCs w:val="24"/>
          <w:lang w:val="en-US"/>
        </w:rPr>
        <w:t>expression throughout</w:t>
      </w:r>
      <w:r w:rsidRPr="005F2615">
        <w:rPr>
          <w:rFonts w:ascii="Book Antiqua" w:hAnsi="Book Antiqua" w:cs="Times New Roman"/>
          <w:sz w:val="24"/>
          <w:szCs w:val="24"/>
          <w:lang w:val="en-US"/>
        </w:rPr>
        <w:t xml:space="preserve"> the neuroendocrine system,</w:t>
      </w:r>
      <w:r w:rsidR="00171CF4" w:rsidRPr="005F2615">
        <w:rPr>
          <w:rFonts w:ascii="Book Antiqua" w:hAnsi="Book Antiqua" w:cs="Times New Roman"/>
          <w:sz w:val="24"/>
          <w:szCs w:val="24"/>
          <w:lang w:val="en-US"/>
        </w:rPr>
        <w:t xml:space="preserve"> is a</w:t>
      </w:r>
      <w:r w:rsidR="004E2374" w:rsidRPr="005F2615">
        <w:rPr>
          <w:rFonts w:ascii="Book Antiqua" w:hAnsi="Book Antiqua" w:cs="Times New Roman"/>
          <w:sz w:val="24"/>
          <w:szCs w:val="24"/>
          <w:lang w:val="en-US"/>
        </w:rPr>
        <w:t xml:space="preserve"> widely accepted biomarker for the assessment of neuro-endocrine tumors</w:t>
      </w:r>
      <w:r w:rsidR="00171CF4" w:rsidRPr="005F2615">
        <w:rPr>
          <w:rFonts w:ascii="Book Antiqua" w:hAnsi="Book Antiqua" w:cs="Times New Roman"/>
          <w:sz w:val="24"/>
          <w:szCs w:val="24"/>
          <w:lang w:val="en-US"/>
        </w:rPr>
        <w:t>. It has been</w:t>
      </w:r>
      <w:r w:rsidR="002F7AF8" w:rsidRPr="005F2615">
        <w:rPr>
          <w:rFonts w:ascii="Book Antiqua" w:hAnsi="Book Antiqua" w:cs="Times New Roman"/>
          <w:sz w:val="24"/>
          <w:szCs w:val="24"/>
          <w:lang w:val="en-US"/>
        </w:rPr>
        <w:t xml:space="preserve"> traditionally</w:t>
      </w:r>
      <w:r w:rsidR="00171CF4" w:rsidRPr="005F2615">
        <w:rPr>
          <w:rFonts w:ascii="Book Antiqua" w:hAnsi="Book Antiqua" w:cs="Times New Roman"/>
          <w:sz w:val="24"/>
          <w:szCs w:val="24"/>
          <w:lang w:val="en-US"/>
        </w:rPr>
        <w:t xml:space="preserve"> used</w:t>
      </w:r>
      <w:r w:rsidR="002F7AF8" w:rsidRPr="005F2615">
        <w:rPr>
          <w:rFonts w:ascii="Book Antiqua" w:hAnsi="Book Antiqua" w:cs="Times New Roman"/>
          <w:sz w:val="24"/>
          <w:szCs w:val="24"/>
          <w:lang w:val="en-US"/>
        </w:rPr>
        <w:t xml:space="preserve"> in the management of patients with tumo</w:t>
      </w:r>
      <w:r w:rsidR="00542828" w:rsidRPr="005F2615">
        <w:rPr>
          <w:rFonts w:ascii="Book Antiqua" w:hAnsi="Book Antiqua" w:cs="Times New Roman"/>
          <w:sz w:val="24"/>
          <w:szCs w:val="24"/>
          <w:lang w:val="en-US"/>
        </w:rPr>
        <w:t>u</w:t>
      </w:r>
      <w:r w:rsidR="002F7AF8" w:rsidRPr="005F2615">
        <w:rPr>
          <w:rFonts w:ascii="Book Antiqua" w:hAnsi="Book Antiqua" w:cs="Times New Roman"/>
          <w:sz w:val="24"/>
          <w:szCs w:val="24"/>
          <w:lang w:val="en-US"/>
        </w:rPr>
        <w:t>rs of gastro</w:t>
      </w:r>
      <w:r w:rsidR="001A7E07" w:rsidRPr="005F2615">
        <w:rPr>
          <w:rFonts w:ascii="Book Antiqua" w:hAnsi="Book Antiqua" w:cs="Times New Roman"/>
          <w:sz w:val="24"/>
          <w:szCs w:val="24"/>
          <w:lang w:val="en-US"/>
        </w:rPr>
        <w:t>-</w:t>
      </w:r>
      <w:r w:rsidR="002F7AF8" w:rsidRPr="005F2615">
        <w:rPr>
          <w:rFonts w:ascii="Book Antiqua" w:hAnsi="Book Antiqua" w:cs="Times New Roman"/>
          <w:sz w:val="24"/>
          <w:szCs w:val="24"/>
          <w:lang w:val="en-US"/>
        </w:rPr>
        <w:t>enteropancreatic origin.</w:t>
      </w:r>
      <w:r w:rsidR="008B71D6" w:rsidRPr="005F2615">
        <w:rPr>
          <w:rFonts w:ascii="Book Antiqua" w:hAnsi="Book Antiqua" w:cs="Times New Roman"/>
          <w:sz w:val="24"/>
          <w:szCs w:val="24"/>
          <w:lang w:val="en-US"/>
        </w:rPr>
        <w:t xml:space="preserve"> L</w:t>
      </w:r>
      <w:r w:rsidR="002F7AF8" w:rsidRPr="005F2615">
        <w:rPr>
          <w:rFonts w:ascii="Book Antiqua" w:hAnsi="Book Antiqua" w:cs="Times New Roman"/>
          <w:sz w:val="24"/>
          <w:szCs w:val="24"/>
          <w:lang w:val="en-US"/>
        </w:rPr>
        <w:t>ately</w:t>
      </w:r>
      <w:r w:rsidR="004553E5" w:rsidRPr="005F2615">
        <w:rPr>
          <w:rFonts w:ascii="Book Antiqua" w:hAnsi="Book Antiqua" w:cs="Times New Roman"/>
          <w:sz w:val="24"/>
          <w:szCs w:val="24"/>
          <w:lang w:val="en-US"/>
        </w:rPr>
        <w:t>,</w:t>
      </w:r>
      <w:r w:rsidR="002F7AF8" w:rsidRPr="005F2615">
        <w:rPr>
          <w:rFonts w:ascii="Book Antiqua" w:hAnsi="Book Antiqua" w:cs="Times New Roman"/>
          <w:sz w:val="24"/>
          <w:szCs w:val="24"/>
          <w:lang w:val="en-US"/>
        </w:rPr>
        <w:t xml:space="preserve"> it has also been implicated in various conditions and diseases, both benign and malignant. </w:t>
      </w:r>
      <w:r w:rsidR="00591E2C" w:rsidRPr="005F2615">
        <w:rPr>
          <w:rFonts w:ascii="Book Antiqua" w:hAnsi="Book Antiqua" w:cs="Times New Roman"/>
          <w:sz w:val="24"/>
          <w:szCs w:val="24"/>
          <w:lang w:val="en-US"/>
        </w:rPr>
        <w:t>However, the</w:t>
      </w:r>
      <w:r w:rsidR="002F7AF8" w:rsidRPr="005F2615">
        <w:rPr>
          <w:rFonts w:ascii="Book Antiqua" w:hAnsi="Book Antiqua" w:cs="Times New Roman"/>
          <w:sz w:val="24"/>
          <w:szCs w:val="24"/>
          <w:lang w:val="en-US"/>
        </w:rPr>
        <w:t xml:space="preserve"> </w:t>
      </w:r>
      <w:r w:rsidR="00591E2C" w:rsidRPr="005F2615">
        <w:rPr>
          <w:rFonts w:ascii="Book Antiqua" w:hAnsi="Book Antiqua" w:cs="Times New Roman"/>
          <w:sz w:val="24"/>
          <w:szCs w:val="24"/>
          <w:lang w:val="en-US"/>
        </w:rPr>
        <w:t>paucity of data</w:t>
      </w:r>
      <w:r w:rsidR="001B125F" w:rsidRPr="005F2615">
        <w:rPr>
          <w:rFonts w:ascii="Book Antiqua" w:hAnsi="Book Antiqua" w:cs="Times New Roman"/>
          <w:sz w:val="24"/>
          <w:szCs w:val="24"/>
          <w:lang w:val="en-US"/>
        </w:rPr>
        <w:t xml:space="preserve"> </w:t>
      </w:r>
      <w:r w:rsidR="00A92C45" w:rsidRPr="005F2615">
        <w:rPr>
          <w:rFonts w:ascii="Book Antiqua" w:hAnsi="Book Antiqua" w:cs="Times New Roman"/>
          <w:sz w:val="24"/>
          <w:szCs w:val="24"/>
          <w:lang w:val="en-US"/>
        </w:rPr>
        <w:t>of adequate strength</w:t>
      </w:r>
      <w:r w:rsidR="00EA1565" w:rsidRPr="005F2615">
        <w:rPr>
          <w:rFonts w:ascii="Book Antiqua" w:hAnsi="Book Antiqua" w:cs="Times New Roman"/>
          <w:sz w:val="24"/>
          <w:szCs w:val="24"/>
          <w:lang w:val="en-US"/>
        </w:rPr>
        <w:t>,</w:t>
      </w:r>
      <w:r w:rsidR="00A92C45" w:rsidRPr="005F2615">
        <w:rPr>
          <w:rFonts w:ascii="Book Antiqua" w:hAnsi="Book Antiqua" w:cs="Times New Roman"/>
          <w:sz w:val="24"/>
          <w:szCs w:val="24"/>
          <w:lang w:val="en-US"/>
        </w:rPr>
        <w:t xml:space="preserve"> as well as its </w:t>
      </w:r>
      <w:r w:rsidR="00C65DF5" w:rsidRPr="005F2615">
        <w:rPr>
          <w:rFonts w:ascii="Book Antiqua" w:hAnsi="Book Antiqua" w:cs="Times New Roman"/>
          <w:sz w:val="24"/>
          <w:szCs w:val="24"/>
          <w:lang w:val="en-US"/>
        </w:rPr>
        <w:t>relation with common physiologic conditions and its interaction with commonly prescribed medications</w:t>
      </w:r>
      <w:r w:rsidR="00EA1565" w:rsidRPr="005F2615">
        <w:rPr>
          <w:rFonts w:ascii="Book Antiqua" w:hAnsi="Book Antiqua" w:cs="Times New Roman"/>
          <w:sz w:val="24"/>
          <w:szCs w:val="24"/>
          <w:lang w:val="en-US"/>
        </w:rPr>
        <w:t>,</w:t>
      </w:r>
      <w:r w:rsidR="00C65DF5" w:rsidRPr="005F2615">
        <w:rPr>
          <w:rFonts w:ascii="Book Antiqua" w:hAnsi="Book Antiqua" w:cs="Times New Roman"/>
          <w:sz w:val="24"/>
          <w:szCs w:val="24"/>
          <w:lang w:val="en-US"/>
        </w:rPr>
        <w:t xml:space="preserve"> </w:t>
      </w:r>
      <w:r w:rsidR="001B125F" w:rsidRPr="005F2615">
        <w:rPr>
          <w:rFonts w:ascii="Book Antiqua" w:hAnsi="Book Antiqua" w:cs="Times New Roman"/>
          <w:sz w:val="24"/>
          <w:szCs w:val="24"/>
          <w:lang w:val="en-US"/>
        </w:rPr>
        <w:t>limit its clinical use in only a narrow spectrum</w:t>
      </w:r>
      <w:r w:rsidR="00C65DF5" w:rsidRPr="005F2615">
        <w:rPr>
          <w:rFonts w:ascii="Book Antiqua" w:hAnsi="Book Antiqua" w:cs="Times New Roman"/>
          <w:sz w:val="24"/>
          <w:szCs w:val="24"/>
          <w:lang w:val="en-US"/>
        </w:rPr>
        <w:t xml:space="preserve">. </w:t>
      </w:r>
      <w:r w:rsidR="001A7E07" w:rsidRPr="005F2615">
        <w:rPr>
          <w:rFonts w:ascii="Book Antiqua" w:hAnsi="Book Antiqua" w:cs="Times New Roman"/>
          <w:sz w:val="24"/>
          <w:szCs w:val="24"/>
          <w:lang w:val="en-US"/>
        </w:rPr>
        <w:t xml:space="preserve">Herein, we present a thorough </w:t>
      </w:r>
      <w:r w:rsidR="00171CF4" w:rsidRPr="005F2615">
        <w:rPr>
          <w:rFonts w:ascii="Book Antiqua" w:hAnsi="Book Antiqua" w:cs="Times New Roman"/>
          <w:sz w:val="24"/>
          <w:szCs w:val="24"/>
          <w:lang w:val="en-US"/>
        </w:rPr>
        <w:t>review to</w:t>
      </w:r>
      <w:r w:rsidR="00C65DF5" w:rsidRPr="005F2615">
        <w:rPr>
          <w:rFonts w:ascii="Book Antiqua" w:hAnsi="Book Antiqua" w:cs="Times New Roman"/>
          <w:sz w:val="24"/>
          <w:szCs w:val="24"/>
          <w:lang w:val="en-US"/>
        </w:rPr>
        <w:t xml:space="preserve"> the most frequent conditions where its levels are affected, focusing specifically on its potential use as a prognostic and predictive biomarker</w:t>
      </w:r>
      <w:r w:rsidR="004E2374" w:rsidRPr="005F2615">
        <w:rPr>
          <w:rFonts w:ascii="Book Antiqua" w:hAnsi="Book Antiqua" w:cs="Times New Roman"/>
          <w:sz w:val="24"/>
          <w:szCs w:val="24"/>
          <w:lang w:val="en-US"/>
        </w:rPr>
        <w:t xml:space="preserve"> in oncology</w:t>
      </w:r>
      <w:r w:rsidR="00C65DF5" w:rsidRPr="005F2615">
        <w:rPr>
          <w:rFonts w:ascii="Book Antiqua" w:hAnsi="Book Antiqua" w:cs="Times New Roman"/>
          <w:sz w:val="24"/>
          <w:szCs w:val="24"/>
          <w:lang w:val="en-US"/>
        </w:rPr>
        <w:t>.</w:t>
      </w:r>
    </w:p>
    <w:p w14:paraId="17893A92" w14:textId="77777777" w:rsidR="00C65DF5" w:rsidRPr="005F2615" w:rsidRDefault="00C65DF5" w:rsidP="00B12312">
      <w:pPr>
        <w:spacing w:after="0" w:line="360" w:lineRule="auto"/>
        <w:jc w:val="both"/>
        <w:rPr>
          <w:rFonts w:ascii="Book Antiqua" w:hAnsi="Book Antiqua" w:cs="Times New Roman"/>
          <w:sz w:val="24"/>
          <w:szCs w:val="24"/>
          <w:lang w:val="en-US"/>
        </w:rPr>
      </w:pPr>
    </w:p>
    <w:p w14:paraId="06989F8D" w14:textId="1490FA38" w:rsidR="00DC7708" w:rsidRPr="005F2615" w:rsidRDefault="00BB58EC" w:rsidP="00B12312">
      <w:pPr>
        <w:spacing w:after="0" w:line="360" w:lineRule="auto"/>
        <w:jc w:val="both"/>
        <w:rPr>
          <w:rFonts w:ascii="Book Antiqua" w:hAnsi="Book Antiqua" w:cs="Times New Roman"/>
          <w:sz w:val="24"/>
          <w:szCs w:val="24"/>
          <w:lang w:val="en-US"/>
        </w:rPr>
      </w:pPr>
      <w:r w:rsidRPr="005F2615">
        <w:rPr>
          <w:rFonts w:ascii="Book Antiqua" w:hAnsi="Book Antiqua" w:cs="Times New Roman"/>
          <w:b/>
          <w:sz w:val="24"/>
          <w:szCs w:val="24"/>
          <w:lang w:val="en-US"/>
        </w:rPr>
        <w:t>Key</w:t>
      </w:r>
      <w:r w:rsidR="00E5031E" w:rsidRPr="005F2615">
        <w:rPr>
          <w:rFonts w:ascii="Book Antiqua" w:hAnsi="Book Antiqua" w:cs="Times New Roman"/>
          <w:b/>
          <w:sz w:val="24"/>
          <w:szCs w:val="24"/>
          <w:lang w:val="en-US" w:eastAsia="zh-CN"/>
        </w:rPr>
        <w:t xml:space="preserve"> </w:t>
      </w:r>
      <w:r w:rsidRPr="005F2615">
        <w:rPr>
          <w:rFonts w:ascii="Book Antiqua" w:hAnsi="Book Antiqua" w:cs="Times New Roman"/>
          <w:b/>
          <w:sz w:val="24"/>
          <w:szCs w:val="24"/>
          <w:lang w:val="en-US"/>
        </w:rPr>
        <w:t>words:</w:t>
      </w:r>
      <w:r w:rsidRPr="005F2615">
        <w:rPr>
          <w:rFonts w:ascii="Book Antiqua" w:hAnsi="Book Antiqua" w:cs="Times New Roman"/>
          <w:sz w:val="24"/>
          <w:szCs w:val="24"/>
          <w:lang w:val="en-US"/>
        </w:rPr>
        <w:t xml:space="preserve"> </w:t>
      </w:r>
      <w:r w:rsidR="002A5DE0" w:rsidRPr="005F2615">
        <w:rPr>
          <w:rFonts w:ascii="Book Antiqua" w:hAnsi="Book Antiqua" w:cs="Times New Roman"/>
          <w:sz w:val="24"/>
          <w:szCs w:val="24"/>
          <w:lang w:val="en-US"/>
        </w:rPr>
        <w:t>Cancer</w:t>
      </w:r>
      <w:r w:rsidR="00E5031E" w:rsidRPr="005F2615">
        <w:rPr>
          <w:rFonts w:ascii="Book Antiqua" w:hAnsi="Book Antiqua" w:cs="Times New Roman"/>
          <w:sz w:val="24"/>
          <w:szCs w:val="24"/>
          <w:lang w:val="en-US" w:eastAsia="zh-CN"/>
        </w:rPr>
        <w:t>;</w:t>
      </w:r>
      <w:r w:rsidR="002A5DE0" w:rsidRPr="005F2615">
        <w:rPr>
          <w:rFonts w:ascii="Book Antiqua" w:hAnsi="Book Antiqua" w:cs="Times New Roman"/>
          <w:sz w:val="24"/>
          <w:szCs w:val="24"/>
          <w:lang w:val="en-US"/>
        </w:rPr>
        <w:t xml:space="preserve"> </w:t>
      </w:r>
      <w:r w:rsidR="00F83B90" w:rsidRPr="005F2615">
        <w:rPr>
          <w:rFonts w:ascii="Book Antiqua" w:hAnsi="Book Antiqua" w:cs="Times New Roman"/>
          <w:sz w:val="24"/>
          <w:szCs w:val="24"/>
          <w:lang w:val="en-US"/>
        </w:rPr>
        <w:t>Neuroendocrine tumors</w:t>
      </w:r>
      <w:r w:rsidR="00E5031E" w:rsidRPr="005F2615">
        <w:rPr>
          <w:rFonts w:ascii="Book Antiqua" w:hAnsi="Book Antiqua" w:cs="Times New Roman"/>
          <w:sz w:val="24"/>
          <w:szCs w:val="24"/>
          <w:lang w:val="en-US" w:eastAsia="zh-CN"/>
        </w:rPr>
        <w:t>;</w:t>
      </w:r>
      <w:r w:rsidR="00F83B90" w:rsidRPr="005F2615">
        <w:rPr>
          <w:rFonts w:ascii="Book Antiqua" w:hAnsi="Book Antiqua" w:cs="Times New Roman"/>
          <w:sz w:val="24"/>
          <w:szCs w:val="24"/>
          <w:lang w:val="en-US"/>
        </w:rPr>
        <w:t xml:space="preserve"> </w:t>
      </w:r>
      <w:r w:rsidR="005F2615" w:rsidRPr="005F2615">
        <w:rPr>
          <w:rFonts w:ascii="Book Antiqua" w:hAnsi="Book Antiqua" w:cs="Times New Roman"/>
          <w:sz w:val="24"/>
          <w:szCs w:val="24"/>
          <w:lang w:val="en-US"/>
        </w:rPr>
        <w:t>Chromogranin A</w:t>
      </w:r>
      <w:r w:rsidR="00E5031E" w:rsidRPr="005F2615">
        <w:rPr>
          <w:rFonts w:ascii="Book Antiqua" w:hAnsi="Book Antiqua" w:cs="Times New Roman"/>
          <w:sz w:val="24"/>
          <w:szCs w:val="24"/>
          <w:lang w:val="en-US" w:eastAsia="zh-CN"/>
        </w:rPr>
        <w:t>;</w:t>
      </w:r>
      <w:r w:rsidR="002A5DE0" w:rsidRPr="005F2615">
        <w:rPr>
          <w:rFonts w:ascii="Book Antiqua" w:hAnsi="Book Antiqua" w:cs="Times New Roman"/>
          <w:sz w:val="24"/>
          <w:szCs w:val="24"/>
          <w:lang w:val="en-US"/>
        </w:rPr>
        <w:t xml:space="preserve"> </w:t>
      </w:r>
      <w:r w:rsidR="002A53B2" w:rsidRPr="005F2615">
        <w:rPr>
          <w:rFonts w:ascii="Book Antiqua" w:hAnsi="Book Antiqua" w:cs="Times New Roman"/>
          <w:sz w:val="24"/>
          <w:szCs w:val="24"/>
          <w:lang w:val="en-US"/>
        </w:rPr>
        <w:t>Prognosis</w:t>
      </w:r>
      <w:r w:rsidR="00E5031E" w:rsidRPr="005F2615">
        <w:rPr>
          <w:rFonts w:ascii="Book Antiqua" w:hAnsi="Book Antiqua" w:cs="Times New Roman"/>
          <w:sz w:val="24"/>
          <w:szCs w:val="24"/>
          <w:lang w:val="en-US" w:eastAsia="zh-CN"/>
        </w:rPr>
        <w:t>;</w:t>
      </w:r>
      <w:r w:rsidR="002A53B2" w:rsidRPr="005F2615">
        <w:rPr>
          <w:rFonts w:ascii="Book Antiqua" w:hAnsi="Book Antiqua" w:cs="Times New Roman"/>
          <w:sz w:val="24"/>
          <w:szCs w:val="24"/>
          <w:lang w:val="en-US"/>
        </w:rPr>
        <w:t xml:space="preserve"> </w:t>
      </w:r>
      <w:r w:rsidR="002A5DE0" w:rsidRPr="005F2615">
        <w:rPr>
          <w:rFonts w:ascii="Book Antiqua" w:hAnsi="Book Antiqua" w:cs="Times New Roman"/>
          <w:sz w:val="24"/>
          <w:szCs w:val="24"/>
          <w:lang w:val="en-US"/>
        </w:rPr>
        <w:t>Biomarker</w:t>
      </w:r>
    </w:p>
    <w:p w14:paraId="1CC3FA21" w14:textId="77777777" w:rsidR="00A73019" w:rsidRPr="005F2615" w:rsidRDefault="00A73019" w:rsidP="00B12312">
      <w:pPr>
        <w:spacing w:after="0" w:line="360" w:lineRule="auto"/>
        <w:jc w:val="both"/>
        <w:rPr>
          <w:rFonts w:ascii="Book Antiqua" w:hAnsi="Book Antiqua" w:cs="Times New Roman"/>
          <w:b/>
          <w:sz w:val="24"/>
          <w:szCs w:val="24"/>
          <w:lang w:val="en-US" w:eastAsia="zh-CN"/>
        </w:rPr>
      </w:pPr>
    </w:p>
    <w:p w14:paraId="7CF714A1" w14:textId="49469AA4" w:rsidR="00E5031E" w:rsidRPr="005F2615" w:rsidRDefault="00E5031E" w:rsidP="00B12312">
      <w:pPr>
        <w:spacing w:after="0" w:line="360" w:lineRule="auto"/>
        <w:jc w:val="both"/>
        <w:rPr>
          <w:rFonts w:ascii="Book Antiqua" w:hAnsi="Book Antiqua" w:cs="Arial"/>
          <w:sz w:val="24"/>
          <w:szCs w:val="24"/>
        </w:rPr>
      </w:pPr>
      <w:r w:rsidRPr="005F2615">
        <w:rPr>
          <w:rFonts w:ascii="Book Antiqua" w:hAnsi="Book Antiqua"/>
          <w:b/>
          <w:sz w:val="24"/>
          <w:szCs w:val="24"/>
        </w:rPr>
        <w:t xml:space="preserve">© </w:t>
      </w:r>
      <w:r w:rsidRPr="005F2615">
        <w:rPr>
          <w:rFonts w:ascii="Book Antiqua" w:hAnsi="Book Antiqua" w:cs="Arial"/>
          <w:b/>
          <w:sz w:val="24"/>
          <w:szCs w:val="24"/>
        </w:rPr>
        <w:t>The Author(s) 201</w:t>
      </w:r>
      <w:r w:rsidR="00D44578">
        <w:rPr>
          <w:rFonts w:ascii="Book Antiqua" w:hAnsi="Book Antiqua" w:cs="Arial" w:hint="eastAsia"/>
          <w:b/>
          <w:sz w:val="24"/>
          <w:szCs w:val="24"/>
          <w:lang w:eastAsia="zh-CN"/>
        </w:rPr>
        <w:t>7</w:t>
      </w:r>
      <w:r w:rsidRPr="005F2615">
        <w:rPr>
          <w:rFonts w:ascii="Book Antiqua" w:hAnsi="Book Antiqua" w:cs="Arial"/>
          <w:b/>
          <w:sz w:val="24"/>
          <w:szCs w:val="24"/>
        </w:rPr>
        <w:t>.</w:t>
      </w:r>
      <w:r w:rsidRPr="005F2615">
        <w:rPr>
          <w:rFonts w:ascii="Book Antiqua" w:hAnsi="Book Antiqua" w:cs="Arial"/>
          <w:sz w:val="24"/>
          <w:szCs w:val="24"/>
        </w:rPr>
        <w:t xml:space="preserve"> Published by Baishideng Publishing Group Inc. All rights reserved.</w:t>
      </w:r>
    </w:p>
    <w:p w14:paraId="04B3A3C2" w14:textId="77777777" w:rsidR="00E5031E" w:rsidRPr="005F2615" w:rsidRDefault="00E5031E" w:rsidP="00B12312">
      <w:pPr>
        <w:spacing w:after="0" w:line="360" w:lineRule="auto"/>
        <w:jc w:val="both"/>
        <w:rPr>
          <w:rFonts w:ascii="Book Antiqua" w:hAnsi="Book Antiqua" w:cs="Times New Roman"/>
          <w:b/>
          <w:sz w:val="24"/>
          <w:szCs w:val="24"/>
          <w:lang w:val="en-US" w:eastAsia="zh-CN"/>
        </w:rPr>
      </w:pPr>
    </w:p>
    <w:p w14:paraId="533F74D3" w14:textId="77777777" w:rsidR="00637FF0" w:rsidRPr="005F2615" w:rsidRDefault="00637FF0" w:rsidP="00B12312">
      <w:pPr>
        <w:spacing w:after="0" w:line="360" w:lineRule="auto"/>
        <w:jc w:val="both"/>
        <w:rPr>
          <w:rFonts w:ascii="Book Antiqua" w:hAnsi="Book Antiqua" w:cs="Times New Roman"/>
          <w:sz w:val="24"/>
          <w:szCs w:val="24"/>
          <w:lang w:val="en-US"/>
        </w:rPr>
      </w:pPr>
      <w:r w:rsidRPr="005F2615">
        <w:rPr>
          <w:rFonts w:ascii="Book Antiqua" w:hAnsi="Book Antiqua" w:cs="Times New Roman"/>
          <w:b/>
          <w:sz w:val="24"/>
          <w:szCs w:val="24"/>
          <w:lang w:val="en-US"/>
        </w:rPr>
        <w:t xml:space="preserve">Core tip: </w:t>
      </w:r>
      <w:r w:rsidRPr="005F2615">
        <w:rPr>
          <w:rFonts w:ascii="Book Antiqua" w:hAnsi="Book Antiqua" w:cs="Times New Roman"/>
          <w:sz w:val="24"/>
          <w:szCs w:val="24"/>
          <w:lang w:val="en-US"/>
        </w:rPr>
        <w:t xml:space="preserve">In the era of targeted therapy, </w:t>
      </w:r>
      <w:r w:rsidRPr="005F2615">
        <w:rPr>
          <w:rFonts w:ascii="Book Antiqua" w:hAnsi="Book Antiqua"/>
          <w:sz w:val="24"/>
          <w:szCs w:val="24"/>
          <w:lang w:val="en-US"/>
        </w:rPr>
        <w:t>there is an unmet need for the development of more sensitive, specific and reliable biomarkers for early diagnosis, prognosis and detection of early recurrence to tumours which comprise an extremely heterogeneous group.</w:t>
      </w:r>
    </w:p>
    <w:p w14:paraId="02781309" w14:textId="77777777" w:rsidR="00E5031E" w:rsidRPr="005F2615" w:rsidRDefault="00E5031E" w:rsidP="00B12312">
      <w:pPr>
        <w:spacing w:after="0" w:line="360" w:lineRule="auto"/>
        <w:jc w:val="both"/>
        <w:rPr>
          <w:rFonts w:ascii="Book Antiqua" w:hAnsi="Book Antiqua" w:cs="Times New Roman"/>
          <w:b/>
          <w:bCs/>
          <w:sz w:val="24"/>
          <w:szCs w:val="24"/>
          <w:lang w:val="en-US" w:eastAsia="zh-CN"/>
        </w:rPr>
      </w:pPr>
    </w:p>
    <w:p w14:paraId="0F962C68" w14:textId="162684F9" w:rsidR="00E5031E" w:rsidRPr="005F2615" w:rsidRDefault="00E5031E" w:rsidP="00B12312">
      <w:pPr>
        <w:spacing w:after="0" w:line="360" w:lineRule="auto"/>
        <w:jc w:val="both"/>
        <w:rPr>
          <w:rFonts w:ascii="Book Antiqua" w:hAnsi="Book Antiqua" w:cs="Times New Roman"/>
          <w:bCs/>
          <w:sz w:val="24"/>
          <w:szCs w:val="24"/>
          <w:lang w:val="en-US" w:eastAsia="zh-CN"/>
        </w:rPr>
      </w:pPr>
      <w:r w:rsidRPr="005F2615">
        <w:rPr>
          <w:rFonts w:ascii="Book Antiqua" w:hAnsi="Book Antiqua" w:cs="Times New Roman"/>
          <w:sz w:val="24"/>
          <w:szCs w:val="24"/>
          <w:lang w:val="en-US"/>
        </w:rPr>
        <w:t>Gkolfinopoulos</w:t>
      </w:r>
      <w:r w:rsidRPr="005F2615">
        <w:rPr>
          <w:rFonts w:ascii="Book Antiqua" w:hAnsi="Book Antiqua" w:cs="Times New Roman"/>
          <w:sz w:val="24"/>
          <w:szCs w:val="24"/>
          <w:lang w:val="en-US" w:eastAsia="zh-CN"/>
        </w:rPr>
        <w:t xml:space="preserve"> S</w:t>
      </w:r>
      <w:r w:rsidRPr="005F2615">
        <w:rPr>
          <w:rFonts w:ascii="Book Antiqua" w:hAnsi="Book Antiqua" w:cs="Times New Roman"/>
          <w:sz w:val="24"/>
          <w:szCs w:val="24"/>
          <w:lang w:val="en-US"/>
        </w:rPr>
        <w:t>, Tsapakidis</w:t>
      </w:r>
      <w:r w:rsidRPr="005F2615">
        <w:rPr>
          <w:rFonts w:ascii="Book Antiqua" w:hAnsi="Book Antiqua" w:cs="Times New Roman"/>
          <w:sz w:val="24"/>
          <w:szCs w:val="24"/>
          <w:lang w:val="en-US" w:eastAsia="zh-CN"/>
        </w:rPr>
        <w:t xml:space="preserve"> K</w:t>
      </w:r>
      <w:r w:rsidRPr="005F2615">
        <w:rPr>
          <w:rFonts w:ascii="Book Antiqua" w:hAnsi="Book Antiqua" w:cs="Times New Roman"/>
          <w:sz w:val="24"/>
          <w:szCs w:val="24"/>
          <w:lang w:val="en-US"/>
        </w:rPr>
        <w:t>,</w:t>
      </w:r>
      <w:r w:rsidRPr="005F2615">
        <w:rPr>
          <w:rFonts w:ascii="Book Antiqua" w:hAnsi="Book Antiqua"/>
          <w:sz w:val="24"/>
          <w:szCs w:val="24"/>
          <w:lang w:val="en-US"/>
        </w:rPr>
        <w:t xml:space="preserve"> </w:t>
      </w:r>
      <w:r w:rsidRPr="005F2615">
        <w:rPr>
          <w:rFonts w:ascii="Book Antiqua" w:hAnsi="Book Antiqua" w:cs="Times New Roman"/>
          <w:sz w:val="24"/>
          <w:szCs w:val="24"/>
        </w:rPr>
        <w:t>Papadimitriou</w:t>
      </w:r>
      <w:r w:rsidRPr="005F2615">
        <w:rPr>
          <w:rFonts w:ascii="Book Antiqua" w:hAnsi="Book Antiqua" w:cs="Times New Roman"/>
          <w:sz w:val="24"/>
          <w:szCs w:val="24"/>
          <w:lang w:eastAsia="zh-CN"/>
        </w:rPr>
        <w:t xml:space="preserve"> K</w:t>
      </w:r>
      <w:r w:rsidRPr="005F2615">
        <w:rPr>
          <w:rFonts w:ascii="Book Antiqua" w:hAnsi="Book Antiqua"/>
          <w:sz w:val="24"/>
          <w:szCs w:val="24"/>
          <w:vertAlign w:val="subscript"/>
          <w:lang w:eastAsia="zh-CN"/>
        </w:rPr>
        <w:t xml:space="preserve">, </w:t>
      </w:r>
      <w:r w:rsidRPr="005F2615">
        <w:rPr>
          <w:rFonts w:ascii="Book Antiqua" w:hAnsi="Book Antiqua" w:cs="Times New Roman"/>
          <w:sz w:val="24"/>
          <w:szCs w:val="24"/>
          <w:lang w:val="en-US"/>
        </w:rPr>
        <w:t>Papamichael</w:t>
      </w:r>
      <w:r w:rsidRPr="005F2615">
        <w:rPr>
          <w:rFonts w:ascii="Book Antiqua" w:hAnsi="Book Antiqua" w:cs="Times New Roman"/>
          <w:sz w:val="24"/>
          <w:szCs w:val="24"/>
          <w:lang w:val="en-US" w:eastAsia="zh-CN"/>
        </w:rPr>
        <w:t xml:space="preserve"> D</w:t>
      </w:r>
      <w:r w:rsidRPr="005F2615">
        <w:rPr>
          <w:rFonts w:ascii="Book Antiqua" w:hAnsi="Book Antiqua" w:cs="Times New Roman"/>
          <w:sz w:val="24"/>
          <w:szCs w:val="24"/>
          <w:lang w:val="en-US"/>
        </w:rPr>
        <w:t>,</w:t>
      </w:r>
      <w:r w:rsidR="005F2615">
        <w:rPr>
          <w:rFonts w:ascii="Book Antiqua" w:hAnsi="Book Antiqua" w:cs="Times New Roman"/>
          <w:sz w:val="24"/>
          <w:szCs w:val="24"/>
          <w:lang w:val="en-US"/>
        </w:rPr>
        <w:t xml:space="preserve"> </w:t>
      </w:r>
      <w:r w:rsidRPr="005F2615">
        <w:rPr>
          <w:rFonts w:ascii="Book Antiqua" w:hAnsi="Book Antiqua" w:cs="Times New Roman"/>
          <w:sz w:val="24"/>
          <w:szCs w:val="24"/>
          <w:lang w:val="en-US"/>
        </w:rPr>
        <w:t>Kountourakis</w:t>
      </w:r>
      <w:r w:rsidRPr="005F2615">
        <w:rPr>
          <w:rFonts w:ascii="Book Antiqua" w:hAnsi="Book Antiqua" w:cs="Times New Roman"/>
          <w:sz w:val="24"/>
          <w:szCs w:val="24"/>
          <w:lang w:val="en-US" w:eastAsia="zh-CN"/>
        </w:rPr>
        <w:t xml:space="preserve"> P.</w:t>
      </w:r>
      <w:r w:rsidRPr="005F2615">
        <w:rPr>
          <w:rFonts w:ascii="Book Antiqua" w:hAnsi="Book Antiqua" w:cs="Times New Roman"/>
          <w:bCs/>
          <w:sz w:val="24"/>
          <w:szCs w:val="24"/>
          <w:lang w:val="en-US"/>
        </w:rPr>
        <w:t xml:space="preserve"> Chromogranin A as a valid marker in oncology</w:t>
      </w:r>
      <w:r w:rsidRPr="005F2615">
        <w:rPr>
          <w:rFonts w:ascii="Book Antiqua" w:hAnsi="Book Antiqua" w:cs="Times New Roman"/>
          <w:bCs/>
          <w:sz w:val="24"/>
          <w:szCs w:val="24"/>
          <w:lang w:val="en-US" w:eastAsia="zh-CN"/>
        </w:rPr>
        <w:t xml:space="preserve">: </w:t>
      </w:r>
      <w:r w:rsidRPr="005F2615">
        <w:rPr>
          <w:rFonts w:ascii="Book Antiqua" w:hAnsi="Book Antiqua" w:cs="Times New Roman"/>
          <w:bCs/>
          <w:sz w:val="24"/>
          <w:szCs w:val="24"/>
          <w:lang w:val="en-US"/>
        </w:rPr>
        <w:t>Clinical application or false hopes?</w:t>
      </w:r>
      <w:r w:rsidRPr="005F2615">
        <w:rPr>
          <w:rFonts w:ascii="Book Antiqua" w:hAnsi="Book Antiqua"/>
          <w:i/>
          <w:iCs/>
          <w:sz w:val="24"/>
          <w:szCs w:val="24"/>
        </w:rPr>
        <w:t xml:space="preserve"> World J Methodol</w:t>
      </w:r>
      <w:r w:rsidRPr="005F2615">
        <w:rPr>
          <w:rFonts w:ascii="Book Antiqua" w:hAnsi="Book Antiqua"/>
          <w:i/>
          <w:iCs/>
          <w:sz w:val="24"/>
          <w:szCs w:val="24"/>
          <w:lang w:eastAsia="zh-CN"/>
        </w:rPr>
        <w:t xml:space="preserve"> </w:t>
      </w:r>
      <w:r w:rsidRPr="005F2615">
        <w:rPr>
          <w:rFonts w:ascii="Book Antiqua" w:hAnsi="Book Antiqua"/>
          <w:iCs/>
          <w:sz w:val="24"/>
          <w:szCs w:val="24"/>
          <w:lang w:eastAsia="zh-CN"/>
        </w:rPr>
        <w:t>201</w:t>
      </w:r>
      <w:r w:rsidR="00D44578">
        <w:rPr>
          <w:rFonts w:ascii="Book Antiqua" w:hAnsi="Book Antiqua" w:hint="eastAsia"/>
          <w:iCs/>
          <w:sz w:val="24"/>
          <w:szCs w:val="24"/>
          <w:lang w:eastAsia="zh-CN"/>
        </w:rPr>
        <w:t>7</w:t>
      </w:r>
      <w:bookmarkStart w:id="0" w:name="_GoBack"/>
      <w:bookmarkEnd w:id="0"/>
      <w:r w:rsidRPr="005F2615">
        <w:rPr>
          <w:rFonts w:ascii="Book Antiqua" w:hAnsi="Book Antiqua"/>
          <w:iCs/>
          <w:sz w:val="24"/>
          <w:szCs w:val="24"/>
          <w:lang w:eastAsia="zh-CN"/>
        </w:rPr>
        <w:t>; In press</w:t>
      </w:r>
    </w:p>
    <w:p w14:paraId="4ABCB133" w14:textId="77777777" w:rsidR="00637FF0" w:rsidRPr="005F2615" w:rsidRDefault="00637FF0" w:rsidP="00B12312">
      <w:pPr>
        <w:spacing w:after="0" w:line="360" w:lineRule="auto"/>
        <w:jc w:val="both"/>
        <w:rPr>
          <w:rFonts w:ascii="Book Antiqua" w:hAnsi="Book Antiqua" w:cs="Times New Roman"/>
          <w:b/>
          <w:sz w:val="24"/>
          <w:szCs w:val="24"/>
          <w:lang w:val="en-US" w:eastAsia="zh-CN"/>
        </w:rPr>
      </w:pPr>
    </w:p>
    <w:p w14:paraId="26DEC7E8" w14:textId="77777777" w:rsidR="00E5031E" w:rsidRPr="005F2615" w:rsidRDefault="00E5031E" w:rsidP="00B12312">
      <w:pPr>
        <w:spacing w:after="0" w:line="360" w:lineRule="auto"/>
        <w:jc w:val="both"/>
        <w:rPr>
          <w:rFonts w:ascii="Book Antiqua" w:hAnsi="Book Antiqua" w:cs="Times New Roman"/>
          <w:b/>
          <w:sz w:val="24"/>
          <w:szCs w:val="24"/>
          <w:lang w:val="en-US"/>
        </w:rPr>
      </w:pPr>
      <w:r w:rsidRPr="005F2615">
        <w:rPr>
          <w:rFonts w:ascii="Book Antiqua" w:hAnsi="Book Antiqua" w:cs="Times New Roman"/>
          <w:b/>
          <w:sz w:val="24"/>
          <w:szCs w:val="24"/>
          <w:lang w:val="en-US"/>
        </w:rPr>
        <w:br w:type="page"/>
      </w:r>
    </w:p>
    <w:p w14:paraId="5EE5D393" w14:textId="154F8645" w:rsidR="00635E10" w:rsidRPr="005F2615" w:rsidRDefault="00E5031E" w:rsidP="00B12312">
      <w:pPr>
        <w:spacing w:after="0" w:line="360" w:lineRule="auto"/>
        <w:jc w:val="both"/>
        <w:rPr>
          <w:rFonts w:ascii="Book Antiqua" w:hAnsi="Book Antiqua" w:cs="Times New Roman"/>
          <w:b/>
          <w:sz w:val="24"/>
          <w:szCs w:val="24"/>
          <w:lang w:val="en-US"/>
        </w:rPr>
      </w:pPr>
      <w:r w:rsidRPr="005F2615">
        <w:rPr>
          <w:rFonts w:ascii="Book Antiqua" w:hAnsi="Book Antiqua" w:cs="Times New Roman"/>
          <w:b/>
          <w:sz w:val="24"/>
          <w:szCs w:val="24"/>
          <w:lang w:val="en-US"/>
        </w:rPr>
        <w:lastRenderedPageBreak/>
        <w:t>INTRODUCTION</w:t>
      </w:r>
    </w:p>
    <w:p w14:paraId="31F28F49" w14:textId="51CB5DCD" w:rsidR="00635E10" w:rsidRPr="005F2615" w:rsidRDefault="00635E10" w:rsidP="00B12312">
      <w:pPr>
        <w:autoSpaceDE w:val="0"/>
        <w:autoSpaceDN w:val="0"/>
        <w:adjustRightInd w:val="0"/>
        <w:spacing w:after="0" w:line="360" w:lineRule="auto"/>
        <w:jc w:val="both"/>
        <w:rPr>
          <w:rFonts w:ascii="Book Antiqua" w:hAnsi="Book Antiqua" w:cs="Times New Roman"/>
          <w:sz w:val="24"/>
          <w:szCs w:val="24"/>
          <w:lang w:val="en-US"/>
        </w:rPr>
      </w:pPr>
      <w:r w:rsidRPr="005F2615">
        <w:rPr>
          <w:rFonts w:ascii="Book Antiqua" w:hAnsi="Book Antiqua" w:cs="Times New Roman"/>
          <w:sz w:val="24"/>
          <w:szCs w:val="24"/>
          <w:lang w:val="en-US"/>
        </w:rPr>
        <w:t xml:space="preserve">The Granins </w:t>
      </w:r>
      <w:r w:rsidR="003D577E" w:rsidRPr="005F2615">
        <w:rPr>
          <w:rFonts w:ascii="Book Antiqua" w:hAnsi="Book Antiqua" w:cs="Times New Roman"/>
          <w:sz w:val="24"/>
          <w:szCs w:val="24"/>
          <w:lang w:val="en-US"/>
        </w:rPr>
        <w:t>comprise</w:t>
      </w:r>
      <w:r w:rsidRPr="005F2615">
        <w:rPr>
          <w:rFonts w:ascii="Book Antiqua" w:hAnsi="Book Antiqua" w:cs="Times New Roman"/>
          <w:sz w:val="24"/>
          <w:szCs w:val="24"/>
          <w:lang w:val="en-US"/>
        </w:rPr>
        <w:t xml:space="preserve"> a fami</w:t>
      </w:r>
      <w:r w:rsidR="00171CF4" w:rsidRPr="005F2615">
        <w:rPr>
          <w:rFonts w:ascii="Book Antiqua" w:hAnsi="Book Antiqua" w:cs="Times New Roman"/>
          <w:sz w:val="24"/>
          <w:szCs w:val="24"/>
          <w:lang w:val="en-US"/>
        </w:rPr>
        <w:t>ly of proteins whose most well known</w:t>
      </w:r>
      <w:r w:rsidRPr="005F2615">
        <w:rPr>
          <w:rFonts w:ascii="Book Antiqua" w:hAnsi="Book Antiqua" w:cs="Times New Roman"/>
          <w:sz w:val="24"/>
          <w:szCs w:val="24"/>
          <w:lang w:val="en-US"/>
        </w:rPr>
        <w:t xml:space="preserve"> members are chromogranin A (CgA), chromogranin B (CgB) and secretogranin II, with their most common characterist</w:t>
      </w:r>
      <w:r w:rsidR="00EC0D62" w:rsidRPr="005F2615">
        <w:rPr>
          <w:rFonts w:ascii="Book Antiqua" w:hAnsi="Book Antiqua" w:cs="Times New Roman"/>
          <w:sz w:val="24"/>
          <w:szCs w:val="24"/>
          <w:lang w:val="en-US"/>
        </w:rPr>
        <w:t>ic being their acidic profile</w:t>
      </w:r>
      <w:r w:rsidRPr="005F2615">
        <w:rPr>
          <w:rFonts w:ascii="Book Antiqua" w:hAnsi="Book Antiqua" w:cs="Times New Roman"/>
          <w:sz w:val="24"/>
          <w:szCs w:val="24"/>
          <w:lang w:val="en-US"/>
        </w:rPr>
        <w:t>. They are produced as pre-proteins in the ribosomes and subsequently they undergo post-translational modifications in the endoplasmic retic</w:t>
      </w:r>
      <w:r w:rsidR="00B12312">
        <w:rPr>
          <w:rFonts w:ascii="Book Antiqua" w:hAnsi="Book Antiqua" w:cs="Times New Roman"/>
          <w:sz w:val="24"/>
          <w:szCs w:val="24"/>
          <w:lang w:val="en-US"/>
        </w:rPr>
        <w:t>ulum and in the Golgi apparatus</w:t>
      </w:r>
      <w:r w:rsidRPr="005F2615">
        <w:rPr>
          <w:rFonts w:ascii="Book Antiqua" w:hAnsi="Book Antiqua" w:cs="Times New Roman"/>
          <w:sz w:val="24"/>
          <w:szCs w:val="24"/>
          <w:vertAlign w:val="superscript"/>
          <w:lang w:val="en-US"/>
        </w:rPr>
        <w:t>[1]</w:t>
      </w:r>
      <w:r w:rsidRPr="005F2615">
        <w:rPr>
          <w:rFonts w:ascii="Book Antiqua" w:hAnsi="Book Antiqua" w:cs="Times New Roman"/>
          <w:sz w:val="24"/>
          <w:szCs w:val="24"/>
          <w:lang w:val="en-US"/>
        </w:rPr>
        <w:t>. It has been shown that they are co-stored with peptides and amines in th</w:t>
      </w:r>
      <w:r w:rsidR="00420661" w:rsidRPr="005F2615">
        <w:rPr>
          <w:rFonts w:ascii="Book Antiqua" w:hAnsi="Book Antiqua" w:cs="Times New Roman"/>
          <w:sz w:val="24"/>
          <w:szCs w:val="24"/>
          <w:lang w:val="en-US"/>
        </w:rPr>
        <w:t>e granules of endocrine cells</w:t>
      </w:r>
      <w:r w:rsidRPr="005F2615">
        <w:rPr>
          <w:rFonts w:ascii="Book Antiqua" w:hAnsi="Book Antiqua" w:cs="Times New Roman"/>
          <w:sz w:val="24"/>
          <w:szCs w:val="24"/>
          <w:lang w:val="en-US"/>
        </w:rPr>
        <w:t xml:space="preserve">. </w:t>
      </w:r>
      <w:r w:rsidR="00B70E76" w:rsidRPr="005F2615">
        <w:rPr>
          <w:rFonts w:ascii="Book Antiqua" w:hAnsi="Book Antiqua" w:cs="Times New Roman"/>
          <w:sz w:val="24"/>
          <w:szCs w:val="24"/>
          <w:lang w:val="en-US"/>
        </w:rPr>
        <w:t>They</w:t>
      </w:r>
      <w:r w:rsidRPr="005F2615">
        <w:rPr>
          <w:rFonts w:ascii="Book Antiqua" w:hAnsi="Book Antiqua" w:cs="Times New Roman"/>
          <w:sz w:val="24"/>
          <w:szCs w:val="24"/>
          <w:lang w:val="en-US"/>
        </w:rPr>
        <w:t xml:space="preserve"> can also </w:t>
      </w:r>
      <w:r w:rsidR="00B70E76" w:rsidRPr="005F2615">
        <w:rPr>
          <w:rFonts w:ascii="Book Antiqua" w:hAnsi="Book Antiqua" w:cs="Times New Roman"/>
          <w:sz w:val="24"/>
          <w:szCs w:val="24"/>
          <w:lang w:val="en-US"/>
        </w:rPr>
        <w:t>be fou</w:t>
      </w:r>
      <w:r w:rsidRPr="005F2615">
        <w:rPr>
          <w:rFonts w:ascii="Book Antiqua" w:hAnsi="Book Antiqua" w:cs="Times New Roman"/>
          <w:sz w:val="24"/>
          <w:szCs w:val="24"/>
          <w:lang w:val="en-US"/>
        </w:rPr>
        <w:t>nd in a number of other cells</w:t>
      </w:r>
      <w:r w:rsidR="00E047F7" w:rsidRPr="005F2615">
        <w:rPr>
          <w:rFonts w:ascii="Book Antiqua" w:hAnsi="Book Antiqua" w:cs="Times New Roman"/>
          <w:sz w:val="24"/>
          <w:szCs w:val="24"/>
          <w:lang w:val="en-US"/>
        </w:rPr>
        <w:t>,</w:t>
      </w:r>
      <w:r w:rsidRPr="005F2615">
        <w:rPr>
          <w:rFonts w:ascii="Book Antiqua" w:hAnsi="Book Antiqua" w:cs="Times New Roman"/>
          <w:sz w:val="24"/>
          <w:szCs w:val="24"/>
          <w:lang w:val="en-US"/>
        </w:rPr>
        <w:t xml:space="preserve"> including immune cells, epitheli</w:t>
      </w:r>
      <w:r w:rsidR="00B12312">
        <w:rPr>
          <w:rFonts w:ascii="Book Antiqua" w:hAnsi="Book Antiqua" w:cs="Times New Roman"/>
          <w:sz w:val="24"/>
          <w:szCs w:val="24"/>
          <w:lang w:val="en-US"/>
        </w:rPr>
        <w:t>al cells and peripheral neurons</w:t>
      </w:r>
      <w:r w:rsidRPr="005F2615">
        <w:rPr>
          <w:rFonts w:ascii="Book Antiqua" w:hAnsi="Book Antiqua" w:cs="Times New Roman"/>
          <w:sz w:val="24"/>
          <w:szCs w:val="24"/>
          <w:vertAlign w:val="superscript"/>
          <w:lang w:val="en-US"/>
        </w:rPr>
        <w:t>[2]</w:t>
      </w:r>
      <w:r w:rsidRPr="005F2615">
        <w:rPr>
          <w:rFonts w:ascii="Book Antiqua" w:hAnsi="Book Antiqua" w:cs="Times New Roman"/>
          <w:sz w:val="24"/>
          <w:szCs w:val="24"/>
          <w:lang w:val="en-US"/>
        </w:rPr>
        <w:t xml:space="preserve">. Other proteins that are also included in the granin family are secretogranin III, the HISL-19 antigen (secretogranin IV), the neuroendocrine secretory protein 7B2 (secretogranin V), NESP55 (secretogranin VI) and nerve growth factor-inducible </w:t>
      </w:r>
      <w:r w:rsidR="00B12312">
        <w:rPr>
          <w:rFonts w:ascii="Book Antiqua" w:hAnsi="Book Antiqua" w:cs="Times New Roman"/>
          <w:sz w:val="24"/>
          <w:szCs w:val="24"/>
          <w:lang w:val="en-US"/>
        </w:rPr>
        <w:t>protein VGF (secretogranin VII)</w:t>
      </w:r>
      <w:r w:rsidRPr="005F2615">
        <w:rPr>
          <w:rFonts w:ascii="Book Antiqua" w:hAnsi="Book Antiqua" w:cs="Times New Roman"/>
          <w:sz w:val="24"/>
          <w:szCs w:val="24"/>
          <w:vertAlign w:val="superscript"/>
          <w:lang w:val="en-US"/>
        </w:rPr>
        <w:t>[</w:t>
      </w:r>
      <w:r w:rsidR="00420661" w:rsidRPr="005F2615">
        <w:rPr>
          <w:rFonts w:ascii="Book Antiqua" w:hAnsi="Book Antiqua" w:cs="Times New Roman"/>
          <w:sz w:val="24"/>
          <w:szCs w:val="24"/>
          <w:vertAlign w:val="superscript"/>
          <w:lang w:val="en-US"/>
        </w:rPr>
        <w:t>3</w:t>
      </w:r>
      <w:r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 xml:space="preserve">. </w:t>
      </w:r>
    </w:p>
    <w:p w14:paraId="416FB80A" w14:textId="0A3493B4" w:rsidR="00635E10" w:rsidRPr="005F2615" w:rsidRDefault="00635E10" w:rsidP="00B12312">
      <w:pPr>
        <w:pStyle w:val="1"/>
        <w:spacing w:before="0" w:beforeAutospacing="0" w:after="0" w:afterAutospacing="0" w:line="360" w:lineRule="auto"/>
        <w:ind w:firstLineChars="100" w:firstLine="240"/>
        <w:jc w:val="both"/>
        <w:rPr>
          <w:rFonts w:ascii="Book Antiqua" w:hAnsi="Book Antiqua"/>
          <w:b w:val="0"/>
          <w:sz w:val="24"/>
          <w:szCs w:val="24"/>
          <w:lang w:val="en-US"/>
        </w:rPr>
      </w:pPr>
      <w:r w:rsidRPr="005F2615">
        <w:rPr>
          <w:rFonts w:ascii="Book Antiqua" w:hAnsi="Book Antiqua"/>
          <w:b w:val="0"/>
          <w:sz w:val="24"/>
          <w:szCs w:val="24"/>
          <w:lang w:val="en-US"/>
        </w:rPr>
        <w:t>Granins are composed of single-polypeptide chains of approxim</w:t>
      </w:r>
      <w:r w:rsidR="002D049F" w:rsidRPr="005F2615">
        <w:rPr>
          <w:rFonts w:ascii="Book Antiqua" w:hAnsi="Book Antiqua"/>
          <w:b w:val="0"/>
          <w:sz w:val="24"/>
          <w:szCs w:val="24"/>
          <w:lang w:val="en-US"/>
        </w:rPr>
        <w:t>ately 180 to 700 amino acids</w:t>
      </w:r>
      <w:r w:rsidRPr="005F2615">
        <w:rPr>
          <w:rFonts w:ascii="Book Antiqua" w:hAnsi="Book Antiqua"/>
          <w:b w:val="0"/>
          <w:sz w:val="24"/>
          <w:szCs w:val="24"/>
          <w:lang w:val="en-US"/>
        </w:rPr>
        <w:t>, with CgA being a 49 kDa protein produced mainly by end</w:t>
      </w:r>
      <w:r w:rsidR="00B12312">
        <w:rPr>
          <w:rFonts w:ascii="Book Antiqua" w:hAnsi="Book Antiqua"/>
          <w:b w:val="0"/>
          <w:sz w:val="24"/>
          <w:szCs w:val="24"/>
          <w:lang w:val="en-US"/>
        </w:rPr>
        <w:t>ocrine and neuroendocrine cells</w:t>
      </w:r>
      <w:r w:rsidRPr="005F2615">
        <w:rPr>
          <w:rFonts w:ascii="Book Antiqua" w:hAnsi="Book Antiqua"/>
          <w:b w:val="0"/>
          <w:sz w:val="24"/>
          <w:szCs w:val="24"/>
          <w:vertAlign w:val="superscript"/>
          <w:lang w:val="en-US"/>
        </w:rPr>
        <w:t>[</w:t>
      </w:r>
      <w:r w:rsidR="002D049F" w:rsidRPr="005F2615">
        <w:rPr>
          <w:rFonts w:ascii="Book Antiqua" w:hAnsi="Book Antiqua"/>
          <w:b w:val="0"/>
          <w:sz w:val="24"/>
          <w:szCs w:val="24"/>
          <w:vertAlign w:val="superscript"/>
          <w:lang w:val="en-US"/>
        </w:rPr>
        <w:t>1,</w:t>
      </w:r>
      <w:r w:rsidR="00420661" w:rsidRPr="005F2615">
        <w:rPr>
          <w:rFonts w:ascii="Book Antiqua" w:hAnsi="Book Antiqua"/>
          <w:b w:val="0"/>
          <w:sz w:val="24"/>
          <w:szCs w:val="24"/>
          <w:vertAlign w:val="superscript"/>
          <w:lang w:val="en-US"/>
        </w:rPr>
        <w:t>4</w:t>
      </w:r>
      <w:r w:rsidRPr="005F2615">
        <w:rPr>
          <w:rFonts w:ascii="Book Antiqua" w:hAnsi="Book Antiqua"/>
          <w:b w:val="0"/>
          <w:sz w:val="24"/>
          <w:szCs w:val="24"/>
          <w:vertAlign w:val="superscript"/>
          <w:lang w:val="en-US"/>
        </w:rPr>
        <w:t>,</w:t>
      </w:r>
      <w:r w:rsidR="00420661" w:rsidRPr="005F2615">
        <w:rPr>
          <w:rFonts w:ascii="Book Antiqua" w:hAnsi="Book Antiqua"/>
          <w:b w:val="0"/>
          <w:sz w:val="24"/>
          <w:szCs w:val="24"/>
          <w:vertAlign w:val="superscript"/>
          <w:lang w:val="en-US"/>
        </w:rPr>
        <w:t>5</w:t>
      </w:r>
      <w:r w:rsidRPr="005F2615">
        <w:rPr>
          <w:rFonts w:ascii="Book Antiqua" w:hAnsi="Book Antiqua"/>
          <w:b w:val="0"/>
          <w:sz w:val="24"/>
          <w:szCs w:val="24"/>
          <w:vertAlign w:val="superscript"/>
          <w:lang w:val="en-US"/>
        </w:rPr>
        <w:t>]</w:t>
      </w:r>
      <w:r w:rsidRPr="005F2615">
        <w:rPr>
          <w:rFonts w:ascii="Book Antiqua" w:hAnsi="Book Antiqua"/>
          <w:b w:val="0"/>
          <w:sz w:val="24"/>
          <w:szCs w:val="24"/>
          <w:lang w:val="en-US"/>
        </w:rPr>
        <w:t>. It was</w:t>
      </w:r>
      <w:r w:rsidR="00986366" w:rsidRPr="005F2615">
        <w:rPr>
          <w:rFonts w:ascii="Book Antiqua" w:hAnsi="Book Antiqua"/>
          <w:b w:val="0"/>
          <w:sz w:val="24"/>
          <w:szCs w:val="24"/>
          <w:lang w:val="en-US"/>
        </w:rPr>
        <w:t xml:space="preserve"> first discovered in the chromaf</w:t>
      </w:r>
      <w:r w:rsidRPr="005F2615">
        <w:rPr>
          <w:rFonts w:ascii="Book Antiqua" w:hAnsi="Book Antiqua"/>
          <w:b w:val="0"/>
          <w:sz w:val="24"/>
          <w:szCs w:val="24"/>
          <w:lang w:val="en-US"/>
        </w:rPr>
        <w:t>fin gr</w:t>
      </w:r>
      <w:r w:rsidR="00420661" w:rsidRPr="005F2615">
        <w:rPr>
          <w:rFonts w:ascii="Book Antiqua" w:hAnsi="Book Antiqua"/>
          <w:b w:val="0"/>
          <w:sz w:val="24"/>
          <w:szCs w:val="24"/>
          <w:lang w:val="en-US"/>
        </w:rPr>
        <w:t>anules of the adrenal medulla</w:t>
      </w:r>
      <w:r w:rsidRPr="005F2615">
        <w:rPr>
          <w:rFonts w:ascii="Book Antiqua" w:hAnsi="Book Antiqua"/>
          <w:b w:val="0"/>
          <w:sz w:val="24"/>
          <w:szCs w:val="24"/>
          <w:lang w:val="en-US"/>
        </w:rPr>
        <w:t>, where it is stored along with the resident hormones, like calciton</w:t>
      </w:r>
      <w:r w:rsidR="00B12312">
        <w:rPr>
          <w:rFonts w:ascii="Book Antiqua" w:hAnsi="Book Antiqua"/>
          <w:b w:val="0"/>
          <w:sz w:val="24"/>
          <w:szCs w:val="24"/>
          <w:lang w:val="en-US"/>
        </w:rPr>
        <w:t>in, and then secreted with them</w:t>
      </w:r>
      <w:r w:rsidRPr="005F2615">
        <w:rPr>
          <w:rFonts w:ascii="Book Antiqua" w:hAnsi="Book Antiqua"/>
          <w:b w:val="0"/>
          <w:sz w:val="24"/>
          <w:szCs w:val="24"/>
          <w:vertAlign w:val="superscript"/>
          <w:lang w:val="en-US"/>
        </w:rPr>
        <w:t>[</w:t>
      </w:r>
      <w:r w:rsidR="00420661" w:rsidRPr="005F2615">
        <w:rPr>
          <w:rFonts w:ascii="Book Antiqua" w:hAnsi="Book Antiqua"/>
          <w:b w:val="0"/>
          <w:sz w:val="24"/>
          <w:szCs w:val="24"/>
          <w:vertAlign w:val="superscript"/>
          <w:lang w:val="en-US"/>
        </w:rPr>
        <w:t>5</w:t>
      </w:r>
      <w:r w:rsidRPr="005F2615">
        <w:rPr>
          <w:rFonts w:ascii="Book Antiqua" w:hAnsi="Book Antiqua"/>
          <w:b w:val="0"/>
          <w:sz w:val="24"/>
          <w:szCs w:val="24"/>
          <w:vertAlign w:val="superscript"/>
          <w:lang w:val="en-US"/>
        </w:rPr>
        <w:t>]</w:t>
      </w:r>
      <w:r w:rsidRPr="005F2615">
        <w:rPr>
          <w:rFonts w:ascii="Book Antiqua" w:hAnsi="Book Antiqua"/>
          <w:b w:val="0"/>
          <w:sz w:val="24"/>
          <w:szCs w:val="24"/>
          <w:lang w:val="en-US"/>
        </w:rPr>
        <w:t xml:space="preserve">. </w:t>
      </w:r>
      <w:r w:rsidR="00AA26C3" w:rsidRPr="005F2615">
        <w:rPr>
          <w:rFonts w:ascii="Book Antiqua" w:hAnsi="Book Antiqua"/>
          <w:b w:val="0"/>
          <w:sz w:val="24"/>
          <w:szCs w:val="24"/>
          <w:lang w:val="en-US"/>
        </w:rPr>
        <w:t xml:space="preserve">The </w:t>
      </w:r>
      <w:r w:rsidRPr="00B93397">
        <w:rPr>
          <w:rFonts w:ascii="Book Antiqua" w:hAnsi="Book Antiqua"/>
          <w:b w:val="0"/>
          <w:i/>
          <w:sz w:val="24"/>
          <w:szCs w:val="24"/>
          <w:lang w:val="en-US"/>
        </w:rPr>
        <w:t>CgA</w:t>
      </w:r>
      <w:r w:rsidRPr="005F2615">
        <w:rPr>
          <w:rFonts w:ascii="Book Antiqua" w:hAnsi="Book Antiqua"/>
          <w:b w:val="0"/>
          <w:sz w:val="24"/>
          <w:szCs w:val="24"/>
          <w:lang w:val="en-US"/>
        </w:rPr>
        <w:t xml:space="preserve"> gene, located on chromosome 14, is probably a single copy gene rather than a member o</w:t>
      </w:r>
      <w:r w:rsidR="00B12312">
        <w:rPr>
          <w:rFonts w:ascii="Book Antiqua" w:hAnsi="Book Antiqua"/>
          <w:b w:val="0"/>
          <w:sz w:val="24"/>
          <w:szCs w:val="24"/>
          <w:lang w:val="en-US"/>
        </w:rPr>
        <w:t>f a dispersed, multigene family</w:t>
      </w:r>
      <w:r w:rsidRPr="005F2615">
        <w:rPr>
          <w:rFonts w:ascii="Book Antiqua" w:hAnsi="Book Antiqua"/>
          <w:b w:val="0"/>
          <w:sz w:val="24"/>
          <w:szCs w:val="24"/>
          <w:vertAlign w:val="superscript"/>
          <w:lang w:val="en-US"/>
        </w:rPr>
        <w:t>[</w:t>
      </w:r>
      <w:r w:rsidR="004610C5" w:rsidRPr="005F2615">
        <w:rPr>
          <w:rFonts w:ascii="Book Antiqua" w:hAnsi="Book Antiqua"/>
          <w:b w:val="0"/>
          <w:sz w:val="24"/>
          <w:szCs w:val="24"/>
          <w:vertAlign w:val="superscript"/>
          <w:lang w:val="en-US"/>
        </w:rPr>
        <w:t>6</w:t>
      </w:r>
      <w:r w:rsidRPr="005F2615">
        <w:rPr>
          <w:rFonts w:ascii="Book Antiqua" w:hAnsi="Book Antiqua"/>
          <w:b w:val="0"/>
          <w:sz w:val="24"/>
          <w:szCs w:val="24"/>
          <w:vertAlign w:val="superscript"/>
          <w:lang w:val="en-US"/>
        </w:rPr>
        <w:t>]</w:t>
      </w:r>
      <w:r w:rsidRPr="005F2615">
        <w:rPr>
          <w:rFonts w:ascii="Book Antiqua" w:hAnsi="Book Antiqua"/>
          <w:b w:val="0"/>
          <w:sz w:val="24"/>
          <w:szCs w:val="24"/>
          <w:lang w:val="en-US"/>
        </w:rPr>
        <w:t>.</w:t>
      </w:r>
    </w:p>
    <w:p w14:paraId="75F42D46" w14:textId="6FCB42D3" w:rsidR="00635E10" w:rsidRPr="005F2615" w:rsidRDefault="00635E10" w:rsidP="00B12312">
      <w:pPr>
        <w:pStyle w:val="1"/>
        <w:spacing w:before="0" w:beforeAutospacing="0" w:after="0" w:afterAutospacing="0" w:line="360" w:lineRule="auto"/>
        <w:ind w:firstLineChars="100" w:firstLine="240"/>
        <w:jc w:val="both"/>
        <w:rPr>
          <w:rFonts w:ascii="Book Antiqua" w:hAnsi="Book Antiqua"/>
          <w:b w:val="0"/>
          <w:sz w:val="24"/>
          <w:szCs w:val="24"/>
          <w:lang w:val="en-US"/>
        </w:rPr>
      </w:pPr>
      <w:r w:rsidRPr="005F2615">
        <w:rPr>
          <w:rFonts w:ascii="Book Antiqua" w:hAnsi="Book Antiqua"/>
          <w:b w:val="0"/>
          <w:sz w:val="24"/>
          <w:szCs w:val="24"/>
          <w:lang w:val="en-US"/>
        </w:rPr>
        <w:t xml:space="preserve">Since the discovery of CgA and </w:t>
      </w:r>
      <w:r w:rsidR="00815D9C" w:rsidRPr="005F2615">
        <w:rPr>
          <w:rFonts w:ascii="Book Antiqua" w:hAnsi="Book Antiqua"/>
          <w:b w:val="0"/>
          <w:sz w:val="24"/>
          <w:szCs w:val="24"/>
          <w:lang w:val="en-US"/>
        </w:rPr>
        <w:t>its</w:t>
      </w:r>
      <w:r w:rsidRPr="005F2615">
        <w:rPr>
          <w:rFonts w:ascii="Book Antiqua" w:hAnsi="Book Antiqua"/>
          <w:b w:val="0"/>
          <w:sz w:val="24"/>
          <w:szCs w:val="24"/>
          <w:lang w:val="en-US"/>
        </w:rPr>
        <w:t xml:space="preserve"> pathologically high levels in patients with neuroendocrine tumors</w:t>
      </w:r>
      <w:r w:rsidR="004553E5" w:rsidRPr="005F2615">
        <w:rPr>
          <w:rFonts w:ascii="Book Antiqua" w:hAnsi="Book Antiqua"/>
          <w:b w:val="0"/>
          <w:sz w:val="24"/>
          <w:szCs w:val="24"/>
          <w:lang w:val="en-US"/>
        </w:rPr>
        <w:t>,</w:t>
      </w:r>
      <w:r w:rsidRPr="005F2615">
        <w:rPr>
          <w:rFonts w:ascii="Book Antiqua" w:hAnsi="Book Antiqua"/>
          <w:b w:val="0"/>
          <w:sz w:val="24"/>
          <w:szCs w:val="24"/>
          <w:lang w:val="en-US"/>
        </w:rPr>
        <w:t xml:space="preserve"> it has been co</w:t>
      </w:r>
      <w:r w:rsidR="00171CF4" w:rsidRPr="005F2615">
        <w:rPr>
          <w:rFonts w:ascii="Book Antiqua" w:hAnsi="Book Antiqua"/>
          <w:b w:val="0"/>
          <w:sz w:val="24"/>
          <w:szCs w:val="24"/>
          <w:lang w:val="en-US"/>
        </w:rPr>
        <w:t>rrelated with a number of other</w:t>
      </w:r>
      <w:r w:rsidRPr="005F2615">
        <w:rPr>
          <w:rFonts w:ascii="Book Antiqua" w:hAnsi="Book Antiqua"/>
          <w:b w:val="0"/>
          <w:sz w:val="24"/>
          <w:szCs w:val="24"/>
          <w:lang w:val="en-US"/>
        </w:rPr>
        <w:t xml:space="preserve"> conditions, both benign and malignant</w:t>
      </w:r>
      <w:r w:rsidR="00504103" w:rsidRPr="005F2615">
        <w:rPr>
          <w:rFonts w:ascii="Book Antiqua" w:hAnsi="Book Antiqua"/>
          <w:b w:val="0"/>
          <w:sz w:val="24"/>
          <w:szCs w:val="24"/>
          <w:lang w:val="en-US"/>
        </w:rPr>
        <w:t xml:space="preserve"> (Table</w:t>
      </w:r>
      <w:r w:rsidR="00B12312">
        <w:rPr>
          <w:rFonts w:ascii="Book Antiqua" w:eastAsia="宋体" w:hAnsi="Book Antiqua" w:hint="eastAsia"/>
          <w:b w:val="0"/>
          <w:sz w:val="24"/>
          <w:szCs w:val="24"/>
          <w:lang w:val="en-US" w:eastAsia="zh-CN"/>
        </w:rPr>
        <w:t>s</w:t>
      </w:r>
      <w:r w:rsidR="00637FF0" w:rsidRPr="005F2615">
        <w:rPr>
          <w:rFonts w:ascii="Book Antiqua" w:hAnsi="Book Antiqua"/>
          <w:b w:val="0"/>
          <w:sz w:val="24"/>
          <w:szCs w:val="24"/>
          <w:lang w:val="en-US"/>
        </w:rPr>
        <w:t xml:space="preserve"> </w:t>
      </w:r>
      <w:r w:rsidR="00504103" w:rsidRPr="005F2615">
        <w:rPr>
          <w:rFonts w:ascii="Book Antiqua" w:hAnsi="Book Antiqua"/>
          <w:b w:val="0"/>
          <w:sz w:val="24"/>
          <w:szCs w:val="24"/>
          <w:lang w:val="en-US"/>
        </w:rPr>
        <w:t>1</w:t>
      </w:r>
      <w:r w:rsidR="00B12312">
        <w:rPr>
          <w:rFonts w:ascii="Book Antiqua" w:eastAsia="宋体" w:hAnsi="Book Antiqua" w:hint="eastAsia"/>
          <w:b w:val="0"/>
          <w:sz w:val="24"/>
          <w:szCs w:val="24"/>
          <w:lang w:val="en-US" w:eastAsia="zh-CN"/>
        </w:rPr>
        <w:t xml:space="preserve"> and </w:t>
      </w:r>
      <w:r w:rsidR="00504103" w:rsidRPr="005F2615">
        <w:rPr>
          <w:rFonts w:ascii="Book Antiqua" w:hAnsi="Book Antiqua"/>
          <w:b w:val="0"/>
          <w:sz w:val="24"/>
          <w:szCs w:val="24"/>
          <w:lang w:val="en-US"/>
        </w:rPr>
        <w:t>2)</w:t>
      </w:r>
      <w:r w:rsidRPr="005F2615">
        <w:rPr>
          <w:rFonts w:ascii="Book Antiqua" w:hAnsi="Book Antiqua"/>
          <w:b w:val="0"/>
          <w:sz w:val="24"/>
          <w:szCs w:val="24"/>
          <w:lang w:val="en-US"/>
        </w:rPr>
        <w:t>.</w:t>
      </w:r>
      <w:r w:rsidR="00684ED6" w:rsidRPr="005F2615">
        <w:rPr>
          <w:rFonts w:ascii="Book Antiqua" w:hAnsi="Book Antiqua"/>
          <w:b w:val="0"/>
          <w:sz w:val="24"/>
          <w:szCs w:val="24"/>
          <w:lang w:val="en-US"/>
        </w:rPr>
        <w:t xml:space="preserve"> Its sensitivity and specificity in each one of these conditions differ significantly, depending on various factors,</w:t>
      </w:r>
      <w:r w:rsidR="00BC4529" w:rsidRPr="005F2615">
        <w:rPr>
          <w:rFonts w:ascii="Book Antiqua" w:hAnsi="Book Antiqua"/>
          <w:b w:val="0"/>
          <w:sz w:val="24"/>
          <w:szCs w:val="24"/>
          <w:lang w:val="en-US"/>
        </w:rPr>
        <w:t xml:space="preserve"> </w:t>
      </w:r>
      <w:r w:rsidR="00A1294D" w:rsidRPr="005F2615">
        <w:rPr>
          <w:rFonts w:ascii="Book Antiqua" w:hAnsi="Book Antiqua"/>
          <w:b w:val="0"/>
          <w:sz w:val="24"/>
          <w:szCs w:val="24"/>
          <w:lang w:val="en-US"/>
        </w:rPr>
        <w:t>limiting its use as a</w:t>
      </w:r>
      <w:r w:rsidR="00387494" w:rsidRPr="005F2615">
        <w:rPr>
          <w:rFonts w:ascii="Book Antiqua" w:hAnsi="Book Antiqua"/>
          <w:b w:val="0"/>
          <w:sz w:val="24"/>
          <w:szCs w:val="24"/>
          <w:lang w:val="en-US"/>
        </w:rPr>
        <w:t>n effective</w:t>
      </w:r>
      <w:r w:rsidR="00A1294D" w:rsidRPr="005F2615">
        <w:rPr>
          <w:rFonts w:ascii="Book Antiqua" w:hAnsi="Book Antiqua"/>
          <w:b w:val="0"/>
          <w:sz w:val="24"/>
          <w:szCs w:val="24"/>
          <w:lang w:val="en-US"/>
        </w:rPr>
        <w:t xml:space="preserve"> prognostic and/or predictive marker </w:t>
      </w:r>
      <w:r w:rsidR="00171CF4" w:rsidRPr="005F2615">
        <w:rPr>
          <w:rFonts w:ascii="Book Antiqua" w:hAnsi="Book Antiqua"/>
          <w:b w:val="0"/>
          <w:sz w:val="24"/>
          <w:szCs w:val="24"/>
          <w:lang w:val="en-US"/>
        </w:rPr>
        <w:t>in a narrow spectrum of conditions</w:t>
      </w:r>
      <w:r w:rsidR="00A1294D" w:rsidRPr="005F2615">
        <w:rPr>
          <w:rFonts w:ascii="Book Antiqua" w:hAnsi="Book Antiqua"/>
          <w:b w:val="0"/>
          <w:sz w:val="24"/>
          <w:szCs w:val="24"/>
          <w:lang w:val="en-US"/>
        </w:rPr>
        <w:t>.</w:t>
      </w:r>
      <w:r w:rsidR="00815D9C" w:rsidRPr="005F2615">
        <w:rPr>
          <w:rFonts w:ascii="Book Antiqua" w:hAnsi="Book Antiqua"/>
          <w:b w:val="0"/>
          <w:sz w:val="24"/>
          <w:szCs w:val="24"/>
          <w:lang w:val="en-US"/>
        </w:rPr>
        <w:t xml:space="preserve"> This review summarizes </w:t>
      </w:r>
      <w:r w:rsidR="00E47CA2" w:rsidRPr="005F2615">
        <w:rPr>
          <w:rFonts w:ascii="Book Antiqua" w:hAnsi="Book Antiqua"/>
          <w:b w:val="0"/>
          <w:sz w:val="24"/>
          <w:szCs w:val="24"/>
          <w:lang w:val="en-US"/>
        </w:rPr>
        <w:t>the most frequent condition</w:t>
      </w:r>
      <w:r w:rsidR="002D049F" w:rsidRPr="005F2615">
        <w:rPr>
          <w:rFonts w:ascii="Book Antiqua" w:hAnsi="Book Antiqua"/>
          <w:b w:val="0"/>
          <w:sz w:val="24"/>
          <w:szCs w:val="24"/>
          <w:lang w:val="en-US"/>
        </w:rPr>
        <w:t>s where CgA</w:t>
      </w:r>
      <w:r w:rsidR="00E47CA2" w:rsidRPr="005F2615">
        <w:rPr>
          <w:rFonts w:ascii="Book Antiqua" w:hAnsi="Book Antiqua"/>
          <w:b w:val="0"/>
          <w:sz w:val="24"/>
          <w:szCs w:val="24"/>
          <w:lang w:val="en-US"/>
        </w:rPr>
        <w:t xml:space="preserve"> levels are affected, focusing specifically on its function as a biomarker</w:t>
      </w:r>
      <w:r w:rsidR="00EC0D62" w:rsidRPr="005F2615">
        <w:rPr>
          <w:rFonts w:ascii="Book Antiqua" w:hAnsi="Book Antiqua"/>
          <w:b w:val="0"/>
          <w:sz w:val="24"/>
          <w:szCs w:val="24"/>
          <w:lang w:val="en-US"/>
        </w:rPr>
        <w:t xml:space="preserve"> in oncology</w:t>
      </w:r>
      <w:r w:rsidR="00E47CA2" w:rsidRPr="005F2615">
        <w:rPr>
          <w:rFonts w:ascii="Book Antiqua" w:hAnsi="Book Antiqua"/>
          <w:b w:val="0"/>
          <w:sz w:val="24"/>
          <w:szCs w:val="24"/>
          <w:lang w:val="en-US"/>
        </w:rPr>
        <w:t>.</w:t>
      </w:r>
    </w:p>
    <w:p w14:paraId="3379C7DF" w14:textId="253783D7" w:rsidR="005D465C" w:rsidRPr="005F2615" w:rsidRDefault="00BE7F40" w:rsidP="00B12312">
      <w:pPr>
        <w:pStyle w:val="1"/>
        <w:spacing w:before="0" w:beforeAutospacing="0" w:after="0" w:afterAutospacing="0" w:line="360" w:lineRule="auto"/>
        <w:ind w:firstLineChars="100" w:firstLine="240"/>
        <w:jc w:val="both"/>
        <w:rPr>
          <w:rFonts w:ascii="Book Antiqua" w:hAnsi="Book Antiqua"/>
          <w:b w:val="0"/>
          <w:sz w:val="24"/>
          <w:szCs w:val="24"/>
          <w:lang w:val="en-US"/>
        </w:rPr>
      </w:pPr>
      <w:r w:rsidRPr="005F2615">
        <w:rPr>
          <w:rFonts w:ascii="Book Antiqua" w:hAnsi="Book Antiqua"/>
          <w:b w:val="0"/>
          <w:sz w:val="24"/>
          <w:szCs w:val="24"/>
          <w:lang w:val="en-US"/>
        </w:rPr>
        <w:t>CgA</w:t>
      </w:r>
      <w:r w:rsidR="005F2615">
        <w:rPr>
          <w:rFonts w:ascii="Book Antiqua" w:hAnsi="Book Antiqua"/>
          <w:b w:val="0"/>
          <w:sz w:val="24"/>
          <w:szCs w:val="24"/>
          <w:lang w:val="en-US"/>
        </w:rPr>
        <w:t xml:space="preserve"> </w:t>
      </w:r>
      <w:r w:rsidRPr="005F2615">
        <w:rPr>
          <w:rFonts w:ascii="Book Antiqua" w:hAnsi="Book Antiqua"/>
          <w:b w:val="0"/>
          <w:sz w:val="24"/>
          <w:szCs w:val="24"/>
          <w:lang w:val="en-US"/>
        </w:rPr>
        <w:t>may be secreted in the blood in its full length or in fragments after cleavage. These fragment peptides include Catestin, Chromacin, Pancrestatin, Parastatin, Vasost</w:t>
      </w:r>
      <w:r w:rsidR="00414A76" w:rsidRPr="005F2615">
        <w:rPr>
          <w:rFonts w:ascii="Book Antiqua" w:hAnsi="Book Antiqua"/>
          <w:b w:val="0"/>
          <w:sz w:val="24"/>
          <w:szCs w:val="24"/>
          <w:lang w:val="en-US"/>
        </w:rPr>
        <w:t>atin I, Vasostatin II and WE-14</w:t>
      </w:r>
      <w:r w:rsidR="00DF7977" w:rsidRPr="005F2615">
        <w:rPr>
          <w:rFonts w:ascii="Book Antiqua" w:hAnsi="Book Antiqua"/>
          <w:b w:val="0"/>
          <w:sz w:val="24"/>
          <w:szCs w:val="24"/>
          <w:vertAlign w:val="superscript"/>
          <w:lang w:val="en-US"/>
        </w:rPr>
        <w:t>[1]</w:t>
      </w:r>
      <w:r w:rsidR="00DF7977" w:rsidRPr="005F2615">
        <w:rPr>
          <w:rFonts w:ascii="Book Antiqua" w:hAnsi="Book Antiqua"/>
          <w:b w:val="0"/>
          <w:sz w:val="24"/>
          <w:szCs w:val="24"/>
          <w:lang w:val="en-US"/>
        </w:rPr>
        <w:t>.</w:t>
      </w:r>
      <w:r w:rsidRPr="005F2615">
        <w:rPr>
          <w:rFonts w:ascii="Book Antiqua" w:hAnsi="Book Antiqua"/>
          <w:b w:val="0"/>
          <w:sz w:val="24"/>
          <w:szCs w:val="24"/>
          <w:lang w:val="en-US"/>
        </w:rPr>
        <w:t xml:space="preserve"> Although CgA and its peptides definite functions have not been fully understood, it is believed that they are important factors for the formation and regulation of dense-core granules, heart function, </w:t>
      </w:r>
      <w:r w:rsidRPr="005F2615">
        <w:rPr>
          <w:rFonts w:ascii="Book Antiqua" w:hAnsi="Book Antiqua"/>
          <w:b w:val="0"/>
          <w:sz w:val="24"/>
          <w:szCs w:val="24"/>
          <w:lang w:val="en-US"/>
        </w:rPr>
        <w:lastRenderedPageBreak/>
        <w:t>catecholamines and parathyroid hormone secretion, carbohydrate and lipid metabolism, imm</w:t>
      </w:r>
      <w:r w:rsidR="00B12312">
        <w:rPr>
          <w:rFonts w:ascii="Book Antiqua" w:hAnsi="Book Antiqua"/>
          <w:b w:val="0"/>
          <w:sz w:val="24"/>
          <w:szCs w:val="24"/>
          <w:lang w:val="en-US"/>
        </w:rPr>
        <w:t>une properties and reproduction</w:t>
      </w:r>
      <w:r w:rsidR="00715DD1" w:rsidRPr="005F2615">
        <w:rPr>
          <w:rFonts w:ascii="Book Antiqua" w:hAnsi="Book Antiqua"/>
          <w:b w:val="0"/>
          <w:sz w:val="24"/>
          <w:szCs w:val="24"/>
          <w:vertAlign w:val="superscript"/>
          <w:lang w:val="en-US"/>
        </w:rPr>
        <w:t>[7</w:t>
      </w:r>
      <w:r w:rsidR="00DF7977" w:rsidRPr="005F2615">
        <w:rPr>
          <w:rFonts w:ascii="Book Antiqua" w:hAnsi="Book Antiqua"/>
          <w:b w:val="0"/>
          <w:sz w:val="24"/>
          <w:szCs w:val="24"/>
          <w:vertAlign w:val="superscript"/>
          <w:lang w:val="en-US"/>
        </w:rPr>
        <w:t>]</w:t>
      </w:r>
      <w:r w:rsidR="00DF7977" w:rsidRPr="005F2615">
        <w:rPr>
          <w:rFonts w:ascii="Book Antiqua" w:hAnsi="Book Antiqua"/>
          <w:b w:val="0"/>
          <w:sz w:val="24"/>
          <w:szCs w:val="24"/>
          <w:lang w:val="en-US"/>
        </w:rPr>
        <w:t>.</w:t>
      </w:r>
      <w:r w:rsidRPr="005F2615">
        <w:rPr>
          <w:rFonts w:ascii="Book Antiqua" w:hAnsi="Book Antiqua"/>
          <w:b w:val="0"/>
          <w:sz w:val="24"/>
          <w:szCs w:val="24"/>
          <w:lang w:val="en-US"/>
        </w:rPr>
        <w:t xml:space="preserve"> </w:t>
      </w:r>
    </w:p>
    <w:p w14:paraId="61F59026" w14:textId="77777777" w:rsidR="000B2AB9" w:rsidRPr="005F2615" w:rsidRDefault="000B2AB9" w:rsidP="00B12312">
      <w:pPr>
        <w:pStyle w:val="1"/>
        <w:spacing w:before="0" w:beforeAutospacing="0" w:after="0" w:afterAutospacing="0" w:line="360" w:lineRule="auto"/>
        <w:jc w:val="both"/>
        <w:rPr>
          <w:rFonts w:ascii="Book Antiqua" w:hAnsi="Book Antiqua"/>
          <w:b w:val="0"/>
          <w:sz w:val="24"/>
          <w:szCs w:val="24"/>
          <w:lang w:val="en-US"/>
        </w:rPr>
      </w:pPr>
    </w:p>
    <w:p w14:paraId="24A7EF5A" w14:textId="61B77522" w:rsidR="00BE2552" w:rsidRPr="005F2615" w:rsidRDefault="00B12312" w:rsidP="00B12312">
      <w:pPr>
        <w:pStyle w:val="1"/>
        <w:spacing w:before="0" w:beforeAutospacing="0" w:after="0" w:afterAutospacing="0" w:line="360" w:lineRule="auto"/>
        <w:jc w:val="both"/>
        <w:rPr>
          <w:rFonts w:ascii="Book Antiqua" w:hAnsi="Book Antiqua"/>
          <w:sz w:val="24"/>
          <w:szCs w:val="24"/>
          <w:lang w:val="en-US"/>
        </w:rPr>
      </w:pPr>
      <w:r w:rsidRPr="005F2615">
        <w:rPr>
          <w:rFonts w:ascii="Book Antiqua" w:hAnsi="Book Antiqua"/>
          <w:sz w:val="24"/>
          <w:szCs w:val="24"/>
          <w:lang w:val="en-US"/>
        </w:rPr>
        <w:t>CGA IN NON-MALIGNANT DISEASES AND CONDITIONS</w:t>
      </w:r>
    </w:p>
    <w:p w14:paraId="7ED0AD54" w14:textId="6AC955BF" w:rsidR="00970BCE" w:rsidRPr="005F2615" w:rsidRDefault="00BE2552" w:rsidP="00B12312">
      <w:pPr>
        <w:autoSpaceDE w:val="0"/>
        <w:autoSpaceDN w:val="0"/>
        <w:adjustRightInd w:val="0"/>
        <w:spacing w:after="0" w:line="360" w:lineRule="auto"/>
        <w:jc w:val="both"/>
        <w:rPr>
          <w:rFonts w:ascii="Book Antiqua" w:hAnsi="Book Antiqua" w:cs="Times New Roman"/>
          <w:sz w:val="24"/>
          <w:szCs w:val="24"/>
          <w:lang w:val="en-US"/>
        </w:rPr>
      </w:pPr>
      <w:r w:rsidRPr="005F2615">
        <w:rPr>
          <w:rFonts w:ascii="Book Antiqua" w:hAnsi="Book Antiqua" w:cs="Times New Roman"/>
          <w:sz w:val="24"/>
          <w:szCs w:val="24"/>
          <w:lang w:val="en-US"/>
        </w:rPr>
        <w:t xml:space="preserve">CgA has been correlated with a </w:t>
      </w:r>
      <w:r w:rsidR="003E0A60" w:rsidRPr="005F2615">
        <w:rPr>
          <w:rFonts w:ascii="Book Antiqua" w:hAnsi="Book Antiqua" w:cs="Times New Roman"/>
          <w:sz w:val="24"/>
          <w:szCs w:val="24"/>
          <w:lang w:val="en-US"/>
        </w:rPr>
        <w:t xml:space="preserve">wide </w:t>
      </w:r>
      <w:r w:rsidRPr="005F2615">
        <w:rPr>
          <w:rFonts w:ascii="Book Antiqua" w:hAnsi="Book Antiqua" w:cs="Times New Roman"/>
          <w:sz w:val="24"/>
          <w:szCs w:val="24"/>
          <w:lang w:val="en-US"/>
        </w:rPr>
        <w:t xml:space="preserve">range of </w:t>
      </w:r>
      <w:r w:rsidR="002B02DF" w:rsidRPr="005F2615">
        <w:rPr>
          <w:rFonts w:ascii="Book Antiqua" w:hAnsi="Book Antiqua" w:cs="Times New Roman"/>
          <w:sz w:val="24"/>
          <w:szCs w:val="24"/>
          <w:lang w:val="en-US"/>
        </w:rPr>
        <w:t xml:space="preserve">non-malignant </w:t>
      </w:r>
      <w:r w:rsidRPr="005F2615">
        <w:rPr>
          <w:rFonts w:ascii="Book Antiqua" w:hAnsi="Book Antiqua" w:cs="Times New Roman"/>
          <w:sz w:val="24"/>
          <w:szCs w:val="24"/>
          <w:lang w:val="en-US"/>
        </w:rPr>
        <w:t>systemic diseases</w:t>
      </w:r>
      <w:r w:rsidR="002B02DF" w:rsidRPr="005F2615">
        <w:rPr>
          <w:rFonts w:ascii="Book Antiqua" w:hAnsi="Book Antiqua" w:cs="Times New Roman"/>
          <w:sz w:val="24"/>
          <w:szCs w:val="24"/>
          <w:lang w:val="en-US"/>
        </w:rPr>
        <w:t>,</w:t>
      </w:r>
      <w:r w:rsidRPr="005F2615">
        <w:rPr>
          <w:rFonts w:ascii="Book Antiqua" w:hAnsi="Book Antiqua" w:cs="Times New Roman"/>
          <w:sz w:val="24"/>
          <w:szCs w:val="24"/>
          <w:lang w:val="en-US"/>
        </w:rPr>
        <w:t xml:space="preserve"> including </w:t>
      </w:r>
      <w:r w:rsidR="00171CF4" w:rsidRPr="005F2615">
        <w:rPr>
          <w:rFonts w:ascii="Book Antiqua" w:hAnsi="Book Antiqua" w:cs="Times New Roman"/>
          <w:sz w:val="24"/>
          <w:szCs w:val="24"/>
          <w:lang w:val="en-US"/>
        </w:rPr>
        <w:t xml:space="preserve">hypertension, </w:t>
      </w:r>
      <w:r w:rsidR="00BC664A" w:rsidRPr="005F2615">
        <w:rPr>
          <w:rFonts w:ascii="Book Antiqua" w:hAnsi="Book Antiqua" w:cs="Times New Roman"/>
          <w:sz w:val="24"/>
          <w:szCs w:val="24"/>
          <w:lang w:val="en-US"/>
        </w:rPr>
        <w:t xml:space="preserve">heart </w:t>
      </w:r>
      <w:r w:rsidRPr="005F2615">
        <w:rPr>
          <w:rFonts w:ascii="Book Antiqua" w:hAnsi="Book Antiqua" w:cs="Times New Roman"/>
          <w:sz w:val="24"/>
          <w:szCs w:val="24"/>
          <w:lang w:val="en-US"/>
        </w:rPr>
        <w:t>and hepatic fai</w:t>
      </w:r>
      <w:r w:rsidR="002D049F" w:rsidRPr="005F2615">
        <w:rPr>
          <w:rFonts w:ascii="Book Antiqua" w:hAnsi="Book Antiqua" w:cs="Times New Roman"/>
          <w:sz w:val="24"/>
          <w:szCs w:val="24"/>
          <w:lang w:val="en-US"/>
        </w:rPr>
        <w:t>lure</w:t>
      </w:r>
      <w:r w:rsidR="00110210" w:rsidRPr="005F2615">
        <w:rPr>
          <w:rFonts w:ascii="Book Antiqua" w:hAnsi="Book Antiqua" w:cs="Times New Roman"/>
          <w:sz w:val="24"/>
          <w:szCs w:val="24"/>
          <w:lang w:val="en-US"/>
        </w:rPr>
        <w:t xml:space="preserve"> </w:t>
      </w:r>
      <w:r w:rsidR="00BE7F40" w:rsidRPr="005F2615">
        <w:rPr>
          <w:rFonts w:ascii="Book Antiqua" w:hAnsi="Book Antiqua" w:cs="Times New Roman"/>
          <w:sz w:val="24"/>
          <w:szCs w:val="24"/>
          <w:lang w:val="en-US"/>
        </w:rPr>
        <w:t>(Table 1)</w:t>
      </w:r>
      <w:r w:rsidR="004610C5" w:rsidRPr="005F2615">
        <w:rPr>
          <w:rFonts w:ascii="Book Antiqua" w:hAnsi="Book Antiqua" w:cs="Times New Roman"/>
          <w:sz w:val="24"/>
          <w:szCs w:val="24"/>
          <w:vertAlign w:val="superscript"/>
          <w:lang w:val="en-US"/>
        </w:rPr>
        <w:t>[1,</w:t>
      </w:r>
      <w:r w:rsidR="00715DD1" w:rsidRPr="005F2615">
        <w:rPr>
          <w:rFonts w:ascii="Book Antiqua" w:hAnsi="Book Antiqua" w:cs="Times New Roman"/>
          <w:sz w:val="24"/>
          <w:szCs w:val="24"/>
          <w:vertAlign w:val="superscript"/>
          <w:lang w:val="en-US"/>
        </w:rPr>
        <w:t>8</w:t>
      </w:r>
      <w:r w:rsidR="004610C5" w:rsidRPr="005F2615">
        <w:rPr>
          <w:rFonts w:ascii="Book Antiqua" w:hAnsi="Book Antiqua" w:cs="Times New Roman"/>
          <w:sz w:val="24"/>
          <w:szCs w:val="24"/>
          <w:vertAlign w:val="superscript"/>
          <w:lang w:val="en-US"/>
        </w:rPr>
        <w:t>]</w:t>
      </w:r>
      <w:r w:rsidR="004610C5" w:rsidRPr="005F2615">
        <w:rPr>
          <w:rFonts w:ascii="Book Antiqua" w:hAnsi="Book Antiqua" w:cs="Times New Roman"/>
          <w:sz w:val="24"/>
          <w:szCs w:val="24"/>
          <w:lang w:val="en-US"/>
        </w:rPr>
        <w:t xml:space="preserve">. </w:t>
      </w:r>
      <w:r w:rsidR="00BC664A" w:rsidRPr="005F2615">
        <w:rPr>
          <w:rFonts w:ascii="Book Antiqua" w:hAnsi="Book Antiqua" w:cs="Times New Roman"/>
          <w:sz w:val="24"/>
          <w:szCs w:val="24"/>
          <w:lang w:val="en-US"/>
        </w:rPr>
        <w:t>It is produced by the human myocardium and exerts negative inotropic effect, so in chronic heart failure it is significantly elevated and its levels can parallel the severity of cardiac dysfunction</w:t>
      </w:r>
      <w:r w:rsidR="00970BCE" w:rsidRPr="005F2615">
        <w:rPr>
          <w:rFonts w:ascii="Book Antiqua" w:hAnsi="Book Antiqua" w:cs="Times New Roman"/>
          <w:sz w:val="24"/>
          <w:szCs w:val="24"/>
          <w:lang w:val="en-US"/>
        </w:rPr>
        <w:t xml:space="preserve"> and could be used as an ind</w:t>
      </w:r>
      <w:r w:rsidR="00B12312">
        <w:rPr>
          <w:rFonts w:ascii="Book Antiqua" w:hAnsi="Book Antiqua" w:cs="Times New Roman"/>
          <w:sz w:val="24"/>
          <w:szCs w:val="24"/>
          <w:lang w:val="en-US"/>
        </w:rPr>
        <w:t>ependent predictor of mortality</w:t>
      </w:r>
      <w:r w:rsidR="00BC664A" w:rsidRPr="005F2615">
        <w:rPr>
          <w:rFonts w:ascii="Book Antiqua" w:hAnsi="Book Antiqua" w:cs="Times New Roman"/>
          <w:sz w:val="24"/>
          <w:szCs w:val="24"/>
          <w:vertAlign w:val="superscript"/>
          <w:lang w:val="en-US"/>
        </w:rPr>
        <w:t>[8]</w:t>
      </w:r>
      <w:r w:rsidR="00BC664A" w:rsidRPr="005F2615">
        <w:rPr>
          <w:rFonts w:ascii="Book Antiqua" w:hAnsi="Book Antiqua" w:cs="Times New Roman"/>
          <w:sz w:val="24"/>
          <w:szCs w:val="24"/>
          <w:lang w:val="en-US"/>
        </w:rPr>
        <w:t>.</w:t>
      </w:r>
      <w:r w:rsidR="00970BCE" w:rsidRPr="005F2615">
        <w:rPr>
          <w:rFonts w:ascii="Book Antiqua" w:hAnsi="Book Antiqua" w:cs="Times New Roman"/>
          <w:sz w:val="24"/>
          <w:szCs w:val="24"/>
          <w:lang w:val="en-US"/>
        </w:rPr>
        <w:t xml:space="preserve"> </w:t>
      </w:r>
      <w:r w:rsidR="00D117AC" w:rsidRPr="005F2615">
        <w:rPr>
          <w:rFonts w:ascii="Book Antiqua" w:hAnsi="Book Antiqua" w:cs="Times New Roman"/>
          <w:sz w:val="24"/>
          <w:szCs w:val="24"/>
          <w:lang w:val="en-US"/>
        </w:rPr>
        <w:t>Furthermore</w:t>
      </w:r>
      <w:r w:rsidR="00970BCE" w:rsidRPr="005F2615">
        <w:rPr>
          <w:rFonts w:ascii="Book Antiqua" w:hAnsi="Book Antiqua" w:cs="Times New Roman"/>
          <w:sz w:val="24"/>
          <w:szCs w:val="24"/>
          <w:lang w:val="en-US"/>
        </w:rPr>
        <w:t xml:space="preserve">, basal plasma CgA levels correlate with sympathetic tone and increased adrenal sympathetic nerve activity. Subsequently, CgA levels </w:t>
      </w:r>
      <w:r w:rsidR="004F38DC" w:rsidRPr="005F2615">
        <w:rPr>
          <w:rFonts w:ascii="Book Antiqua" w:hAnsi="Book Antiqua" w:cs="Times New Roman"/>
          <w:sz w:val="24"/>
          <w:szCs w:val="24"/>
          <w:lang w:val="en-US"/>
        </w:rPr>
        <w:t>are usually elevated in</w:t>
      </w:r>
      <w:r w:rsidR="005F2615">
        <w:rPr>
          <w:rFonts w:ascii="Book Antiqua" w:hAnsi="Book Antiqua" w:cs="Times New Roman"/>
          <w:sz w:val="24"/>
          <w:szCs w:val="24"/>
          <w:lang w:val="en-US"/>
        </w:rPr>
        <w:t xml:space="preserve"> </w:t>
      </w:r>
      <w:r w:rsidR="00B12312">
        <w:rPr>
          <w:rFonts w:ascii="Book Antiqua" w:hAnsi="Book Antiqua" w:cs="Times New Roman"/>
          <w:sz w:val="24"/>
          <w:szCs w:val="24"/>
          <w:lang w:val="en-US"/>
        </w:rPr>
        <w:t>hypertension</w:t>
      </w:r>
      <w:r w:rsidR="00970BCE" w:rsidRPr="005F2615">
        <w:rPr>
          <w:rFonts w:ascii="Book Antiqua" w:hAnsi="Book Antiqua" w:cs="Times New Roman"/>
          <w:sz w:val="24"/>
          <w:szCs w:val="24"/>
          <w:vertAlign w:val="superscript"/>
          <w:lang w:val="en-US"/>
        </w:rPr>
        <w:t>[8]</w:t>
      </w:r>
      <w:r w:rsidR="00970BCE" w:rsidRPr="005F2615">
        <w:rPr>
          <w:rFonts w:ascii="Book Antiqua" w:hAnsi="Book Antiqua" w:cs="Times New Roman"/>
          <w:sz w:val="24"/>
          <w:szCs w:val="24"/>
          <w:lang w:val="en-US"/>
        </w:rPr>
        <w:t>.</w:t>
      </w:r>
    </w:p>
    <w:p w14:paraId="59961899" w14:textId="76E311B7" w:rsidR="00BE2552" w:rsidRDefault="00986366" w:rsidP="00B12312">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5F2615">
        <w:rPr>
          <w:rFonts w:ascii="Book Antiqua" w:hAnsi="Book Antiqua" w:cs="Times New Roman"/>
          <w:sz w:val="24"/>
          <w:szCs w:val="24"/>
          <w:lang w:val="en-US"/>
        </w:rPr>
        <w:t xml:space="preserve">Furthermore, it can be </w:t>
      </w:r>
      <w:r w:rsidR="00171CF4" w:rsidRPr="005F2615">
        <w:rPr>
          <w:rFonts w:ascii="Book Antiqua" w:hAnsi="Book Antiqua" w:cs="Times New Roman"/>
          <w:sz w:val="24"/>
          <w:szCs w:val="24"/>
          <w:lang w:val="en-US"/>
        </w:rPr>
        <w:t>rai</w:t>
      </w:r>
      <w:r w:rsidR="00D12AA1" w:rsidRPr="005F2615">
        <w:rPr>
          <w:rFonts w:ascii="Book Antiqua" w:hAnsi="Book Antiqua" w:cs="Times New Roman"/>
          <w:sz w:val="24"/>
          <w:szCs w:val="24"/>
          <w:lang w:val="en-US"/>
        </w:rPr>
        <w:t>sed</w:t>
      </w:r>
      <w:r w:rsidR="004F38DC" w:rsidRPr="005F2615">
        <w:rPr>
          <w:rFonts w:ascii="Book Antiqua" w:hAnsi="Book Antiqua" w:cs="Times New Roman"/>
          <w:sz w:val="24"/>
          <w:szCs w:val="24"/>
          <w:lang w:val="en-US"/>
        </w:rPr>
        <w:t xml:space="preserve"> in</w:t>
      </w:r>
      <w:r w:rsidR="00BE2552" w:rsidRPr="005F2615">
        <w:rPr>
          <w:rFonts w:ascii="Book Antiqua" w:hAnsi="Book Antiqua" w:cs="Times New Roman"/>
          <w:sz w:val="24"/>
          <w:szCs w:val="24"/>
          <w:lang w:val="en-US"/>
        </w:rPr>
        <w:t xml:space="preserve"> renal insufficiency</w:t>
      </w:r>
      <w:r w:rsidR="007A3F45" w:rsidRPr="005F2615">
        <w:rPr>
          <w:rFonts w:ascii="Book Antiqua" w:hAnsi="Book Antiqua" w:cs="Times New Roman"/>
          <w:sz w:val="24"/>
          <w:szCs w:val="24"/>
          <w:lang w:val="en-US"/>
        </w:rPr>
        <w:t>,</w:t>
      </w:r>
      <w:r w:rsidR="00BE2552" w:rsidRPr="005F2615">
        <w:rPr>
          <w:rFonts w:ascii="Book Antiqua" w:hAnsi="Book Antiqua" w:cs="Times New Roman"/>
          <w:sz w:val="24"/>
          <w:szCs w:val="24"/>
          <w:lang w:val="en-US"/>
        </w:rPr>
        <w:t xml:space="preserve"> </w:t>
      </w:r>
      <w:r w:rsidR="007A3F45" w:rsidRPr="005F2615">
        <w:rPr>
          <w:rFonts w:ascii="Book Antiqua" w:hAnsi="Book Antiqua" w:cs="Times New Roman"/>
          <w:sz w:val="24"/>
          <w:szCs w:val="24"/>
          <w:lang w:val="en-US"/>
        </w:rPr>
        <w:t>as a result of</w:t>
      </w:r>
      <w:r w:rsidR="00BE2552" w:rsidRPr="005F2615">
        <w:rPr>
          <w:rFonts w:ascii="Book Antiqua" w:hAnsi="Book Antiqua" w:cs="Times New Roman"/>
          <w:sz w:val="24"/>
          <w:szCs w:val="24"/>
          <w:lang w:val="en-US"/>
        </w:rPr>
        <w:t xml:space="preserve"> decr</w:t>
      </w:r>
      <w:r w:rsidR="002D049F" w:rsidRPr="005F2615">
        <w:rPr>
          <w:rFonts w:ascii="Book Antiqua" w:hAnsi="Book Antiqua" w:cs="Times New Roman"/>
          <w:sz w:val="24"/>
          <w:szCs w:val="24"/>
          <w:lang w:val="en-US"/>
        </w:rPr>
        <w:t xml:space="preserve">eased plasma clearance. </w:t>
      </w:r>
      <w:r w:rsidR="00970BCE" w:rsidRPr="005F2615">
        <w:rPr>
          <w:rFonts w:ascii="Book Antiqua" w:hAnsi="Book Antiqua" w:cs="Times New Roman"/>
          <w:sz w:val="24"/>
          <w:szCs w:val="24"/>
          <w:lang w:val="en-US"/>
        </w:rPr>
        <w:t>It has also been implicated in inflammatory and autoimmune condit</w:t>
      </w:r>
      <w:r w:rsidR="00B12312">
        <w:rPr>
          <w:rFonts w:ascii="Book Antiqua" w:hAnsi="Book Antiqua" w:cs="Times New Roman"/>
          <w:sz w:val="24"/>
          <w:szCs w:val="24"/>
          <w:lang w:val="en-US"/>
        </w:rPr>
        <w:t>ions, like Rheumatoid arthritis</w:t>
      </w:r>
      <w:r w:rsidR="00970BCE" w:rsidRPr="005F2615">
        <w:rPr>
          <w:rFonts w:ascii="Book Antiqua" w:hAnsi="Book Antiqua" w:cs="Times New Roman"/>
          <w:sz w:val="24"/>
          <w:szCs w:val="24"/>
          <w:vertAlign w:val="superscript"/>
          <w:lang w:val="en-US"/>
        </w:rPr>
        <w:t>[9,10]</w:t>
      </w:r>
      <w:r w:rsidR="00970BCE" w:rsidRPr="005F2615">
        <w:rPr>
          <w:rFonts w:ascii="Book Antiqua" w:hAnsi="Book Antiqua" w:cs="Times New Roman"/>
          <w:sz w:val="24"/>
          <w:szCs w:val="24"/>
          <w:lang w:val="en-US"/>
        </w:rPr>
        <w:t xml:space="preserve">. </w:t>
      </w:r>
      <w:r w:rsidR="002D049F" w:rsidRPr="005F2615">
        <w:rPr>
          <w:rStyle w:val="A00"/>
          <w:rFonts w:ascii="Book Antiqua" w:hAnsi="Book Antiqua" w:cs="Times New Roman"/>
          <w:color w:val="auto"/>
          <w:sz w:val="24"/>
          <w:szCs w:val="24"/>
          <w:lang w:val="en-US"/>
        </w:rPr>
        <w:t>Furthermore, PPIs, which are some of the most commonly prescribed drugs, may cause a secondary i</w:t>
      </w:r>
      <w:r w:rsidR="00171CF4" w:rsidRPr="005F2615">
        <w:rPr>
          <w:rStyle w:val="A00"/>
          <w:rFonts w:ascii="Book Antiqua" w:hAnsi="Book Antiqua" w:cs="Times New Roman"/>
          <w:color w:val="auto"/>
          <w:sz w:val="24"/>
          <w:szCs w:val="24"/>
          <w:lang w:val="en-US"/>
        </w:rPr>
        <w:t>ncrease in CgA levels due to</w:t>
      </w:r>
      <w:r w:rsidR="005F2615">
        <w:rPr>
          <w:rStyle w:val="A00"/>
          <w:rFonts w:ascii="Book Antiqua" w:hAnsi="Book Antiqua" w:cs="Times New Roman"/>
          <w:color w:val="auto"/>
          <w:sz w:val="24"/>
          <w:szCs w:val="24"/>
          <w:lang w:val="en-US"/>
        </w:rPr>
        <w:t xml:space="preserve"> </w:t>
      </w:r>
      <w:r w:rsidR="00B12312">
        <w:rPr>
          <w:rStyle w:val="A00"/>
          <w:rFonts w:ascii="Book Antiqua" w:hAnsi="Book Antiqua" w:cs="Times New Roman"/>
          <w:color w:val="auto"/>
          <w:sz w:val="24"/>
          <w:szCs w:val="24"/>
          <w:lang w:val="en-US"/>
        </w:rPr>
        <w:t>increased gastrin production</w:t>
      </w:r>
      <w:r w:rsidR="00BE7F40" w:rsidRPr="005F2615">
        <w:rPr>
          <w:rStyle w:val="A00"/>
          <w:rFonts w:ascii="Book Antiqua" w:hAnsi="Book Antiqua" w:cs="Times New Roman"/>
          <w:color w:val="auto"/>
          <w:sz w:val="24"/>
          <w:szCs w:val="24"/>
          <w:vertAlign w:val="superscript"/>
          <w:lang w:val="en-US"/>
        </w:rPr>
        <w:t>[</w:t>
      </w:r>
      <w:r w:rsidR="004B2D66" w:rsidRPr="005F2615">
        <w:rPr>
          <w:rStyle w:val="A00"/>
          <w:rFonts w:ascii="Book Antiqua" w:hAnsi="Book Antiqua" w:cs="Times New Roman"/>
          <w:color w:val="auto"/>
          <w:sz w:val="24"/>
          <w:szCs w:val="24"/>
          <w:vertAlign w:val="superscript"/>
          <w:lang w:val="en-US"/>
        </w:rPr>
        <w:t>11</w:t>
      </w:r>
      <w:r w:rsidR="00BE7F40" w:rsidRPr="005F2615">
        <w:rPr>
          <w:rStyle w:val="A00"/>
          <w:rFonts w:ascii="Book Antiqua" w:hAnsi="Book Antiqua" w:cs="Times New Roman"/>
          <w:color w:val="auto"/>
          <w:sz w:val="24"/>
          <w:szCs w:val="24"/>
          <w:vertAlign w:val="superscript"/>
          <w:lang w:val="en-US"/>
        </w:rPr>
        <w:t>]</w:t>
      </w:r>
      <w:r w:rsidR="00BE7F40" w:rsidRPr="005F2615">
        <w:rPr>
          <w:rStyle w:val="A00"/>
          <w:rFonts w:ascii="Book Antiqua" w:hAnsi="Book Antiqua" w:cs="Times New Roman"/>
          <w:color w:val="auto"/>
          <w:sz w:val="24"/>
          <w:szCs w:val="24"/>
          <w:lang w:val="en-US"/>
        </w:rPr>
        <w:t>.</w:t>
      </w:r>
      <w:r w:rsidR="00171CF4" w:rsidRPr="005F2615">
        <w:rPr>
          <w:rStyle w:val="A00"/>
          <w:rFonts w:ascii="Book Antiqua" w:hAnsi="Book Antiqua" w:cs="Times New Roman"/>
          <w:color w:val="auto"/>
          <w:sz w:val="24"/>
          <w:szCs w:val="24"/>
          <w:lang w:val="en-US"/>
        </w:rPr>
        <w:t xml:space="preserve"> Another </w:t>
      </w:r>
      <w:r w:rsidRPr="005F2615">
        <w:rPr>
          <w:rStyle w:val="A00"/>
          <w:rFonts w:ascii="Book Antiqua" w:hAnsi="Book Antiqua" w:cs="Times New Roman"/>
          <w:color w:val="auto"/>
          <w:sz w:val="24"/>
          <w:szCs w:val="24"/>
          <w:lang w:val="en-US"/>
        </w:rPr>
        <w:t xml:space="preserve">common </w:t>
      </w:r>
      <w:r w:rsidR="00171CF4" w:rsidRPr="005F2615">
        <w:rPr>
          <w:rStyle w:val="A00"/>
          <w:rFonts w:ascii="Book Antiqua" w:hAnsi="Book Antiqua" w:cs="Times New Roman"/>
          <w:color w:val="auto"/>
          <w:sz w:val="24"/>
          <w:szCs w:val="24"/>
          <w:lang w:val="en-US"/>
        </w:rPr>
        <w:t>condition that is associated</w:t>
      </w:r>
      <w:r w:rsidR="002D049F" w:rsidRPr="005F2615">
        <w:rPr>
          <w:rStyle w:val="A00"/>
          <w:rFonts w:ascii="Book Antiqua" w:hAnsi="Book Antiqua" w:cs="Times New Roman"/>
          <w:color w:val="auto"/>
          <w:sz w:val="24"/>
          <w:szCs w:val="24"/>
          <w:lang w:val="en-US"/>
        </w:rPr>
        <w:t xml:space="preserve"> with elevated levels of CgA</w:t>
      </w:r>
      <w:r w:rsidR="00171CF4" w:rsidRPr="005F2615">
        <w:rPr>
          <w:rStyle w:val="A00"/>
          <w:rFonts w:ascii="Book Antiqua" w:hAnsi="Book Antiqua" w:cs="Times New Roman"/>
          <w:color w:val="auto"/>
          <w:sz w:val="24"/>
          <w:szCs w:val="24"/>
          <w:lang w:val="en-US"/>
        </w:rPr>
        <w:t>, i</w:t>
      </w:r>
      <w:r w:rsidR="002D049F" w:rsidRPr="005F2615">
        <w:rPr>
          <w:rStyle w:val="A00"/>
          <w:rFonts w:ascii="Book Antiqua" w:hAnsi="Book Antiqua" w:cs="Times New Roman"/>
          <w:color w:val="auto"/>
          <w:sz w:val="24"/>
          <w:szCs w:val="24"/>
          <w:lang w:val="en-US"/>
        </w:rPr>
        <w:t>s chronic atrophic gastrit</w:t>
      </w:r>
      <w:r w:rsidR="00171CF4" w:rsidRPr="005F2615">
        <w:rPr>
          <w:rStyle w:val="A00"/>
          <w:rFonts w:ascii="Book Antiqua" w:hAnsi="Book Antiqua" w:cs="Times New Roman"/>
          <w:color w:val="auto"/>
          <w:sz w:val="24"/>
          <w:szCs w:val="24"/>
          <w:lang w:val="en-US"/>
        </w:rPr>
        <w:t>is</w:t>
      </w:r>
      <w:r w:rsidR="002D049F" w:rsidRPr="005F2615">
        <w:rPr>
          <w:rStyle w:val="A00"/>
          <w:rFonts w:ascii="Book Antiqua" w:hAnsi="Book Antiqua" w:cs="Times New Roman"/>
          <w:color w:val="auto"/>
          <w:sz w:val="24"/>
          <w:szCs w:val="24"/>
          <w:lang w:val="en-US"/>
        </w:rPr>
        <w:t xml:space="preserve"> </w:t>
      </w:r>
      <w:r w:rsidR="00970BCE" w:rsidRPr="005F2615">
        <w:rPr>
          <w:rFonts w:ascii="Book Antiqua" w:hAnsi="Book Antiqua" w:cs="Times New Roman"/>
          <w:sz w:val="24"/>
          <w:szCs w:val="24"/>
          <w:lang w:val="en-US"/>
        </w:rPr>
        <w:t>(Table 1)</w:t>
      </w:r>
      <w:r w:rsidR="00BE7F40" w:rsidRPr="005F2615">
        <w:rPr>
          <w:rStyle w:val="A00"/>
          <w:rFonts w:ascii="Book Antiqua" w:hAnsi="Book Antiqua" w:cs="Times New Roman"/>
          <w:color w:val="auto"/>
          <w:sz w:val="24"/>
          <w:szCs w:val="24"/>
          <w:vertAlign w:val="superscript"/>
          <w:lang w:val="en-US"/>
        </w:rPr>
        <w:t>[</w:t>
      </w:r>
      <w:r w:rsidR="004B2D66" w:rsidRPr="005F2615">
        <w:rPr>
          <w:rStyle w:val="A00"/>
          <w:rFonts w:ascii="Book Antiqua" w:hAnsi="Book Antiqua" w:cs="Times New Roman"/>
          <w:color w:val="auto"/>
          <w:sz w:val="24"/>
          <w:szCs w:val="24"/>
          <w:vertAlign w:val="superscript"/>
          <w:lang w:val="en-US"/>
        </w:rPr>
        <w:t>12</w:t>
      </w:r>
      <w:r w:rsidR="00BE7F40" w:rsidRPr="005F2615">
        <w:rPr>
          <w:rStyle w:val="A00"/>
          <w:rFonts w:ascii="Book Antiqua" w:hAnsi="Book Antiqua" w:cs="Times New Roman"/>
          <w:color w:val="auto"/>
          <w:sz w:val="24"/>
          <w:szCs w:val="24"/>
          <w:vertAlign w:val="superscript"/>
          <w:lang w:val="en-US"/>
        </w:rPr>
        <w:t>]</w:t>
      </w:r>
      <w:r w:rsidR="00BE7F40" w:rsidRPr="005F2615">
        <w:rPr>
          <w:rStyle w:val="A00"/>
          <w:rFonts w:ascii="Book Antiqua" w:hAnsi="Book Antiqua" w:cs="Times New Roman"/>
          <w:color w:val="auto"/>
          <w:sz w:val="24"/>
          <w:szCs w:val="24"/>
          <w:lang w:val="en-US"/>
        </w:rPr>
        <w:t>.</w:t>
      </w:r>
      <w:r w:rsidR="00BC664A" w:rsidRPr="005F2615">
        <w:rPr>
          <w:rFonts w:ascii="Book Antiqua" w:hAnsi="Book Antiqua" w:cs="Times New Roman"/>
          <w:sz w:val="24"/>
          <w:szCs w:val="24"/>
          <w:lang w:val="en-US"/>
        </w:rPr>
        <w:t xml:space="preserve"> </w:t>
      </w:r>
      <w:r w:rsidR="004F38DC" w:rsidRPr="005F2615">
        <w:rPr>
          <w:rFonts w:ascii="Book Antiqua" w:hAnsi="Book Antiqua" w:cs="Times New Roman"/>
          <w:sz w:val="24"/>
          <w:szCs w:val="24"/>
          <w:lang w:val="en-US"/>
        </w:rPr>
        <w:t>Summarizing,</w:t>
      </w:r>
      <w:r w:rsidR="00970BCE" w:rsidRPr="005F2615">
        <w:rPr>
          <w:rFonts w:ascii="Book Antiqua" w:hAnsi="Book Antiqua" w:cs="Times New Roman"/>
          <w:sz w:val="24"/>
          <w:szCs w:val="24"/>
          <w:lang w:val="en-US"/>
        </w:rPr>
        <w:t xml:space="preserve"> </w:t>
      </w:r>
      <w:r w:rsidR="004F38DC" w:rsidRPr="005F2615">
        <w:rPr>
          <w:rFonts w:ascii="Book Antiqua" w:hAnsi="Book Antiqua" w:cs="Times New Roman"/>
          <w:sz w:val="24"/>
          <w:szCs w:val="24"/>
          <w:lang w:val="en-US"/>
        </w:rPr>
        <w:t>in non mali</w:t>
      </w:r>
      <w:r w:rsidR="005E1ED9" w:rsidRPr="005F2615">
        <w:rPr>
          <w:rFonts w:ascii="Book Antiqua" w:hAnsi="Book Antiqua" w:cs="Times New Roman"/>
          <w:sz w:val="24"/>
          <w:szCs w:val="24"/>
          <w:lang w:val="en-US"/>
        </w:rPr>
        <w:t xml:space="preserve">gnant diseases and conditions, </w:t>
      </w:r>
      <w:r w:rsidR="00970BCE" w:rsidRPr="005F2615">
        <w:rPr>
          <w:rFonts w:ascii="Book Antiqua" w:hAnsi="Book Antiqua" w:cs="Times New Roman"/>
          <w:sz w:val="24"/>
          <w:szCs w:val="24"/>
          <w:lang w:val="en-US"/>
        </w:rPr>
        <w:t>CgA values</w:t>
      </w:r>
      <w:r w:rsidR="004F38DC" w:rsidRPr="005F2615">
        <w:rPr>
          <w:rFonts w:ascii="Book Antiqua" w:hAnsi="Book Antiqua" w:cs="Times New Roman"/>
          <w:sz w:val="24"/>
          <w:szCs w:val="24"/>
          <w:lang w:val="en-US"/>
        </w:rPr>
        <w:t xml:space="preserve"> may reach values</w:t>
      </w:r>
      <w:r w:rsidR="00BC664A" w:rsidRPr="005F2615">
        <w:rPr>
          <w:rFonts w:ascii="Book Antiqua" w:hAnsi="Book Antiqua" w:cs="Times New Roman"/>
          <w:sz w:val="24"/>
          <w:szCs w:val="24"/>
          <w:lang w:val="en-US"/>
        </w:rPr>
        <w:t xml:space="preserve"> </w:t>
      </w:r>
      <w:r w:rsidR="00970BCE" w:rsidRPr="005F2615">
        <w:rPr>
          <w:rFonts w:ascii="Book Antiqua" w:hAnsi="Book Antiqua" w:cs="Times New Roman"/>
          <w:sz w:val="24"/>
          <w:szCs w:val="24"/>
          <w:lang w:val="en-US"/>
        </w:rPr>
        <w:t xml:space="preserve">of hundreds </w:t>
      </w:r>
      <w:r w:rsidR="004F38DC" w:rsidRPr="005F2615">
        <w:rPr>
          <w:rFonts w:ascii="Book Antiqua" w:hAnsi="Book Antiqua" w:cs="Times New Roman"/>
          <w:sz w:val="24"/>
          <w:szCs w:val="24"/>
          <w:lang w:val="en-US"/>
        </w:rPr>
        <w:t>(ng/m</w:t>
      </w:r>
      <w:r w:rsidR="00550C57" w:rsidRPr="005F2615">
        <w:rPr>
          <w:rFonts w:ascii="Book Antiqua" w:hAnsi="Book Antiqua" w:cs="Times New Roman"/>
          <w:sz w:val="24"/>
          <w:szCs w:val="24"/>
          <w:lang w:val="en-US"/>
        </w:rPr>
        <w:t>L</w:t>
      </w:r>
      <w:r w:rsidR="004F38DC" w:rsidRPr="005F2615">
        <w:rPr>
          <w:rFonts w:ascii="Book Antiqua" w:hAnsi="Book Antiqua" w:cs="Times New Roman"/>
          <w:sz w:val="24"/>
          <w:szCs w:val="24"/>
          <w:lang w:val="en-US"/>
        </w:rPr>
        <w:t>)</w:t>
      </w:r>
      <w:r w:rsidR="005E1ED9" w:rsidRPr="005F2615">
        <w:rPr>
          <w:rFonts w:ascii="Book Antiqua" w:hAnsi="Book Antiqua" w:cs="Times New Roman"/>
          <w:sz w:val="24"/>
          <w:szCs w:val="24"/>
          <w:lang w:val="en-US"/>
        </w:rPr>
        <w:t>,</w:t>
      </w:r>
      <w:r w:rsidR="004F38DC" w:rsidRPr="005F2615">
        <w:rPr>
          <w:rFonts w:ascii="Book Antiqua" w:hAnsi="Book Antiqua" w:cs="Times New Roman"/>
          <w:sz w:val="24"/>
          <w:szCs w:val="24"/>
          <w:lang w:val="en-US"/>
        </w:rPr>
        <w:t xml:space="preserve"> but it is very uncommon to reach levels of several thousands that could be consistent with cancer diagnosis.</w:t>
      </w:r>
    </w:p>
    <w:p w14:paraId="3A4444E3" w14:textId="77777777" w:rsidR="00B12312" w:rsidRPr="005F2615" w:rsidRDefault="00B12312" w:rsidP="00B12312">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p>
    <w:p w14:paraId="5972D326" w14:textId="0D53E492" w:rsidR="00502F92" w:rsidRPr="005F2615" w:rsidRDefault="00B12312" w:rsidP="00B12312">
      <w:pPr>
        <w:pStyle w:val="1"/>
        <w:spacing w:before="0" w:beforeAutospacing="0" w:after="0" w:afterAutospacing="0" w:line="360" w:lineRule="auto"/>
        <w:jc w:val="both"/>
        <w:rPr>
          <w:rFonts w:ascii="Book Antiqua" w:hAnsi="Book Antiqua"/>
          <w:sz w:val="24"/>
          <w:szCs w:val="24"/>
          <w:lang w:val="en-US"/>
        </w:rPr>
      </w:pPr>
      <w:r w:rsidRPr="005F2615">
        <w:rPr>
          <w:rFonts w:ascii="Book Antiqua" w:hAnsi="Book Antiqua"/>
          <w:sz w:val="24"/>
          <w:szCs w:val="24"/>
          <w:lang w:val="en-US"/>
        </w:rPr>
        <w:t>CGA IN MALIGNANT DISEASES</w:t>
      </w:r>
    </w:p>
    <w:p w14:paraId="251B4587" w14:textId="667472B4" w:rsidR="00502F92" w:rsidRPr="00B12312" w:rsidRDefault="00502F92" w:rsidP="00B12312">
      <w:pPr>
        <w:pStyle w:val="1"/>
        <w:spacing w:before="0" w:beforeAutospacing="0" w:after="0" w:afterAutospacing="0" w:line="360" w:lineRule="auto"/>
        <w:jc w:val="both"/>
        <w:rPr>
          <w:rFonts w:ascii="Book Antiqua" w:hAnsi="Book Antiqua"/>
          <w:i/>
          <w:sz w:val="24"/>
          <w:szCs w:val="24"/>
          <w:lang w:val="en-US"/>
        </w:rPr>
      </w:pPr>
      <w:r w:rsidRPr="00B12312">
        <w:rPr>
          <w:rFonts w:ascii="Book Antiqua" w:hAnsi="Book Antiqua"/>
          <w:i/>
          <w:sz w:val="24"/>
          <w:szCs w:val="24"/>
          <w:lang w:val="en-US"/>
        </w:rPr>
        <w:t>Bronchopulmonary neuroendocrine tumors</w:t>
      </w:r>
    </w:p>
    <w:p w14:paraId="22471506" w14:textId="1271DB51" w:rsidR="00502F92" w:rsidRDefault="00502F92" w:rsidP="00B12312">
      <w:pPr>
        <w:pStyle w:val="1"/>
        <w:spacing w:before="0" w:beforeAutospacing="0" w:after="0" w:afterAutospacing="0" w:line="360" w:lineRule="auto"/>
        <w:jc w:val="both"/>
        <w:rPr>
          <w:rFonts w:ascii="Book Antiqua" w:eastAsia="宋体" w:hAnsi="Book Antiqua"/>
          <w:b w:val="0"/>
          <w:sz w:val="24"/>
          <w:szCs w:val="24"/>
          <w:lang w:val="en-US" w:eastAsia="zh-CN"/>
        </w:rPr>
      </w:pPr>
      <w:r w:rsidRPr="005F2615">
        <w:rPr>
          <w:rFonts w:ascii="Book Antiqua" w:hAnsi="Book Antiqua"/>
          <w:b w:val="0"/>
          <w:sz w:val="24"/>
          <w:szCs w:val="24"/>
          <w:lang w:val="en-US"/>
        </w:rPr>
        <w:t>In small cell lung ca</w:t>
      </w:r>
      <w:r w:rsidR="00BC5623" w:rsidRPr="005F2615">
        <w:rPr>
          <w:rFonts w:ascii="Book Antiqua" w:hAnsi="Book Antiqua"/>
          <w:b w:val="0"/>
          <w:sz w:val="24"/>
          <w:szCs w:val="24"/>
          <w:lang w:val="en-US"/>
        </w:rPr>
        <w:t>rcinoma</w:t>
      </w:r>
      <w:r w:rsidR="00110210" w:rsidRPr="005F2615">
        <w:rPr>
          <w:rFonts w:ascii="Book Antiqua" w:hAnsi="Book Antiqua"/>
          <w:b w:val="0"/>
          <w:sz w:val="24"/>
          <w:szCs w:val="24"/>
          <w:lang w:val="en-US"/>
        </w:rPr>
        <w:t>s</w:t>
      </w:r>
      <w:r w:rsidRPr="005F2615">
        <w:rPr>
          <w:rFonts w:ascii="Book Antiqua" w:hAnsi="Book Antiqua"/>
          <w:b w:val="0"/>
          <w:sz w:val="24"/>
          <w:szCs w:val="24"/>
          <w:lang w:val="en-US"/>
        </w:rPr>
        <w:t xml:space="preserve"> </w:t>
      </w:r>
      <w:r w:rsidR="009254D9" w:rsidRPr="005F2615">
        <w:rPr>
          <w:rFonts w:ascii="Book Antiqua" w:hAnsi="Book Antiqua"/>
          <w:b w:val="0"/>
          <w:sz w:val="24"/>
          <w:szCs w:val="24"/>
          <w:lang w:val="en-US"/>
        </w:rPr>
        <w:t xml:space="preserve">(SCLC) </w:t>
      </w:r>
      <w:r w:rsidRPr="005F2615">
        <w:rPr>
          <w:rFonts w:ascii="Book Antiqua" w:hAnsi="Book Antiqua"/>
          <w:b w:val="0"/>
          <w:sz w:val="24"/>
          <w:szCs w:val="24"/>
          <w:lang w:val="en-US"/>
        </w:rPr>
        <w:t xml:space="preserve">the mean CgA plasma levels </w:t>
      </w:r>
      <w:r w:rsidR="008979CE" w:rsidRPr="005F2615">
        <w:rPr>
          <w:rFonts w:ascii="Book Antiqua" w:hAnsi="Book Antiqua"/>
          <w:b w:val="0"/>
          <w:sz w:val="24"/>
          <w:szCs w:val="24"/>
          <w:lang w:val="en-US"/>
        </w:rPr>
        <w:t>are</w:t>
      </w:r>
      <w:r w:rsidRPr="005F2615">
        <w:rPr>
          <w:rFonts w:ascii="Book Antiqua" w:hAnsi="Book Antiqua"/>
          <w:b w:val="0"/>
          <w:sz w:val="24"/>
          <w:szCs w:val="24"/>
          <w:lang w:val="en-US"/>
        </w:rPr>
        <w:t xml:space="preserve"> higher than those found in normal controls or in patients with chronic obstructive pulmonary disease, lung adenocarcinoma and large-cell lung carcinoma. The levels of CgA </w:t>
      </w:r>
      <w:r w:rsidR="008979CE" w:rsidRPr="005F2615">
        <w:rPr>
          <w:rFonts w:ascii="Book Antiqua" w:hAnsi="Book Antiqua"/>
          <w:b w:val="0"/>
          <w:sz w:val="24"/>
          <w:szCs w:val="24"/>
          <w:lang w:val="en-US"/>
        </w:rPr>
        <w:t>are</w:t>
      </w:r>
      <w:r w:rsidRPr="005F2615">
        <w:rPr>
          <w:rFonts w:ascii="Book Antiqua" w:hAnsi="Book Antiqua"/>
          <w:b w:val="0"/>
          <w:sz w:val="24"/>
          <w:szCs w:val="24"/>
          <w:lang w:val="en-US"/>
        </w:rPr>
        <w:t xml:space="preserve"> associat</w:t>
      </w:r>
      <w:r w:rsidR="00637FF0" w:rsidRPr="005F2615">
        <w:rPr>
          <w:rFonts w:ascii="Book Antiqua" w:hAnsi="Book Antiqua"/>
          <w:b w:val="0"/>
          <w:sz w:val="24"/>
          <w:szCs w:val="24"/>
          <w:lang w:val="en-US"/>
        </w:rPr>
        <w:t>ed with the extent</w:t>
      </w:r>
      <w:r w:rsidRPr="005F2615">
        <w:rPr>
          <w:rFonts w:ascii="Book Antiqua" w:hAnsi="Book Antiqua"/>
          <w:b w:val="0"/>
          <w:sz w:val="24"/>
          <w:szCs w:val="24"/>
          <w:lang w:val="en-US"/>
        </w:rPr>
        <w:t xml:space="preserve"> of the disease, but the levels of NSE </w:t>
      </w:r>
      <w:r w:rsidR="008979CE" w:rsidRPr="005F2615">
        <w:rPr>
          <w:rFonts w:ascii="Book Antiqua" w:hAnsi="Book Antiqua"/>
          <w:b w:val="0"/>
          <w:sz w:val="24"/>
          <w:szCs w:val="24"/>
          <w:lang w:val="en-US"/>
        </w:rPr>
        <w:t>have been proven to be</w:t>
      </w:r>
      <w:r w:rsidR="00EC21B6">
        <w:rPr>
          <w:rFonts w:ascii="Book Antiqua" w:hAnsi="Book Antiqua"/>
          <w:b w:val="0"/>
          <w:sz w:val="24"/>
          <w:szCs w:val="24"/>
          <w:lang w:val="en-US"/>
        </w:rPr>
        <w:t xml:space="preserve"> more accurate in that regard</w:t>
      </w:r>
      <w:r w:rsidR="000D39EE" w:rsidRPr="005F2615">
        <w:rPr>
          <w:rFonts w:ascii="Book Antiqua" w:hAnsi="Book Antiqua"/>
          <w:b w:val="0"/>
          <w:sz w:val="24"/>
          <w:szCs w:val="24"/>
          <w:vertAlign w:val="superscript"/>
          <w:lang w:val="en-US"/>
        </w:rPr>
        <w:t>[1</w:t>
      </w:r>
      <w:r w:rsidR="004B2D66" w:rsidRPr="005F2615">
        <w:rPr>
          <w:rFonts w:ascii="Book Antiqua" w:hAnsi="Book Antiqua"/>
          <w:b w:val="0"/>
          <w:sz w:val="24"/>
          <w:szCs w:val="24"/>
          <w:vertAlign w:val="superscript"/>
          <w:lang w:val="en-US"/>
        </w:rPr>
        <w:t>3</w:t>
      </w:r>
      <w:r w:rsidR="000D39EE" w:rsidRPr="005F2615">
        <w:rPr>
          <w:rFonts w:ascii="Book Antiqua" w:hAnsi="Book Antiqua"/>
          <w:b w:val="0"/>
          <w:sz w:val="24"/>
          <w:szCs w:val="24"/>
          <w:vertAlign w:val="superscript"/>
          <w:lang w:val="en-US"/>
        </w:rPr>
        <w:t>-1</w:t>
      </w:r>
      <w:r w:rsidR="004B2D66" w:rsidRPr="005F2615">
        <w:rPr>
          <w:rFonts w:ascii="Book Antiqua" w:hAnsi="Book Antiqua"/>
          <w:b w:val="0"/>
          <w:sz w:val="24"/>
          <w:szCs w:val="24"/>
          <w:vertAlign w:val="superscript"/>
          <w:lang w:val="en-US"/>
        </w:rPr>
        <w:t>6</w:t>
      </w:r>
      <w:r w:rsidR="000D39EE" w:rsidRPr="005F2615">
        <w:rPr>
          <w:rFonts w:ascii="Book Antiqua" w:hAnsi="Book Antiqua"/>
          <w:b w:val="0"/>
          <w:sz w:val="24"/>
          <w:szCs w:val="24"/>
          <w:vertAlign w:val="superscript"/>
          <w:lang w:val="en-US"/>
        </w:rPr>
        <w:t>]</w:t>
      </w:r>
      <w:r w:rsidRPr="005F2615">
        <w:rPr>
          <w:rFonts w:ascii="Book Antiqua" w:hAnsi="Book Antiqua"/>
          <w:b w:val="0"/>
          <w:sz w:val="24"/>
          <w:szCs w:val="24"/>
          <w:lang w:val="en-US"/>
        </w:rPr>
        <w:t xml:space="preserve">. Bronchopulmonary neuroendocrine tumors (BP-NETs) comprise approximately 20% of all lung cancers and represent a spectrum of tumors arising from neuroendocrine cells of the BP-epithelium. Although they share </w:t>
      </w:r>
      <w:r w:rsidRPr="005F2615">
        <w:rPr>
          <w:rFonts w:ascii="Book Antiqua" w:hAnsi="Book Antiqua"/>
          <w:b w:val="0"/>
          <w:sz w:val="24"/>
          <w:szCs w:val="24"/>
          <w:lang w:val="en-US"/>
        </w:rPr>
        <w:lastRenderedPageBreak/>
        <w:t xml:space="preserve">structural, morphological, immunohistochemical, and ultrastructural features, they are separated into 4 subgroups: </w:t>
      </w:r>
      <w:r w:rsidR="00EC21B6" w:rsidRPr="005F2615">
        <w:rPr>
          <w:rFonts w:ascii="Book Antiqua" w:hAnsi="Book Antiqua"/>
          <w:b w:val="0"/>
          <w:sz w:val="24"/>
          <w:szCs w:val="24"/>
          <w:lang w:val="en-US"/>
        </w:rPr>
        <w:t>T</w:t>
      </w:r>
      <w:r w:rsidRPr="005F2615">
        <w:rPr>
          <w:rFonts w:ascii="Book Antiqua" w:hAnsi="Book Antiqua"/>
          <w:b w:val="0"/>
          <w:sz w:val="24"/>
          <w:szCs w:val="24"/>
          <w:lang w:val="en-US"/>
        </w:rPr>
        <w:t>ypical carcinoid tumo</w:t>
      </w:r>
      <w:r w:rsidR="00686A81" w:rsidRPr="005F2615">
        <w:rPr>
          <w:rFonts w:ascii="Book Antiqua" w:hAnsi="Book Antiqua"/>
          <w:b w:val="0"/>
          <w:sz w:val="24"/>
          <w:szCs w:val="24"/>
          <w:lang w:val="en-US"/>
        </w:rPr>
        <w:t>u</w:t>
      </w:r>
      <w:r w:rsidRPr="005F2615">
        <w:rPr>
          <w:rFonts w:ascii="Book Antiqua" w:hAnsi="Book Antiqua"/>
          <w:b w:val="0"/>
          <w:sz w:val="24"/>
          <w:szCs w:val="24"/>
          <w:lang w:val="en-US"/>
        </w:rPr>
        <w:t>r (TC), atypical carcinoid tumo</w:t>
      </w:r>
      <w:r w:rsidR="00686A81" w:rsidRPr="005F2615">
        <w:rPr>
          <w:rFonts w:ascii="Book Antiqua" w:hAnsi="Book Antiqua"/>
          <w:b w:val="0"/>
          <w:sz w:val="24"/>
          <w:szCs w:val="24"/>
          <w:lang w:val="en-US"/>
        </w:rPr>
        <w:t>u</w:t>
      </w:r>
      <w:r w:rsidRPr="005F2615">
        <w:rPr>
          <w:rFonts w:ascii="Book Antiqua" w:hAnsi="Book Antiqua"/>
          <w:b w:val="0"/>
          <w:sz w:val="24"/>
          <w:szCs w:val="24"/>
          <w:lang w:val="en-US"/>
        </w:rPr>
        <w:t>r (AC), large-cell neuroendocrine carcinoma (LC</w:t>
      </w:r>
      <w:r w:rsidR="00AA5232" w:rsidRPr="005F2615">
        <w:rPr>
          <w:rFonts w:ascii="Book Antiqua" w:hAnsi="Book Antiqua"/>
          <w:b w:val="0"/>
          <w:sz w:val="24"/>
          <w:szCs w:val="24"/>
          <w:lang w:val="en-US"/>
        </w:rPr>
        <w:t>-</w:t>
      </w:r>
      <w:r w:rsidRPr="005F2615">
        <w:rPr>
          <w:rFonts w:ascii="Book Antiqua" w:hAnsi="Book Antiqua"/>
          <w:b w:val="0"/>
          <w:sz w:val="24"/>
          <w:szCs w:val="24"/>
          <w:lang w:val="en-US"/>
        </w:rPr>
        <w:t xml:space="preserve">NEC), and </w:t>
      </w:r>
      <w:r w:rsidR="00EC21B6">
        <w:rPr>
          <w:rFonts w:ascii="Book Antiqua" w:hAnsi="Book Antiqua"/>
          <w:b w:val="0"/>
          <w:sz w:val="24"/>
          <w:szCs w:val="24"/>
          <w:lang w:val="en-US"/>
        </w:rPr>
        <w:t>SCLC</w:t>
      </w:r>
      <w:r w:rsidR="000D39EE" w:rsidRPr="005F2615">
        <w:rPr>
          <w:rFonts w:ascii="Book Antiqua" w:hAnsi="Book Antiqua"/>
          <w:b w:val="0"/>
          <w:sz w:val="24"/>
          <w:szCs w:val="24"/>
          <w:vertAlign w:val="superscript"/>
          <w:lang w:val="en-US"/>
        </w:rPr>
        <w:t>[</w:t>
      </w:r>
      <w:r w:rsidRPr="005F2615">
        <w:rPr>
          <w:rFonts w:ascii="Book Antiqua" w:hAnsi="Book Antiqua"/>
          <w:b w:val="0"/>
          <w:sz w:val="24"/>
          <w:szCs w:val="24"/>
          <w:vertAlign w:val="superscript"/>
          <w:lang w:val="en-US"/>
        </w:rPr>
        <w:t>1</w:t>
      </w:r>
      <w:r w:rsidR="004B2D66" w:rsidRPr="005F2615">
        <w:rPr>
          <w:rFonts w:ascii="Book Antiqua" w:hAnsi="Book Antiqua"/>
          <w:b w:val="0"/>
          <w:sz w:val="24"/>
          <w:szCs w:val="24"/>
          <w:vertAlign w:val="superscript"/>
          <w:lang w:val="en-US"/>
        </w:rPr>
        <w:t>7</w:t>
      </w:r>
      <w:r w:rsidR="000D39EE" w:rsidRPr="005F2615">
        <w:rPr>
          <w:rFonts w:ascii="Book Antiqua" w:hAnsi="Book Antiqua"/>
          <w:b w:val="0"/>
          <w:sz w:val="24"/>
          <w:szCs w:val="24"/>
          <w:vertAlign w:val="superscript"/>
          <w:lang w:val="en-US"/>
        </w:rPr>
        <w:t>]</w:t>
      </w:r>
      <w:r w:rsidRPr="005F2615">
        <w:rPr>
          <w:rFonts w:ascii="Book Antiqua" w:hAnsi="Book Antiqua"/>
          <w:b w:val="0"/>
          <w:sz w:val="24"/>
          <w:szCs w:val="24"/>
          <w:lang w:val="en-US"/>
        </w:rPr>
        <w:t xml:space="preserve">. The diagnosis is based on the recognition of neuroendocrine morphology, </w:t>
      </w:r>
      <w:r w:rsidR="009254D9" w:rsidRPr="005F2615">
        <w:rPr>
          <w:rFonts w:ascii="Book Antiqua" w:hAnsi="Book Antiqua"/>
          <w:b w:val="0"/>
          <w:sz w:val="24"/>
          <w:szCs w:val="24"/>
          <w:lang w:val="en-US"/>
        </w:rPr>
        <w:t>such as</w:t>
      </w:r>
      <w:r w:rsidRPr="005F2615">
        <w:rPr>
          <w:rFonts w:ascii="Book Antiqua" w:hAnsi="Book Antiqua"/>
          <w:b w:val="0"/>
          <w:sz w:val="24"/>
          <w:szCs w:val="24"/>
          <w:lang w:val="en-US"/>
        </w:rPr>
        <w:t xml:space="preserve"> organoid pattern, and on the immunohistochemical demonstration of specific neuroendocrine markers, </w:t>
      </w:r>
      <w:r w:rsidR="00924EFC" w:rsidRPr="005F2615">
        <w:rPr>
          <w:rFonts w:ascii="Book Antiqua" w:hAnsi="Book Antiqua"/>
          <w:b w:val="0"/>
          <w:sz w:val="24"/>
          <w:szCs w:val="24"/>
          <w:lang w:val="en-US"/>
        </w:rPr>
        <w:t xml:space="preserve">like </w:t>
      </w:r>
      <w:r w:rsidRPr="005F2615">
        <w:rPr>
          <w:rFonts w:ascii="Book Antiqua" w:hAnsi="Book Antiqua"/>
          <w:b w:val="0"/>
          <w:sz w:val="24"/>
          <w:szCs w:val="24"/>
          <w:lang w:val="en-US"/>
        </w:rPr>
        <w:t>chromogranin, synaptophysin, and neural cell adhesion molecule (NCAM), also known as CD 56. To confirm the neuroendocrine origin of the tumo</w:t>
      </w:r>
      <w:r w:rsidR="00686A81" w:rsidRPr="005F2615">
        <w:rPr>
          <w:rFonts w:ascii="Book Antiqua" w:hAnsi="Book Antiqua"/>
          <w:b w:val="0"/>
          <w:sz w:val="24"/>
          <w:szCs w:val="24"/>
          <w:lang w:val="en-US"/>
        </w:rPr>
        <w:t>u</w:t>
      </w:r>
      <w:r w:rsidRPr="005F2615">
        <w:rPr>
          <w:rFonts w:ascii="Book Antiqua" w:hAnsi="Book Antiqua"/>
          <w:b w:val="0"/>
          <w:sz w:val="24"/>
          <w:szCs w:val="24"/>
          <w:lang w:val="en-US"/>
        </w:rPr>
        <w:t xml:space="preserve">r cells, at least one </w:t>
      </w:r>
      <w:r w:rsidR="00725A74" w:rsidRPr="005F2615">
        <w:rPr>
          <w:rFonts w:ascii="Book Antiqua" w:hAnsi="Book Antiqua"/>
          <w:b w:val="0"/>
          <w:sz w:val="24"/>
          <w:szCs w:val="24"/>
          <w:lang w:val="en-US"/>
        </w:rPr>
        <w:t>of those</w:t>
      </w:r>
      <w:r w:rsidR="006E17BC" w:rsidRPr="005F2615">
        <w:rPr>
          <w:rFonts w:ascii="Book Antiqua" w:hAnsi="Book Antiqua"/>
          <w:b w:val="0"/>
          <w:sz w:val="24"/>
          <w:szCs w:val="24"/>
          <w:lang w:val="en-US"/>
        </w:rPr>
        <w:t xml:space="preserve"> marker</w:t>
      </w:r>
      <w:r w:rsidR="004F29EC" w:rsidRPr="005F2615">
        <w:rPr>
          <w:rFonts w:ascii="Book Antiqua" w:hAnsi="Book Antiqua"/>
          <w:b w:val="0"/>
          <w:sz w:val="24"/>
          <w:szCs w:val="24"/>
          <w:lang w:val="en-US"/>
        </w:rPr>
        <w:t>s</w:t>
      </w:r>
      <w:r w:rsidR="00EC21B6">
        <w:rPr>
          <w:rFonts w:ascii="Book Antiqua" w:hAnsi="Book Antiqua"/>
          <w:b w:val="0"/>
          <w:sz w:val="24"/>
          <w:szCs w:val="24"/>
          <w:lang w:val="en-US"/>
        </w:rPr>
        <w:t xml:space="preserve"> must be positive</w:t>
      </w:r>
      <w:r w:rsidR="006E17BC" w:rsidRPr="005F2615">
        <w:rPr>
          <w:rFonts w:ascii="Book Antiqua" w:hAnsi="Book Antiqua"/>
          <w:b w:val="0"/>
          <w:sz w:val="24"/>
          <w:szCs w:val="24"/>
          <w:vertAlign w:val="superscript"/>
          <w:lang w:val="en-US"/>
        </w:rPr>
        <w:t>[1</w:t>
      </w:r>
      <w:r w:rsidR="004B2D66" w:rsidRPr="005F2615">
        <w:rPr>
          <w:rFonts w:ascii="Book Antiqua" w:hAnsi="Book Antiqua"/>
          <w:b w:val="0"/>
          <w:sz w:val="24"/>
          <w:szCs w:val="24"/>
          <w:vertAlign w:val="superscript"/>
          <w:lang w:val="en-US"/>
        </w:rPr>
        <w:t>8</w:t>
      </w:r>
      <w:r w:rsidR="006E17BC" w:rsidRPr="005F2615">
        <w:rPr>
          <w:rFonts w:ascii="Book Antiqua" w:hAnsi="Book Antiqua"/>
          <w:b w:val="0"/>
          <w:sz w:val="24"/>
          <w:szCs w:val="24"/>
          <w:vertAlign w:val="superscript"/>
          <w:lang w:val="en-US"/>
        </w:rPr>
        <w:t>]</w:t>
      </w:r>
      <w:r w:rsidRPr="005F2615">
        <w:rPr>
          <w:rFonts w:ascii="Book Antiqua" w:hAnsi="Book Antiqua"/>
          <w:b w:val="0"/>
          <w:sz w:val="24"/>
          <w:szCs w:val="24"/>
          <w:lang w:val="en-US"/>
        </w:rPr>
        <w:t>. Although they can produce a variety of peptides and hormone</w:t>
      </w:r>
      <w:r w:rsidR="004F29EC" w:rsidRPr="005F2615">
        <w:rPr>
          <w:rFonts w:ascii="Book Antiqua" w:hAnsi="Book Antiqua"/>
          <w:b w:val="0"/>
          <w:sz w:val="24"/>
          <w:szCs w:val="24"/>
          <w:lang w:val="en-US"/>
        </w:rPr>
        <w:t>s</w:t>
      </w:r>
      <w:r w:rsidRPr="005F2615">
        <w:rPr>
          <w:rFonts w:ascii="Book Antiqua" w:hAnsi="Book Antiqua"/>
          <w:b w:val="0"/>
          <w:sz w:val="24"/>
          <w:szCs w:val="24"/>
          <w:lang w:val="en-US"/>
        </w:rPr>
        <w:t>, like gastrin</w:t>
      </w:r>
      <w:r w:rsidR="00457378" w:rsidRPr="005F2615">
        <w:rPr>
          <w:rFonts w:ascii="Book Antiqua" w:hAnsi="Book Antiqua"/>
          <w:b w:val="0"/>
          <w:sz w:val="24"/>
          <w:szCs w:val="24"/>
          <w:lang w:val="en-US"/>
        </w:rPr>
        <w:t>-</w:t>
      </w:r>
      <w:r w:rsidRPr="005F2615">
        <w:rPr>
          <w:rFonts w:ascii="Book Antiqua" w:hAnsi="Book Antiqua"/>
          <w:b w:val="0"/>
          <w:sz w:val="24"/>
          <w:szCs w:val="24"/>
          <w:lang w:val="en-US"/>
        </w:rPr>
        <w:t xml:space="preserve">releasing peptide (bombesin) and 5-hydroxytryptophan, bronchial NETs only occasionally secrete bioactive products that can easily </w:t>
      </w:r>
      <w:r w:rsidR="00431C17" w:rsidRPr="005F2615">
        <w:rPr>
          <w:rFonts w:ascii="Book Antiqua" w:hAnsi="Book Antiqua"/>
          <w:b w:val="0"/>
          <w:sz w:val="24"/>
          <w:szCs w:val="24"/>
          <w:lang w:val="en-US"/>
        </w:rPr>
        <w:t xml:space="preserve">be </w:t>
      </w:r>
      <w:r w:rsidRPr="005F2615">
        <w:rPr>
          <w:rFonts w:ascii="Book Antiqua" w:hAnsi="Book Antiqua"/>
          <w:b w:val="0"/>
          <w:sz w:val="24"/>
          <w:szCs w:val="24"/>
          <w:lang w:val="en-US"/>
        </w:rPr>
        <w:t xml:space="preserve">measured. As a result, elevated plasma or urinary hormone levels are only rarely detected. Serum levels of CgA are lower in bronchial NETs than </w:t>
      </w:r>
      <w:r w:rsidR="000F3782" w:rsidRPr="005F2615">
        <w:rPr>
          <w:rFonts w:ascii="Book Antiqua" w:hAnsi="Book Antiqua"/>
          <w:b w:val="0"/>
          <w:sz w:val="24"/>
          <w:szCs w:val="24"/>
          <w:lang w:val="en-US"/>
        </w:rPr>
        <w:t>those</w:t>
      </w:r>
      <w:r w:rsidRPr="005F2615">
        <w:rPr>
          <w:rFonts w:ascii="Book Antiqua" w:hAnsi="Book Antiqua"/>
          <w:b w:val="0"/>
          <w:sz w:val="24"/>
          <w:szCs w:val="24"/>
          <w:lang w:val="en-US"/>
        </w:rPr>
        <w:t xml:space="preserve"> observed in NETs of other sites, and they overlap with those seen in patients who have non-malignant conditions associa</w:t>
      </w:r>
      <w:r w:rsidR="00EC21B6">
        <w:rPr>
          <w:rFonts w:ascii="Book Antiqua" w:hAnsi="Book Antiqua"/>
          <w:b w:val="0"/>
          <w:sz w:val="24"/>
          <w:szCs w:val="24"/>
          <w:lang w:val="en-US"/>
        </w:rPr>
        <w:t>ted with increased CgA levels</w:t>
      </w:r>
      <w:r w:rsidR="006E17BC" w:rsidRPr="005F2615">
        <w:rPr>
          <w:rFonts w:ascii="Book Antiqua" w:hAnsi="Book Antiqua"/>
          <w:b w:val="0"/>
          <w:sz w:val="24"/>
          <w:szCs w:val="24"/>
          <w:vertAlign w:val="superscript"/>
          <w:lang w:val="en-US"/>
        </w:rPr>
        <w:t>[1</w:t>
      </w:r>
      <w:r w:rsidR="004B2D66" w:rsidRPr="005F2615">
        <w:rPr>
          <w:rFonts w:ascii="Book Antiqua" w:hAnsi="Book Antiqua"/>
          <w:b w:val="0"/>
          <w:sz w:val="24"/>
          <w:szCs w:val="24"/>
          <w:vertAlign w:val="superscript"/>
          <w:lang w:val="en-US"/>
        </w:rPr>
        <w:t>7</w:t>
      </w:r>
      <w:r w:rsidR="006E17BC" w:rsidRPr="005F2615">
        <w:rPr>
          <w:rFonts w:ascii="Book Antiqua" w:hAnsi="Book Antiqua"/>
          <w:b w:val="0"/>
          <w:sz w:val="24"/>
          <w:szCs w:val="24"/>
          <w:vertAlign w:val="superscript"/>
          <w:lang w:val="en-US"/>
        </w:rPr>
        <w:t>]</w:t>
      </w:r>
      <w:r w:rsidRPr="005F2615">
        <w:rPr>
          <w:rFonts w:ascii="Book Antiqua" w:hAnsi="Book Antiqua"/>
          <w:b w:val="0"/>
          <w:sz w:val="24"/>
          <w:szCs w:val="24"/>
          <w:lang w:val="en-US"/>
        </w:rPr>
        <w:t>.</w:t>
      </w:r>
    </w:p>
    <w:p w14:paraId="34F76467" w14:textId="77777777" w:rsidR="00EC21B6" w:rsidRPr="00EC21B6" w:rsidRDefault="00EC21B6" w:rsidP="00B12312">
      <w:pPr>
        <w:pStyle w:val="1"/>
        <w:spacing w:before="0" w:beforeAutospacing="0" w:after="0" w:afterAutospacing="0" w:line="360" w:lineRule="auto"/>
        <w:jc w:val="both"/>
        <w:rPr>
          <w:rFonts w:ascii="Book Antiqua" w:eastAsia="宋体" w:hAnsi="Book Antiqua"/>
          <w:b w:val="0"/>
          <w:sz w:val="24"/>
          <w:szCs w:val="24"/>
          <w:lang w:val="en-US" w:eastAsia="zh-CN"/>
        </w:rPr>
      </w:pPr>
    </w:p>
    <w:p w14:paraId="1BFE5DE0" w14:textId="11D3A32E" w:rsidR="00502F92" w:rsidRPr="00EC21B6" w:rsidRDefault="00502F92" w:rsidP="00B12312">
      <w:pPr>
        <w:spacing w:after="0" w:line="360" w:lineRule="auto"/>
        <w:jc w:val="both"/>
        <w:rPr>
          <w:rFonts w:ascii="Book Antiqua" w:eastAsia="Times New Roman" w:hAnsi="Book Antiqua" w:cs="Times New Roman"/>
          <w:b/>
          <w:bCs/>
          <w:i/>
          <w:kern w:val="36"/>
          <w:sz w:val="24"/>
          <w:szCs w:val="24"/>
          <w:lang w:val="en-US" w:eastAsia="el-GR"/>
        </w:rPr>
      </w:pPr>
      <w:r w:rsidRPr="00EC21B6">
        <w:rPr>
          <w:rFonts w:ascii="Book Antiqua" w:eastAsia="Times New Roman" w:hAnsi="Book Antiqua" w:cs="Times New Roman"/>
          <w:b/>
          <w:bCs/>
          <w:i/>
          <w:kern w:val="36"/>
          <w:sz w:val="24"/>
          <w:szCs w:val="24"/>
          <w:lang w:val="en-US" w:eastAsia="el-GR"/>
        </w:rPr>
        <w:t>Breast cancer</w:t>
      </w:r>
    </w:p>
    <w:p w14:paraId="086413EC" w14:textId="7DFB6775" w:rsidR="00502F92" w:rsidRDefault="00502F92" w:rsidP="00B12312">
      <w:pPr>
        <w:autoSpaceDE w:val="0"/>
        <w:autoSpaceDN w:val="0"/>
        <w:adjustRightInd w:val="0"/>
        <w:spacing w:after="0" w:line="360" w:lineRule="auto"/>
        <w:jc w:val="both"/>
        <w:rPr>
          <w:rFonts w:ascii="Book Antiqua" w:hAnsi="Book Antiqua" w:cs="Times New Roman"/>
          <w:sz w:val="24"/>
          <w:szCs w:val="24"/>
          <w:lang w:val="en-US" w:eastAsia="zh-CN"/>
        </w:rPr>
      </w:pPr>
      <w:r w:rsidRPr="005F2615">
        <w:rPr>
          <w:rFonts w:ascii="Book Antiqua" w:hAnsi="Book Antiqua" w:cs="Times New Roman"/>
          <w:sz w:val="24"/>
          <w:szCs w:val="24"/>
          <w:lang w:val="en-US"/>
        </w:rPr>
        <w:t>In breast cancer CgA was discovered both in epithelial cells of normal mammary gland as well as in breast cancer. However</w:t>
      </w:r>
      <w:r w:rsidR="00D117FD" w:rsidRPr="005F2615">
        <w:rPr>
          <w:rFonts w:ascii="Book Antiqua" w:hAnsi="Book Antiqua" w:cs="Times New Roman"/>
          <w:sz w:val="24"/>
          <w:szCs w:val="24"/>
          <w:lang w:val="en-US"/>
        </w:rPr>
        <w:t>,</w:t>
      </w:r>
      <w:r w:rsidRPr="005F2615">
        <w:rPr>
          <w:rFonts w:ascii="Book Antiqua" w:hAnsi="Book Antiqua" w:cs="Times New Roman"/>
          <w:sz w:val="24"/>
          <w:szCs w:val="24"/>
          <w:lang w:val="en-US"/>
        </w:rPr>
        <w:t xml:space="preserve"> it does not seem to offer any additional information about the presence, the extent and the histology of breast cancer when compared to the more established Ca 15-3. Furthermore, serum CgA was not sensitive enough to identify the rarely encountered subtype of breast cancer with neu</w:t>
      </w:r>
      <w:r w:rsidR="006E17BC" w:rsidRPr="005F2615">
        <w:rPr>
          <w:rFonts w:ascii="Book Antiqua" w:hAnsi="Book Antiqua" w:cs="Times New Roman"/>
          <w:sz w:val="24"/>
          <w:szCs w:val="24"/>
          <w:lang w:val="en-US"/>
        </w:rPr>
        <w:t>roendocrine di</w:t>
      </w:r>
      <w:r w:rsidR="002B1FF4">
        <w:rPr>
          <w:rFonts w:ascii="Book Antiqua" w:hAnsi="Book Antiqua" w:cs="Times New Roman"/>
          <w:sz w:val="24"/>
          <w:szCs w:val="24"/>
          <w:lang w:val="en-US"/>
        </w:rPr>
        <w:t>fferentiation</w:t>
      </w:r>
      <w:r w:rsidR="006E17BC" w:rsidRPr="005F2615">
        <w:rPr>
          <w:rFonts w:ascii="Book Antiqua" w:hAnsi="Book Antiqua" w:cs="Times New Roman"/>
          <w:sz w:val="24"/>
          <w:szCs w:val="24"/>
          <w:vertAlign w:val="superscript"/>
          <w:lang w:val="en-US"/>
        </w:rPr>
        <w:t>[1</w:t>
      </w:r>
      <w:r w:rsidR="004B2D66" w:rsidRPr="005F2615">
        <w:rPr>
          <w:rFonts w:ascii="Book Antiqua" w:hAnsi="Book Antiqua" w:cs="Times New Roman"/>
          <w:sz w:val="24"/>
          <w:szCs w:val="24"/>
          <w:vertAlign w:val="superscript"/>
          <w:lang w:val="en-US"/>
        </w:rPr>
        <w:t>9</w:t>
      </w:r>
      <w:r w:rsidR="006E17BC"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w:t>
      </w:r>
    </w:p>
    <w:p w14:paraId="7AA9CEBE" w14:textId="77777777" w:rsidR="002B1FF4" w:rsidRPr="005F2615" w:rsidRDefault="002B1FF4" w:rsidP="00B12312">
      <w:pPr>
        <w:autoSpaceDE w:val="0"/>
        <w:autoSpaceDN w:val="0"/>
        <w:adjustRightInd w:val="0"/>
        <w:spacing w:after="0" w:line="360" w:lineRule="auto"/>
        <w:jc w:val="both"/>
        <w:rPr>
          <w:rFonts w:ascii="Book Antiqua" w:hAnsi="Book Antiqua" w:cs="Times New Roman"/>
          <w:sz w:val="24"/>
          <w:szCs w:val="24"/>
          <w:lang w:val="en-US" w:eastAsia="zh-CN"/>
        </w:rPr>
      </w:pPr>
    </w:p>
    <w:p w14:paraId="025D0B65" w14:textId="30BCE865" w:rsidR="00502F92" w:rsidRPr="002B1FF4" w:rsidRDefault="00502F92" w:rsidP="00B12312">
      <w:pPr>
        <w:spacing w:after="0" w:line="360" w:lineRule="auto"/>
        <w:jc w:val="both"/>
        <w:rPr>
          <w:rFonts w:ascii="Book Antiqua" w:hAnsi="Book Antiqua" w:cs="Times New Roman"/>
          <w:b/>
          <w:i/>
          <w:sz w:val="24"/>
          <w:szCs w:val="24"/>
          <w:lang w:val="en-US"/>
        </w:rPr>
      </w:pPr>
      <w:r w:rsidRPr="002B1FF4">
        <w:rPr>
          <w:rFonts w:ascii="Book Antiqua" w:hAnsi="Book Antiqua" w:cs="Times New Roman"/>
          <w:b/>
          <w:i/>
          <w:sz w:val="24"/>
          <w:szCs w:val="24"/>
          <w:lang w:val="en-US"/>
        </w:rPr>
        <w:t>Merkel cell carcinoma</w:t>
      </w:r>
    </w:p>
    <w:p w14:paraId="468AE02E" w14:textId="4F430D27" w:rsidR="00502F92" w:rsidRDefault="00502F92" w:rsidP="00B12312">
      <w:pPr>
        <w:spacing w:after="0" w:line="360" w:lineRule="auto"/>
        <w:jc w:val="both"/>
        <w:rPr>
          <w:rFonts w:ascii="Book Antiqua" w:hAnsi="Book Antiqua" w:cs="Times New Roman"/>
          <w:sz w:val="24"/>
          <w:szCs w:val="24"/>
          <w:lang w:val="en-US" w:eastAsia="zh-CN"/>
        </w:rPr>
      </w:pPr>
      <w:r w:rsidRPr="005F2615">
        <w:rPr>
          <w:rFonts w:ascii="Book Antiqua" w:hAnsi="Book Antiqua" w:cs="Times New Roman"/>
          <w:sz w:val="24"/>
          <w:szCs w:val="24"/>
          <w:lang w:val="en-US"/>
        </w:rPr>
        <w:t>Merkel cell carcinoma (MCC) is a rare, aggressive, cutaneous malignancy with neuroendocrine differentiation</w:t>
      </w:r>
      <w:r w:rsidR="00134BE2" w:rsidRPr="005F2615">
        <w:rPr>
          <w:rFonts w:ascii="Book Antiqua" w:hAnsi="Book Antiqua" w:cs="Times New Roman"/>
          <w:sz w:val="24"/>
          <w:szCs w:val="24"/>
          <w:lang w:val="en-US"/>
        </w:rPr>
        <w:t>,</w:t>
      </w:r>
      <w:r w:rsidRPr="005F2615">
        <w:rPr>
          <w:rFonts w:ascii="Book Antiqua" w:hAnsi="Book Antiqua" w:cs="Times New Roman"/>
          <w:sz w:val="24"/>
          <w:szCs w:val="24"/>
          <w:lang w:val="en-US"/>
        </w:rPr>
        <w:t xml:space="preserve"> that predominantly affects older adults with light skin complexion. MCC has a propensity for local recurrence and regional lymph node metastases. On immunohistochemistry, the tumo</w:t>
      </w:r>
      <w:r w:rsidR="00637FF0" w:rsidRPr="005F2615">
        <w:rPr>
          <w:rFonts w:ascii="Book Antiqua" w:hAnsi="Book Antiqua" w:cs="Times New Roman"/>
          <w:sz w:val="24"/>
          <w:szCs w:val="24"/>
          <w:lang w:val="en-US"/>
        </w:rPr>
        <w:t>u</w:t>
      </w:r>
      <w:r w:rsidRPr="005F2615">
        <w:rPr>
          <w:rFonts w:ascii="Book Antiqua" w:hAnsi="Book Antiqua" w:cs="Times New Roman"/>
          <w:sz w:val="24"/>
          <w:szCs w:val="24"/>
          <w:lang w:val="en-US"/>
        </w:rPr>
        <w:t xml:space="preserve">r cells show features of both epithelial and neuroendocrine origin, including the expression of CgA. CgA blood levels are used by many physicians as a predictive marker for the response of the </w:t>
      </w:r>
      <w:r w:rsidRPr="005F2615">
        <w:rPr>
          <w:rFonts w:ascii="Book Antiqua" w:hAnsi="Book Antiqua" w:cs="Times New Roman"/>
          <w:sz w:val="24"/>
          <w:szCs w:val="24"/>
          <w:lang w:val="en-US"/>
        </w:rPr>
        <w:lastRenderedPageBreak/>
        <w:t>tumo</w:t>
      </w:r>
      <w:r w:rsidR="00637FF0" w:rsidRPr="005F2615">
        <w:rPr>
          <w:rFonts w:ascii="Book Antiqua" w:hAnsi="Book Antiqua" w:cs="Times New Roman"/>
          <w:sz w:val="24"/>
          <w:szCs w:val="24"/>
          <w:lang w:val="en-US"/>
        </w:rPr>
        <w:t>u</w:t>
      </w:r>
      <w:r w:rsidRPr="005F2615">
        <w:rPr>
          <w:rFonts w:ascii="Book Antiqua" w:hAnsi="Book Antiqua" w:cs="Times New Roman"/>
          <w:sz w:val="24"/>
          <w:szCs w:val="24"/>
          <w:lang w:val="en-US"/>
        </w:rPr>
        <w:t xml:space="preserve">r to chemotherapy, </w:t>
      </w:r>
      <w:r w:rsidR="0062218F" w:rsidRPr="005F2615">
        <w:rPr>
          <w:rFonts w:ascii="Book Antiqua" w:hAnsi="Book Antiqua" w:cs="Times New Roman"/>
          <w:sz w:val="24"/>
          <w:szCs w:val="24"/>
          <w:lang w:val="en-US"/>
        </w:rPr>
        <w:t>though</w:t>
      </w:r>
      <w:r w:rsidRPr="005F2615">
        <w:rPr>
          <w:rFonts w:ascii="Book Antiqua" w:hAnsi="Book Antiqua" w:cs="Times New Roman"/>
          <w:sz w:val="24"/>
          <w:szCs w:val="24"/>
          <w:lang w:val="en-US"/>
        </w:rPr>
        <w:t xml:space="preserve"> it has never been show</w:t>
      </w:r>
      <w:r w:rsidR="0051559E" w:rsidRPr="005F2615">
        <w:rPr>
          <w:rFonts w:ascii="Book Antiqua" w:hAnsi="Book Antiqua" w:cs="Times New Roman"/>
          <w:sz w:val="24"/>
          <w:szCs w:val="24"/>
          <w:lang w:val="en-US"/>
        </w:rPr>
        <w:t>n to correlate with progression-</w:t>
      </w:r>
      <w:r w:rsidRPr="005F2615">
        <w:rPr>
          <w:rFonts w:ascii="Book Antiqua" w:hAnsi="Book Antiqua" w:cs="Times New Roman"/>
          <w:sz w:val="24"/>
          <w:szCs w:val="24"/>
          <w:lang w:val="en-US"/>
        </w:rPr>
        <w:t>free survival, disease specific s</w:t>
      </w:r>
      <w:r w:rsidR="00F9225B">
        <w:rPr>
          <w:rFonts w:ascii="Book Antiqua" w:hAnsi="Book Antiqua" w:cs="Times New Roman"/>
          <w:sz w:val="24"/>
          <w:szCs w:val="24"/>
          <w:lang w:val="en-US"/>
        </w:rPr>
        <w:t>urvival, or disease recurrence</w:t>
      </w:r>
      <w:r w:rsidR="009124AF" w:rsidRPr="005F2615">
        <w:rPr>
          <w:rFonts w:ascii="Book Antiqua" w:hAnsi="Book Antiqua" w:cs="Times New Roman"/>
          <w:sz w:val="24"/>
          <w:szCs w:val="24"/>
          <w:vertAlign w:val="superscript"/>
          <w:lang w:val="en-US"/>
        </w:rPr>
        <w:t>[</w:t>
      </w:r>
      <w:r w:rsidR="004B2D66" w:rsidRPr="005F2615">
        <w:rPr>
          <w:rFonts w:ascii="Book Antiqua" w:hAnsi="Book Antiqua" w:cs="Times New Roman"/>
          <w:sz w:val="24"/>
          <w:szCs w:val="24"/>
          <w:vertAlign w:val="superscript"/>
          <w:lang w:val="en-US"/>
        </w:rPr>
        <w:t>20</w:t>
      </w:r>
      <w:r w:rsidR="009124AF"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 xml:space="preserve">. </w:t>
      </w:r>
    </w:p>
    <w:p w14:paraId="5A5C732C" w14:textId="77777777" w:rsidR="00F9225B" w:rsidRPr="005F2615" w:rsidRDefault="00F9225B" w:rsidP="00B12312">
      <w:pPr>
        <w:spacing w:after="0" w:line="360" w:lineRule="auto"/>
        <w:jc w:val="both"/>
        <w:rPr>
          <w:rFonts w:ascii="Book Antiqua" w:hAnsi="Book Antiqua" w:cs="Times New Roman"/>
          <w:sz w:val="24"/>
          <w:szCs w:val="24"/>
          <w:lang w:val="en-US" w:eastAsia="zh-CN"/>
        </w:rPr>
      </w:pPr>
    </w:p>
    <w:p w14:paraId="58C73148" w14:textId="2DAAEC5A" w:rsidR="000E4C3F" w:rsidRPr="00F9225B" w:rsidRDefault="000E4C3F" w:rsidP="00B12312">
      <w:pPr>
        <w:spacing w:after="0" w:line="360" w:lineRule="auto"/>
        <w:jc w:val="both"/>
        <w:rPr>
          <w:rStyle w:val="A00"/>
          <w:rFonts w:ascii="Book Antiqua" w:hAnsi="Book Antiqua" w:cs="Times New Roman"/>
          <w:b/>
          <w:i/>
          <w:color w:val="auto"/>
          <w:sz w:val="24"/>
          <w:szCs w:val="24"/>
          <w:lang w:val="en-US"/>
        </w:rPr>
      </w:pPr>
      <w:r w:rsidRPr="00F9225B">
        <w:rPr>
          <w:rStyle w:val="A00"/>
          <w:rFonts w:ascii="Book Antiqua" w:hAnsi="Book Antiqua" w:cs="Times New Roman"/>
          <w:b/>
          <w:i/>
          <w:color w:val="auto"/>
          <w:sz w:val="24"/>
          <w:szCs w:val="24"/>
          <w:lang w:val="en-US"/>
        </w:rPr>
        <w:t xml:space="preserve">Gastroenteropancreatic </w:t>
      </w:r>
      <w:r w:rsidR="00F9225B" w:rsidRPr="00F9225B">
        <w:rPr>
          <w:rStyle w:val="A00"/>
          <w:rFonts w:ascii="Book Antiqua" w:hAnsi="Book Antiqua" w:cs="Times New Roman"/>
          <w:b/>
          <w:i/>
          <w:color w:val="auto"/>
          <w:sz w:val="24"/>
          <w:szCs w:val="24"/>
          <w:lang w:val="en-US"/>
        </w:rPr>
        <w:t>neuroendocrine tumours</w:t>
      </w:r>
    </w:p>
    <w:p w14:paraId="6CBA8F90" w14:textId="581821F9" w:rsidR="000E4C3F" w:rsidRPr="005F2615" w:rsidRDefault="000E4C3F" w:rsidP="00B12312">
      <w:pPr>
        <w:spacing w:after="0" w:line="360" w:lineRule="auto"/>
        <w:jc w:val="both"/>
        <w:rPr>
          <w:rStyle w:val="A00"/>
          <w:rFonts w:ascii="Book Antiqua" w:hAnsi="Book Antiqua" w:cs="Times New Roman"/>
          <w:color w:val="auto"/>
          <w:sz w:val="24"/>
          <w:szCs w:val="24"/>
          <w:lang w:val="en-US"/>
        </w:rPr>
      </w:pPr>
      <w:r w:rsidRPr="005F2615">
        <w:rPr>
          <w:rStyle w:val="A00"/>
          <w:rFonts w:ascii="Book Antiqua" w:hAnsi="Book Antiqua" w:cs="Times New Roman"/>
          <w:color w:val="auto"/>
          <w:sz w:val="24"/>
          <w:szCs w:val="24"/>
          <w:lang w:val="en-US"/>
        </w:rPr>
        <w:t>Chromogranins were early discovered to be elevated in the plasma of patien</w:t>
      </w:r>
      <w:r w:rsidR="00EC453B" w:rsidRPr="005F2615">
        <w:rPr>
          <w:rStyle w:val="A00"/>
          <w:rFonts w:ascii="Book Antiqua" w:hAnsi="Book Antiqua" w:cs="Times New Roman"/>
          <w:color w:val="auto"/>
          <w:sz w:val="24"/>
          <w:szCs w:val="24"/>
          <w:lang w:val="en-US"/>
        </w:rPr>
        <w:t>ts with neuroendocrine tumo</w:t>
      </w:r>
      <w:r w:rsidR="00637FF0" w:rsidRPr="005F2615">
        <w:rPr>
          <w:rStyle w:val="A00"/>
          <w:rFonts w:ascii="Book Antiqua" w:hAnsi="Book Antiqua" w:cs="Times New Roman"/>
          <w:color w:val="auto"/>
          <w:sz w:val="24"/>
          <w:szCs w:val="24"/>
          <w:lang w:val="en-US"/>
        </w:rPr>
        <w:t>u</w:t>
      </w:r>
      <w:r w:rsidR="00F9225B">
        <w:rPr>
          <w:rStyle w:val="A00"/>
          <w:rFonts w:ascii="Book Antiqua" w:hAnsi="Book Antiqua" w:cs="Times New Roman"/>
          <w:color w:val="auto"/>
          <w:sz w:val="24"/>
          <w:szCs w:val="24"/>
          <w:lang w:val="en-US"/>
        </w:rPr>
        <w:t>rs</w:t>
      </w:r>
      <w:r w:rsidR="00EC453B" w:rsidRPr="005F2615">
        <w:rPr>
          <w:rStyle w:val="A00"/>
          <w:rFonts w:ascii="Book Antiqua" w:hAnsi="Book Antiqua" w:cs="Times New Roman"/>
          <w:color w:val="auto"/>
          <w:sz w:val="24"/>
          <w:szCs w:val="24"/>
          <w:vertAlign w:val="superscript"/>
          <w:lang w:val="en-US"/>
        </w:rPr>
        <w:t>[</w:t>
      </w:r>
      <w:r w:rsidR="004B2D66" w:rsidRPr="005F2615">
        <w:rPr>
          <w:rStyle w:val="A00"/>
          <w:rFonts w:ascii="Book Antiqua" w:hAnsi="Book Antiqua" w:cs="Times New Roman"/>
          <w:color w:val="auto"/>
          <w:sz w:val="24"/>
          <w:szCs w:val="24"/>
          <w:vertAlign w:val="superscript"/>
          <w:lang w:val="en-US"/>
        </w:rPr>
        <w:t>21</w:t>
      </w:r>
      <w:r w:rsidR="00EC453B" w:rsidRPr="005F2615">
        <w:rPr>
          <w:rStyle w:val="A00"/>
          <w:rFonts w:ascii="Book Antiqua" w:hAnsi="Book Antiqua" w:cs="Times New Roman"/>
          <w:color w:val="auto"/>
          <w:sz w:val="24"/>
          <w:szCs w:val="24"/>
          <w:vertAlign w:val="superscript"/>
          <w:lang w:val="en-US"/>
        </w:rPr>
        <w:t>,</w:t>
      </w:r>
      <w:r w:rsidR="004B2D66" w:rsidRPr="005F2615">
        <w:rPr>
          <w:rStyle w:val="A00"/>
          <w:rFonts w:ascii="Book Antiqua" w:hAnsi="Book Antiqua" w:cs="Times New Roman"/>
          <w:color w:val="auto"/>
          <w:sz w:val="24"/>
          <w:szCs w:val="24"/>
          <w:vertAlign w:val="superscript"/>
          <w:lang w:val="en-US"/>
        </w:rPr>
        <w:t>22</w:t>
      </w:r>
      <w:r w:rsidRPr="005F2615">
        <w:rPr>
          <w:rStyle w:val="A00"/>
          <w:rFonts w:ascii="Book Antiqua" w:hAnsi="Book Antiqua" w:cs="Times New Roman"/>
          <w:color w:val="auto"/>
          <w:sz w:val="24"/>
          <w:szCs w:val="24"/>
          <w:vertAlign w:val="superscript"/>
          <w:lang w:val="en-US"/>
        </w:rPr>
        <w:t>]</w:t>
      </w:r>
      <w:r w:rsidR="00637FF0" w:rsidRPr="005F2615">
        <w:rPr>
          <w:rStyle w:val="A00"/>
          <w:rFonts w:ascii="Book Antiqua" w:hAnsi="Book Antiqua" w:cs="Times New Roman"/>
          <w:color w:val="auto"/>
          <w:sz w:val="24"/>
          <w:szCs w:val="24"/>
          <w:lang w:val="en-US"/>
        </w:rPr>
        <w:t>. They</w:t>
      </w:r>
      <w:r w:rsidRPr="005F2615">
        <w:rPr>
          <w:rStyle w:val="A00"/>
          <w:rFonts w:ascii="Book Antiqua" w:hAnsi="Book Antiqua" w:cs="Times New Roman"/>
          <w:color w:val="auto"/>
          <w:sz w:val="24"/>
          <w:szCs w:val="24"/>
          <w:lang w:val="en-US"/>
        </w:rPr>
        <w:t xml:space="preserve"> arise from neuroendocrine cells that occur throughout the length of the entire gut, and about two-thirds of them are of gastrointestinal or</w:t>
      </w:r>
      <w:r w:rsidR="00EC453B" w:rsidRPr="005F2615">
        <w:rPr>
          <w:rStyle w:val="A00"/>
          <w:rFonts w:ascii="Book Antiqua" w:hAnsi="Book Antiqua" w:cs="Times New Roman"/>
          <w:color w:val="auto"/>
          <w:sz w:val="24"/>
          <w:szCs w:val="24"/>
          <w:lang w:val="en-US"/>
        </w:rPr>
        <w:t xml:space="preserve"> pancreatic origin (GEP-NETs)</w:t>
      </w:r>
      <w:r w:rsidR="00EC453B" w:rsidRPr="005F2615">
        <w:rPr>
          <w:rStyle w:val="A00"/>
          <w:rFonts w:ascii="Book Antiqua" w:hAnsi="Book Antiqua" w:cs="Times New Roman"/>
          <w:color w:val="auto"/>
          <w:sz w:val="24"/>
          <w:szCs w:val="24"/>
          <w:vertAlign w:val="superscript"/>
          <w:lang w:val="en-US"/>
        </w:rPr>
        <w:t>[2</w:t>
      </w:r>
      <w:r w:rsidR="004B2D66" w:rsidRPr="005F2615">
        <w:rPr>
          <w:rStyle w:val="A00"/>
          <w:rFonts w:ascii="Book Antiqua" w:hAnsi="Book Antiqua" w:cs="Times New Roman"/>
          <w:color w:val="auto"/>
          <w:sz w:val="24"/>
          <w:szCs w:val="24"/>
          <w:vertAlign w:val="superscript"/>
          <w:lang w:val="en-US"/>
        </w:rPr>
        <w:t>3</w:t>
      </w:r>
      <w:r w:rsidRPr="005F2615">
        <w:rPr>
          <w:rStyle w:val="A00"/>
          <w:rFonts w:ascii="Book Antiqua" w:hAnsi="Book Antiqua" w:cs="Times New Roman"/>
          <w:color w:val="auto"/>
          <w:sz w:val="24"/>
          <w:szCs w:val="24"/>
          <w:vertAlign w:val="superscript"/>
          <w:lang w:val="en-US"/>
        </w:rPr>
        <w:t>]</w:t>
      </w:r>
      <w:r w:rsidRPr="005F2615">
        <w:rPr>
          <w:rStyle w:val="A00"/>
          <w:rFonts w:ascii="Book Antiqua" w:hAnsi="Book Antiqua" w:cs="Times New Roman"/>
          <w:color w:val="auto"/>
          <w:sz w:val="24"/>
          <w:szCs w:val="24"/>
          <w:lang w:val="en-US"/>
        </w:rPr>
        <w:t xml:space="preserve">. </w:t>
      </w:r>
      <w:r w:rsidR="00171CF4" w:rsidRPr="005F2615">
        <w:rPr>
          <w:rStyle w:val="A00"/>
          <w:rFonts w:ascii="Book Antiqua" w:hAnsi="Book Antiqua" w:cs="Times New Roman"/>
          <w:color w:val="auto"/>
          <w:sz w:val="24"/>
          <w:szCs w:val="24"/>
          <w:lang w:val="en-US"/>
        </w:rPr>
        <w:t>Their relevance</w:t>
      </w:r>
      <w:r w:rsidRPr="005F2615">
        <w:rPr>
          <w:rStyle w:val="A00"/>
          <w:rFonts w:ascii="Book Antiqua" w:hAnsi="Book Antiqua" w:cs="Times New Roman"/>
          <w:color w:val="auto"/>
          <w:sz w:val="24"/>
          <w:szCs w:val="24"/>
          <w:lang w:val="en-US"/>
        </w:rPr>
        <w:t xml:space="preserve"> in the diagnosis, prognosis, clinical evaluation after cytoreductive surgery</w:t>
      </w:r>
      <w:r w:rsidR="005E2421" w:rsidRPr="005F2615">
        <w:rPr>
          <w:rStyle w:val="A00"/>
          <w:rFonts w:ascii="Book Antiqua" w:hAnsi="Book Antiqua" w:cs="Times New Roman"/>
          <w:color w:val="auto"/>
          <w:sz w:val="24"/>
          <w:szCs w:val="24"/>
          <w:lang w:val="en-US"/>
        </w:rPr>
        <w:t>,</w:t>
      </w:r>
      <w:r w:rsidR="00171CF4" w:rsidRPr="005F2615">
        <w:rPr>
          <w:rStyle w:val="A00"/>
          <w:rFonts w:ascii="Book Antiqua" w:hAnsi="Book Antiqua" w:cs="Times New Roman"/>
          <w:color w:val="auto"/>
          <w:sz w:val="24"/>
          <w:szCs w:val="24"/>
          <w:lang w:val="en-US"/>
        </w:rPr>
        <w:t xml:space="preserve"> and</w:t>
      </w:r>
      <w:r w:rsidRPr="005F2615">
        <w:rPr>
          <w:rStyle w:val="A00"/>
          <w:rFonts w:ascii="Book Antiqua" w:hAnsi="Book Antiqua" w:cs="Times New Roman"/>
          <w:color w:val="auto"/>
          <w:sz w:val="24"/>
          <w:szCs w:val="24"/>
          <w:lang w:val="en-US"/>
        </w:rPr>
        <w:t xml:space="preserve"> subsequent follow-up of patients with those types of tumo</w:t>
      </w:r>
      <w:r w:rsidR="00637FF0" w:rsidRPr="005F2615">
        <w:rPr>
          <w:rStyle w:val="A00"/>
          <w:rFonts w:ascii="Book Antiqua" w:hAnsi="Book Antiqua" w:cs="Times New Roman"/>
          <w:color w:val="auto"/>
          <w:sz w:val="24"/>
          <w:szCs w:val="24"/>
          <w:lang w:val="en-US"/>
        </w:rPr>
        <w:t>u</w:t>
      </w:r>
      <w:r w:rsidR="007D2A95" w:rsidRPr="005F2615">
        <w:rPr>
          <w:rStyle w:val="A00"/>
          <w:rFonts w:ascii="Book Antiqua" w:hAnsi="Book Antiqua" w:cs="Times New Roman"/>
          <w:color w:val="auto"/>
          <w:sz w:val="24"/>
          <w:szCs w:val="24"/>
          <w:lang w:val="en-US"/>
        </w:rPr>
        <w:t>rs, has been studi</w:t>
      </w:r>
      <w:r w:rsidR="00F9225B">
        <w:rPr>
          <w:rStyle w:val="A00"/>
          <w:rFonts w:ascii="Book Antiqua" w:hAnsi="Book Antiqua" w:cs="Times New Roman"/>
          <w:color w:val="auto"/>
          <w:sz w:val="24"/>
          <w:szCs w:val="24"/>
          <w:lang w:val="en-US"/>
        </w:rPr>
        <w:t>ed for more than 20 years</w:t>
      </w:r>
      <w:r w:rsidR="00EC453B" w:rsidRPr="005F2615">
        <w:rPr>
          <w:rStyle w:val="A00"/>
          <w:rFonts w:ascii="Book Antiqua" w:hAnsi="Book Antiqua" w:cs="Times New Roman"/>
          <w:color w:val="auto"/>
          <w:sz w:val="24"/>
          <w:szCs w:val="24"/>
          <w:vertAlign w:val="superscript"/>
          <w:lang w:val="en-US"/>
        </w:rPr>
        <w:t>[</w:t>
      </w:r>
      <w:r w:rsidR="004B2D66" w:rsidRPr="005F2615">
        <w:rPr>
          <w:rStyle w:val="A00"/>
          <w:rFonts w:ascii="Book Antiqua" w:hAnsi="Book Antiqua" w:cs="Times New Roman"/>
          <w:color w:val="auto"/>
          <w:sz w:val="24"/>
          <w:szCs w:val="24"/>
          <w:vertAlign w:val="superscript"/>
          <w:lang w:val="en-US"/>
        </w:rPr>
        <w:t>21</w:t>
      </w:r>
      <w:r w:rsidRPr="005F2615">
        <w:rPr>
          <w:rStyle w:val="A00"/>
          <w:rFonts w:ascii="Book Antiqua" w:hAnsi="Book Antiqua" w:cs="Times New Roman"/>
          <w:color w:val="auto"/>
          <w:sz w:val="24"/>
          <w:szCs w:val="24"/>
          <w:vertAlign w:val="superscript"/>
          <w:lang w:val="en-US"/>
        </w:rPr>
        <w:t>]</w:t>
      </w:r>
      <w:r w:rsidRPr="005F2615">
        <w:rPr>
          <w:rStyle w:val="A00"/>
          <w:rFonts w:ascii="Book Antiqua" w:hAnsi="Book Antiqua" w:cs="Times New Roman"/>
          <w:color w:val="auto"/>
          <w:sz w:val="24"/>
          <w:szCs w:val="24"/>
          <w:lang w:val="en-US"/>
        </w:rPr>
        <w:t>.</w:t>
      </w:r>
    </w:p>
    <w:p w14:paraId="4C22838B" w14:textId="6010DD87" w:rsidR="000E4C3F" w:rsidRPr="005F2615" w:rsidRDefault="000E4C3F" w:rsidP="00F9225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F2615">
        <w:rPr>
          <w:rStyle w:val="A00"/>
          <w:rFonts w:ascii="Book Antiqua" w:hAnsi="Book Antiqua" w:cs="Times New Roman"/>
          <w:color w:val="auto"/>
          <w:sz w:val="24"/>
          <w:szCs w:val="24"/>
          <w:lang w:val="en-US"/>
        </w:rPr>
        <w:t>Although GEP-NETs excrete a number of peptides specific to the neuroendocrine cell of origin,</w:t>
      </w:r>
      <w:r w:rsidR="00986366" w:rsidRPr="005F2615">
        <w:rPr>
          <w:rStyle w:val="A00"/>
          <w:rFonts w:ascii="Book Antiqua" w:hAnsi="Book Antiqua" w:cs="Times New Roman"/>
          <w:color w:val="auto"/>
          <w:sz w:val="24"/>
          <w:szCs w:val="24"/>
          <w:lang w:val="en-US"/>
        </w:rPr>
        <w:t xml:space="preserve"> CgA is the most frequently studied</w:t>
      </w:r>
      <w:r w:rsidRPr="005F2615">
        <w:rPr>
          <w:rStyle w:val="A00"/>
          <w:rFonts w:ascii="Book Antiqua" w:hAnsi="Book Antiqua" w:cs="Times New Roman"/>
          <w:color w:val="auto"/>
          <w:sz w:val="24"/>
          <w:szCs w:val="24"/>
          <w:lang w:val="en-US"/>
        </w:rPr>
        <w:t xml:space="preserve"> biomarker for their diagn</w:t>
      </w:r>
      <w:r w:rsidR="00F9225B">
        <w:rPr>
          <w:rStyle w:val="A00"/>
          <w:rFonts w:ascii="Book Antiqua" w:hAnsi="Book Antiqua" w:cs="Times New Roman"/>
          <w:color w:val="auto"/>
          <w:sz w:val="24"/>
          <w:szCs w:val="24"/>
          <w:lang w:val="en-US"/>
        </w:rPr>
        <w:t>osis and subsequent follow-up</w:t>
      </w:r>
      <w:r w:rsidR="00EC453B" w:rsidRPr="005F2615">
        <w:rPr>
          <w:rStyle w:val="A00"/>
          <w:rFonts w:ascii="Book Antiqua" w:hAnsi="Book Antiqua" w:cs="Times New Roman"/>
          <w:color w:val="auto"/>
          <w:sz w:val="24"/>
          <w:szCs w:val="24"/>
          <w:vertAlign w:val="superscript"/>
          <w:lang w:val="en-US"/>
        </w:rPr>
        <w:t>[2</w:t>
      </w:r>
      <w:r w:rsidR="004B2D66" w:rsidRPr="005F2615">
        <w:rPr>
          <w:rStyle w:val="A00"/>
          <w:rFonts w:ascii="Book Antiqua" w:hAnsi="Book Antiqua" w:cs="Times New Roman"/>
          <w:color w:val="auto"/>
          <w:sz w:val="24"/>
          <w:szCs w:val="24"/>
          <w:vertAlign w:val="superscript"/>
          <w:lang w:val="en-US"/>
        </w:rPr>
        <w:t>4</w:t>
      </w:r>
      <w:r w:rsidR="00EC453B" w:rsidRPr="005F2615">
        <w:rPr>
          <w:rStyle w:val="A00"/>
          <w:rFonts w:ascii="Book Antiqua" w:hAnsi="Book Antiqua" w:cs="Times New Roman"/>
          <w:color w:val="auto"/>
          <w:sz w:val="24"/>
          <w:szCs w:val="24"/>
          <w:vertAlign w:val="superscript"/>
          <w:lang w:val="en-US"/>
        </w:rPr>
        <w:t>-2</w:t>
      </w:r>
      <w:r w:rsidR="004B2D66" w:rsidRPr="005F2615">
        <w:rPr>
          <w:rStyle w:val="A00"/>
          <w:rFonts w:ascii="Book Antiqua" w:hAnsi="Book Antiqua" w:cs="Times New Roman"/>
          <w:color w:val="auto"/>
          <w:sz w:val="24"/>
          <w:szCs w:val="24"/>
          <w:vertAlign w:val="superscript"/>
          <w:lang w:val="en-US"/>
        </w:rPr>
        <w:t>6</w:t>
      </w:r>
      <w:r w:rsidRPr="005F2615">
        <w:rPr>
          <w:rStyle w:val="A00"/>
          <w:rFonts w:ascii="Book Antiqua" w:hAnsi="Book Antiqua" w:cs="Times New Roman"/>
          <w:color w:val="auto"/>
          <w:sz w:val="24"/>
          <w:szCs w:val="24"/>
          <w:vertAlign w:val="superscript"/>
          <w:lang w:val="en-US"/>
        </w:rPr>
        <w:t>]</w:t>
      </w:r>
      <w:r w:rsidRPr="005F2615">
        <w:rPr>
          <w:rStyle w:val="A00"/>
          <w:rFonts w:ascii="Book Antiqua" w:hAnsi="Book Antiqua" w:cs="Times New Roman"/>
          <w:color w:val="auto"/>
          <w:sz w:val="24"/>
          <w:szCs w:val="24"/>
          <w:lang w:val="en-US"/>
        </w:rPr>
        <w:t>. Not all GEP-NETs produce CgA, but for those that do,</w:t>
      </w:r>
      <w:r w:rsidRPr="005F2615">
        <w:rPr>
          <w:rFonts w:ascii="Book Antiqua" w:hAnsi="Book Antiqua" w:cs="Times New Roman"/>
          <w:sz w:val="24"/>
          <w:szCs w:val="24"/>
          <w:lang w:val="en-US"/>
        </w:rPr>
        <w:t xml:space="preserve"> elevat</w:t>
      </w:r>
      <w:r w:rsidR="00637FF0" w:rsidRPr="005F2615">
        <w:rPr>
          <w:rFonts w:ascii="Book Antiqua" w:hAnsi="Book Antiqua" w:cs="Times New Roman"/>
          <w:sz w:val="24"/>
          <w:szCs w:val="24"/>
          <w:lang w:val="en-US"/>
        </w:rPr>
        <w:t>ed circulating levels of CgA could be related</w:t>
      </w:r>
      <w:r w:rsidRPr="005F2615">
        <w:rPr>
          <w:rFonts w:ascii="Book Antiqua" w:hAnsi="Book Antiqua" w:cs="Times New Roman"/>
          <w:sz w:val="24"/>
          <w:szCs w:val="24"/>
          <w:lang w:val="en-US"/>
        </w:rPr>
        <w:t xml:space="preserve"> with </w:t>
      </w:r>
      <w:r w:rsidR="009F2078" w:rsidRPr="005F2615">
        <w:rPr>
          <w:rFonts w:ascii="Book Antiqua" w:hAnsi="Book Antiqua" w:cs="Times New Roman"/>
          <w:sz w:val="24"/>
          <w:szCs w:val="24"/>
          <w:lang w:val="en-US"/>
        </w:rPr>
        <w:t>tumo</w:t>
      </w:r>
      <w:r w:rsidR="00637FF0" w:rsidRPr="005F2615">
        <w:rPr>
          <w:rFonts w:ascii="Book Antiqua" w:hAnsi="Book Antiqua" w:cs="Times New Roman"/>
          <w:sz w:val="24"/>
          <w:szCs w:val="24"/>
          <w:lang w:val="en-US"/>
        </w:rPr>
        <w:t>u</w:t>
      </w:r>
      <w:r w:rsidR="009F2078" w:rsidRPr="005F2615">
        <w:rPr>
          <w:rFonts w:ascii="Book Antiqua" w:hAnsi="Book Antiqua" w:cs="Times New Roman"/>
          <w:sz w:val="24"/>
          <w:szCs w:val="24"/>
          <w:lang w:val="en-US"/>
        </w:rPr>
        <w:t>r</w:t>
      </w:r>
      <w:r w:rsidRPr="005F2615">
        <w:rPr>
          <w:rFonts w:ascii="Book Antiqua" w:hAnsi="Book Antiqua" w:cs="Times New Roman"/>
          <w:sz w:val="24"/>
          <w:szCs w:val="24"/>
          <w:lang w:val="en-US"/>
        </w:rPr>
        <w:t xml:space="preserve"> burden as well as recurrence, and are considered a marker of poor prognosis and reduced survival in b</w:t>
      </w:r>
      <w:r w:rsidR="00F9225B">
        <w:rPr>
          <w:rFonts w:ascii="Book Antiqua" w:hAnsi="Book Antiqua" w:cs="Times New Roman"/>
          <w:sz w:val="24"/>
          <w:szCs w:val="24"/>
          <w:lang w:val="en-US"/>
        </w:rPr>
        <w:t>oth ileal and pancreatic NETs</w:t>
      </w:r>
      <w:r w:rsidR="00EC453B" w:rsidRPr="005F2615">
        <w:rPr>
          <w:rFonts w:ascii="Book Antiqua" w:hAnsi="Book Antiqua" w:cs="Times New Roman"/>
          <w:sz w:val="24"/>
          <w:szCs w:val="24"/>
          <w:vertAlign w:val="superscript"/>
          <w:lang w:val="en-US"/>
        </w:rPr>
        <w:t>[2</w:t>
      </w:r>
      <w:r w:rsidR="004B2D66" w:rsidRPr="005F2615">
        <w:rPr>
          <w:rFonts w:ascii="Book Antiqua" w:hAnsi="Book Antiqua" w:cs="Times New Roman"/>
          <w:sz w:val="24"/>
          <w:szCs w:val="24"/>
          <w:vertAlign w:val="superscript"/>
          <w:lang w:val="en-US"/>
        </w:rPr>
        <w:t>7</w:t>
      </w:r>
      <w:r w:rsidR="00EC453B" w:rsidRPr="005F2615">
        <w:rPr>
          <w:rFonts w:ascii="Book Antiqua" w:hAnsi="Book Antiqua" w:cs="Times New Roman"/>
          <w:sz w:val="24"/>
          <w:szCs w:val="24"/>
          <w:vertAlign w:val="superscript"/>
          <w:lang w:val="en-US"/>
        </w:rPr>
        <w:t>,2</w:t>
      </w:r>
      <w:r w:rsidR="004B2D66" w:rsidRPr="005F2615">
        <w:rPr>
          <w:rFonts w:ascii="Book Antiqua" w:hAnsi="Book Antiqua" w:cs="Times New Roman"/>
          <w:sz w:val="24"/>
          <w:szCs w:val="24"/>
          <w:vertAlign w:val="superscript"/>
          <w:lang w:val="en-US"/>
        </w:rPr>
        <w:t>8</w:t>
      </w:r>
      <w:r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 xml:space="preserve">. For example, in patients with midgut carcinoids the 5-year OS was estimated to be 22% with CgA levels &gt; 75 nmol/L, while it was raised to 63% with levels </w:t>
      </w:r>
      <w:r w:rsidR="009F2078" w:rsidRPr="005F2615">
        <w:rPr>
          <w:rFonts w:ascii="Book Antiqua" w:hAnsi="Book Antiqua" w:cs="Times New Roman"/>
          <w:sz w:val="24"/>
          <w:szCs w:val="24"/>
          <w:lang w:val="en-US"/>
        </w:rPr>
        <w:t>lower</w:t>
      </w:r>
      <w:r w:rsidRPr="005F2615">
        <w:rPr>
          <w:rFonts w:ascii="Book Antiqua" w:hAnsi="Book Antiqua" w:cs="Times New Roman"/>
          <w:sz w:val="24"/>
          <w:szCs w:val="24"/>
          <w:lang w:val="en-US"/>
        </w:rPr>
        <w:t xml:space="preserve"> than this value. </w:t>
      </w:r>
      <w:r w:rsidR="001D7ADE" w:rsidRPr="005F2615">
        <w:rPr>
          <w:rFonts w:ascii="Book Antiqua" w:hAnsi="Book Antiqua" w:cs="Times New Roman"/>
          <w:sz w:val="24"/>
          <w:szCs w:val="24"/>
          <w:lang w:val="en-US"/>
        </w:rPr>
        <w:t>The d</w:t>
      </w:r>
      <w:r w:rsidRPr="005F2615">
        <w:rPr>
          <w:rFonts w:ascii="Book Antiqua" w:hAnsi="Book Antiqua" w:cs="Times New Roman"/>
          <w:sz w:val="24"/>
          <w:szCs w:val="24"/>
          <w:lang w:val="en-US"/>
        </w:rPr>
        <w:t>ecrease of CgA levels has also been used as a marker of response to treatment in clinical trials, where biochemical response is defined</w:t>
      </w:r>
      <w:r w:rsidR="00F9225B">
        <w:rPr>
          <w:rFonts w:ascii="Book Antiqua" w:hAnsi="Book Antiqua" w:cs="Times New Roman"/>
          <w:sz w:val="24"/>
          <w:szCs w:val="24"/>
          <w:lang w:val="en-US"/>
        </w:rPr>
        <w:t xml:space="preserve"> as a ≥ 50 % reduction of CgA</w:t>
      </w:r>
      <w:r w:rsidR="00EC453B" w:rsidRPr="005F2615">
        <w:rPr>
          <w:rFonts w:ascii="Book Antiqua" w:hAnsi="Book Antiqua" w:cs="Times New Roman"/>
          <w:sz w:val="24"/>
          <w:szCs w:val="24"/>
          <w:vertAlign w:val="superscript"/>
          <w:lang w:val="en-US"/>
        </w:rPr>
        <w:t>[2</w:t>
      </w:r>
      <w:r w:rsidR="004B2D66" w:rsidRPr="005F2615">
        <w:rPr>
          <w:rFonts w:ascii="Book Antiqua" w:hAnsi="Book Antiqua" w:cs="Times New Roman"/>
          <w:sz w:val="24"/>
          <w:szCs w:val="24"/>
          <w:vertAlign w:val="superscript"/>
          <w:lang w:val="en-US"/>
        </w:rPr>
        <w:t>9</w:t>
      </w:r>
      <w:r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w:t>
      </w:r>
      <w:r w:rsidR="007D2A95" w:rsidRPr="005F2615">
        <w:rPr>
          <w:rFonts w:ascii="Book Antiqua" w:hAnsi="Book Antiqua" w:cs="Times New Roman"/>
          <w:sz w:val="24"/>
          <w:szCs w:val="24"/>
          <w:lang w:val="en-US"/>
        </w:rPr>
        <w:t xml:space="preserve"> </w:t>
      </w:r>
    </w:p>
    <w:p w14:paraId="5C453A36" w14:textId="5B3C503D" w:rsidR="000E4C3F" w:rsidRPr="005F2615" w:rsidRDefault="000E4C3F" w:rsidP="00F9225B">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5F2615">
        <w:rPr>
          <w:rFonts w:ascii="Book Antiqua" w:hAnsi="Book Antiqua" w:cs="Times New Roman"/>
          <w:sz w:val="24"/>
          <w:szCs w:val="24"/>
          <w:lang w:val="en-US"/>
        </w:rPr>
        <w:t>The highest levels of CgA are observed in patients with functioning ilea</w:t>
      </w:r>
      <w:r w:rsidR="00D12AA1" w:rsidRPr="005F2615">
        <w:rPr>
          <w:rFonts w:ascii="Book Antiqua" w:hAnsi="Book Antiqua" w:cs="Times New Roman"/>
          <w:sz w:val="24"/>
          <w:szCs w:val="24"/>
          <w:lang w:val="en-US"/>
        </w:rPr>
        <w:t>l NET and carcinoid syndrome</w:t>
      </w:r>
      <w:r w:rsidRPr="005F2615">
        <w:rPr>
          <w:rFonts w:ascii="Book Antiqua" w:hAnsi="Book Antiqua" w:cs="Times New Roman"/>
          <w:sz w:val="24"/>
          <w:szCs w:val="24"/>
          <w:lang w:val="en-US"/>
        </w:rPr>
        <w:t>, followed b</w:t>
      </w:r>
      <w:r w:rsidR="00D12AA1" w:rsidRPr="005F2615">
        <w:rPr>
          <w:rFonts w:ascii="Book Antiqua" w:hAnsi="Book Antiqua" w:cs="Times New Roman"/>
          <w:sz w:val="24"/>
          <w:szCs w:val="24"/>
          <w:lang w:val="en-US"/>
        </w:rPr>
        <w:t>y those with liver metastases</w:t>
      </w:r>
      <w:r w:rsidRPr="005F2615">
        <w:rPr>
          <w:rFonts w:ascii="Book Antiqua" w:hAnsi="Book Antiqua" w:cs="Times New Roman"/>
          <w:sz w:val="24"/>
          <w:szCs w:val="24"/>
          <w:lang w:val="en-US"/>
        </w:rPr>
        <w:t>. Metastatic disease in the lymph nodes does not seem to cause a significant i</w:t>
      </w:r>
      <w:r w:rsidR="00F9225B">
        <w:rPr>
          <w:rFonts w:ascii="Book Antiqua" w:hAnsi="Book Antiqua" w:cs="Times New Roman"/>
          <w:sz w:val="24"/>
          <w:szCs w:val="24"/>
          <w:lang w:val="en-US"/>
        </w:rPr>
        <w:t>ncrease in the levels of CgA</w:t>
      </w:r>
      <w:r w:rsidR="00EC453B" w:rsidRPr="005F2615">
        <w:rPr>
          <w:rFonts w:ascii="Book Antiqua" w:hAnsi="Book Antiqua" w:cs="Times New Roman"/>
          <w:sz w:val="24"/>
          <w:szCs w:val="24"/>
          <w:vertAlign w:val="superscript"/>
          <w:lang w:val="en-US"/>
        </w:rPr>
        <w:t>[2</w:t>
      </w:r>
      <w:r w:rsidR="004B2D66" w:rsidRPr="005F2615">
        <w:rPr>
          <w:rFonts w:ascii="Book Antiqua" w:hAnsi="Book Antiqua" w:cs="Times New Roman"/>
          <w:sz w:val="24"/>
          <w:szCs w:val="24"/>
          <w:vertAlign w:val="superscript"/>
          <w:lang w:val="en-US"/>
        </w:rPr>
        <w:t>7</w:t>
      </w:r>
      <w:r w:rsidR="00EC453B" w:rsidRPr="005F2615">
        <w:rPr>
          <w:rFonts w:ascii="Book Antiqua" w:hAnsi="Book Antiqua" w:cs="Times New Roman"/>
          <w:sz w:val="24"/>
          <w:szCs w:val="24"/>
          <w:vertAlign w:val="superscript"/>
          <w:lang w:val="en-US"/>
        </w:rPr>
        <w:t>,2</w:t>
      </w:r>
      <w:r w:rsidR="004B2D66" w:rsidRPr="005F2615">
        <w:rPr>
          <w:rFonts w:ascii="Book Antiqua" w:hAnsi="Book Antiqua" w:cs="Times New Roman"/>
          <w:sz w:val="24"/>
          <w:szCs w:val="24"/>
          <w:vertAlign w:val="superscript"/>
          <w:lang w:val="en-US"/>
        </w:rPr>
        <w:t>9</w:t>
      </w:r>
      <w:r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 However, its value in predicting liver metastases, as compared to morphological tumo</w:t>
      </w:r>
      <w:r w:rsidR="00637FF0" w:rsidRPr="005F2615">
        <w:rPr>
          <w:rFonts w:ascii="Book Antiqua" w:hAnsi="Book Antiqua" w:cs="Times New Roman"/>
          <w:sz w:val="24"/>
          <w:szCs w:val="24"/>
          <w:lang w:val="en-US"/>
        </w:rPr>
        <w:t>u</w:t>
      </w:r>
      <w:r w:rsidRPr="005F2615">
        <w:rPr>
          <w:rFonts w:ascii="Book Antiqua" w:hAnsi="Book Antiqua" w:cs="Times New Roman"/>
          <w:sz w:val="24"/>
          <w:szCs w:val="24"/>
          <w:lang w:val="en-US"/>
        </w:rPr>
        <w:t>r changes as measured by CT or MRI, is limited, with a sensitivity and specificit</w:t>
      </w:r>
      <w:r w:rsidR="00F9225B">
        <w:rPr>
          <w:rFonts w:ascii="Book Antiqua" w:hAnsi="Book Antiqua" w:cs="Times New Roman"/>
          <w:sz w:val="24"/>
          <w:szCs w:val="24"/>
          <w:lang w:val="en-US"/>
        </w:rPr>
        <w:t>y of 71% and 50% respectively</w:t>
      </w:r>
      <w:r w:rsidR="00EC453B" w:rsidRPr="005F2615">
        <w:rPr>
          <w:rFonts w:ascii="Book Antiqua" w:hAnsi="Book Antiqua" w:cs="Times New Roman"/>
          <w:sz w:val="24"/>
          <w:szCs w:val="24"/>
          <w:vertAlign w:val="superscript"/>
          <w:lang w:val="en-US"/>
        </w:rPr>
        <w:t>[</w:t>
      </w:r>
      <w:r w:rsidR="004B2D66" w:rsidRPr="005F2615">
        <w:rPr>
          <w:rFonts w:ascii="Book Antiqua" w:hAnsi="Book Antiqua" w:cs="Times New Roman"/>
          <w:sz w:val="24"/>
          <w:szCs w:val="24"/>
          <w:vertAlign w:val="superscript"/>
          <w:lang w:val="en-US"/>
        </w:rPr>
        <w:t>30</w:t>
      </w:r>
      <w:r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w:t>
      </w:r>
      <w:r w:rsidR="00965601" w:rsidRPr="005F2615">
        <w:rPr>
          <w:rFonts w:ascii="Book Antiqua" w:hAnsi="Book Antiqua" w:cs="Times New Roman"/>
          <w:sz w:val="24"/>
          <w:szCs w:val="24"/>
          <w:lang w:val="en-US"/>
        </w:rPr>
        <w:t xml:space="preserve"> On the contrary, it should be noted that its elevation, even in values of several thousands (ng/m</w:t>
      </w:r>
      <w:r w:rsidR="00F9225B" w:rsidRPr="005F2615">
        <w:rPr>
          <w:rFonts w:ascii="Book Antiqua" w:hAnsi="Book Antiqua" w:cs="Times New Roman"/>
          <w:sz w:val="24"/>
          <w:szCs w:val="24"/>
          <w:lang w:val="en-US"/>
        </w:rPr>
        <w:t>L</w:t>
      </w:r>
      <w:r w:rsidR="00965601" w:rsidRPr="005F2615">
        <w:rPr>
          <w:rFonts w:ascii="Book Antiqua" w:hAnsi="Book Antiqua" w:cs="Times New Roman"/>
          <w:sz w:val="24"/>
          <w:szCs w:val="24"/>
          <w:lang w:val="en-US"/>
        </w:rPr>
        <w:t>), could be not related with deterioration of clinical status.</w:t>
      </w:r>
    </w:p>
    <w:p w14:paraId="66D71763" w14:textId="7A918C29" w:rsidR="000E4C3F" w:rsidRPr="005F2615" w:rsidRDefault="000E4C3F" w:rsidP="00F9225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F2615">
        <w:rPr>
          <w:rFonts w:ascii="Book Antiqua" w:hAnsi="Book Antiqua" w:cs="Times New Roman"/>
          <w:sz w:val="24"/>
          <w:szCs w:val="24"/>
          <w:lang w:val="en-US"/>
        </w:rPr>
        <w:t>The overall sensitivity of CgA in the diagnosis of neuroendocrine tumo</w:t>
      </w:r>
      <w:r w:rsidR="00686A81" w:rsidRPr="005F2615">
        <w:rPr>
          <w:rFonts w:ascii="Book Antiqua" w:hAnsi="Book Antiqua" w:cs="Times New Roman"/>
          <w:sz w:val="24"/>
          <w:szCs w:val="24"/>
          <w:lang w:val="en-US"/>
        </w:rPr>
        <w:t>u</w:t>
      </w:r>
      <w:r w:rsidRPr="005F2615">
        <w:rPr>
          <w:rFonts w:ascii="Book Antiqua" w:hAnsi="Book Antiqua" w:cs="Times New Roman"/>
          <w:sz w:val="24"/>
          <w:szCs w:val="24"/>
          <w:lang w:val="en-US"/>
        </w:rPr>
        <w:t>rs is around 60</w:t>
      </w:r>
      <w:r w:rsidR="00F9225B">
        <w:rPr>
          <w:rFonts w:ascii="Book Antiqua" w:hAnsi="Book Antiqua" w:cs="Times New Roman" w:hint="eastAsia"/>
          <w:sz w:val="24"/>
          <w:szCs w:val="24"/>
          <w:lang w:val="en-US" w:eastAsia="zh-CN"/>
        </w:rPr>
        <w:t>%</w:t>
      </w:r>
      <w:r w:rsidRPr="005F2615">
        <w:rPr>
          <w:rFonts w:ascii="Book Antiqua" w:hAnsi="Book Antiqua" w:cs="Times New Roman"/>
          <w:sz w:val="24"/>
          <w:szCs w:val="24"/>
          <w:lang w:val="en-US"/>
        </w:rPr>
        <w:t>-80% and depends on the primary</w:t>
      </w:r>
      <w:r w:rsidR="00986366" w:rsidRPr="005F2615">
        <w:rPr>
          <w:rFonts w:ascii="Book Antiqua" w:hAnsi="Book Antiqua" w:cs="Times New Roman"/>
          <w:sz w:val="24"/>
          <w:szCs w:val="24"/>
          <w:lang w:val="en-US"/>
        </w:rPr>
        <w:t xml:space="preserve"> site, on the degree of differentiation</w:t>
      </w:r>
      <w:r w:rsidRPr="005F2615">
        <w:rPr>
          <w:rFonts w:ascii="Book Antiqua" w:hAnsi="Book Antiqua" w:cs="Times New Roman"/>
          <w:sz w:val="24"/>
          <w:szCs w:val="24"/>
          <w:lang w:val="en-US"/>
        </w:rPr>
        <w:t xml:space="preserve"> a</w:t>
      </w:r>
      <w:r w:rsidR="00EC453B" w:rsidRPr="005F2615">
        <w:rPr>
          <w:rFonts w:ascii="Book Antiqua" w:hAnsi="Book Antiqua" w:cs="Times New Roman"/>
          <w:sz w:val="24"/>
          <w:szCs w:val="24"/>
          <w:lang w:val="en-US"/>
        </w:rPr>
        <w:t xml:space="preserve">nd </w:t>
      </w:r>
      <w:r w:rsidR="00B17859" w:rsidRPr="005F2615">
        <w:rPr>
          <w:rFonts w:ascii="Book Antiqua" w:hAnsi="Book Antiqua" w:cs="Times New Roman"/>
          <w:sz w:val="24"/>
          <w:szCs w:val="24"/>
          <w:lang w:val="en-US"/>
        </w:rPr>
        <w:t xml:space="preserve">on </w:t>
      </w:r>
      <w:r w:rsidR="00F9225B">
        <w:rPr>
          <w:rFonts w:ascii="Book Antiqua" w:hAnsi="Book Antiqua" w:cs="Times New Roman"/>
          <w:sz w:val="24"/>
          <w:szCs w:val="24"/>
          <w:lang w:val="en-US"/>
        </w:rPr>
        <w:t>the status of the disease</w:t>
      </w:r>
      <w:r w:rsidR="00EC453B" w:rsidRPr="005F2615">
        <w:rPr>
          <w:rFonts w:ascii="Book Antiqua" w:hAnsi="Book Antiqua" w:cs="Times New Roman"/>
          <w:sz w:val="24"/>
          <w:szCs w:val="24"/>
          <w:vertAlign w:val="superscript"/>
          <w:lang w:val="en-US"/>
        </w:rPr>
        <w:t>[</w:t>
      </w:r>
      <w:r w:rsidR="00246DCC" w:rsidRPr="005F2615">
        <w:rPr>
          <w:rFonts w:ascii="Book Antiqua" w:hAnsi="Book Antiqua" w:cs="Times New Roman"/>
          <w:sz w:val="24"/>
          <w:szCs w:val="24"/>
          <w:vertAlign w:val="superscript"/>
          <w:lang w:val="en-US"/>
        </w:rPr>
        <w:t>31</w:t>
      </w:r>
      <w:r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w:t>
      </w:r>
      <w:r w:rsidR="00570DBA" w:rsidRPr="005F2615">
        <w:rPr>
          <w:rFonts w:ascii="Book Antiqua" w:hAnsi="Book Antiqua" w:cs="Times New Roman"/>
          <w:sz w:val="24"/>
          <w:szCs w:val="24"/>
          <w:lang w:val="en-US"/>
        </w:rPr>
        <w:t xml:space="preserve"> </w:t>
      </w:r>
      <w:r w:rsidRPr="005F2615">
        <w:rPr>
          <w:rFonts w:ascii="Book Antiqua" w:hAnsi="Book Antiqua" w:cs="Times New Roman"/>
          <w:sz w:val="24"/>
          <w:szCs w:val="24"/>
          <w:lang w:val="en-US"/>
        </w:rPr>
        <w:t xml:space="preserve">This marker has a low sensitivity regarding its use </w:t>
      </w:r>
      <w:r w:rsidRPr="005F2615">
        <w:rPr>
          <w:rFonts w:ascii="Book Antiqua" w:hAnsi="Book Antiqua" w:cs="Times New Roman"/>
          <w:sz w:val="24"/>
          <w:szCs w:val="24"/>
          <w:lang w:val="en-US"/>
        </w:rPr>
        <w:lastRenderedPageBreak/>
        <w:t xml:space="preserve">in distinguishing the different types of NETs. </w:t>
      </w:r>
      <w:r w:rsidR="00986366" w:rsidRPr="005F2615">
        <w:rPr>
          <w:rFonts w:ascii="Book Antiqua" w:hAnsi="Book Antiqua" w:cs="Times New Roman"/>
          <w:sz w:val="24"/>
          <w:szCs w:val="24"/>
          <w:lang w:val="en-US"/>
        </w:rPr>
        <w:t>It should be noted al</w:t>
      </w:r>
      <w:r w:rsidRPr="005F2615">
        <w:rPr>
          <w:rStyle w:val="A00"/>
          <w:rFonts w:ascii="Book Antiqua" w:hAnsi="Book Antiqua" w:cs="Times New Roman"/>
          <w:color w:val="auto"/>
          <w:sz w:val="24"/>
          <w:szCs w:val="24"/>
          <w:lang w:val="en-US"/>
        </w:rPr>
        <w:t xml:space="preserve">so, </w:t>
      </w:r>
      <w:r w:rsidR="00986366" w:rsidRPr="005F2615">
        <w:rPr>
          <w:rStyle w:val="A00"/>
          <w:rFonts w:ascii="Book Antiqua" w:hAnsi="Book Antiqua" w:cs="Times New Roman"/>
          <w:color w:val="auto"/>
          <w:sz w:val="24"/>
          <w:szCs w:val="24"/>
          <w:lang w:val="en-US"/>
        </w:rPr>
        <w:t xml:space="preserve">that </w:t>
      </w:r>
      <w:r w:rsidRPr="005F2615">
        <w:rPr>
          <w:rStyle w:val="A00"/>
          <w:rFonts w:ascii="Book Antiqua" w:hAnsi="Book Antiqua" w:cs="Times New Roman"/>
          <w:color w:val="auto"/>
          <w:sz w:val="24"/>
          <w:szCs w:val="24"/>
          <w:lang w:val="en-US"/>
        </w:rPr>
        <w:t xml:space="preserve">the specificity and sensitivity of the assay for CgA measurement differ between </w:t>
      </w:r>
      <w:r w:rsidR="00F9225B">
        <w:rPr>
          <w:rStyle w:val="A00"/>
          <w:rFonts w:ascii="Book Antiqua" w:hAnsi="Book Antiqua" w:cs="Times New Roman"/>
          <w:color w:val="auto"/>
          <w:sz w:val="24"/>
          <w:szCs w:val="24"/>
          <w:lang w:val="en-US"/>
        </w:rPr>
        <w:t>the available commercial kits</w:t>
      </w:r>
      <w:r w:rsidR="00EC453B" w:rsidRPr="005F2615">
        <w:rPr>
          <w:rStyle w:val="A00"/>
          <w:rFonts w:ascii="Book Antiqua" w:hAnsi="Book Antiqua" w:cs="Times New Roman"/>
          <w:color w:val="auto"/>
          <w:sz w:val="24"/>
          <w:szCs w:val="24"/>
          <w:vertAlign w:val="superscript"/>
          <w:lang w:val="en-US"/>
        </w:rPr>
        <w:t>[3</w:t>
      </w:r>
      <w:r w:rsidR="00246DCC" w:rsidRPr="005F2615">
        <w:rPr>
          <w:rStyle w:val="A00"/>
          <w:rFonts w:ascii="Book Antiqua" w:hAnsi="Book Antiqua" w:cs="Times New Roman"/>
          <w:color w:val="auto"/>
          <w:sz w:val="24"/>
          <w:szCs w:val="24"/>
          <w:vertAlign w:val="superscript"/>
          <w:lang w:val="en-US"/>
        </w:rPr>
        <w:t>2</w:t>
      </w:r>
      <w:r w:rsidRPr="005F2615">
        <w:rPr>
          <w:rStyle w:val="A00"/>
          <w:rFonts w:ascii="Book Antiqua" w:hAnsi="Book Antiqua" w:cs="Times New Roman"/>
          <w:color w:val="auto"/>
          <w:sz w:val="24"/>
          <w:szCs w:val="24"/>
          <w:vertAlign w:val="superscript"/>
          <w:lang w:val="en-US"/>
        </w:rPr>
        <w:t>]</w:t>
      </w:r>
      <w:r w:rsidRPr="005F2615">
        <w:rPr>
          <w:rStyle w:val="A00"/>
          <w:rFonts w:ascii="Book Antiqua" w:hAnsi="Book Antiqua" w:cs="Times New Roman"/>
          <w:color w:val="auto"/>
          <w:sz w:val="24"/>
          <w:szCs w:val="24"/>
          <w:lang w:val="en-US"/>
        </w:rPr>
        <w:t>.</w:t>
      </w:r>
    </w:p>
    <w:p w14:paraId="44A8ABA7" w14:textId="6C6B1628" w:rsidR="000E4C3F" w:rsidRPr="005F2615" w:rsidRDefault="00DE5076" w:rsidP="00F9225B">
      <w:pPr>
        <w:autoSpaceDE w:val="0"/>
        <w:autoSpaceDN w:val="0"/>
        <w:adjustRightInd w:val="0"/>
        <w:spacing w:after="0" w:line="360" w:lineRule="auto"/>
        <w:ind w:firstLineChars="100" w:firstLine="240"/>
        <w:jc w:val="both"/>
        <w:rPr>
          <w:rStyle w:val="A00"/>
          <w:rFonts w:ascii="Book Antiqua" w:hAnsi="Book Antiqua" w:cs="Times New Roman"/>
          <w:color w:val="auto"/>
          <w:sz w:val="24"/>
          <w:szCs w:val="24"/>
          <w:lang w:val="en-US"/>
        </w:rPr>
      </w:pPr>
      <w:r w:rsidRPr="005F2615">
        <w:rPr>
          <w:rFonts w:ascii="Book Antiqua" w:hAnsi="Book Antiqua" w:cs="Times New Roman"/>
          <w:sz w:val="24"/>
          <w:szCs w:val="24"/>
          <w:lang w:val="en-US"/>
        </w:rPr>
        <w:t>Moreover</w:t>
      </w:r>
      <w:r w:rsidR="000E4C3F" w:rsidRPr="005F2615">
        <w:rPr>
          <w:rFonts w:ascii="Book Antiqua" w:hAnsi="Book Antiqua" w:cs="Times New Roman"/>
          <w:sz w:val="24"/>
          <w:szCs w:val="24"/>
          <w:lang w:val="en-US"/>
        </w:rPr>
        <w:t>, the use of CgA as a diagnostic biomarker in GEP-NETs has certain limitations. Firstly, a</w:t>
      </w:r>
      <w:r w:rsidR="00637FF0" w:rsidRPr="005F2615">
        <w:rPr>
          <w:rStyle w:val="A00"/>
          <w:rFonts w:ascii="Book Antiqua" w:hAnsi="Book Antiqua" w:cs="Times New Roman"/>
          <w:color w:val="auto"/>
          <w:sz w:val="24"/>
          <w:szCs w:val="24"/>
          <w:lang w:val="en-US"/>
        </w:rPr>
        <w:t>lthough CgA could be</w:t>
      </w:r>
      <w:r w:rsidR="000E4C3F" w:rsidRPr="005F2615">
        <w:rPr>
          <w:rStyle w:val="A00"/>
          <w:rFonts w:ascii="Book Antiqua" w:hAnsi="Book Antiqua" w:cs="Times New Roman"/>
          <w:color w:val="auto"/>
          <w:sz w:val="24"/>
          <w:szCs w:val="24"/>
          <w:lang w:val="en-US"/>
        </w:rPr>
        <w:t xml:space="preserve"> useful in predicting tumor relapse or progression, with rapidly increasing levels correlating with shorter survival, it should be noted that CgA levels are also affected by the secretory activity of a functioning tumor. This has particular importance in patients treated with somatostatin analogues (SSAs), where the drop in CgA levels may reflect the inhibition of the secretory activity of the tumour rather th</w:t>
      </w:r>
      <w:r w:rsidR="00F9225B">
        <w:rPr>
          <w:rStyle w:val="A00"/>
          <w:rFonts w:ascii="Book Antiqua" w:hAnsi="Book Antiqua" w:cs="Times New Roman"/>
          <w:color w:val="auto"/>
          <w:sz w:val="24"/>
          <w:szCs w:val="24"/>
          <w:lang w:val="en-US"/>
        </w:rPr>
        <w:t>an a true anti-tumour effect</w:t>
      </w:r>
      <w:r w:rsidR="00EC453B" w:rsidRPr="005F2615">
        <w:rPr>
          <w:rStyle w:val="A00"/>
          <w:rFonts w:ascii="Book Antiqua" w:hAnsi="Book Antiqua" w:cs="Times New Roman"/>
          <w:color w:val="auto"/>
          <w:sz w:val="24"/>
          <w:szCs w:val="24"/>
          <w:vertAlign w:val="superscript"/>
          <w:lang w:val="en-US"/>
        </w:rPr>
        <w:t>[3</w:t>
      </w:r>
      <w:r w:rsidR="00246DCC" w:rsidRPr="005F2615">
        <w:rPr>
          <w:rStyle w:val="A00"/>
          <w:rFonts w:ascii="Book Antiqua" w:hAnsi="Book Antiqua" w:cs="Times New Roman"/>
          <w:color w:val="auto"/>
          <w:sz w:val="24"/>
          <w:szCs w:val="24"/>
          <w:vertAlign w:val="superscript"/>
          <w:lang w:val="en-US"/>
        </w:rPr>
        <w:t>3</w:t>
      </w:r>
      <w:r w:rsidR="000E4C3F" w:rsidRPr="005F2615">
        <w:rPr>
          <w:rStyle w:val="A00"/>
          <w:rFonts w:ascii="Book Antiqua" w:hAnsi="Book Antiqua" w:cs="Times New Roman"/>
          <w:color w:val="auto"/>
          <w:sz w:val="24"/>
          <w:szCs w:val="24"/>
          <w:vertAlign w:val="superscript"/>
          <w:lang w:val="en-US"/>
        </w:rPr>
        <w:t>]</w:t>
      </w:r>
      <w:r w:rsidR="000E4C3F" w:rsidRPr="005F2615">
        <w:rPr>
          <w:rStyle w:val="A00"/>
          <w:rFonts w:ascii="Book Antiqua" w:hAnsi="Book Antiqua" w:cs="Times New Roman"/>
          <w:color w:val="auto"/>
          <w:sz w:val="24"/>
          <w:szCs w:val="24"/>
          <w:lang w:val="en-US"/>
        </w:rPr>
        <w:t>.</w:t>
      </w:r>
    </w:p>
    <w:p w14:paraId="1C81FC5F" w14:textId="3318CAFB" w:rsidR="000E4C3F" w:rsidRPr="005F2615" w:rsidRDefault="000E4C3F" w:rsidP="00F9225B">
      <w:pPr>
        <w:autoSpaceDE w:val="0"/>
        <w:autoSpaceDN w:val="0"/>
        <w:adjustRightInd w:val="0"/>
        <w:spacing w:after="0" w:line="360" w:lineRule="auto"/>
        <w:ind w:firstLineChars="100" w:firstLine="240"/>
        <w:jc w:val="both"/>
        <w:rPr>
          <w:rStyle w:val="A00"/>
          <w:rFonts w:ascii="Book Antiqua" w:hAnsi="Book Antiqua" w:cs="Times New Roman"/>
          <w:color w:val="auto"/>
          <w:sz w:val="24"/>
          <w:szCs w:val="24"/>
          <w:lang w:val="en-US"/>
        </w:rPr>
      </w:pPr>
      <w:r w:rsidRPr="005F2615">
        <w:rPr>
          <w:rStyle w:val="A00"/>
          <w:rFonts w:ascii="Book Antiqua" w:hAnsi="Book Antiqua" w:cs="Times New Roman"/>
          <w:color w:val="auto"/>
          <w:sz w:val="24"/>
          <w:szCs w:val="24"/>
          <w:lang w:val="en-US"/>
        </w:rPr>
        <w:t>Midgut carcinoids have often been misdiagnosed as irritable bowel syndrome or inflammatory bowel disease, where CgA may</w:t>
      </w:r>
      <w:r w:rsidR="000C226C" w:rsidRPr="005F2615">
        <w:rPr>
          <w:rStyle w:val="A00"/>
          <w:rFonts w:ascii="Book Antiqua" w:hAnsi="Book Antiqua" w:cs="Times New Roman"/>
          <w:color w:val="auto"/>
          <w:sz w:val="24"/>
          <w:szCs w:val="24"/>
          <w:lang w:val="en-US"/>
        </w:rPr>
        <w:t xml:space="preserve"> also be</w:t>
      </w:r>
      <w:r w:rsidRPr="005F2615">
        <w:rPr>
          <w:rStyle w:val="A00"/>
          <w:rFonts w:ascii="Book Antiqua" w:hAnsi="Book Antiqua" w:cs="Times New Roman"/>
          <w:color w:val="auto"/>
          <w:sz w:val="24"/>
          <w:szCs w:val="24"/>
          <w:lang w:val="en-US"/>
        </w:rPr>
        <w:t xml:space="preserve"> increased, due to the common mani</w:t>
      </w:r>
      <w:r w:rsidR="00B20923">
        <w:rPr>
          <w:rStyle w:val="A00"/>
          <w:rFonts w:ascii="Book Antiqua" w:hAnsi="Book Antiqua" w:cs="Times New Roman"/>
          <w:color w:val="auto"/>
          <w:sz w:val="24"/>
          <w:szCs w:val="24"/>
          <w:lang w:val="en-US"/>
        </w:rPr>
        <w:t>festation of watery diarrheas</w:t>
      </w:r>
      <w:r w:rsidR="00EC453B" w:rsidRPr="005F2615">
        <w:rPr>
          <w:rStyle w:val="A00"/>
          <w:rFonts w:ascii="Book Antiqua" w:hAnsi="Book Antiqua" w:cs="Times New Roman"/>
          <w:color w:val="auto"/>
          <w:sz w:val="24"/>
          <w:szCs w:val="24"/>
          <w:vertAlign w:val="superscript"/>
          <w:lang w:val="en-US"/>
        </w:rPr>
        <w:t>[34</w:t>
      </w:r>
      <w:r w:rsidRPr="005F2615">
        <w:rPr>
          <w:rStyle w:val="A00"/>
          <w:rFonts w:ascii="Book Antiqua" w:hAnsi="Book Antiqua" w:cs="Times New Roman"/>
          <w:color w:val="auto"/>
          <w:sz w:val="24"/>
          <w:szCs w:val="24"/>
          <w:vertAlign w:val="superscript"/>
          <w:lang w:val="en-US"/>
        </w:rPr>
        <w:t>]</w:t>
      </w:r>
      <w:r w:rsidRPr="005F2615">
        <w:rPr>
          <w:rStyle w:val="A00"/>
          <w:rFonts w:ascii="Book Antiqua" w:hAnsi="Book Antiqua" w:cs="Times New Roman"/>
          <w:color w:val="auto"/>
          <w:sz w:val="24"/>
          <w:szCs w:val="24"/>
          <w:lang w:val="en-US"/>
        </w:rPr>
        <w:t>.</w:t>
      </w:r>
    </w:p>
    <w:p w14:paraId="54FA17C2" w14:textId="084B53A5" w:rsidR="000E4C3F" w:rsidRPr="005F2615" w:rsidRDefault="000E4C3F" w:rsidP="00B20923">
      <w:pPr>
        <w:autoSpaceDE w:val="0"/>
        <w:autoSpaceDN w:val="0"/>
        <w:adjustRightInd w:val="0"/>
        <w:spacing w:after="0" w:line="360" w:lineRule="auto"/>
        <w:ind w:firstLineChars="100" w:firstLine="240"/>
        <w:jc w:val="both"/>
        <w:rPr>
          <w:rStyle w:val="A00"/>
          <w:rFonts w:ascii="Book Antiqua" w:hAnsi="Book Antiqua" w:cs="Times New Roman"/>
          <w:color w:val="auto"/>
          <w:sz w:val="24"/>
          <w:szCs w:val="24"/>
          <w:lang w:val="en-US"/>
        </w:rPr>
      </w:pPr>
      <w:r w:rsidRPr="005F2615">
        <w:rPr>
          <w:rStyle w:val="A00"/>
          <w:rFonts w:ascii="Book Antiqua" w:hAnsi="Book Antiqua" w:cs="Times New Roman"/>
          <w:color w:val="auto"/>
          <w:sz w:val="24"/>
          <w:szCs w:val="24"/>
          <w:lang w:val="en-US"/>
        </w:rPr>
        <w:t>CgA along with NSE have been retrospectively studied as progn</w:t>
      </w:r>
      <w:r w:rsidR="006A67A6" w:rsidRPr="005F2615">
        <w:rPr>
          <w:rStyle w:val="A00"/>
          <w:rFonts w:ascii="Book Antiqua" w:hAnsi="Book Antiqua" w:cs="Times New Roman"/>
          <w:color w:val="auto"/>
          <w:sz w:val="24"/>
          <w:szCs w:val="24"/>
          <w:lang w:val="en-US"/>
        </w:rPr>
        <w:t>ostic biomarkers in GEP-NETs</w:t>
      </w:r>
      <w:r w:rsidR="00F105DD" w:rsidRPr="005F2615">
        <w:rPr>
          <w:rStyle w:val="A00"/>
          <w:rFonts w:ascii="Book Antiqua" w:hAnsi="Book Antiqua" w:cs="Times New Roman"/>
          <w:color w:val="auto"/>
          <w:sz w:val="24"/>
          <w:szCs w:val="24"/>
          <w:vertAlign w:val="superscript"/>
          <w:lang w:val="en-US"/>
        </w:rPr>
        <w:t>[3</w:t>
      </w:r>
      <w:r w:rsidR="00246DCC" w:rsidRPr="005F2615">
        <w:rPr>
          <w:rStyle w:val="A00"/>
          <w:rFonts w:ascii="Book Antiqua" w:hAnsi="Book Antiqua" w:cs="Times New Roman"/>
          <w:color w:val="auto"/>
          <w:sz w:val="24"/>
          <w:szCs w:val="24"/>
          <w:vertAlign w:val="superscript"/>
          <w:lang w:val="en-US"/>
        </w:rPr>
        <w:t>5</w:t>
      </w:r>
      <w:r w:rsidRPr="005F2615">
        <w:rPr>
          <w:rStyle w:val="A00"/>
          <w:rFonts w:ascii="Book Antiqua" w:hAnsi="Book Antiqua" w:cs="Times New Roman"/>
          <w:color w:val="auto"/>
          <w:sz w:val="24"/>
          <w:szCs w:val="24"/>
          <w:vertAlign w:val="superscript"/>
          <w:lang w:val="en-US"/>
        </w:rPr>
        <w:t>]</w:t>
      </w:r>
      <w:r w:rsidRPr="005F2615">
        <w:rPr>
          <w:rStyle w:val="A00"/>
          <w:rFonts w:ascii="Book Antiqua" w:hAnsi="Book Antiqua" w:cs="Times New Roman"/>
          <w:color w:val="auto"/>
          <w:sz w:val="24"/>
          <w:szCs w:val="24"/>
          <w:lang w:val="en-US"/>
        </w:rPr>
        <w:t>. In a phase II study of Everolimus in GEP-NETs it has been demonstrated that higher baseline levels of CgA were associated with shorter PFS, while the patients with the shortest PFS had elevated concentrations of both CgA and NSE at baseline. In that same study, CgA and NSE responses were defined as a 50% or greater reduction from baseline or normalization, and early CgA and NSE responses were defined as a 30% or greater decrease from baseline or normalization after 4 weeks of treatment. For both those markers, an early decrease predicted for clinical benefit, which, in the case of CgA, meant both longer PFS (13.3</w:t>
      </w:r>
      <w:r w:rsidR="00B20923">
        <w:rPr>
          <w:rStyle w:val="A00"/>
          <w:rFonts w:ascii="Book Antiqua" w:hAnsi="Book Antiqua" w:cs="Times New Roman" w:hint="eastAsia"/>
          <w:color w:val="auto"/>
          <w:sz w:val="24"/>
          <w:szCs w:val="24"/>
          <w:lang w:val="en-US" w:eastAsia="zh-CN"/>
        </w:rPr>
        <w:t xml:space="preserve"> mo</w:t>
      </w:r>
      <w:r w:rsidRPr="00B20923">
        <w:rPr>
          <w:rStyle w:val="A00"/>
          <w:rFonts w:ascii="Book Antiqua" w:hAnsi="Book Antiqua" w:cs="Times New Roman"/>
          <w:i/>
          <w:color w:val="auto"/>
          <w:sz w:val="24"/>
          <w:szCs w:val="24"/>
          <w:lang w:val="en-US"/>
        </w:rPr>
        <w:t xml:space="preserve"> vs</w:t>
      </w:r>
      <w:r w:rsidRPr="005F2615">
        <w:rPr>
          <w:rStyle w:val="A00"/>
          <w:rFonts w:ascii="Book Antiqua" w:hAnsi="Book Antiqua" w:cs="Times New Roman"/>
          <w:color w:val="auto"/>
          <w:sz w:val="24"/>
          <w:szCs w:val="24"/>
          <w:lang w:val="en-US"/>
        </w:rPr>
        <w:t xml:space="preserve"> 7.5 mo; HR 0.25; </w:t>
      </w:r>
      <w:r w:rsidR="00B20923" w:rsidRPr="00B20923">
        <w:rPr>
          <w:rStyle w:val="A00"/>
          <w:rFonts w:ascii="Book Antiqua" w:hAnsi="Book Antiqua" w:cs="Times New Roman"/>
          <w:i/>
          <w:color w:val="auto"/>
          <w:sz w:val="24"/>
          <w:szCs w:val="24"/>
          <w:lang w:val="en-US"/>
        </w:rPr>
        <w:t>P</w:t>
      </w:r>
      <w:r w:rsidRPr="005F2615">
        <w:rPr>
          <w:rStyle w:val="A00"/>
          <w:rFonts w:ascii="Book Antiqua" w:hAnsi="Book Antiqua" w:cs="Times New Roman"/>
          <w:color w:val="auto"/>
          <w:sz w:val="24"/>
          <w:szCs w:val="24"/>
          <w:lang w:val="en-US"/>
        </w:rPr>
        <w:t xml:space="preserve"> &lt; 0.001) and longer OS (24.9 </w:t>
      </w:r>
      <w:r w:rsidR="00B20923">
        <w:rPr>
          <w:rStyle w:val="A00"/>
          <w:rFonts w:ascii="Book Antiqua" w:hAnsi="Book Antiqua" w:cs="Times New Roman" w:hint="eastAsia"/>
          <w:color w:val="auto"/>
          <w:sz w:val="24"/>
          <w:szCs w:val="24"/>
          <w:lang w:val="en-US" w:eastAsia="zh-CN"/>
        </w:rPr>
        <w:t xml:space="preserve">mo </w:t>
      </w:r>
      <w:r w:rsidRPr="00B20923">
        <w:rPr>
          <w:rStyle w:val="A00"/>
          <w:rFonts w:ascii="Book Antiqua" w:hAnsi="Book Antiqua" w:cs="Times New Roman"/>
          <w:i/>
          <w:color w:val="auto"/>
          <w:sz w:val="24"/>
          <w:szCs w:val="24"/>
          <w:lang w:val="en-US"/>
        </w:rPr>
        <w:t>vs</w:t>
      </w:r>
      <w:r w:rsidRPr="005F2615">
        <w:rPr>
          <w:rStyle w:val="A00"/>
          <w:rFonts w:ascii="Book Antiqua" w:hAnsi="Book Antiqua" w:cs="Times New Roman"/>
          <w:color w:val="auto"/>
          <w:sz w:val="24"/>
          <w:szCs w:val="24"/>
          <w:lang w:val="en-US"/>
        </w:rPr>
        <w:t xml:space="preserve"> 12.7 mo; HR 0.4; </w:t>
      </w:r>
      <w:r w:rsidR="00B20923" w:rsidRPr="00B20923">
        <w:rPr>
          <w:rStyle w:val="A00"/>
          <w:rFonts w:ascii="Book Antiqua" w:hAnsi="Book Antiqua" w:cs="Times New Roman"/>
          <w:i/>
          <w:color w:val="auto"/>
          <w:sz w:val="24"/>
          <w:szCs w:val="24"/>
          <w:lang w:val="en-US"/>
        </w:rPr>
        <w:t>P</w:t>
      </w:r>
      <w:r w:rsidR="00B20923">
        <w:rPr>
          <w:rStyle w:val="A00"/>
          <w:rFonts w:ascii="Book Antiqua" w:hAnsi="Book Antiqua" w:cs="Times New Roman"/>
          <w:color w:val="auto"/>
          <w:sz w:val="24"/>
          <w:szCs w:val="24"/>
          <w:lang w:val="en-US"/>
        </w:rPr>
        <w:t xml:space="preserve"> = 0.01)</w:t>
      </w:r>
      <w:r w:rsidRPr="005F2615">
        <w:rPr>
          <w:rStyle w:val="A00"/>
          <w:rFonts w:ascii="Book Antiqua" w:hAnsi="Book Antiqua" w:cs="Times New Roman"/>
          <w:color w:val="auto"/>
          <w:sz w:val="24"/>
          <w:szCs w:val="24"/>
          <w:vertAlign w:val="superscript"/>
          <w:lang w:val="en-US"/>
        </w:rPr>
        <w:t>[</w:t>
      </w:r>
      <w:r w:rsidR="004812ED" w:rsidRPr="005F2615">
        <w:rPr>
          <w:rStyle w:val="A00"/>
          <w:rFonts w:ascii="Book Antiqua" w:hAnsi="Book Antiqua" w:cs="Times New Roman"/>
          <w:color w:val="auto"/>
          <w:sz w:val="24"/>
          <w:szCs w:val="24"/>
          <w:vertAlign w:val="superscript"/>
          <w:lang w:val="en-US"/>
        </w:rPr>
        <w:t>3</w:t>
      </w:r>
      <w:r w:rsidR="00246DCC" w:rsidRPr="005F2615">
        <w:rPr>
          <w:rStyle w:val="A00"/>
          <w:rFonts w:ascii="Book Antiqua" w:hAnsi="Book Antiqua" w:cs="Times New Roman"/>
          <w:color w:val="auto"/>
          <w:sz w:val="24"/>
          <w:szCs w:val="24"/>
          <w:vertAlign w:val="superscript"/>
          <w:lang w:val="en-US"/>
        </w:rPr>
        <w:t>6</w:t>
      </w:r>
      <w:r w:rsidRPr="005F2615">
        <w:rPr>
          <w:rStyle w:val="A00"/>
          <w:rFonts w:ascii="Book Antiqua" w:hAnsi="Book Antiqua" w:cs="Times New Roman"/>
          <w:color w:val="auto"/>
          <w:sz w:val="24"/>
          <w:szCs w:val="24"/>
          <w:vertAlign w:val="superscript"/>
          <w:lang w:val="en-US"/>
        </w:rPr>
        <w:t>]</w:t>
      </w:r>
      <w:r w:rsidRPr="005F2615">
        <w:rPr>
          <w:rStyle w:val="A00"/>
          <w:rFonts w:ascii="Book Antiqua" w:hAnsi="Book Antiqua" w:cs="Times New Roman"/>
          <w:color w:val="auto"/>
          <w:sz w:val="24"/>
          <w:szCs w:val="24"/>
          <w:lang w:val="en-US"/>
        </w:rPr>
        <w:t>.</w:t>
      </w:r>
    </w:p>
    <w:p w14:paraId="35626F3B" w14:textId="4CD491B8" w:rsidR="000E4C3F" w:rsidRPr="005F2615" w:rsidRDefault="000E4C3F" w:rsidP="00B20923">
      <w:pPr>
        <w:autoSpaceDE w:val="0"/>
        <w:autoSpaceDN w:val="0"/>
        <w:adjustRightInd w:val="0"/>
        <w:spacing w:after="0" w:line="360" w:lineRule="auto"/>
        <w:ind w:firstLineChars="100" w:firstLine="240"/>
        <w:jc w:val="both"/>
        <w:rPr>
          <w:rStyle w:val="A00"/>
          <w:rFonts w:ascii="Book Antiqua" w:hAnsi="Book Antiqua" w:cs="Times New Roman"/>
          <w:color w:val="auto"/>
          <w:sz w:val="24"/>
          <w:szCs w:val="24"/>
          <w:lang w:val="en-US"/>
        </w:rPr>
      </w:pPr>
      <w:r w:rsidRPr="005F2615">
        <w:rPr>
          <w:rStyle w:val="A00"/>
          <w:rFonts w:ascii="Book Antiqua" w:hAnsi="Book Antiqua" w:cs="Times New Roman"/>
          <w:color w:val="auto"/>
          <w:sz w:val="24"/>
          <w:szCs w:val="24"/>
          <w:lang w:val="en-US"/>
        </w:rPr>
        <w:t>Those results have been confirmed in a relevant analysis of the phase III RADIANT-2 clinical trial, where it</w:t>
      </w:r>
      <w:r w:rsidR="00171CF4" w:rsidRPr="005F2615">
        <w:rPr>
          <w:rStyle w:val="A00"/>
          <w:rFonts w:ascii="Book Antiqua" w:hAnsi="Book Antiqua" w:cs="Times New Roman"/>
          <w:color w:val="auto"/>
          <w:sz w:val="24"/>
          <w:szCs w:val="24"/>
          <w:lang w:val="en-US"/>
        </w:rPr>
        <w:t xml:space="preserve"> was shown that early decrease</w:t>
      </w:r>
      <w:r w:rsidRPr="005F2615">
        <w:rPr>
          <w:rStyle w:val="A00"/>
          <w:rFonts w:ascii="Book Antiqua" w:hAnsi="Book Antiqua" w:cs="Times New Roman"/>
          <w:color w:val="auto"/>
          <w:sz w:val="24"/>
          <w:szCs w:val="24"/>
          <w:lang w:val="en-US"/>
        </w:rPr>
        <w:t xml:space="preserve"> of CgA levels by Everolimus can be used as a surrogate marker of PFS in this setting</w:t>
      </w:r>
      <w:r w:rsidR="002761FD" w:rsidRPr="005F2615">
        <w:rPr>
          <w:rStyle w:val="A00"/>
          <w:rFonts w:ascii="Book Antiqua" w:hAnsi="Book Antiqua" w:cs="Times New Roman"/>
          <w:color w:val="auto"/>
          <w:sz w:val="24"/>
          <w:szCs w:val="24"/>
          <w:vertAlign w:val="superscript"/>
          <w:lang w:val="en-US"/>
        </w:rPr>
        <w:t>[37]</w:t>
      </w:r>
      <w:r w:rsidRPr="005F2615">
        <w:rPr>
          <w:rStyle w:val="A00"/>
          <w:rFonts w:ascii="Book Antiqua" w:hAnsi="Book Antiqua" w:cs="Times New Roman"/>
          <w:color w:val="auto"/>
          <w:sz w:val="24"/>
          <w:szCs w:val="24"/>
          <w:lang w:val="en-US"/>
        </w:rPr>
        <w:t>. To our knowledge, no such data exist for patients with GEP-NETs treated with Sunitinib.</w:t>
      </w:r>
    </w:p>
    <w:p w14:paraId="2BCD8B4E" w14:textId="405B4315" w:rsidR="00637FF0" w:rsidRPr="005F2615" w:rsidRDefault="004F7101" w:rsidP="00B20923">
      <w:pPr>
        <w:autoSpaceDE w:val="0"/>
        <w:autoSpaceDN w:val="0"/>
        <w:adjustRightInd w:val="0"/>
        <w:spacing w:after="0" w:line="360" w:lineRule="auto"/>
        <w:ind w:firstLineChars="100" w:firstLine="240"/>
        <w:jc w:val="both"/>
        <w:rPr>
          <w:rStyle w:val="A00"/>
          <w:rFonts w:ascii="Book Antiqua" w:hAnsi="Book Antiqua" w:cs="Times New Roman"/>
          <w:color w:val="auto"/>
          <w:sz w:val="24"/>
          <w:szCs w:val="24"/>
          <w:lang w:val="en-US"/>
        </w:rPr>
      </w:pPr>
      <w:r w:rsidRPr="005F2615">
        <w:rPr>
          <w:rStyle w:val="A00"/>
          <w:rFonts w:ascii="Book Antiqua" w:hAnsi="Book Antiqua" w:cs="Times New Roman"/>
          <w:color w:val="auto"/>
          <w:sz w:val="24"/>
          <w:szCs w:val="24"/>
          <w:lang w:val="en-US"/>
        </w:rPr>
        <w:t>There is no doubt</w:t>
      </w:r>
      <w:r w:rsidR="005F2615">
        <w:rPr>
          <w:rStyle w:val="A00"/>
          <w:rFonts w:ascii="Book Antiqua" w:hAnsi="Book Antiqua" w:cs="Times New Roman"/>
          <w:color w:val="auto"/>
          <w:sz w:val="24"/>
          <w:szCs w:val="24"/>
          <w:lang w:val="en-US"/>
        </w:rPr>
        <w:t xml:space="preserve"> </w:t>
      </w:r>
      <w:r w:rsidR="00637FF0" w:rsidRPr="005F2615">
        <w:rPr>
          <w:rStyle w:val="A00"/>
          <w:rFonts w:ascii="Book Antiqua" w:hAnsi="Book Antiqua" w:cs="Times New Roman"/>
          <w:color w:val="auto"/>
          <w:sz w:val="24"/>
          <w:szCs w:val="24"/>
          <w:lang w:val="en-US"/>
        </w:rPr>
        <w:t>that due to the exist</w:t>
      </w:r>
      <w:r w:rsidRPr="005F2615">
        <w:rPr>
          <w:rStyle w:val="A00"/>
          <w:rFonts w:ascii="Book Antiqua" w:hAnsi="Book Antiqua" w:cs="Times New Roman"/>
          <w:color w:val="auto"/>
          <w:sz w:val="24"/>
          <w:szCs w:val="24"/>
          <w:lang w:val="en-US"/>
        </w:rPr>
        <w:t>ing data</w:t>
      </w:r>
      <w:r w:rsidR="00986366" w:rsidRPr="005F2615">
        <w:rPr>
          <w:rStyle w:val="A00"/>
          <w:rFonts w:ascii="Book Antiqua" w:hAnsi="Book Antiqua" w:cs="Times New Roman"/>
          <w:color w:val="auto"/>
          <w:sz w:val="24"/>
          <w:szCs w:val="24"/>
          <w:lang w:val="en-US"/>
        </w:rPr>
        <w:t>,</w:t>
      </w:r>
      <w:r w:rsidRPr="005F2615">
        <w:rPr>
          <w:rStyle w:val="A00"/>
          <w:rFonts w:ascii="Book Antiqua" w:hAnsi="Book Antiqua" w:cs="Times New Roman"/>
          <w:color w:val="auto"/>
          <w:sz w:val="24"/>
          <w:szCs w:val="24"/>
          <w:lang w:val="en-US"/>
        </w:rPr>
        <w:t xml:space="preserve"> </w:t>
      </w:r>
      <w:r w:rsidR="00A86ABB" w:rsidRPr="005F2615">
        <w:rPr>
          <w:rStyle w:val="A00"/>
          <w:rFonts w:ascii="Book Antiqua" w:hAnsi="Book Antiqua" w:cs="Times New Roman"/>
          <w:color w:val="auto"/>
          <w:sz w:val="24"/>
          <w:szCs w:val="24"/>
          <w:lang w:val="en-US"/>
        </w:rPr>
        <w:t>CgA</w:t>
      </w:r>
      <w:r w:rsidRPr="005F2615">
        <w:rPr>
          <w:rStyle w:val="A00"/>
          <w:rFonts w:ascii="Book Antiqua" w:hAnsi="Book Antiqua" w:cs="Times New Roman"/>
          <w:color w:val="auto"/>
          <w:sz w:val="24"/>
          <w:szCs w:val="24"/>
          <w:lang w:val="en-US"/>
        </w:rPr>
        <w:t xml:space="preserve"> role in NET diagnosis is strongly</w:t>
      </w:r>
      <w:r w:rsidR="00A86ABB" w:rsidRPr="005F2615">
        <w:rPr>
          <w:rStyle w:val="A00"/>
          <w:rFonts w:ascii="Book Antiqua" w:hAnsi="Book Antiqua" w:cs="Times New Roman"/>
          <w:color w:val="auto"/>
          <w:sz w:val="24"/>
          <w:szCs w:val="24"/>
          <w:lang w:val="en-US"/>
        </w:rPr>
        <w:t xml:space="preserve"> limited </w:t>
      </w:r>
      <w:r w:rsidRPr="005F2615">
        <w:rPr>
          <w:rStyle w:val="A00"/>
          <w:rFonts w:ascii="Book Antiqua" w:hAnsi="Book Antiqua" w:cs="Times New Roman"/>
          <w:color w:val="auto"/>
          <w:sz w:val="24"/>
          <w:szCs w:val="24"/>
          <w:lang w:val="en-US"/>
        </w:rPr>
        <w:t>and debated. Therefore, it</w:t>
      </w:r>
      <w:r w:rsidR="005F2615">
        <w:rPr>
          <w:rStyle w:val="A00"/>
          <w:rFonts w:ascii="Book Antiqua" w:hAnsi="Book Antiqua" w:cs="Times New Roman"/>
          <w:color w:val="auto"/>
          <w:sz w:val="24"/>
          <w:szCs w:val="24"/>
          <w:lang w:val="en-US"/>
        </w:rPr>
        <w:t xml:space="preserve"> </w:t>
      </w:r>
      <w:r w:rsidR="00A86ABB" w:rsidRPr="005F2615">
        <w:rPr>
          <w:rStyle w:val="A00"/>
          <w:rFonts w:ascii="Book Antiqua" w:hAnsi="Book Antiqua" w:cs="Times New Roman"/>
          <w:color w:val="auto"/>
          <w:sz w:val="24"/>
          <w:szCs w:val="24"/>
          <w:lang w:val="en-US"/>
        </w:rPr>
        <w:t xml:space="preserve">could not be </w:t>
      </w:r>
      <w:r w:rsidRPr="005F2615">
        <w:rPr>
          <w:rStyle w:val="A00"/>
          <w:rFonts w:ascii="Book Antiqua" w:hAnsi="Book Antiqua" w:cs="Times New Roman"/>
          <w:color w:val="auto"/>
          <w:sz w:val="24"/>
          <w:szCs w:val="24"/>
          <w:lang w:val="en-US"/>
        </w:rPr>
        <w:t xml:space="preserve">recommended and </w:t>
      </w:r>
      <w:r w:rsidR="00A86ABB" w:rsidRPr="005F2615">
        <w:rPr>
          <w:rStyle w:val="A00"/>
          <w:rFonts w:ascii="Book Antiqua" w:hAnsi="Book Antiqua" w:cs="Times New Roman"/>
          <w:color w:val="auto"/>
          <w:sz w:val="24"/>
          <w:szCs w:val="24"/>
          <w:lang w:val="en-US"/>
        </w:rPr>
        <w:t xml:space="preserve">applied in our daily clinical practice. </w:t>
      </w:r>
      <w:r w:rsidRPr="005F2615">
        <w:rPr>
          <w:rStyle w:val="A00"/>
          <w:rFonts w:ascii="Book Antiqua" w:hAnsi="Book Antiqua" w:cs="Times New Roman"/>
          <w:color w:val="auto"/>
          <w:sz w:val="24"/>
          <w:szCs w:val="24"/>
          <w:lang w:val="en-US"/>
        </w:rPr>
        <w:t>Moreover, i</w:t>
      </w:r>
      <w:r w:rsidR="00A86ABB" w:rsidRPr="005F2615">
        <w:rPr>
          <w:rStyle w:val="A00"/>
          <w:rFonts w:ascii="Book Antiqua" w:hAnsi="Book Antiqua" w:cs="Times New Roman"/>
          <w:color w:val="auto"/>
          <w:sz w:val="24"/>
          <w:szCs w:val="24"/>
          <w:lang w:val="en-US"/>
        </w:rPr>
        <w:t>t could be used</w:t>
      </w:r>
      <w:r w:rsidR="005F2615">
        <w:rPr>
          <w:rStyle w:val="A00"/>
          <w:rFonts w:ascii="Book Antiqua" w:hAnsi="Book Antiqua" w:cs="Times New Roman"/>
          <w:color w:val="auto"/>
          <w:sz w:val="24"/>
          <w:szCs w:val="24"/>
          <w:lang w:val="en-US"/>
        </w:rPr>
        <w:t xml:space="preserve"> </w:t>
      </w:r>
      <w:r w:rsidR="00A86ABB" w:rsidRPr="005F2615">
        <w:rPr>
          <w:rStyle w:val="A00"/>
          <w:rFonts w:ascii="Book Antiqua" w:hAnsi="Book Antiqua" w:cs="Times New Roman"/>
          <w:color w:val="auto"/>
          <w:sz w:val="24"/>
          <w:szCs w:val="24"/>
          <w:lang w:val="en-US"/>
        </w:rPr>
        <w:t>primarily</w:t>
      </w:r>
      <w:r w:rsidR="005F2615">
        <w:rPr>
          <w:rStyle w:val="A00"/>
          <w:rFonts w:ascii="Book Antiqua" w:hAnsi="Book Antiqua" w:cs="Times New Roman"/>
          <w:color w:val="auto"/>
          <w:sz w:val="24"/>
          <w:szCs w:val="24"/>
          <w:lang w:val="en-US"/>
        </w:rPr>
        <w:t xml:space="preserve"> </w:t>
      </w:r>
      <w:r w:rsidRPr="005F2615">
        <w:rPr>
          <w:rStyle w:val="A00"/>
          <w:rFonts w:ascii="Book Antiqua" w:hAnsi="Book Antiqua" w:cs="Times New Roman"/>
          <w:color w:val="auto"/>
          <w:sz w:val="24"/>
          <w:szCs w:val="24"/>
          <w:lang w:val="en-US"/>
        </w:rPr>
        <w:t>but with caution</w:t>
      </w:r>
      <w:r w:rsidR="00600ECC" w:rsidRPr="005F2615">
        <w:rPr>
          <w:rStyle w:val="A00"/>
          <w:rFonts w:ascii="Book Antiqua" w:hAnsi="Book Antiqua" w:cs="Times New Roman"/>
          <w:color w:val="auto"/>
          <w:sz w:val="24"/>
          <w:szCs w:val="24"/>
          <w:lang w:val="en-US"/>
        </w:rPr>
        <w:t>,</w:t>
      </w:r>
      <w:r w:rsidR="005F2615">
        <w:rPr>
          <w:rStyle w:val="A00"/>
          <w:rFonts w:ascii="Book Antiqua" w:hAnsi="Book Antiqua" w:cs="Times New Roman"/>
          <w:color w:val="auto"/>
          <w:sz w:val="24"/>
          <w:szCs w:val="24"/>
          <w:lang w:val="en-US"/>
        </w:rPr>
        <w:t xml:space="preserve"> </w:t>
      </w:r>
      <w:r w:rsidR="00A86ABB" w:rsidRPr="005F2615">
        <w:rPr>
          <w:rStyle w:val="A00"/>
          <w:rFonts w:ascii="Book Antiqua" w:hAnsi="Book Antiqua" w:cs="Times New Roman"/>
          <w:color w:val="auto"/>
          <w:sz w:val="24"/>
          <w:szCs w:val="24"/>
          <w:lang w:val="en-US"/>
        </w:rPr>
        <w:t>in NETs</w:t>
      </w:r>
      <w:r w:rsidR="005F2615">
        <w:rPr>
          <w:rStyle w:val="A00"/>
          <w:rFonts w:ascii="Book Antiqua" w:hAnsi="Book Antiqua" w:cs="Times New Roman"/>
          <w:color w:val="auto"/>
          <w:sz w:val="24"/>
          <w:szCs w:val="24"/>
          <w:lang w:val="en-US"/>
        </w:rPr>
        <w:t xml:space="preserve"> </w:t>
      </w:r>
      <w:r w:rsidR="00600ECC" w:rsidRPr="005F2615">
        <w:rPr>
          <w:rStyle w:val="A00"/>
          <w:rFonts w:ascii="Book Antiqua" w:hAnsi="Book Antiqua" w:cs="Times New Roman"/>
          <w:color w:val="auto"/>
          <w:sz w:val="24"/>
          <w:szCs w:val="24"/>
          <w:lang w:val="en-US"/>
        </w:rPr>
        <w:t>as a marker of therapy response</w:t>
      </w:r>
      <w:r w:rsidRPr="005F2615">
        <w:rPr>
          <w:rStyle w:val="A00"/>
          <w:rFonts w:ascii="Book Antiqua" w:hAnsi="Book Antiqua" w:cs="Times New Roman"/>
          <w:color w:val="auto"/>
          <w:sz w:val="24"/>
          <w:szCs w:val="24"/>
          <w:lang w:val="en-US"/>
        </w:rPr>
        <w:t>.</w:t>
      </w:r>
    </w:p>
    <w:p w14:paraId="6B3E2FD2" w14:textId="77777777" w:rsidR="00B20923" w:rsidRDefault="00B20923" w:rsidP="00B12312">
      <w:pPr>
        <w:spacing w:after="0" w:line="360" w:lineRule="auto"/>
        <w:jc w:val="both"/>
        <w:rPr>
          <w:rFonts w:ascii="Book Antiqua" w:hAnsi="Book Antiqua" w:cs="Times New Roman"/>
          <w:b/>
          <w:sz w:val="24"/>
          <w:szCs w:val="24"/>
          <w:lang w:val="en-US" w:eastAsia="zh-CN"/>
        </w:rPr>
      </w:pPr>
    </w:p>
    <w:p w14:paraId="1C51F344" w14:textId="11E72334" w:rsidR="000E4C3F" w:rsidRPr="00B20923" w:rsidRDefault="000E4C3F" w:rsidP="00B12312">
      <w:pPr>
        <w:spacing w:after="0" w:line="360" w:lineRule="auto"/>
        <w:jc w:val="both"/>
        <w:rPr>
          <w:rFonts w:ascii="Book Antiqua" w:hAnsi="Book Antiqua" w:cs="Times New Roman"/>
          <w:b/>
          <w:i/>
          <w:sz w:val="24"/>
          <w:szCs w:val="24"/>
          <w:lang w:val="en-US"/>
        </w:rPr>
      </w:pPr>
      <w:r w:rsidRPr="00B20923">
        <w:rPr>
          <w:rFonts w:ascii="Book Antiqua" w:hAnsi="Book Antiqua" w:cs="Times New Roman"/>
          <w:b/>
          <w:i/>
          <w:sz w:val="24"/>
          <w:szCs w:val="24"/>
          <w:lang w:val="en-US"/>
        </w:rPr>
        <w:t>Prostate cancer</w:t>
      </w:r>
    </w:p>
    <w:p w14:paraId="0EEE4076" w14:textId="75D87122" w:rsidR="000E4C3F" w:rsidRPr="005F2615" w:rsidRDefault="000E4C3F" w:rsidP="00B12312">
      <w:pPr>
        <w:spacing w:after="0" w:line="360" w:lineRule="auto"/>
        <w:jc w:val="both"/>
        <w:rPr>
          <w:rFonts w:ascii="Book Antiqua" w:hAnsi="Book Antiqua" w:cs="Times New Roman"/>
          <w:sz w:val="24"/>
          <w:szCs w:val="24"/>
          <w:lang w:val="en-US"/>
        </w:rPr>
      </w:pPr>
      <w:r w:rsidRPr="005F2615">
        <w:rPr>
          <w:rFonts w:ascii="Book Antiqua" w:hAnsi="Book Antiqua" w:cs="Times New Roman"/>
          <w:sz w:val="24"/>
          <w:szCs w:val="24"/>
          <w:lang w:val="en-US"/>
        </w:rPr>
        <w:t xml:space="preserve">CgA is excreted by the neuroendocrine cells that are dispersed throughout the prostatic gland. Neuroendocrine cells can be found in the normal prostate as well as in </w:t>
      </w:r>
      <w:r w:rsidR="00160A7C" w:rsidRPr="005F2615">
        <w:rPr>
          <w:rFonts w:ascii="Book Antiqua" w:hAnsi="Book Antiqua" w:cs="Times New Roman"/>
          <w:sz w:val="24"/>
          <w:szCs w:val="24"/>
          <w:lang w:val="en-US"/>
        </w:rPr>
        <w:t>benign</w:t>
      </w:r>
      <w:r w:rsidRPr="005F2615">
        <w:rPr>
          <w:rFonts w:ascii="Book Antiqua" w:hAnsi="Book Antiqua" w:cs="Times New Roman"/>
          <w:sz w:val="24"/>
          <w:szCs w:val="24"/>
          <w:lang w:val="en-US"/>
        </w:rPr>
        <w:t xml:space="preserve"> </w:t>
      </w:r>
      <w:r w:rsidR="00160A7C" w:rsidRPr="005F2615">
        <w:rPr>
          <w:rFonts w:ascii="Book Antiqua" w:hAnsi="Book Antiqua" w:cs="Times New Roman"/>
          <w:sz w:val="24"/>
          <w:szCs w:val="24"/>
          <w:lang w:val="en-US"/>
        </w:rPr>
        <w:t xml:space="preserve">prostate hyperplasia </w:t>
      </w:r>
      <w:r w:rsidRPr="005F2615">
        <w:rPr>
          <w:rFonts w:ascii="Book Antiqua" w:hAnsi="Book Antiqua" w:cs="Times New Roman"/>
          <w:sz w:val="24"/>
          <w:szCs w:val="24"/>
          <w:lang w:val="en-US"/>
        </w:rPr>
        <w:t>and in primary or metasta</w:t>
      </w:r>
      <w:r w:rsidR="00B20923">
        <w:rPr>
          <w:rFonts w:ascii="Book Antiqua" w:hAnsi="Book Antiqua" w:cs="Times New Roman"/>
          <w:sz w:val="24"/>
          <w:szCs w:val="24"/>
          <w:lang w:val="en-US"/>
        </w:rPr>
        <w:t>tic prostatic adenocarcinoma</w:t>
      </w:r>
      <w:r w:rsidR="004812ED" w:rsidRPr="005F2615">
        <w:rPr>
          <w:rFonts w:ascii="Book Antiqua" w:hAnsi="Book Antiqua" w:cs="Times New Roman"/>
          <w:sz w:val="24"/>
          <w:szCs w:val="24"/>
          <w:vertAlign w:val="superscript"/>
          <w:lang w:val="en-US"/>
        </w:rPr>
        <w:t>[3</w:t>
      </w:r>
      <w:r w:rsidR="006A6C5E" w:rsidRPr="005F2615">
        <w:rPr>
          <w:rFonts w:ascii="Book Antiqua" w:hAnsi="Book Antiqua" w:cs="Times New Roman"/>
          <w:sz w:val="24"/>
          <w:szCs w:val="24"/>
          <w:vertAlign w:val="superscript"/>
          <w:lang w:val="en-US"/>
        </w:rPr>
        <w:t>8</w:t>
      </w:r>
      <w:r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 xml:space="preserve">. In addition to CgA, neuroendocrine cells produce a variety of biogenic amines, such as </w:t>
      </w:r>
      <w:r w:rsidR="00C470F8" w:rsidRPr="005F2615">
        <w:rPr>
          <w:rFonts w:ascii="Book Antiqua" w:hAnsi="Book Antiqua" w:cs="Times New Roman"/>
          <w:sz w:val="24"/>
          <w:szCs w:val="24"/>
          <w:lang w:val="en-US"/>
        </w:rPr>
        <w:t>NSE</w:t>
      </w:r>
      <w:r w:rsidRPr="005F2615">
        <w:rPr>
          <w:rFonts w:ascii="Book Antiqua" w:hAnsi="Book Antiqua" w:cs="Times New Roman"/>
          <w:sz w:val="24"/>
          <w:szCs w:val="24"/>
          <w:lang w:val="en-US"/>
        </w:rPr>
        <w:t>, calcitonin and somatostatin. According to their degree of differentiation, prostatic malignant neuroendocrine cells may continue to produce those amines, though they differ in their morphology fr</w:t>
      </w:r>
      <w:r w:rsidR="00B20923">
        <w:rPr>
          <w:rFonts w:ascii="Book Antiqua" w:hAnsi="Book Antiqua" w:cs="Times New Roman"/>
          <w:sz w:val="24"/>
          <w:szCs w:val="24"/>
          <w:lang w:val="en-US"/>
        </w:rPr>
        <w:t>om their normal counterparts</w:t>
      </w:r>
      <w:r w:rsidR="004812ED" w:rsidRPr="005F2615">
        <w:rPr>
          <w:rFonts w:ascii="Book Antiqua" w:hAnsi="Book Antiqua" w:cs="Times New Roman"/>
          <w:sz w:val="24"/>
          <w:szCs w:val="24"/>
          <w:vertAlign w:val="superscript"/>
          <w:lang w:val="en-US"/>
        </w:rPr>
        <w:t>[</w:t>
      </w:r>
      <w:r w:rsidR="006A6C5E" w:rsidRPr="005F2615">
        <w:rPr>
          <w:rFonts w:ascii="Book Antiqua" w:hAnsi="Book Antiqua" w:cs="Times New Roman"/>
          <w:sz w:val="24"/>
          <w:szCs w:val="24"/>
          <w:vertAlign w:val="superscript"/>
          <w:lang w:val="en-US"/>
        </w:rPr>
        <w:t>39</w:t>
      </w:r>
      <w:r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w:t>
      </w:r>
    </w:p>
    <w:p w14:paraId="652BB0A7" w14:textId="34E3A585" w:rsidR="000E4C3F" w:rsidRPr="005F2615" w:rsidRDefault="000E4C3F" w:rsidP="00B20923">
      <w:pPr>
        <w:spacing w:after="0" w:line="360" w:lineRule="auto"/>
        <w:ind w:firstLineChars="100" w:firstLine="240"/>
        <w:jc w:val="both"/>
        <w:rPr>
          <w:rFonts w:ascii="Book Antiqua" w:hAnsi="Book Antiqua" w:cs="Times New Roman"/>
          <w:sz w:val="24"/>
          <w:szCs w:val="24"/>
          <w:lang w:val="en-US"/>
        </w:rPr>
      </w:pPr>
      <w:r w:rsidRPr="005F2615">
        <w:rPr>
          <w:rFonts w:ascii="Book Antiqua" w:hAnsi="Book Antiqua" w:cs="Times New Roman"/>
          <w:sz w:val="24"/>
          <w:szCs w:val="24"/>
          <w:lang w:val="en-US"/>
        </w:rPr>
        <w:t>Although not specific for prostate cancer, there is evidence that high levels of serum CgA are a marker of advanced disease, associated both with high</w:t>
      </w:r>
      <w:r w:rsidR="00B20923">
        <w:rPr>
          <w:rFonts w:ascii="Book Antiqua" w:hAnsi="Book Antiqua" w:cs="Times New Roman"/>
          <w:sz w:val="24"/>
          <w:szCs w:val="24"/>
          <w:lang w:val="en-US"/>
        </w:rPr>
        <w:t xml:space="preserve"> tumor grade and later stage</w:t>
      </w:r>
      <w:r w:rsidR="00045087" w:rsidRPr="005F2615">
        <w:rPr>
          <w:rFonts w:ascii="Book Antiqua" w:hAnsi="Book Antiqua" w:cs="Times New Roman"/>
          <w:sz w:val="24"/>
          <w:szCs w:val="24"/>
          <w:vertAlign w:val="superscript"/>
          <w:lang w:val="en-US"/>
        </w:rPr>
        <w:t>[4</w:t>
      </w:r>
      <w:r w:rsidR="006A6C5E" w:rsidRPr="005F2615">
        <w:rPr>
          <w:rFonts w:ascii="Book Antiqua" w:hAnsi="Book Antiqua" w:cs="Times New Roman"/>
          <w:sz w:val="24"/>
          <w:szCs w:val="24"/>
          <w:vertAlign w:val="superscript"/>
          <w:lang w:val="en-US"/>
        </w:rPr>
        <w:t>0</w:t>
      </w:r>
      <w:r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 xml:space="preserve">. High levels also characterize the shift from a disease responding to androgen deprivation therapies </w:t>
      </w:r>
      <w:r w:rsidR="00FE5952" w:rsidRPr="005F2615">
        <w:rPr>
          <w:rFonts w:ascii="Book Antiqua" w:hAnsi="Book Antiqua" w:cs="Times New Roman"/>
          <w:sz w:val="24"/>
          <w:szCs w:val="24"/>
          <w:lang w:val="en-US"/>
        </w:rPr>
        <w:t xml:space="preserve">(ADT) </w:t>
      </w:r>
      <w:r w:rsidRPr="005F2615">
        <w:rPr>
          <w:rFonts w:ascii="Book Antiqua" w:hAnsi="Book Antiqua" w:cs="Times New Roman"/>
          <w:sz w:val="24"/>
          <w:szCs w:val="24"/>
          <w:lang w:val="en-US"/>
        </w:rPr>
        <w:t>to an androgen-indepe</w:t>
      </w:r>
      <w:r w:rsidR="00B20923">
        <w:rPr>
          <w:rFonts w:ascii="Book Antiqua" w:hAnsi="Book Antiqua" w:cs="Times New Roman"/>
          <w:sz w:val="24"/>
          <w:szCs w:val="24"/>
          <w:lang w:val="en-US"/>
        </w:rPr>
        <w:t>ndent, aggressive malignancy</w:t>
      </w:r>
      <w:r w:rsidR="00045087" w:rsidRPr="005F2615">
        <w:rPr>
          <w:rFonts w:ascii="Book Antiqua" w:hAnsi="Book Antiqua" w:cs="Times New Roman"/>
          <w:sz w:val="24"/>
          <w:szCs w:val="24"/>
          <w:vertAlign w:val="superscript"/>
          <w:lang w:val="en-US"/>
        </w:rPr>
        <w:t>[4</w:t>
      </w:r>
      <w:r w:rsidR="006A6C5E" w:rsidRPr="005F2615">
        <w:rPr>
          <w:rFonts w:ascii="Book Antiqua" w:hAnsi="Book Antiqua" w:cs="Times New Roman"/>
          <w:sz w:val="24"/>
          <w:szCs w:val="24"/>
          <w:vertAlign w:val="superscript"/>
          <w:lang w:val="en-US"/>
        </w:rPr>
        <w:t>1</w:t>
      </w:r>
      <w:r w:rsidR="00503E5A" w:rsidRPr="005F2615">
        <w:rPr>
          <w:rFonts w:ascii="Book Antiqua" w:hAnsi="Book Antiqua" w:cs="Times New Roman"/>
          <w:sz w:val="24"/>
          <w:szCs w:val="24"/>
          <w:vertAlign w:val="superscript"/>
          <w:lang w:val="en-US"/>
        </w:rPr>
        <w:t>,4</w:t>
      </w:r>
      <w:r w:rsidR="006A6C5E" w:rsidRPr="005F2615">
        <w:rPr>
          <w:rFonts w:ascii="Book Antiqua" w:hAnsi="Book Antiqua" w:cs="Times New Roman"/>
          <w:sz w:val="24"/>
          <w:szCs w:val="24"/>
          <w:vertAlign w:val="superscript"/>
          <w:lang w:val="en-US"/>
        </w:rPr>
        <w:t>2</w:t>
      </w:r>
      <w:r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 Pathophysiologically, this is to be expected, since an increase in circulating CgA and NSE reflect tissue neuroendocrine differentiation. There is evidence that the degree of neuroendocrine differentiation increases with prostate cancer progression, and it has been suggested that it constitutes a major me</w:t>
      </w:r>
      <w:r w:rsidR="00045087" w:rsidRPr="005F2615">
        <w:rPr>
          <w:rFonts w:ascii="Book Antiqua" w:hAnsi="Book Antiqua" w:cs="Times New Roman"/>
          <w:sz w:val="24"/>
          <w:szCs w:val="24"/>
          <w:lang w:val="en-US"/>
        </w:rPr>
        <w:t>chanism of resistance to ADT</w:t>
      </w:r>
      <w:r w:rsidR="00045087" w:rsidRPr="005F2615">
        <w:rPr>
          <w:rFonts w:ascii="Book Antiqua" w:hAnsi="Book Antiqua" w:cs="Times New Roman"/>
          <w:sz w:val="24"/>
          <w:szCs w:val="24"/>
          <w:vertAlign w:val="superscript"/>
          <w:lang w:val="en-US"/>
        </w:rPr>
        <w:t>[</w:t>
      </w:r>
      <w:r w:rsidR="006A6C5E" w:rsidRPr="005F2615">
        <w:rPr>
          <w:rFonts w:ascii="Book Antiqua" w:hAnsi="Book Antiqua" w:cs="Times New Roman"/>
          <w:sz w:val="24"/>
          <w:szCs w:val="24"/>
          <w:vertAlign w:val="superscript"/>
          <w:lang w:val="en-US"/>
        </w:rPr>
        <w:t>38</w:t>
      </w:r>
      <w:r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 Neuroendocrine cells do not express androgen receptors, consequently they ar</w:t>
      </w:r>
      <w:r w:rsidR="00B20923">
        <w:rPr>
          <w:rFonts w:ascii="Book Antiqua" w:hAnsi="Book Antiqua" w:cs="Times New Roman"/>
          <w:sz w:val="24"/>
          <w:szCs w:val="24"/>
          <w:lang w:val="en-US"/>
        </w:rPr>
        <w:t>e not regulated by androgens</w:t>
      </w:r>
      <w:r w:rsidR="00503E5A" w:rsidRPr="005F2615">
        <w:rPr>
          <w:rFonts w:ascii="Book Antiqua" w:hAnsi="Book Antiqua" w:cs="Times New Roman"/>
          <w:sz w:val="24"/>
          <w:szCs w:val="24"/>
          <w:vertAlign w:val="superscript"/>
          <w:lang w:val="en-US"/>
        </w:rPr>
        <w:t>[4</w:t>
      </w:r>
      <w:r w:rsidR="006A6C5E" w:rsidRPr="005F2615">
        <w:rPr>
          <w:rFonts w:ascii="Book Antiqua" w:hAnsi="Book Antiqua" w:cs="Times New Roman"/>
          <w:sz w:val="24"/>
          <w:szCs w:val="24"/>
          <w:vertAlign w:val="superscript"/>
          <w:lang w:val="en-US"/>
        </w:rPr>
        <w:t>3</w:t>
      </w:r>
      <w:r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 xml:space="preserve">. </w:t>
      </w:r>
    </w:p>
    <w:p w14:paraId="5824E2F0" w14:textId="2091ED9E" w:rsidR="005D465C" w:rsidRDefault="000E4C3F" w:rsidP="00B20923">
      <w:pPr>
        <w:spacing w:after="0" w:line="360" w:lineRule="auto"/>
        <w:ind w:firstLineChars="100" w:firstLine="240"/>
        <w:jc w:val="both"/>
        <w:rPr>
          <w:rFonts w:ascii="Book Antiqua" w:hAnsi="Book Antiqua" w:cs="Times New Roman"/>
          <w:sz w:val="24"/>
          <w:szCs w:val="24"/>
          <w:lang w:val="en-US" w:eastAsia="zh-CN"/>
        </w:rPr>
      </w:pPr>
      <w:r w:rsidRPr="005F2615">
        <w:rPr>
          <w:rFonts w:ascii="Book Antiqua" w:hAnsi="Book Antiqua" w:cs="Times New Roman"/>
          <w:sz w:val="24"/>
          <w:szCs w:val="24"/>
          <w:lang w:val="en-US"/>
        </w:rPr>
        <w:t xml:space="preserve">There is also evidence that serum CgA, either alone or combined with serum PSA, may predict poor prognosis in </w:t>
      </w:r>
      <w:r w:rsidR="006D040E" w:rsidRPr="005F2615">
        <w:rPr>
          <w:rFonts w:ascii="Book Antiqua" w:hAnsi="Book Antiqua" w:cs="Times New Roman"/>
          <w:sz w:val="24"/>
          <w:szCs w:val="24"/>
          <w:lang w:val="en-US"/>
        </w:rPr>
        <w:t>castration-resistant prostate cancer</w:t>
      </w:r>
      <w:r w:rsidR="00B20923">
        <w:rPr>
          <w:rFonts w:ascii="Book Antiqua" w:hAnsi="Book Antiqua" w:cs="Times New Roman"/>
          <w:sz w:val="24"/>
          <w:szCs w:val="24"/>
          <w:lang w:val="en-US"/>
        </w:rPr>
        <w:t xml:space="preserve"> following endocrine therapy</w:t>
      </w:r>
      <w:r w:rsidR="00503E5A" w:rsidRPr="005F2615">
        <w:rPr>
          <w:rFonts w:ascii="Book Antiqua" w:hAnsi="Book Antiqua" w:cs="Times New Roman"/>
          <w:sz w:val="24"/>
          <w:szCs w:val="24"/>
          <w:vertAlign w:val="superscript"/>
          <w:lang w:val="en-US"/>
        </w:rPr>
        <w:t>[4</w:t>
      </w:r>
      <w:r w:rsidR="006A6C5E" w:rsidRPr="005F2615">
        <w:rPr>
          <w:rFonts w:ascii="Book Antiqua" w:hAnsi="Book Antiqua" w:cs="Times New Roman"/>
          <w:sz w:val="24"/>
          <w:szCs w:val="24"/>
          <w:vertAlign w:val="superscript"/>
          <w:lang w:val="en-US"/>
        </w:rPr>
        <w:t>4</w:t>
      </w:r>
      <w:r w:rsidR="00503E5A" w:rsidRPr="005F2615">
        <w:rPr>
          <w:rFonts w:ascii="Book Antiqua" w:hAnsi="Book Antiqua" w:cs="Times New Roman"/>
          <w:sz w:val="24"/>
          <w:szCs w:val="24"/>
          <w:vertAlign w:val="superscript"/>
          <w:lang w:val="en-US"/>
        </w:rPr>
        <w:t>-4</w:t>
      </w:r>
      <w:r w:rsidR="006A6C5E" w:rsidRPr="005F2615">
        <w:rPr>
          <w:rFonts w:ascii="Book Antiqua" w:hAnsi="Book Antiqua" w:cs="Times New Roman"/>
          <w:sz w:val="24"/>
          <w:szCs w:val="24"/>
          <w:vertAlign w:val="superscript"/>
          <w:lang w:val="en-US"/>
        </w:rPr>
        <w:t>6</w:t>
      </w:r>
      <w:r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 Moreover, circulating neuroendocrine peptides have been linked with angioge</w:t>
      </w:r>
      <w:r w:rsidR="00B20923">
        <w:rPr>
          <w:rFonts w:ascii="Book Antiqua" w:hAnsi="Book Antiqua" w:cs="Times New Roman"/>
          <w:sz w:val="24"/>
          <w:szCs w:val="24"/>
          <w:lang w:val="en-US"/>
        </w:rPr>
        <w:t>nesis and invasive potential</w:t>
      </w:r>
      <w:r w:rsidR="00045087" w:rsidRPr="005F2615">
        <w:rPr>
          <w:rFonts w:ascii="Book Antiqua" w:hAnsi="Book Antiqua" w:cs="Times New Roman"/>
          <w:sz w:val="24"/>
          <w:szCs w:val="24"/>
          <w:vertAlign w:val="superscript"/>
          <w:lang w:val="en-US"/>
        </w:rPr>
        <w:t>[</w:t>
      </w:r>
      <w:r w:rsidR="006A6C5E" w:rsidRPr="005F2615">
        <w:rPr>
          <w:rFonts w:ascii="Book Antiqua" w:hAnsi="Book Antiqua" w:cs="Times New Roman"/>
          <w:sz w:val="24"/>
          <w:szCs w:val="24"/>
          <w:vertAlign w:val="superscript"/>
          <w:lang w:val="en-US"/>
        </w:rPr>
        <w:t>39</w:t>
      </w:r>
      <w:r w:rsidR="00FE3492" w:rsidRPr="005F2615">
        <w:rPr>
          <w:rFonts w:ascii="Book Antiqua" w:hAnsi="Book Antiqua" w:cs="Times New Roman"/>
          <w:sz w:val="24"/>
          <w:szCs w:val="24"/>
          <w:vertAlign w:val="superscript"/>
          <w:lang w:val="en-US"/>
        </w:rPr>
        <w:t>,4</w:t>
      </w:r>
      <w:r w:rsidR="006A6C5E" w:rsidRPr="005F2615">
        <w:rPr>
          <w:rFonts w:ascii="Book Antiqua" w:hAnsi="Book Antiqua" w:cs="Times New Roman"/>
          <w:sz w:val="24"/>
          <w:szCs w:val="24"/>
          <w:vertAlign w:val="superscript"/>
          <w:lang w:val="en-US"/>
        </w:rPr>
        <w:t>7</w:t>
      </w:r>
      <w:r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 However, serum concentration of CgA and tissue IHC expression do not show robust correlation and CgA does not seem to positively correlate with treatment response to cytotoxic chemotherapy in metastatic prostate cancer with ne</w:t>
      </w:r>
      <w:r w:rsidR="00B20923">
        <w:rPr>
          <w:rFonts w:ascii="Book Antiqua" w:hAnsi="Book Antiqua" w:cs="Times New Roman"/>
          <w:sz w:val="24"/>
          <w:szCs w:val="24"/>
          <w:lang w:val="en-US"/>
        </w:rPr>
        <w:t>uroendocrine differentiation</w:t>
      </w:r>
      <w:r w:rsidR="00FE3492" w:rsidRPr="005F2615">
        <w:rPr>
          <w:rFonts w:ascii="Book Antiqua" w:hAnsi="Book Antiqua" w:cs="Times New Roman"/>
          <w:sz w:val="24"/>
          <w:szCs w:val="24"/>
          <w:vertAlign w:val="superscript"/>
          <w:lang w:val="en-US"/>
        </w:rPr>
        <w:t>[4</w:t>
      </w:r>
      <w:r w:rsidR="006A6C5E" w:rsidRPr="005F2615">
        <w:rPr>
          <w:rFonts w:ascii="Book Antiqua" w:hAnsi="Book Antiqua" w:cs="Times New Roman"/>
          <w:sz w:val="24"/>
          <w:szCs w:val="24"/>
          <w:vertAlign w:val="superscript"/>
          <w:lang w:val="en-US"/>
        </w:rPr>
        <w:t>8</w:t>
      </w:r>
      <w:r w:rsidRPr="005F2615">
        <w:rPr>
          <w:rFonts w:ascii="Book Antiqua" w:hAnsi="Book Antiqua" w:cs="Times New Roman"/>
          <w:sz w:val="24"/>
          <w:szCs w:val="24"/>
          <w:vertAlign w:val="superscript"/>
          <w:lang w:val="en-US"/>
        </w:rPr>
        <w:t>]</w:t>
      </w:r>
      <w:r w:rsidRPr="005F2615">
        <w:rPr>
          <w:rFonts w:ascii="Book Antiqua" w:hAnsi="Book Antiqua" w:cs="Times New Roman"/>
          <w:sz w:val="24"/>
          <w:szCs w:val="24"/>
          <w:lang w:val="en-US"/>
        </w:rPr>
        <w:t>.</w:t>
      </w:r>
    </w:p>
    <w:p w14:paraId="19557F7F" w14:textId="77777777" w:rsidR="00B20923" w:rsidRPr="005F2615" w:rsidRDefault="00B20923" w:rsidP="00B20923">
      <w:pPr>
        <w:spacing w:after="0" w:line="360" w:lineRule="auto"/>
        <w:ind w:firstLineChars="100" w:firstLine="240"/>
        <w:jc w:val="both"/>
        <w:rPr>
          <w:rFonts w:ascii="Book Antiqua" w:hAnsi="Book Antiqua" w:cs="Times New Roman"/>
          <w:sz w:val="24"/>
          <w:szCs w:val="24"/>
          <w:lang w:val="en-US" w:eastAsia="zh-CN"/>
        </w:rPr>
      </w:pPr>
    </w:p>
    <w:p w14:paraId="1A22FD16" w14:textId="0008EE5A" w:rsidR="000E4C3F" w:rsidRPr="00B20923" w:rsidRDefault="000E4C3F" w:rsidP="00B12312">
      <w:pPr>
        <w:spacing w:after="0" w:line="360" w:lineRule="auto"/>
        <w:jc w:val="both"/>
        <w:rPr>
          <w:rFonts w:ascii="Book Antiqua" w:hAnsi="Book Antiqua" w:cs="Times New Roman"/>
          <w:b/>
          <w:i/>
          <w:sz w:val="24"/>
          <w:szCs w:val="24"/>
          <w:lang w:val="en-GB"/>
        </w:rPr>
      </w:pPr>
      <w:r w:rsidRPr="00B20923">
        <w:rPr>
          <w:rFonts w:ascii="Book Antiqua" w:hAnsi="Book Antiqua" w:cs="Times New Roman"/>
          <w:b/>
          <w:i/>
          <w:sz w:val="24"/>
          <w:szCs w:val="24"/>
          <w:lang w:val="en-GB"/>
        </w:rPr>
        <w:t>MEN 1 syndrome</w:t>
      </w:r>
    </w:p>
    <w:p w14:paraId="4B53FE0C" w14:textId="145692AA" w:rsidR="000E4C3F" w:rsidRPr="005F2615" w:rsidRDefault="000E4C3F" w:rsidP="00B12312">
      <w:pPr>
        <w:spacing w:after="0" w:line="360" w:lineRule="auto"/>
        <w:jc w:val="both"/>
        <w:rPr>
          <w:rFonts w:ascii="Book Antiqua" w:hAnsi="Book Antiqua" w:cs="Times New Roman"/>
          <w:sz w:val="24"/>
          <w:szCs w:val="24"/>
          <w:lang w:val="en-GB"/>
        </w:rPr>
      </w:pPr>
      <w:r w:rsidRPr="005F2615">
        <w:rPr>
          <w:rFonts w:ascii="Book Antiqua" w:hAnsi="Book Antiqua" w:cs="Times New Roman"/>
          <w:sz w:val="24"/>
          <w:szCs w:val="24"/>
          <w:lang w:val="en-GB"/>
        </w:rPr>
        <w:t>Multiple Endocrine Neoplasia type 1 (MEN 1) is a rare hereditary autosomal dominant endocrine cancer syndrome, that is characterized by the develop</w:t>
      </w:r>
      <w:r w:rsidR="00F50C45" w:rsidRPr="005F2615">
        <w:rPr>
          <w:rFonts w:ascii="Book Antiqua" w:hAnsi="Book Antiqua" w:cs="Times New Roman"/>
          <w:sz w:val="24"/>
          <w:szCs w:val="24"/>
          <w:lang w:val="en-GB"/>
        </w:rPr>
        <w:t xml:space="preserve">ment of </w:t>
      </w:r>
      <w:r w:rsidR="00F50C45" w:rsidRPr="005F2615">
        <w:rPr>
          <w:rFonts w:ascii="Book Antiqua" w:hAnsi="Book Antiqua" w:cs="Times New Roman"/>
          <w:sz w:val="24"/>
          <w:szCs w:val="24"/>
          <w:lang w:val="en-GB"/>
        </w:rPr>
        <w:lastRenderedPageBreak/>
        <w:t>tumo</w:t>
      </w:r>
      <w:r w:rsidRPr="005F2615">
        <w:rPr>
          <w:rFonts w:ascii="Book Antiqua" w:hAnsi="Book Antiqua" w:cs="Times New Roman"/>
          <w:sz w:val="24"/>
          <w:szCs w:val="24"/>
          <w:lang w:val="en-GB"/>
        </w:rPr>
        <w:t>rs, both benign and malignant, in mult</w:t>
      </w:r>
      <w:r w:rsidR="00F50C45" w:rsidRPr="005F2615">
        <w:rPr>
          <w:rFonts w:ascii="Book Antiqua" w:hAnsi="Book Antiqua" w:cs="Times New Roman"/>
          <w:sz w:val="24"/>
          <w:szCs w:val="24"/>
          <w:lang w:val="en-GB"/>
        </w:rPr>
        <w:t xml:space="preserve">iple endocrine organs. The </w:t>
      </w:r>
      <w:r w:rsidR="00C7384E" w:rsidRPr="005F2615">
        <w:rPr>
          <w:rFonts w:ascii="Book Antiqua" w:hAnsi="Book Antiqua" w:cs="Times New Roman"/>
          <w:sz w:val="24"/>
          <w:szCs w:val="24"/>
          <w:lang w:val="en-GB"/>
        </w:rPr>
        <w:t>tumours</w:t>
      </w:r>
      <w:r w:rsidRPr="005F2615">
        <w:rPr>
          <w:rFonts w:ascii="Book Antiqua" w:hAnsi="Book Antiqua" w:cs="Times New Roman"/>
          <w:sz w:val="24"/>
          <w:szCs w:val="24"/>
          <w:lang w:val="en-GB"/>
        </w:rPr>
        <w:t xml:space="preserve"> most often appear in the parathyroid glands, in the endocrine cells dispersed throughout the gastroenteropancreatic (GEP) tract and in the anterior pituitary, though other endocrine and non-endocrine </w:t>
      </w:r>
      <w:r w:rsidR="00C7384E" w:rsidRPr="005F2615">
        <w:rPr>
          <w:rFonts w:ascii="Book Antiqua" w:hAnsi="Book Antiqua" w:cs="Times New Roman"/>
          <w:sz w:val="24"/>
          <w:szCs w:val="24"/>
          <w:lang w:val="en-GB"/>
        </w:rPr>
        <w:t>tumours</w:t>
      </w:r>
      <w:r w:rsidRPr="005F2615">
        <w:rPr>
          <w:rFonts w:ascii="Book Antiqua" w:hAnsi="Book Antiqua" w:cs="Times New Roman"/>
          <w:sz w:val="24"/>
          <w:szCs w:val="24"/>
          <w:lang w:val="en-GB"/>
        </w:rPr>
        <w:t xml:space="preserve"> have also been reported, namely adrenocortical and thyroid </w:t>
      </w:r>
      <w:r w:rsidR="00C7384E" w:rsidRPr="005F2615">
        <w:rPr>
          <w:rFonts w:ascii="Book Antiqua" w:hAnsi="Book Antiqua" w:cs="Times New Roman"/>
          <w:sz w:val="24"/>
          <w:szCs w:val="24"/>
          <w:lang w:val="en-GB"/>
        </w:rPr>
        <w:t>tumours</w:t>
      </w:r>
      <w:r w:rsidRPr="005F2615">
        <w:rPr>
          <w:rFonts w:ascii="Book Antiqua" w:hAnsi="Book Antiqua" w:cs="Times New Roman"/>
          <w:sz w:val="24"/>
          <w:szCs w:val="24"/>
          <w:lang w:val="en-GB"/>
        </w:rPr>
        <w:t>, visceral and cutaneous lipomas, meningiomas, facial angiofibromas and collagenomas, and thymic, gast</w:t>
      </w:r>
      <w:r w:rsidR="00437D93" w:rsidRPr="005F2615">
        <w:rPr>
          <w:rFonts w:ascii="Book Antiqua" w:hAnsi="Book Antiqua" w:cs="Times New Roman"/>
          <w:sz w:val="24"/>
          <w:szCs w:val="24"/>
          <w:lang w:val="en-GB"/>
        </w:rPr>
        <w:t>ric, and bronchial ca</w:t>
      </w:r>
      <w:r w:rsidR="00FB77B3">
        <w:rPr>
          <w:rFonts w:ascii="Book Antiqua" w:hAnsi="Book Antiqua" w:cs="Times New Roman"/>
          <w:sz w:val="24"/>
          <w:szCs w:val="24"/>
          <w:lang w:val="en-GB"/>
        </w:rPr>
        <w:t>rcinoids</w:t>
      </w:r>
      <w:r w:rsidR="00437D93" w:rsidRPr="005F2615">
        <w:rPr>
          <w:rFonts w:ascii="Book Antiqua" w:hAnsi="Book Antiqua" w:cs="Times New Roman"/>
          <w:sz w:val="24"/>
          <w:szCs w:val="24"/>
          <w:vertAlign w:val="superscript"/>
          <w:lang w:val="en-GB"/>
        </w:rPr>
        <w:t>[</w:t>
      </w:r>
      <w:r w:rsidR="006A6C5E" w:rsidRPr="005F2615">
        <w:rPr>
          <w:rFonts w:ascii="Book Antiqua" w:hAnsi="Book Antiqua" w:cs="Times New Roman"/>
          <w:sz w:val="24"/>
          <w:szCs w:val="24"/>
          <w:vertAlign w:val="superscript"/>
          <w:lang w:val="en-GB"/>
        </w:rPr>
        <w:t>49</w:t>
      </w:r>
      <w:r w:rsidRPr="005F2615">
        <w:rPr>
          <w:rFonts w:ascii="Book Antiqua" w:hAnsi="Book Antiqua" w:cs="Times New Roman"/>
          <w:sz w:val="24"/>
          <w:szCs w:val="24"/>
          <w:vertAlign w:val="superscript"/>
          <w:lang w:val="en-GB"/>
        </w:rPr>
        <w:t>]</w:t>
      </w:r>
      <w:r w:rsidRPr="005F2615">
        <w:rPr>
          <w:rFonts w:ascii="Book Antiqua" w:hAnsi="Book Antiqua" w:cs="Times New Roman"/>
          <w:sz w:val="24"/>
          <w:szCs w:val="24"/>
          <w:lang w:val="en-GB"/>
        </w:rPr>
        <w:t>.</w:t>
      </w:r>
    </w:p>
    <w:p w14:paraId="7045F004" w14:textId="686606F4" w:rsidR="000E4C3F" w:rsidRDefault="000E4C3F" w:rsidP="00FB77B3">
      <w:pPr>
        <w:spacing w:after="0" w:line="360" w:lineRule="auto"/>
        <w:ind w:firstLineChars="100" w:firstLine="240"/>
        <w:jc w:val="both"/>
        <w:rPr>
          <w:rFonts w:ascii="Book Antiqua" w:hAnsi="Book Antiqua" w:cs="Times New Roman"/>
          <w:sz w:val="24"/>
          <w:szCs w:val="24"/>
          <w:lang w:val="en-GB" w:eastAsia="zh-CN"/>
        </w:rPr>
      </w:pPr>
      <w:r w:rsidRPr="005F2615">
        <w:rPr>
          <w:rFonts w:ascii="Book Antiqua" w:hAnsi="Book Antiqua" w:cs="Times New Roman"/>
          <w:sz w:val="24"/>
          <w:szCs w:val="24"/>
          <w:lang w:val="en-GB"/>
        </w:rPr>
        <w:t>Several studies have assessed the role of CgA in demonstrating the presence of a GEP-NET in MEN 1 syndrome. It has been confirmed that abnormally elevated CgA levels are highly suggestive of both sporadi</w:t>
      </w:r>
      <w:r w:rsidR="00437D93" w:rsidRPr="005F2615">
        <w:rPr>
          <w:rFonts w:ascii="Book Antiqua" w:hAnsi="Book Antiqua" w:cs="Times New Roman"/>
          <w:sz w:val="24"/>
          <w:szCs w:val="24"/>
          <w:lang w:val="en-GB"/>
        </w:rPr>
        <w:t>c and MEN 1-related GEP-NETs</w:t>
      </w:r>
      <w:r w:rsidR="00A42A46" w:rsidRPr="005F2615">
        <w:rPr>
          <w:rFonts w:ascii="Book Antiqua" w:hAnsi="Book Antiqua" w:cs="Times New Roman"/>
          <w:sz w:val="24"/>
          <w:szCs w:val="24"/>
          <w:lang w:val="en-GB"/>
        </w:rPr>
        <w:t>.</w:t>
      </w:r>
      <w:r w:rsidR="00437D93" w:rsidRPr="005F2615">
        <w:rPr>
          <w:rFonts w:ascii="Book Antiqua" w:hAnsi="Book Antiqua" w:cs="Times New Roman"/>
          <w:sz w:val="24"/>
          <w:szCs w:val="24"/>
          <w:lang w:val="en-GB"/>
        </w:rPr>
        <w:t xml:space="preserve"> </w:t>
      </w:r>
      <w:r w:rsidRPr="005F2615">
        <w:rPr>
          <w:rFonts w:ascii="Book Antiqua" w:hAnsi="Book Antiqua" w:cs="Times New Roman"/>
          <w:sz w:val="24"/>
          <w:szCs w:val="24"/>
          <w:lang w:val="en-GB"/>
        </w:rPr>
        <w:t>The highest levels are observed in metastatic disease, especially when the metastases are located in the liver, and in functioning tumour</w:t>
      </w:r>
      <w:r w:rsidR="00FB77B3">
        <w:rPr>
          <w:rFonts w:ascii="Book Antiqua" w:hAnsi="Book Antiqua" w:cs="Times New Roman"/>
          <w:sz w:val="24"/>
          <w:szCs w:val="24"/>
          <w:lang w:val="en-GB"/>
        </w:rPr>
        <w:t>s, especially in gastrinomas</w:t>
      </w:r>
      <w:r w:rsidR="00437D93" w:rsidRPr="005F2615">
        <w:rPr>
          <w:rFonts w:ascii="Book Antiqua" w:hAnsi="Book Antiqua" w:cs="Times New Roman"/>
          <w:sz w:val="24"/>
          <w:szCs w:val="24"/>
          <w:vertAlign w:val="superscript"/>
          <w:lang w:val="en-GB"/>
        </w:rPr>
        <w:t>[5</w:t>
      </w:r>
      <w:r w:rsidR="00A42A46" w:rsidRPr="005F2615">
        <w:rPr>
          <w:rFonts w:ascii="Book Antiqua" w:hAnsi="Book Antiqua" w:cs="Times New Roman"/>
          <w:sz w:val="24"/>
          <w:szCs w:val="24"/>
          <w:vertAlign w:val="superscript"/>
          <w:lang w:val="en-GB"/>
        </w:rPr>
        <w:t>0</w:t>
      </w:r>
      <w:r w:rsidRPr="005F2615">
        <w:rPr>
          <w:rFonts w:ascii="Book Antiqua" w:hAnsi="Book Antiqua" w:cs="Times New Roman"/>
          <w:sz w:val="24"/>
          <w:szCs w:val="24"/>
          <w:vertAlign w:val="superscript"/>
          <w:lang w:val="en-GB"/>
        </w:rPr>
        <w:t>]</w:t>
      </w:r>
      <w:r w:rsidRPr="005F2615">
        <w:rPr>
          <w:rFonts w:ascii="Book Antiqua" w:hAnsi="Book Antiqua" w:cs="Times New Roman"/>
          <w:sz w:val="24"/>
          <w:szCs w:val="24"/>
          <w:lang w:val="en-GB"/>
        </w:rPr>
        <w:t>. In MEN 1 patients without biochemical or imaging evidence of GEP tumours, the data are scanty and conflicting. Some studies have reported increased CgA levels in 11</w:t>
      </w:r>
      <w:r w:rsidR="00FB77B3">
        <w:rPr>
          <w:rFonts w:ascii="Book Antiqua" w:hAnsi="Book Antiqua" w:cs="Times New Roman" w:hint="eastAsia"/>
          <w:sz w:val="24"/>
          <w:szCs w:val="24"/>
          <w:lang w:val="en-GB" w:eastAsia="zh-CN"/>
        </w:rPr>
        <w:t>%</w:t>
      </w:r>
      <w:r w:rsidRPr="005F2615">
        <w:rPr>
          <w:rFonts w:ascii="Book Antiqua" w:hAnsi="Book Antiqua" w:cs="Times New Roman"/>
          <w:sz w:val="24"/>
          <w:szCs w:val="24"/>
          <w:lang w:val="en-GB"/>
        </w:rPr>
        <w:t>-33% of patients with pituitary adenomas, bot</w:t>
      </w:r>
      <w:r w:rsidR="00FB77B3">
        <w:rPr>
          <w:rFonts w:ascii="Book Antiqua" w:hAnsi="Book Antiqua" w:cs="Times New Roman"/>
          <w:sz w:val="24"/>
          <w:szCs w:val="24"/>
          <w:lang w:val="en-GB"/>
        </w:rPr>
        <w:t>h secreting and non-functioning</w:t>
      </w:r>
      <w:r w:rsidRPr="005F2615">
        <w:rPr>
          <w:rFonts w:ascii="Book Antiqua" w:hAnsi="Book Antiqua" w:cs="Times New Roman"/>
          <w:sz w:val="24"/>
          <w:szCs w:val="24"/>
          <w:vertAlign w:val="superscript"/>
          <w:lang w:val="en-GB"/>
        </w:rPr>
        <w:t>[</w:t>
      </w:r>
      <w:r w:rsidR="00327AA1" w:rsidRPr="005F2615">
        <w:rPr>
          <w:rFonts w:ascii="Book Antiqua" w:hAnsi="Book Antiqua" w:cs="Times New Roman"/>
          <w:sz w:val="24"/>
          <w:szCs w:val="24"/>
          <w:vertAlign w:val="superscript"/>
          <w:lang w:val="en-GB"/>
        </w:rPr>
        <w:t>5</w:t>
      </w:r>
      <w:r w:rsidR="006A6C5E" w:rsidRPr="005F2615">
        <w:rPr>
          <w:rFonts w:ascii="Book Antiqua" w:hAnsi="Book Antiqua" w:cs="Times New Roman"/>
          <w:sz w:val="24"/>
          <w:szCs w:val="24"/>
          <w:vertAlign w:val="superscript"/>
          <w:lang w:val="en-GB"/>
        </w:rPr>
        <w:t>1</w:t>
      </w:r>
      <w:r w:rsidRPr="005F2615">
        <w:rPr>
          <w:rFonts w:ascii="Book Antiqua" w:hAnsi="Book Antiqua" w:cs="Times New Roman"/>
          <w:sz w:val="24"/>
          <w:szCs w:val="24"/>
          <w:vertAlign w:val="superscript"/>
          <w:lang w:val="en-GB"/>
        </w:rPr>
        <w:t>]</w:t>
      </w:r>
      <w:r w:rsidRPr="005F2615">
        <w:rPr>
          <w:rFonts w:ascii="Book Antiqua" w:hAnsi="Book Antiqua" w:cs="Times New Roman"/>
          <w:sz w:val="24"/>
          <w:szCs w:val="24"/>
          <w:lang w:val="en-GB"/>
        </w:rPr>
        <w:t>. In addition, conflicting data have been published regarding the relationship between CgA levels and hyperparathyroidism, either primary or i</w:t>
      </w:r>
      <w:r w:rsidR="00FB77B3">
        <w:rPr>
          <w:rFonts w:ascii="Book Antiqua" w:hAnsi="Book Antiqua" w:cs="Times New Roman"/>
          <w:sz w:val="24"/>
          <w:szCs w:val="24"/>
          <w:lang w:val="en-GB"/>
        </w:rPr>
        <w:t>n the context of MEN 1 syndrome</w:t>
      </w:r>
      <w:r w:rsidRPr="005F2615">
        <w:rPr>
          <w:rFonts w:ascii="Book Antiqua" w:hAnsi="Book Antiqua" w:cs="Times New Roman"/>
          <w:sz w:val="24"/>
          <w:szCs w:val="24"/>
          <w:vertAlign w:val="superscript"/>
          <w:lang w:val="en-GB"/>
        </w:rPr>
        <w:t>[</w:t>
      </w:r>
      <w:r w:rsidR="00327AA1" w:rsidRPr="005F2615">
        <w:rPr>
          <w:rFonts w:ascii="Book Antiqua" w:hAnsi="Book Antiqua" w:cs="Times New Roman"/>
          <w:sz w:val="24"/>
          <w:szCs w:val="24"/>
          <w:vertAlign w:val="superscript"/>
          <w:lang w:val="en-GB"/>
        </w:rPr>
        <w:t>5</w:t>
      </w:r>
      <w:r w:rsidR="006A6C5E" w:rsidRPr="005F2615">
        <w:rPr>
          <w:rFonts w:ascii="Book Antiqua" w:hAnsi="Book Antiqua" w:cs="Times New Roman"/>
          <w:sz w:val="24"/>
          <w:szCs w:val="24"/>
          <w:vertAlign w:val="superscript"/>
          <w:lang w:val="en-GB"/>
        </w:rPr>
        <w:t>2</w:t>
      </w:r>
      <w:r w:rsidRPr="005F2615">
        <w:rPr>
          <w:rFonts w:ascii="Book Antiqua" w:hAnsi="Book Antiqua" w:cs="Times New Roman"/>
          <w:sz w:val="24"/>
          <w:szCs w:val="24"/>
          <w:vertAlign w:val="superscript"/>
          <w:lang w:val="en-GB"/>
        </w:rPr>
        <w:t>]</w:t>
      </w:r>
      <w:r w:rsidRPr="005F2615">
        <w:rPr>
          <w:rFonts w:ascii="Book Antiqua" w:hAnsi="Book Antiqua" w:cs="Times New Roman"/>
          <w:sz w:val="24"/>
          <w:szCs w:val="24"/>
          <w:lang w:val="en-GB"/>
        </w:rPr>
        <w:t>. However, it appears that the generalised hyperplasia of the endocrine system, that occurs in MEN 1 syndrome, tends to lead to at least mildly elevated levels of circu</w:t>
      </w:r>
      <w:r w:rsidR="00A06FB6" w:rsidRPr="005F2615">
        <w:rPr>
          <w:rFonts w:ascii="Book Antiqua" w:hAnsi="Book Antiqua" w:cs="Times New Roman"/>
          <w:sz w:val="24"/>
          <w:szCs w:val="24"/>
          <w:lang w:val="en-GB"/>
        </w:rPr>
        <w:t>lating CgA, while markedly raised</w:t>
      </w:r>
      <w:r w:rsidRPr="005F2615">
        <w:rPr>
          <w:rFonts w:ascii="Book Antiqua" w:hAnsi="Book Antiqua" w:cs="Times New Roman"/>
          <w:sz w:val="24"/>
          <w:szCs w:val="24"/>
          <w:lang w:val="en-GB"/>
        </w:rPr>
        <w:t xml:space="preserve"> levels </w:t>
      </w:r>
      <w:r w:rsidR="00A06FB6" w:rsidRPr="005F2615">
        <w:rPr>
          <w:rFonts w:ascii="Book Antiqua" w:hAnsi="Book Antiqua" w:cs="Times New Roman"/>
          <w:sz w:val="24"/>
          <w:szCs w:val="24"/>
          <w:lang w:val="en-GB"/>
        </w:rPr>
        <w:t xml:space="preserve">may </w:t>
      </w:r>
      <w:r w:rsidRPr="005F2615">
        <w:rPr>
          <w:rFonts w:ascii="Book Antiqua" w:hAnsi="Book Antiqua" w:cs="Times New Roman"/>
          <w:sz w:val="24"/>
          <w:szCs w:val="24"/>
          <w:lang w:val="en-GB"/>
        </w:rPr>
        <w:t>indica</w:t>
      </w:r>
      <w:r w:rsidR="00FB77B3">
        <w:rPr>
          <w:rFonts w:ascii="Book Antiqua" w:hAnsi="Book Antiqua" w:cs="Times New Roman"/>
          <w:sz w:val="24"/>
          <w:szCs w:val="24"/>
          <w:lang w:val="en-GB"/>
        </w:rPr>
        <w:t>te the presence of a GEP-NET</w:t>
      </w:r>
      <w:r w:rsidR="00437D93" w:rsidRPr="005F2615">
        <w:rPr>
          <w:rFonts w:ascii="Book Antiqua" w:hAnsi="Book Antiqua" w:cs="Times New Roman"/>
          <w:sz w:val="24"/>
          <w:szCs w:val="24"/>
          <w:vertAlign w:val="superscript"/>
          <w:lang w:val="en-GB"/>
        </w:rPr>
        <w:t>[5</w:t>
      </w:r>
      <w:r w:rsidR="006A6C5E" w:rsidRPr="005F2615">
        <w:rPr>
          <w:rFonts w:ascii="Book Antiqua" w:hAnsi="Book Antiqua" w:cs="Times New Roman"/>
          <w:sz w:val="24"/>
          <w:szCs w:val="24"/>
          <w:vertAlign w:val="superscript"/>
          <w:lang w:val="en-GB"/>
        </w:rPr>
        <w:t>0</w:t>
      </w:r>
      <w:r w:rsidRPr="005F2615">
        <w:rPr>
          <w:rFonts w:ascii="Book Antiqua" w:hAnsi="Book Antiqua" w:cs="Times New Roman"/>
          <w:sz w:val="24"/>
          <w:szCs w:val="24"/>
          <w:vertAlign w:val="superscript"/>
          <w:lang w:val="en-GB"/>
        </w:rPr>
        <w:t>]</w:t>
      </w:r>
      <w:r w:rsidRPr="005F2615">
        <w:rPr>
          <w:rFonts w:ascii="Book Antiqua" w:hAnsi="Book Antiqua" w:cs="Times New Roman"/>
          <w:sz w:val="24"/>
          <w:szCs w:val="24"/>
          <w:lang w:val="en-GB"/>
        </w:rPr>
        <w:t xml:space="preserve">. </w:t>
      </w:r>
    </w:p>
    <w:p w14:paraId="2D25B973" w14:textId="77777777" w:rsidR="00FB77B3" w:rsidRPr="005F2615" w:rsidRDefault="00FB77B3" w:rsidP="00FB77B3">
      <w:pPr>
        <w:spacing w:after="0" w:line="360" w:lineRule="auto"/>
        <w:ind w:firstLineChars="100" w:firstLine="240"/>
        <w:jc w:val="both"/>
        <w:rPr>
          <w:rFonts w:ascii="Book Antiqua" w:hAnsi="Book Antiqua" w:cs="Times New Roman"/>
          <w:sz w:val="24"/>
          <w:szCs w:val="24"/>
          <w:lang w:val="en-GB" w:eastAsia="zh-CN"/>
        </w:rPr>
      </w:pPr>
    </w:p>
    <w:p w14:paraId="4615CB9B" w14:textId="1B483F74" w:rsidR="000E4C3F" w:rsidRPr="00FB77B3" w:rsidRDefault="000E4C3F" w:rsidP="00B12312">
      <w:pPr>
        <w:spacing w:after="0" w:line="360" w:lineRule="auto"/>
        <w:jc w:val="both"/>
        <w:rPr>
          <w:rFonts w:ascii="Book Antiqua" w:hAnsi="Book Antiqua" w:cs="Times New Roman"/>
          <w:b/>
          <w:i/>
          <w:sz w:val="24"/>
          <w:szCs w:val="24"/>
          <w:lang w:val="en-GB"/>
        </w:rPr>
      </w:pPr>
      <w:r w:rsidRPr="00FB77B3">
        <w:rPr>
          <w:rFonts w:ascii="Book Antiqua" w:hAnsi="Book Antiqua" w:cs="Times New Roman"/>
          <w:b/>
          <w:i/>
          <w:sz w:val="24"/>
          <w:szCs w:val="24"/>
          <w:lang w:val="en-GB"/>
        </w:rPr>
        <w:t>Hepatocellular carcinoma</w:t>
      </w:r>
    </w:p>
    <w:p w14:paraId="13A3FB0C" w14:textId="0F1ACF10" w:rsidR="00473ECD" w:rsidRDefault="000E4C3F" w:rsidP="00B12312">
      <w:pPr>
        <w:spacing w:after="0" w:line="360" w:lineRule="auto"/>
        <w:jc w:val="both"/>
        <w:rPr>
          <w:rFonts w:ascii="Book Antiqua" w:hAnsi="Book Antiqua" w:cs="Times New Roman"/>
          <w:sz w:val="24"/>
          <w:szCs w:val="24"/>
          <w:lang w:val="en-GB" w:eastAsia="zh-CN"/>
        </w:rPr>
      </w:pPr>
      <w:r w:rsidRPr="005F2615">
        <w:rPr>
          <w:rFonts w:ascii="Book Antiqua" w:hAnsi="Book Antiqua" w:cs="Times New Roman"/>
          <w:sz w:val="24"/>
          <w:szCs w:val="24"/>
          <w:lang w:val="en-GB"/>
        </w:rPr>
        <w:t>Hepatocellular carcinoma represents the most frequent complication and a major cause of death in patients wit</w:t>
      </w:r>
      <w:r w:rsidR="004B2AD8">
        <w:rPr>
          <w:rFonts w:ascii="Book Antiqua" w:hAnsi="Book Antiqua" w:cs="Times New Roman"/>
          <w:sz w:val="24"/>
          <w:szCs w:val="24"/>
          <w:lang w:val="en-GB"/>
        </w:rPr>
        <w:t>h cirrhosis of any aetiology</w:t>
      </w:r>
      <w:r w:rsidR="00340967" w:rsidRPr="005F2615">
        <w:rPr>
          <w:rFonts w:ascii="Book Antiqua" w:hAnsi="Book Antiqua" w:cs="Times New Roman"/>
          <w:sz w:val="24"/>
          <w:szCs w:val="24"/>
          <w:vertAlign w:val="superscript"/>
          <w:lang w:val="en-GB"/>
        </w:rPr>
        <w:t>[5</w:t>
      </w:r>
      <w:r w:rsidR="00BA7EE4" w:rsidRPr="005F2615">
        <w:rPr>
          <w:rFonts w:ascii="Book Antiqua" w:hAnsi="Book Antiqua" w:cs="Times New Roman"/>
          <w:sz w:val="24"/>
          <w:szCs w:val="24"/>
          <w:vertAlign w:val="superscript"/>
          <w:lang w:val="en-GB"/>
        </w:rPr>
        <w:t>3</w:t>
      </w:r>
      <w:r w:rsidRPr="005F2615">
        <w:rPr>
          <w:rFonts w:ascii="Book Antiqua" w:hAnsi="Book Antiqua" w:cs="Times New Roman"/>
          <w:sz w:val="24"/>
          <w:szCs w:val="24"/>
          <w:vertAlign w:val="superscript"/>
          <w:lang w:val="en-GB"/>
        </w:rPr>
        <w:t>]</w:t>
      </w:r>
      <w:r w:rsidRPr="005F2615">
        <w:rPr>
          <w:rFonts w:ascii="Book Antiqua" w:hAnsi="Book Antiqua" w:cs="Times New Roman"/>
          <w:sz w:val="24"/>
          <w:szCs w:val="24"/>
          <w:lang w:val="en-GB"/>
        </w:rPr>
        <w:t>. The most widely used biomarker for diagnosis and follow-up is AFP</w:t>
      </w:r>
      <w:r w:rsidR="00340967" w:rsidRPr="005F2615">
        <w:rPr>
          <w:rFonts w:ascii="Book Antiqua" w:hAnsi="Book Antiqua" w:cs="Times New Roman"/>
          <w:sz w:val="24"/>
          <w:szCs w:val="24"/>
          <w:vertAlign w:val="superscript"/>
          <w:lang w:val="en-GB"/>
        </w:rPr>
        <w:t>[5</w:t>
      </w:r>
      <w:r w:rsidR="00BA7EE4" w:rsidRPr="005F2615">
        <w:rPr>
          <w:rFonts w:ascii="Book Antiqua" w:hAnsi="Book Antiqua" w:cs="Times New Roman"/>
          <w:sz w:val="24"/>
          <w:szCs w:val="24"/>
          <w:vertAlign w:val="superscript"/>
          <w:lang w:val="en-GB"/>
        </w:rPr>
        <w:t>4</w:t>
      </w:r>
      <w:r w:rsidRPr="005F2615">
        <w:rPr>
          <w:rFonts w:ascii="Book Antiqua" w:hAnsi="Book Antiqua" w:cs="Times New Roman"/>
          <w:sz w:val="24"/>
          <w:szCs w:val="24"/>
          <w:vertAlign w:val="superscript"/>
          <w:lang w:val="en-GB"/>
        </w:rPr>
        <w:t>]</w:t>
      </w:r>
      <w:r w:rsidRPr="005F2615">
        <w:rPr>
          <w:rFonts w:ascii="Book Antiqua" w:hAnsi="Book Antiqua" w:cs="Times New Roman"/>
          <w:sz w:val="24"/>
          <w:szCs w:val="24"/>
          <w:lang w:val="en-GB"/>
        </w:rPr>
        <w:t>. CgA has been found elevated in patients with liver cirrhosis and in those with HCC</w:t>
      </w:r>
      <w:r w:rsidR="00340967" w:rsidRPr="005F2615">
        <w:rPr>
          <w:rFonts w:ascii="Book Antiqua" w:hAnsi="Book Antiqua" w:cs="Times New Roman"/>
          <w:sz w:val="24"/>
          <w:szCs w:val="24"/>
          <w:vertAlign w:val="superscript"/>
          <w:lang w:val="en-GB"/>
        </w:rPr>
        <w:t>[5</w:t>
      </w:r>
      <w:r w:rsidR="00BA7EE4" w:rsidRPr="005F2615">
        <w:rPr>
          <w:rFonts w:ascii="Book Antiqua" w:hAnsi="Book Antiqua" w:cs="Times New Roman"/>
          <w:sz w:val="24"/>
          <w:szCs w:val="24"/>
          <w:vertAlign w:val="superscript"/>
          <w:lang w:val="en-GB"/>
        </w:rPr>
        <w:t>5</w:t>
      </w:r>
      <w:r w:rsidR="00340967" w:rsidRPr="005F2615">
        <w:rPr>
          <w:rFonts w:ascii="Book Antiqua" w:hAnsi="Book Antiqua" w:cs="Times New Roman"/>
          <w:sz w:val="24"/>
          <w:szCs w:val="24"/>
          <w:vertAlign w:val="superscript"/>
          <w:lang w:val="en-GB"/>
        </w:rPr>
        <w:t>,5</w:t>
      </w:r>
      <w:r w:rsidR="00BA7EE4" w:rsidRPr="005F2615">
        <w:rPr>
          <w:rFonts w:ascii="Book Antiqua" w:hAnsi="Book Antiqua" w:cs="Times New Roman"/>
          <w:sz w:val="24"/>
          <w:szCs w:val="24"/>
          <w:vertAlign w:val="superscript"/>
          <w:lang w:val="en-GB"/>
        </w:rPr>
        <w:t>6</w:t>
      </w:r>
      <w:r w:rsidRPr="005F2615">
        <w:rPr>
          <w:rFonts w:ascii="Book Antiqua" w:hAnsi="Book Antiqua" w:cs="Times New Roman"/>
          <w:sz w:val="24"/>
          <w:szCs w:val="24"/>
          <w:vertAlign w:val="superscript"/>
          <w:lang w:val="en-GB"/>
        </w:rPr>
        <w:t>]</w:t>
      </w:r>
      <w:r w:rsidRPr="005F2615">
        <w:rPr>
          <w:rFonts w:ascii="Book Antiqua" w:hAnsi="Book Antiqua" w:cs="Times New Roman"/>
          <w:sz w:val="24"/>
          <w:szCs w:val="24"/>
          <w:lang w:val="en-GB"/>
        </w:rPr>
        <w:t>. However, its use as a diagnostic biomarker for the presence of HCC in the context of cirrhosis should be discouraged, since the levels of CgA have not been found to differ significant</w:t>
      </w:r>
      <w:r w:rsidR="00A06FB6" w:rsidRPr="005F2615">
        <w:rPr>
          <w:rFonts w:ascii="Book Antiqua" w:hAnsi="Book Antiqua" w:cs="Times New Roman"/>
          <w:sz w:val="24"/>
          <w:szCs w:val="24"/>
          <w:lang w:val="en-GB"/>
        </w:rPr>
        <w:t>ly between these two condition</w:t>
      </w:r>
      <w:r w:rsidR="00340967" w:rsidRPr="005F2615">
        <w:rPr>
          <w:rFonts w:ascii="Book Antiqua" w:hAnsi="Book Antiqua" w:cs="Times New Roman"/>
          <w:sz w:val="24"/>
          <w:szCs w:val="24"/>
          <w:lang w:val="en-GB"/>
        </w:rPr>
        <w:t>s</w:t>
      </w:r>
      <w:r w:rsidR="00340967" w:rsidRPr="005F2615">
        <w:rPr>
          <w:rFonts w:ascii="Book Antiqua" w:hAnsi="Book Antiqua" w:cs="Times New Roman"/>
          <w:sz w:val="24"/>
          <w:szCs w:val="24"/>
          <w:vertAlign w:val="superscript"/>
          <w:lang w:val="en-GB"/>
        </w:rPr>
        <w:t>[5</w:t>
      </w:r>
      <w:r w:rsidR="00BA7EE4" w:rsidRPr="005F2615">
        <w:rPr>
          <w:rFonts w:ascii="Book Antiqua" w:hAnsi="Book Antiqua" w:cs="Times New Roman"/>
          <w:sz w:val="24"/>
          <w:szCs w:val="24"/>
          <w:vertAlign w:val="superscript"/>
          <w:lang w:val="en-GB"/>
        </w:rPr>
        <w:t>4</w:t>
      </w:r>
      <w:r w:rsidRPr="005F2615">
        <w:rPr>
          <w:rFonts w:ascii="Book Antiqua" w:hAnsi="Book Antiqua" w:cs="Times New Roman"/>
          <w:sz w:val="24"/>
          <w:szCs w:val="24"/>
          <w:vertAlign w:val="superscript"/>
          <w:lang w:val="en-GB"/>
        </w:rPr>
        <w:t>]</w:t>
      </w:r>
      <w:r w:rsidRPr="005F2615">
        <w:rPr>
          <w:rFonts w:ascii="Book Antiqua" w:hAnsi="Book Antiqua" w:cs="Times New Roman"/>
          <w:sz w:val="24"/>
          <w:szCs w:val="24"/>
          <w:lang w:val="en-GB"/>
        </w:rPr>
        <w:t>. The prognostic meaning of CgA in HCC has yet to be elucidated.</w:t>
      </w:r>
    </w:p>
    <w:p w14:paraId="12863F7B" w14:textId="77777777" w:rsidR="004B2AD8" w:rsidRPr="005F2615" w:rsidRDefault="004B2AD8" w:rsidP="00B12312">
      <w:pPr>
        <w:spacing w:after="0" w:line="360" w:lineRule="auto"/>
        <w:jc w:val="both"/>
        <w:rPr>
          <w:rFonts w:ascii="Book Antiqua" w:hAnsi="Book Antiqua" w:cs="Times New Roman"/>
          <w:b/>
          <w:sz w:val="24"/>
          <w:szCs w:val="24"/>
          <w:lang w:val="en-US" w:eastAsia="zh-CN"/>
        </w:rPr>
      </w:pPr>
    </w:p>
    <w:p w14:paraId="14E2B8A7" w14:textId="3BC659AC" w:rsidR="00BE2552" w:rsidRPr="005F2615" w:rsidRDefault="004B2AD8" w:rsidP="00B12312">
      <w:pPr>
        <w:spacing w:after="0" w:line="360" w:lineRule="auto"/>
        <w:jc w:val="both"/>
        <w:rPr>
          <w:rFonts w:ascii="Book Antiqua" w:hAnsi="Book Antiqua" w:cs="Times New Roman"/>
          <w:b/>
          <w:sz w:val="24"/>
          <w:szCs w:val="24"/>
          <w:lang w:val="en-US"/>
        </w:rPr>
      </w:pPr>
      <w:r w:rsidRPr="005F2615">
        <w:rPr>
          <w:rFonts w:ascii="Book Antiqua" w:hAnsi="Book Antiqua" w:cs="Times New Roman"/>
          <w:b/>
          <w:sz w:val="24"/>
          <w:szCs w:val="24"/>
          <w:lang w:val="en-US"/>
        </w:rPr>
        <w:t>DISCUSSION</w:t>
      </w:r>
    </w:p>
    <w:p w14:paraId="58D2A879" w14:textId="11901159" w:rsidR="00D9726D" w:rsidRPr="005F2615" w:rsidRDefault="00D9726D" w:rsidP="00B12312">
      <w:pPr>
        <w:pStyle w:val="1"/>
        <w:spacing w:before="0" w:beforeAutospacing="0" w:after="0" w:afterAutospacing="0" w:line="360" w:lineRule="auto"/>
        <w:jc w:val="both"/>
        <w:rPr>
          <w:rFonts w:ascii="Book Antiqua" w:hAnsi="Book Antiqua"/>
          <w:b w:val="0"/>
          <w:sz w:val="24"/>
          <w:szCs w:val="24"/>
          <w:lang w:val="en-US"/>
        </w:rPr>
      </w:pPr>
      <w:r w:rsidRPr="005F2615">
        <w:rPr>
          <w:rFonts w:ascii="Book Antiqua" w:hAnsi="Book Antiqua"/>
          <w:b w:val="0"/>
          <w:sz w:val="24"/>
          <w:szCs w:val="24"/>
          <w:lang w:val="en-US"/>
        </w:rPr>
        <w:t>The extent of the physiological functions of CgA indicates its potential role as a biomarker in a wide spectrum of benign and malignant diseases</w:t>
      </w:r>
      <w:r w:rsidR="005F2615">
        <w:rPr>
          <w:rFonts w:ascii="Book Antiqua" w:hAnsi="Book Antiqua"/>
          <w:b w:val="0"/>
          <w:sz w:val="24"/>
          <w:szCs w:val="24"/>
          <w:lang w:val="en-US"/>
        </w:rPr>
        <w:t xml:space="preserve"> </w:t>
      </w:r>
      <w:r w:rsidR="0011592C" w:rsidRPr="005F2615">
        <w:rPr>
          <w:rFonts w:ascii="Book Antiqua" w:hAnsi="Book Antiqua"/>
          <w:b w:val="0"/>
          <w:sz w:val="24"/>
          <w:szCs w:val="24"/>
          <w:lang w:val="en-US"/>
        </w:rPr>
        <w:t>(Table</w:t>
      </w:r>
      <w:r w:rsidR="000908D4">
        <w:rPr>
          <w:rFonts w:ascii="Book Antiqua" w:eastAsia="宋体" w:hAnsi="Book Antiqua" w:hint="eastAsia"/>
          <w:b w:val="0"/>
          <w:sz w:val="24"/>
          <w:szCs w:val="24"/>
          <w:lang w:val="en-US" w:eastAsia="zh-CN"/>
        </w:rPr>
        <w:t>s</w:t>
      </w:r>
      <w:r w:rsidR="00374518" w:rsidRPr="005F2615">
        <w:rPr>
          <w:rFonts w:ascii="Book Antiqua" w:hAnsi="Book Antiqua"/>
          <w:b w:val="0"/>
          <w:sz w:val="24"/>
          <w:szCs w:val="24"/>
          <w:lang w:val="en-US"/>
        </w:rPr>
        <w:t xml:space="preserve"> </w:t>
      </w:r>
      <w:r w:rsidR="00504103" w:rsidRPr="005F2615">
        <w:rPr>
          <w:rFonts w:ascii="Book Antiqua" w:hAnsi="Book Antiqua"/>
          <w:b w:val="0"/>
          <w:sz w:val="24"/>
          <w:szCs w:val="24"/>
          <w:lang w:val="en-US"/>
        </w:rPr>
        <w:t>1</w:t>
      </w:r>
      <w:r w:rsidR="000908D4">
        <w:rPr>
          <w:rFonts w:ascii="Book Antiqua" w:eastAsia="宋体" w:hAnsi="Book Antiqua" w:hint="eastAsia"/>
          <w:b w:val="0"/>
          <w:sz w:val="24"/>
          <w:szCs w:val="24"/>
          <w:lang w:val="en-US" w:eastAsia="zh-CN"/>
        </w:rPr>
        <w:t xml:space="preserve"> and</w:t>
      </w:r>
      <w:r w:rsidR="00374518" w:rsidRPr="005F2615">
        <w:rPr>
          <w:rFonts w:ascii="Book Antiqua" w:hAnsi="Book Antiqua"/>
          <w:b w:val="0"/>
          <w:sz w:val="24"/>
          <w:szCs w:val="24"/>
          <w:lang w:val="en-US"/>
        </w:rPr>
        <w:t xml:space="preserve"> </w:t>
      </w:r>
      <w:r w:rsidR="0011592C" w:rsidRPr="005F2615">
        <w:rPr>
          <w:rFonts w:ascii="Book Antiqua" w:hAnsi="Book Antiqua"/>
          <w:b w:val="0"/>
          <w:sz w:val="24"/>
          <w:szCs w:val="24"/>
          <w:lang w:val="en-US"/>
        </w:rPr>
        <w:t>2)</w:t>
      </w:r>
      <w:r w:rsidRPr="005F2615">
        <w:rPr>
          <w:rFonts w:ascii="Book Antiqua" w:hAnsi="Book Antiqua"/>
          <w:b w:val="0"/>
          <w:sz w:val="24"/>
          <w:szCs w:val="24"/>
          <w:lang w:val="en-US"/>
        </w:rPr>
        <w:t>. However, certain factors limit its usef</w:t>
      </w:r>
      <w:r w:rsidR="00A06FB6" w:rsidRPr="005F2615">
        <w:rPr>
          <w:rFonts w:ascii="Book Antiqua" w:hAnsi="Book Antiqua"/>
          <w:b w:val="0"/>
          <w:sz w:val="24"/>
          <w:szCs w:val="24"/>
          <w:lang w:val="en-US"/>
        </w:rPr>
        <w:t>ulness in only a</w:t>
      </w:r>
      <w:r w:rsidR="00F06F6B" w:rsidRPr="005F2615">
        <w:rPr>
          <w:rFonts w:ascii="Book Antiqua" w:hAnsi="Book Antiqua"/>
          <w:b w:val="0"/>
          <w:sz w:val="24"/>
          <w:szCs w:val="24"/>
          <w:lang w:val="en-US"/>
        </w:rPr>
        <w:t xml:space="preserve"> few.</w:t>
      </w:r>
      <w:r w:rsidR="00374518" w:rsidRPr="005F2615">
        <w:rPr>
          <w:rFonts w:ascii="Book Antiqua" w:hAnsi="Book Antiqua"/>
          <w:b w:val="0"/>
          <w:sz w:val="24"/>
          <w:szCs w:val="24"/>
          <w:lang w:val="en-US"/>
        </w:rPr>
        <w:t xml:space="preserve"> </w:t>
      </w:r>
      <w:r w:rsidR="00F06F6B" w:rsidRPr="005F2615">
        <w:rPr>
          <w:rFonts w:ascii="Book Antiqua" w:hAnsi="Book Antiqua"/>
          <w:b w:val="0"/>
          <w:sz w:val="24"/>
          <w:szCs w:val="24"/>
          <w:lang w:val="en-US"/>
        </w:rPr>
        <w:t>T</w:t>
      </w:r>
      <w:r w:rsidRPr="005F2615">
        <w:rPr>
          <w:rFonts w:ascii="Book Antiqua" w:hAnsi="Book Antiqua"/>
          <w:b w:val="0"/>
          <w:sz w:val="24"/>
          <w:szCs w:val="24"/>
          <w:lang w:val="en-US"/>
        </w:rPr>
        <w:t xml:space="preserve">here is a </w:t>
      </w:r>
      <w:r w:rsidR="00A06FB6" w:rsidRPr="005F2615">
        <w:rPr>
          <w:rFonts w:ascii="Book Antiqua" w:hAnsi="Book Antiqua"/>
          <w:b w:val="0"/>
          <w:sz w:val="24"/>
          <w:szCs w:val="24"/>
          <w:lang w:val="en-US"/>
        </w:rPr>
        <w:t>lack of prospective</w:t>
      </w:r>
      <w:r w:rsidRPr="005F2615">
        <w:rPr>
          <w:rFonts w:ascii="Book Antiqua" w:hAnsi="Book Antiqua"/>
          <w:b w:val="0"/>
          <w:sz w:val="24"/>
          <w:szCs w:val="24"/>
          <w:lang w:val="en-US"/>
        </w:rPr>
        <w:t xml:space="preserve"> studies that aim to evaluate its validity in the diagnosis and prognosis of spe</w:t>
      </w:r>
      <w:r w:rsidR="00A06FB6" w:rsidRPr="005F2615">
        <w:rPr>
          <w:rFonts w:ascii="Book Antiqua" w:hAnsi="Book Antiqua"/>
          <w:b w:val="0"/>
          <w:sz w:val="24"/>
          <w:szCs w:val="24"/>
          <w:lang w:val="en-US"/>
        </w:rPr>
        <w:t>cific conditions.</w:t>
      </w:r>
      <w:r w:rsidR="005F2615">
        <w:rPr>
          <w:rFonts w:ascii="Book Antiqua" w:hAnsi="Book Antiqua"/>
          <w:b w:val="0"/>
          <w:sz w:val="24"/>
          <w:szCs w:val="24"/>
          <w:lang w:val="en-US"/>
        </w:rPr>
        <w:t xml:space="preserve"> </w:t>
      </w:r>
    </w:p>
    <w:p w14:paraId="24960093" w14:textId="2B46C51D" w:rsidR="003872D2" w:rsidRPr="005F2615" w:rsidRDefault="003872D2" w:rsidP="000908D4">
      <w:pPr>
        <w:spacing w:after="0" w:line="360" w:lineRule="auto"/>
        <w:ind w:firstLineChars="100" w:firstLine="240"/>
        <w:jc w:val="both"/>
        <w:rPr>
          <w:rFonts w:ascii="Book Antiqua" w:hAnsi="Book Antiqua" w:cs="Times New Roman"/>
          <w:sz w:val="24"/>
          <w:szCs w:val="24"/>
          <w:lang w:val="en-US"/>
        </w:rPr>
      </w:pPr>
      <w:r w:rsidRPr="005F2615">
        <w:rPr>
          <w:rFonts w:ascii="Book Antiqua" w:hAnsi="Book Antiqua" w:cs="Times New Roman"/>
          <w:sz w:val="24"/>
          <w:szCs w:val="24"/>
          <w:lang w:val="en-US"/>
        </w:rPr>
        <w:t>Although limitations</w:t>
      </w:r>
      <w:r w:rsidR="00BE3D30" w:rsidRPr="005F2615">
        <w:rPr>
          <w:rFonts w:ascii="Book Antiqua" w:hAnsi="Book Antiqua" w:cs="Times New Roman"/>
          <w:sz w:val="24"/>
          <w:szCs w:val="24"/>
          <w:lang w:val="en-US"/>
        </w:rPr>
        <w:t xml:space="preserve"> exist</w:t>
      </w:r>
      <w:r w:rsidRPr="005F2615">
        <w:rPr>
          <w:rFonts w:ascii="Book Antiqua" w:hAnsi="Book Antiqua" w:cs="Times New Roman"/>
          <w:sz w:val="24"/>
          <w:szCs w:val="24"/>
          <w:lang w:val="en-US"/>
        </w:rPr>
        <w:t xml:space="preserve">, </w:t>
      </w:r>
      <w:r w:rsidR="00374518" w:rsidRPr="005F2615">
        <w:rPr>
          <w:rFonts w:ascii="Book Antiqua" w:hAnsi="Book Antiqua" w:cs="Times New Roman"/>
          <w:sz w:val="24"/>
          <w:szCs w:val="24"/>
          <w:lang w:val="en-US"/>
        </w:rPr>
        <w:t>CgA is the most studied</w:t>
      </w:r>
      <w:r w:rsidRPr="005F2615">
        <w:rPr>
          <w:rFonts w:ascii="Book Antiqua" w:hAnsi="Book Antiqua" w:cs="Times New Roman"/>
          <w:sz w:val="24"/>
          <w:szCs w:val="24"/>
          <w:lang w:val="en-US"/>
        </w:rPr>
        <w:t xml:space="preserve"> biomarker for GEP-NETs’ diagnosis and management. Clinicians should be aware of </w:t>
      </w:r>
      <w:r w:rsidR="00AD3604" w:rsidRPr="005F2615">
        <w:rPr>
          <w:rFonts w:ascii="Book Antiqua" w:hAnsi="Book Antiqua" w:cs="Times New Roman"/>
          <w:sz w:val="24"/>
          <w:szCs w:val="24"/>
          <w:lang w:val="en-US"/>
        </w:rPr>
        <w:t>the variation</w:t>
      </w:r>
      <w:r w:rsidRPr="005F2615">
        <w:rPr>
          <w:rFonts w:ascii="Book Antiqua" w:hAnsi="Book Antiqua" w:cs="Times New Roman"/>
          <w:sz w:val="24"/>
          <w:szCs w:val="24"/>
          <w:lang w:val="en-US"/>
        </w:rPr>
        <w:t xml:space="preserve"> of measurements by numerous physiologic and pathologic conditions, its limited predictive</w:t>
      </w:r>
      <w:r w:rsidR="00AD3604" w:rsidRPr="005F2615">
        <w:rPr>
          <w:rFonts w:ascii="Book Antiqua" w:hAnsi="Book Antiqua" w:cs="Times New Roman"/>
          <w:sz w:val="24"/>
          <w:szCs w:val="24"/>
          <w:lang w:val="en-US"/>
        </w:rPr>
        <w:t xml:space="preserve"> value and </w:t>
      </w:r>
      <w:r w:rsidRPr="005F2615">
        <w:rPr>
          <w:rFonts w:ascii="Book Antiqua" w:hAnsi="Book Antiqua" w:cs="Times New Roman"/>
          <w:sz w:val="24"/>
          <w:szCs w:val="24"/>
          <w:lang w:val="en-US"/>
        </w:rPr>
        <w:t>the modest sensitivity</w:t>
      </w:r>
      <w:r w:rsidR="0011592C" w:rsidRPr="005F2615">
        <w:rPr>
          <w:rFonts w:ascii="Book Antiqua" w:hAnsi="Book Antiqua" w:cs="Times New Roman"/>
          <w:sz w:val="24"/>
          <w:szCs w:val="24"/>
          <w:lang w:val="en-US"/>
        </w:rPr>
        <w:t xml:space="preserve"> (Table 3)</w:t>
      </w:r>
      <w:r w:rsidRPr="005F2615">
        <w:rPr>
          <w:rFonts w:ascii="Book Antiqua" w:hAnsi="Book Antiqua" w:cs="Times New Roman"/>
          <w:sz w:val="24"/>
          <w:szCs w:val="24"/>
          <w:lang w:val="en-US"/>
        </w:rPr>
        <w:t>. Moreover, data support that baseline CgA levels and changes during treatment are prognostic</w:t>
      </w:r>
      <w:r w:rsidR="00AD3604" w:rsidRPr="005F2615">
        <w:rPr>
          <w:rFonts w:ascii="Book Antiqua" w:hAnsi="Book Antiqua" w:cs="Times New Roman"/>
          <w:sz w:val="24"/>
          <w:szCs w:val="24"/>
          <w:lang w:val="en-US"/>
        </w:rPr>
        <w:t>.</w:t>
      </w:r>
      <w:r w:rsidRPr="005F2615">
        <w:rPr>
          <w:rFonts w:ascii="Book Antiqua" w:hAnsi="Book Antiqua" w:cs="Times New Roman"/>
          <w:sz w:val="24"/>
          <w:szCs w:val="24"/>
          <w:lang w:val="en-US"/>
        </w:rPr>
        <w:t xml:space="preserve"> </w:t>
      </w:r>
      <w:r w:rsidR="00091D4E" w:rsidRPr="005F2615">
        <w:rPr>
          <w:rFonts w:ascii="Book Antiqua" w:hAnsi="Book Antiqua" w:cs="Times New Roman"/>
          <w:sz w:val="24"/>
          <w:szCs w:val="24"/>
          <w:lang w:val="en-US"/>
        </w:rPr>
        <w:t xml:space="preserve">Even, </w:t>
      </w:r>
      <w:r w:rsidR="00091D4E" w:rsidRPr="005F2615">
        <w:rPr>
          <w:rFonts w:ascii="Book Antiqua" w:hAnsi="Book Antiqua"/>
          <w:sz w:val="24"/>
          <w:szCs w:val="24"/>
          <w:lang w:val="en-US"/>
        </w:rPr>
        <w:t>i</w:t>
      </w:r>
      <w:r w:rsidR="00A85340" w:rsidRPr="005F2615">
        <w:rPr>
          <w:rFonts w:ascii="Book Antiqua" w:hAnsi="Book Antiqua"/>
          <w:sz w:val="24"/>
          <w:szCs w:val="24"/>
          <w:lang w:val="en-US"/>
        </w:rPr>
        <w:t>ts specificity could be</w:t>
      </w:r>
      <w:r w:rsidR="005F2615">
        <w:rPr>
          <w:rFonts w:ascii="Book Antiqua" w:hAnsi="Book Antiqua"/>
          <w:sz w:val="24"/>
          <w:szCs w:val="24"/>
          <w:lang w:val="en-US"/>
        </w:rPr>
        <w:t xml:space="preserve"> </w:t>
      </w:r>
      <w:r w:rsidR="00A85340" w:rsidRPr="005F2615">
        <w:rPr>
          <w:rFonts w:ascii="Book Antiqua" w:hAnsi="Book Antiqua"/>
          <w:sz w:val="24"/>
          <w:szCs w:val="24"/>
          <w:lang w:val="en-US"/>
        </w:rPr>
        <w:t>heavily a</w:t>
      </w:r>
      <w:r w:rsidR="00091D4E" w:rsidRPr="005F2615">
        <w:rPr>
          <w:rFonts w:ascii="Book Antiqua" w:hAnsi="Book Antiqua"/>
          <w:sz w:val="24"/>
          <w:szCs w:val="24"/>
          <w:lang w:val="en-US"/>
        </w:rPr>
        <w:t>ffected by several benign</w:t>
      </w:r>
      <w:r w:rsidR="00A85340" w:rsidRPr="005F2615">
        <w:rPr>
          <w:rFonts w:ascii="Book Antiqua" w:hAnsi="Book Antiqua"/>
          <w:sz w:val="24"/>
          <w:szCs w:val="24"/>
          <w:lang w:val="en-US"/>
        </w:rPr>
        <w:t xml:space="preserve"> conditions,</w:t>
      </w:r>
      <w:r w:rsidR="005F2615">
        <w:rPr>
          <w:rFonts w:ascii="Book Antiqua" w:hAnsi="Book Antiqua"/>
          <w:sz w:val="24"/>
          <w:szCs w:val="24"/>
          <w:lang w:val="en-US"/>
        </w:rPr>
        <w:t xml:space="preserve"> </w:t>
      </w:r>
      <w:r w:rsidR="00A85340" w:rsidRPr="005F2615">
        <w:rPr>
          <w:rFonts w:ascii="Book Antiqua" w:hAnsi="Book Antiqua"/>
          <w:sz w:val="24"/>
          <w:szCs w:val="24"/>
          <w:lang w:val="en-US"/>
        </w:rPr>
        <w:t>also intrinsic features of the disease could be related with the high variability of CgA values</w:t>
      </w:r>
      <w:r w:rsidR="00C055FE" w:rsidRPr="005F2615">
        <w:rPr>
          <w:rFonts w:ascii="Book Antiqua" w:hAnsi="Book Antiqua"/>
          <w:sz w:val="24"/>
          <w:szCs w:val="24"/>
          <w:vertAlign w:val="superscript"/>
          <w:lang w:val="en-US"/>
        </w:rPr>
        <w:t>[63]</w:t>
      </w:r>
      <w:r w:rsidR="00A85340" w:rsidRPr="005F2615">
        <w:rPr>
          <w:rFonts w:ascii="Book Antiqua" w:hAnsi="Book Antiqua"/>
          <w:sz w:val="24"/>
          <w:szCs w:val="24"/>
          <w:lang w:val="en-US"/>
        </w:rPr>
        <w:t xml:space="preserve">. </w:t>
      </w:r>
      <w:r w:rsidR="00A85340" w:rsidRPr="005F2615">
        <w:rPr>
          <w:rFonts w:ascii="Book Antiqua" w:hAnsi="Book Antiqua" w:cs="Times New Roman"/>
          <w:sz w:val="24"/>
          <w:szCs w:val="24"/>
          <w:lang w:val="en-US"/>
        </w:rPr>
        <w:t>D</w:t>
      </w:r>
      <w:r w:rsidRPr="005F2615">
        <w:rPr>
          <w:rFonts w:ascii="Book Antiqua" w:hAnsi="Book Antiqua" w:cs="Times New Roman"/>
          <w:sz w:val="24"/>
          <w:szCs w:val="24"/>
          <w:lang w:val="en-US"/>
        </w:rPr>
        <w:t xml:space="preserve">iagnostic accuracy of CgA for GEP-NETs </w:t>
      </w:r>
      <w:r w:rsidR="000908D4">
        <w:rPr>
          <w:rFonts w:ascii="Book Antiqua" w:hAnsi="Book Antiqua" w:cs="Times New Roman"/>
          <w:sz w:val="24"/>
          <w:szCs w:val="24"/>
          <w:lang w:val="en-US"/>
        </w:rPr>
        <w:t xml:space="preserve">appear to be higher for well </w:t>
      </w:r>
      <w:r w:rsidR="000908D4" w:rsidRPr="000908D4">
        <w:rPr>
          <w:rFonts w:ascii="Book Antiqua" w:hAnsi="Book Antiqua" w:cs="Times New Roman"/>
          <w:i/>
          <w:sz w:val="24"/>
          <w:szCs w:val="24"/>
          <w:lang w:val="en-US"/>
        </w:rPr>
        <w:t>vs</w:t>
      </w:r>
      <w:r w:rsidRPr="005F2615">
        <w:rPr>
          <w:rFonts w:ascii="Book Antiqua" w:hAnsi="Book Antiqua" w:cs="Times New Roman"/>
          <w:sz w:val="24"/>
          <w:szCs w:val="24"/>
          <w:lang w:val="en-US"/>
        </w:rPr>
        <w:t xml:space="preserve"> poor</w:t>
      </w:r>
      <w:r w:rsidR="00BE3D30" w:rsidRPr="005F2615">
        <w:rPr>
          <w:rFonts w:ascii="Book Antiqua" w:hAnsi="Book Antiqua" w:cs="Times New Roman"/>
          <w:sz w:val="24"/>
          <w:szCs w:val="24"/>
          <w:lang w:val="en-US"/>
        </w:rPr>
        <w:t>ly</w:t>
      </w:r>
      <w:r w:rsidRPr="005F2615">
        <w:rPr>
          <w:rFonts w:ascii="Book Antiqua" w:hAnsi="Book Antiqua" w:cs="Times New Roman"/>
          <w:sz w:val="24"/>
          <w:szCs w:val="24"/>
          <w:lang w:val="en-US"/>
        </w:rPr>
        <w:t xml:space="preserve"> differ</w:t>
      </w:r>
      <w:r w:rsidR="00550C57">
        <w:rPr>
          <w:rFonts w:ascii="Book Antiqua" w:hAnsi="Book Antiqua" w:cs="Times New Roman"/>
          <w:sz w:val="24"/>
          <w:szCs w:val="24"/>
          <w:lang w:val="en-US"/>
        </w:rPr>
        <w:t xml:space="preserve">entiated tumors, functioning </w:t>
      </w:r>
      <w:r w:rsidR="00550C57" w:rsidRPr="00550C57">
        <w:rPr>
          <w:rFonts w:ascii="Book Antiqua" w:hAnsi="Book Antiqua" w:cs="Times New Roman"/>
          <w:i/>
          <w:sz w:val="24"/>
          <w:szCs w:val="24"/>
          <w:lang w:val="en-US"/>
        </w:rPr>
        <w:t>vs</w:t>
      </w:r>
      <w:r w:rsidRPr="005F2615">
        <w:rPr>
          <w:rFonts w:ascii="Book Antiqua" w:hAnsi="Book Antiqua" w:cs="Times New Roman"/>
          <w:sz w:val="24"/>
          <w:szCs w:val="24"/>
          <w:lang w:val="en-US"/>
        </w:rPr>
        <w:t xml:space="preserve"> non</w:t>
      </w:r>
      <w:r w:rsidR="00B93397">
        <w:rPr>
          <w:rFonts w:ascii="Book Antiqua" w:hAnsi="Book Antiqua" w:cs="Times New Roman" w:hint="eastAsia"/>
          <w:sz w:val="24"/>
          <w:szCs w:val="24"/>
          <w:lang w:val="en-US" w:eastAsia="zh-CN"/>
        </w:rPr>
        <w:t>-</w:t>
      </w:r>
      <w:r w:rsidRPr="005F2615">
        <w:rPr>
          <w:rFonts w:ascii="Book Antiqua" w:hAnsi="Book Antiqua" w:cs="Times New Roman"/>
          <w:sz w:val="24"/>
          <w:szCs w:val="24"/>
          <w:lang w:val="en-US"/>
        </w:rPr>
        <w:t xml:space="preserve">functioning, metastatic </w:t>
      </w:r>
      <w:r w:rsidR="000908D4" w:rsidRPr="000908D4">
        <w:rPr>
          <w:rFonts w:ascii="Book Antiqua" w:hAnsi="Book Antiqua" w:cs="Times New Roman"/>
          <w:i/>
          <w:sz w:val="24"/>
          <w:szCs w:val="24"/>
          <w:lang w:val="en-US"/>
        </w:rPr>
        <w:t>vs</w:t>
      </w:r>
      <w:r w:rsidRPr="005F2615">
        <w:rPr>
          <w:rFonts w:ascii="Book Antiqua" w:hAnsi="Book Antiqua" w:cs="Times New Roman"/>
          <w:sz w:val="24"/>
          <w:szCs w:val="24"/>
          <w:lang w:val="en-US"/>
        </w:rPr>
        <w:t xml:space="preserve"> locoregional disease. </w:t>
      </w:r>
      <w:r w:rsidR="00AD3604" w:rsidRPr="005F2615">
        <w:rPr>
          <w:rFonts w:ascii="Book Antiqua" w:hAnsi="Book Antiqua" w:cs="Times New Roman"/>
          <w:sz w:val="24"/>
          <w:szCs w:val="24"/>
          <w:lang w:val="en-US"/>
        </w:rPr>
        <w:t>There is no doubt that it is more reliable when used to evaluate response to therapy or disease progression than early diagnosis or recurrence.</w:t>
      </w:r>
    </w:p>
    <w:p w14:paraId="29A0E058" w14:textId="0F6D0262" w:rsidR="00DD0422" w:rsidRPr="005F2615" w:rsidRDefault="00DD0422" w:rsidP="000908D4">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F2615">
        <w:rPr>
          <w:rFonts w:ascii="Book Antiqua" w:hAnsi="Book Antiqua" w:cs="Times New Roman"/>
          <w:sz w:val="24"/>
          <w:szCs w:val="24"/>
          <w:lang w:val="en-US"/>
        </w:rPr>
        <w:t>It should be underlined that there are many assays and commercial kits available for CgA levels evaluation, thus very strict quality assurance and standardization should be used. In addition, CgA</w:t>
      </w:r>
      <w:r w:rsidR="005F2615">
        <w:rPr>
          <w:rFonts w:ascii="Book Antiqua" w:hAnsi="Book Antiqua" w:cs="Times New Roman"/>
          <w:sz w:val="24"/>
          <w:szCs w:val="24"/>
          <w:lang w:val="en-US"/>
        </w:rPr>
        <w:t xml:space="preserve"> </w:t>
      </w:r>
      <w:r w:rsidRPr="005F2615">
        <w:rPr>
          <w:rFonts w:ascii="Book Antiqua" w:hAnsi="Book Antiqua" w:cs="Times New Roman"/>
          <w:sz w:val="24"/>
          <w:szCs w:val="24"/>
          <w:lang w:val="en-US"/>
        </w:rPr>
        <w:t xml:space="preserve">evaluation is more convenient than </w:t>
      </w:r>
      <w:r w:rsidR="004B2D66" w:rsidRPr="005F2615">
        <w:rPr>
          <w:rFonts w:ascii="Book Antiqua" w:hAnsi="Book Antiqua" w:cs="Times New Roman"/>
          <w:sz w:val="24"/>
          <w:szCs w:val="24"/>
          <w:lang w:val="en-US"/>
        </w:rPr>
        <w:t>U5</w:t>
      </w:r>
      <w:r w:rsidRPr="005F2615">
        <w:rPr>
          <w:rFonts w:ascii="Book Antiqua" w:hAnsi="Book Antiqua" w:cs="Times New Roman"/>
          <w:sz w:val="24"/>
          <w:szCs w:val="24"/>
          <w:lang w:val="en-US"/>
        </w:rPr>
        <w:t>-HIAA, which requires a 24-h urine collection and</w:t>
      </w:r>
      <w:r w:rsidR="005F2615">
        <w:rPr>
          <w:rFonts w:ascii="Book Antiqua" w:hAnsi="Book Antiqua" w:cs="Times New Roman"/>
          <w:sz w:val="24"/>
          <w:szCs w:val="24"/>
          <w:lang w:val="en-US"/>
        </w:rPr>
        <w:t xml:space="preserve"> </w:t>
      </w:r>
      <w:r w:rsidRPr="005F2615">
        <w:rPr>
          <w:rFonts w:ascii="Book Antiqua" w:hAnsi="Book Antiqua" w:cs="Times New Roman"/>
          <w:sz w:val="24"/>
          <w:szCs w:val="24"/>
          <w:lang w:val="en-US"/>
        </w:rPr>
        <w:t>3 d before the collection a dietary abst</w:t>
      </w:r>
      <w:r w:rsidR="002946C4" w:rsidRPr="005F2615">
        <w:rPr>
          <w:rFonts w:ascii="Book Antiqua" w:hAnsi="Book Antiqua" w:cs="Times New Roman"/>
          <w:sz w:val="24"/>
          <w:szCs w:val="24"/>
          <w:lang w:val="en-US"/>
        </w:rPr>
        <w:t>inence</w:t>
      </w:r>
      <w:r w:rsidRPr="005F2615">
        <w:rPr>
          <w:rFonts w:ascii="Book Antiqua" w:hAnsi="Book Antiqua" w:cs="Times New Roman"/>
          <w:sz w:val="24"/>
          <w:szCs w:val="24"/>
          <w:lang w:val="en-US"/>
        </w:rPr>
        <w:t xml:space="preserve"> from </w:t>
      </w:r>
      <w:r w:rsidR="00AA4DED">
        <w:rPr>
          <w:rFonts w:ascii="Book Antiqua" w:hAnsi="Book Antiqua" w:cs="Times New Roman"/>
          <w:sz w:val="24"/>
          <w:szCs w:val="24"/>
          <w:lang w:val="en-US"/>
        </w:rPr>
        <w:t>tryptophan/serotonin-rich foods</w:t>
      </w:r>
      <w:r w:rsidRPr="005F2615">
        <w:rPr>
          <w:rFonts w:ascii="Book Antiqua" w:hAnsi="Book Antiqua" w:cs="Times New Roman"/>
          <w:sz w:val="24"/>
          <w:szCs w:val="24"/>
          <w:lang w:val="en-US"/>
        </w:rPr>
        <w:t xml:space="preserve">. </w:t>
      </w:r>
    </w:p>
    <w:p w14:paraId="1BCB5AC0" w14:textId="77777777" w:rsidR="00F06F6B" w:rsidRDefault="00D9726D" w:rsidP="000908D4">
      <w:pPr>
        <w:pStyle w:val="1"/>
        <w:spacing w:before="0" w:beforeAutospacing="0" w:after="0" w:afterAutospacing="0" w:line="360" w:lineRule="auto"/>
        <w:ind w:firstLineChars="100" w:firstLine="240"/>
        <w:jc w:val="both"/>
        <w:rPr>
          <w:rFonts w:ascii="Book Antiqua" w:eastAsia="宋体" w:hAnsi="Book Antiqua"/>
          <w:b w:val="0"/>
          <w:sz w:val="24"/>
          <w:szCs w:val="24"/>
          <w:lang w:val="en-US" w:eastAsia="zh-CN"/>
        </w:rPr>
      </w:pPr>
      <w:r w:rsidRPr="005F2615">
        <w:rPr>
          <w:rFonts w:ascii="Book Antiqua" w:hAnsi="Book Antiqua"/>
          <w:b w:val="0"/>
          <w:sz w:val="24"/>
          <w:szCs w:val="24"/>
          <w:lang w:val="en-US"/>
        </w:rPr>
        <w:t>Finally, in cancers where a biomarker is already in use, such as AFP in hepatocellular carcinoma or Ca 15-3 in breast cancer, CgA has not been proven to be of greater diagnostic and/or prognostic value than the currently used biomarker.</w:t>
      </w:r>
      <w:r w:rsidR="00F06F6B" w:rsidRPr="005F2615">
        <w:rPr>
          <w:rFonts w:ascii="Book Antiqua" w:hAnsi="Book Antiqua"/>
          <w:b w:val="0"/>
          <w:sz w:val="24"/>
          <w:szCs w:val="24"/>
          <w:lang w:val="en-US"/>
        </w:rPr>
        <w:t xml:space="preserve"> It also provides an indication for the presence of a strong component of neuroendocrine differentiation within an adenocarcinoma. That also applies to cases of prostatic adenocarcinoma that develop resistance to androgen deprivation therapy during the progression of the disease, as a result of the gradual shift of the tumor cells towards a neuroendocrine phenotype. The early recognition of that phenomenon may lead to an </w:t>
      </w:r>
      <w:r w:rsidR="00F06F6B" w:rsidRPr="005F2615">
        <w:rPr>
          <w:rFonts w:ascii="Book Antiqua" w:hAnsi="Book Antiqua"/>
          <w:b w:val="0"/>
          <w:sz w:val="24"/>
          <w:szCs w:val="24"/>
          <w:lang w:val="en-US"/>
        </w:rPr>
        <w:lastRenderedPageBreak/>
        <w:t>earlier change in the treatment strategy, which, in turn, may prove to provide clinical benefit. Moreover, it should be used with caution and only in comparison with other methods of determining the course of the disease, such as radiologic and histological evaluation, simply because there are not enough data to support its use as a single, stand-alone marker.</w:t>
      </w:r>
    </w:p>
    <w:p w14:paraId="0A6586B4" w14:textId="77777777" w:rsidR="000908D4" w:rsidRPr="000908D4" w:rsidRDefault="000908D4" w:rsidP="000908D4">
      <w:pPr>
        <w:pStyle w:val="1"/>
        <w:spacing w:before="0" w:beforeAutospacing="0" w:after="0" w:afterAutospacing="0" w:line="360" w:lineRule="auto"/>
        <w:ind w:firstLineChars="100" w:firstLine="240"/>
        <w:jc w:val="both"/>
        <w:rPr>
          <w:rFonts w:ascii="Book Antiqua" w:eastAsia="宋体" w:hAnsi="Book Antiqua"/>
          <w:b w:val="0"/>
          <w:sz w:val="24"/>
          <w:szCs w:val="24"/>
          <w:lang w:val="en-US" w:eastAsia="zh-CN"/>
        </w:rPr>
      </w:pPr>
    </w:p>
    <w:p w14:paraId="636535DD" w14:textId="433F27AB" w:rsidR="00F06F6B" w:rsidRPr="000908D4" w:rsidRDefault="000908D4" w:rsidP="00B12312">
      <w:pPr>
        <w:pStyle w:val="1"/>
        <w:spacing w:before="0" w:beforeAutospacing="0" w:after="0" w:afterAutospacing="0" w:line="360" w:lineRule="auto"/>
        <w:jc w:val="both"/>
        <w:rPr>
          <w:rFonts w:ascii="Book Antiqua" w:eastAsia="宋体" w:hAnsi="Book Antiqua"/>
          <w:sz w:val="24"/>
          <w:szCs w:val="24"/>
          <w:lang w:val="en-US" w:eastAsia="zh-CN"/>
        </w:rPr>
      </w:pPr>
      <w:r w:rsidRPr="005F2615">
        <w:rPr>
          <w:rFonts w:ascii="Book Antiqua" w:hAnsi="Book Antiqua"/>
          <w:sz w:val="24"/>
          <w:szCs w:val="24"/>
          <w:lang w:val="en-US"/>
        </w:rPr>
        <w:t>CON</w:t>
      </w:r>
      <w:r>
        <w:rPr>
          <w:rFonts w:ascii="Book Antiqua" w:hAnsi="Book Antiqua"/>
          <w:sz w:val="24"/>
          <w:szCs w:val="24"/>
          <w:lang w:val="en-US"/>
        </w:rPr>
        <w:t>CLUSION</w:t>
      </w:r>
    </w:p>
    <w:p w14:paraId="3CD04F61" w14:textId="77777777" w:rsidR="00473ECD" w:rsidRPr="005F2615" w:rsidRDefault="00473ECD" w:rsidP="00B12312">
      <w:pPr>
        <w:pStyle w:val="1"/>
        <w:spacing w:before="0" w:beforeAutospacing="0" w:after="0" w:afterAutospacing="0" w:line="360" w:lineRule="auto"/>
        <w:jc w:val="both"/>
        <w:rPr>
          <w:rFonts w:ascii="Book Antiqua" w:hAnsi="Book Antiqua"/>
          <w:b w:val="0"/>
          <w:sz w:val="24"/>
          <w:szCs w:val="24"/>
          <w:lang w:val="en-US"/>
        </w:rPr>
      </w:pPr>
      <w:r w:rsidRPr="005F2615">
        <w:rPr>
          <w:rFonts w:ascii="Book Antiqua" w:hAnsi="Book Antiqua"/>
          <w:b w:val="0"/>
          <w:sz w:val="24"/>
          <w:szCs w:val="24"/>
          <w:lang w:val="en-US"/>
        </w:rPr>
        <w:t>Due to the fact that NET symptoms could be vague, or even the disease course may be asymptomatic, diagnosis could be delayed for many years. There is an unmet need for the development of more sensitive, specific and reliable biomarkers for early diagnosis, prognosis and detection of early recurrence</w:t>
      </w:r>
      <w:r w:rsidR="003D6F29" w:rsidRPr="005F2615">
        <w:rPr>
          <w:rFonts w:ascii="Book Antiqua" w:hAnsi="Book Antiqua"/>
          <w:b w:val="0"/>
          <w:sz w:val="24"/>
          <w:szCs w:val="24"/>
          <w:lang w:val="en-US"/>
        </w:rPr>
        <w:t xml:space="preserve"> to these tumors</w:t>
      </w:r>
      <w:r w:rsidRPr="005F2615">
        <w:rPr>
          <w:rFonts w:ascii="Book Antiqua" w:hAnsi="Book Antiqua"/>
          <w:b w:val="0"/>
          <w:sz w:val="24"/>
          <w:szCs w:val="24"/>
          <w:lang w:val="en-US"/>
        </w:rPr>
        <w:t xml:space="preserve"> which comprise an extremely heterogeneous group. Multianalyte assays </w:t>
      </w:r>
      <w:r w:rsidR="003D6F29" w:rsidRPr="005F2615">
        <w:rPr>
          <w:rFonts w:ascii="Book Antiqua" w:hAnsi="Book Antiqua"/>
          <w:b w:val="0"/>
          <w:sz w:val="24"/>
          <w:szCs w:val="24"/>
          <w:lang w:val="en-US"/>
        </w:rPr>
        <w:t>focusing on novel analytes, such as microRNA, gene transcripts, and circulating tumor cells could be an interesting area for further research given the fact that is unlikely any singl</w:t>
      </w:r>
      <w:r w:rsidR="00DD0422" w:rsidRPr="005F2615">
        <w:rPr>
          <w:rFonts w:ascii="Book Antiqua" w:hAnsi="Book Antiqua"/>
          <w:b w:val="0"/>
          <w:sz w:val="24"/>
          <w:szCs w:val="24"/>
          <w:lang w:val="en-US"/>
        </w:rPr>
        <w:t>e marker</w:t>
      </w:r>
      <w:r w:rsidR="003D6F29" w:rsidRPr="005F2615">
        <w:rPr>
          <w:rFonts w:ascii="Book Antiqua" w:hAnsi="Book Antiqua"/>
          <w:b w:val="0"/>
          <w:sz w:val="24"/>
          <w:szCs w:val="24"/>
          <w:lang w:val="en-US"/>
        </w:rPr>
        <w:t xml:space="preserve"> to be effective. </w:t>
      </w:r>
    </w:p>
    <w:p w14:paraId="34BDA8AA" w14:textId="77777777" w:rsidR="00A86ABB" w:rsidRPr="00115850" w:rsidRDefault="00A86ABB" w:rsidP="00115850">
      <w:pPr>
        <w:pStyle w:val="1"/>
        <w:spacing w:before="0" w:beforeAutospacing="0" w:after="0" w:afterAutospacing="0" w:line="360" w:lineRule="auto"/>
        <w:jc w:val="both"/>
        <w:rPr>
          <w:rFonts w:ascii="Book Antiqua" w:eastAsia="宋体" w:hAnsi="Book Antiqua"/>
          <w:sz w:val="24"/>
          <w:szCs w:val="24"/>
          <w:lang w:val="en-US" w:eastAsia="zh-CN"/>
        </w:rPr>
      </w:pPr>
    </w:p>
    <w:p w14:paraId="312F8CD9" w14:textId="77777777" w:rsidR="00115850" w:rsidRDefault="00115850">
      <w:pPr>
        <w:rPr>
          <w:rFonts w:ascii="Book Antiqua" w:eastAsia="Times New Roman" w:hAnsi="Book Antiqua" w:cs="Times New Roman"/>
          <w:b/>
          <w:bCs/>
          <w:kern w:val="36"/>
          <w:sz w:val="24"/>
          <w:szCs w:val="24"/>
          <w:lang w:val="en-US" w:eastAsia="el-GR"/>
        </w:rPr>
      </w:pPr>
      <w:r>
        <w:rPr>
          <w:rFonts w:ascii="Book Antiqua" w:hAnsi="Book Antiqua"/>
          <w:sz w:val="24"/>
          <w:szCs w:val="24"/>
          <w:lang w:val="en-US"/>
        </w:rPr>
        <w:br w:type="page"/>
      </w:r>
    </w:p>
    <w:p w14:paraId="5EF9FE7A" w14:textId="0DC7485B" w:rsidR="00530034" w:rsidRPr="00115850" w:rsidRDefault="000908D4" w:rsidP="00115850">
      <w:pPr>
        <w:pStyle w:val="1"/>
        <w:spacing w:before="0" w:beforeAutospacing="0" w:after="0" w:afterAutospacing="0" w:line="360" w:lineRule="auto"/>
        <w:jc w:val="both"/>
        <w:rPr>
          <w:rFonts w:ascii="Book Antiqua" w:hAnsi="Book Antiqua"/>
          <w:sz w:val="24"/>
          <w:szCs w:val="24"/>
          <w:lang w:val="en-US"/>
        </w:rPr>
      </w:pPr>
      <w:r w:rsidRPr="00115850">
        <w:rPr>
          <w:rFonts w:ascii="Book Antiqua" w:hAnsi="Book Antiqua"/>
          <w:sz w:val="24"/>
          <w:szCs w:val="24"/>
          <w:lang w:val="en-US"/>
        </w:rPr>
        <w:lastRenderedPageBreak/>
        <w:t>REFERENCES</w:t>
      </w:r>
    </w:p>
    <w:p w14:paraId="154E44D5"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1 </w:t>
      </w:r>
      <w:r w:rsidRPr="00115850">
        <w:rPr>
          <w:rFonts w:ascii="Book Antiqua" w:hAnsi="Book Antiqua" w:cs="宋体"/>
          <w:b/>
          <w:bCs/>
          <w:sz w:val="24"/>
          <w:szCs w:val="24"/>
          <w:lang w:val="en-US" w:eastAsia="zh-CN"/>
        </w:rPr>
        <w:t>Taupenot L</w:t>
      </w:r>
      <w:r w:rsidRPr="00115850">
        <w:rPr>
          <w:rFonts w:ascii="Book Antiqua" w:hAnsi="Book Antiqua" w:cs="宋体"/>
          <w:sz w:val="24"/>
          <w:szCs w:val="24"/>
          <w:lang w:val="en-US" w:eastAsia="zh-CN"/>
        </w:rPr>
        <w:t xml:space="preserve">, Harper KL, O'Connor DT. The chromogranin-secretogranin family. </w:t>
      </w:r>
      <w:r w:rsidRPr="00115850">
        <w:rPr>
          <w:rFonts w:ascii="Book Antiqua" w:hAnsi="Book Antiqua" w:cs="宋体"/>
          <w:i/>
          <w:iCs/>
          <w:sz w:val="24"/>
          <w:szCs w:val="24"/>
          <w:lang w:val="en-US" w:eastAsia="zh-CN"/>
        </w:rPr>
        <w:t>N Engl J Med</w:t>
      </w:r>
      <w:r w:rsidRPr="00115850">
        <w:rPr>
          <w:rFonts w:ascii="Book Antiqua" w:hAnsi="Book Antiqua" w:cs="宋体"/>
          <w:sz w:val="24"/>
          <w:szCs w:val="24"/>
          <w:lang w:val="en-US" w:eastAsia="zh-CN"/>
        </w:rPr>
        <w:t xml:space="preserve"> 2003; </w:t>
      </w:r>
      <w:r w:rsidRPr="00115850">
        <w:rPr>
          <w:rFonts w:ascii="Book Antiqua" w:hAnsi="Book Antiqua" w:cs="宋体"/>
          <w:b/>
          <w:bCs/>
          <w:sz w:val="24"/>
          <w:szCs w:val="24"/>
          <w:lang w:val="en-US" w:eastAsia="zh-CN"/>
        </w:rPr>
        <w:t>348</w:t>
      </w:r>
      <w:r w:rsidRPr="00115850">
        <w:rPr>
          <w:rFonts w:ascii="Book Antiqua" w:hAnsi="Book Antiqua" w:cs="宋体"/>
          <w:sz w:val="24"/>
          <w:szCs w:val="24"/>
          <w:lang w:val="en-US" w:eastAsia="zh-CN"/>
        </w:rPr>
        <w:t>: 1134-1149 [PMID: 12646671 DOI: 10.1056/NEJMra021405]</w:t>
      </w:r>
    </w:p>
    <w:p w14:paraId="76B36715"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2 </w:t>
      </w:r>
      <w:r w:rsidRPr="00115850">
        <w:rPr>
          <w:rFonts w:ascii="Book Antiqua" w:hAnsi="Book Antiqua" w:cs="宋体"/>
          <w:b/>
          <w:bCs/>
          <w:sz w:val="24"/>
          <w:szCs w:val="24"/>
          <w:lang w:val="en-US" w:eastAsia="zh-CN"/>
        </w:rPr>
        <w:t>Eriksson B</w:t>
      </w:r>
      <w:r w:rsidRPr="00115850">
        <w:rPr>
          <w:rFonts w:ascii="Book Antiqua" w:hAnsi="Book Antiqua" w:cs="宋体"/>
          <w:sz w:val="24"/>
          <w:szCs w:val="24"/>
          <w:lang w:val="en-US" w:eastAsia="zh-CN"/>
        </w:rPr>
        <w:t xml:space="preserve">, Arnberg H, Oberg K, Hellman U, Lundqvist G, Wernstedt C, Wilander E. A polyclonal antiserum against chromogranin A and B--a new sensitive marker for neuroendocrine tumours. </w:t>
      </w:r>
      <w:r w:rsidRPr="00115850">
        <w:rPr>
          <w:rFonts w:ascii="Book Antiqua" w:hAnsi="Book Antiqua" w:cs="宋体"/>
          <w:i/>
          <w:iCs/>
          <w:sz w:val="24"/>
          <w:szCs w:val="24"/>
          <w:lang w:val="en-US" w:eastAsia="zh-CN"/>
        </w:rPr>
        <w:t xml:space="preserve">Acta Endocrinol </w:t>
      </w:r>
      <w:r w:rsidRPr="00115850">
        <w:rPr>
          <w:rFonts w:ascii="Book Antiqua" w:hAnsi="Book Antiqua" w:cs="宋体"/>
          <w:iCs/>
          <w:sz w:val="24"/>
          <w:szCs w:val="24"/>
          <w:lang w:val="en-US" w:eastAsia="zh-CN"/>
        </w:rPr>
        <w:t>(Copenh)</w:t>
      </w:r>
      <w:r w:rsidRPr="00115850">
        <w:rPr>
          <w:rFonts w:ascii="Book Antiqua" w:hAnsi="Book Antiqua" w:cs="宋体"/>
          <w:sz w:val="24"/>
          <w:szCs w:val="24"/>
          <w:lang w:val="en-US" w:eastAsia="zh-CN"/>
        </w:rPr>
        <w:t xml:space="preserve"> 1990; </w:t>
      </w:r>
      <w:r w:rsidRPr="00115850">
        <w:rPr>
          <w:rFonts w:ascii="Book Antiqua" w:hAnsi="Book Antiqua" w:cs="宋体"/>
          <w:b/>
          <w:bCs/>
          <w:sz w:val="24"/>
          <w:szCs w:val="24"/>
          <w:lang w:val="en-US" w:eastAsia="zh-CN"/>
        </w:rPr>
        <w:t>122</w:t>
      </w:r>
      <w:r w:rsidRPr="00115850">
        <w:rPr>
          <w:rFonts w:ascii="Book Antiqua" w:hAnsi="Book Antiqua" w:cs="宋体"/>
          <w:sz w:val="24"/>
          <w:szCs w:val="24"/>
          <w:lang w:val="en-US" w:eastAsia="zh-CN"/>
        </w:rPr>
        <w:t>: 145-155 [PMID: 2316306 DOI: 10.1530/acta.0.1220145]</w:t>
      </w:r>
    </w:p>
    <w:p w14:paraId="5B868A50"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3 </w:t>
      </w:r>
      <w:r w:rsidRPr="00115850">
        <w:rPr>
          <w:rFonts w:ascii="Book Antiqua" w:hAnsi="Book Antiqua" w:cs="宋体"/>
          <w:b/>
          <w:bCs/>
          <w:sz w:val="24"/>
          <w:szCs w:val="24"/>
          <w:lang w:val="en-US" w:eastAsia="zh-CN"/>
        </w:rPr>
        <w:t>Helle KB</w:t>
      </w:r>
      <w:r w:rsidRPr="00115850">
        <w:rPr>
          <w:rFonts w:ascii="Book Antiqua" w:hAnsi="Book Antiqua" w:cs="宋体"/>
          <w:sz w:val="24"/>
          <w:szCs w:val="24"/>
          <w:lang w:val="en-US" w:eastAsia="zh-CN"/>
        </w:rPr>
        <w:t xml:space="preserve">. Chromogranins A and B and secretogranin II as prohormones for regulatory peptides from the diffuse neuroendocrine system. </w:t>
      </w:r>
      <w:r w:rsidRPr="00115850">
        <w:rPr>
          <w:rFonts w:ascii="Book Antiqua" w:hAnsi="Book Antiqua" w:cs="宋体"/>
          <w:i/>
          <w:iCs/>
          <w:sz w:val="24"/>
          <w:szCs w:val="24"/>
          <w:lang w:val="en-US" w:eastAsia="zh-CN"/>
        </w:rPr>
        <w:t>Results Probl Cell Differ</w:t>
      </w:r>
      <w:r w:rsidRPr="00115850">
        <w:rPr>
          <w:rFonts w:ascii="Book Antiqua" w:hAnsi="Book Antiqua" w:cs="宋体"/>
          <w:sz w:val="24"/>
          <w:szCs w:val="24"/>
          <w:lang w:val="en-US" w:eastAsia="zh-CN"/>
        </w:rPr>
        <w:t xml:space="preserve"> 2010; </w:t>
      </w:r>
      <w:r w:rsidRPr="00115850">
        <w:rPr>
          <w:rFonts w:ascii="Book Antiqua" w:hAnsi="Book Antiqua" w:cs="宋体"/>
          <w:b/>
          <w:bCs/>
          <w:sz w:val="24"/>
          <w:szCs w:val="24"/>
          <w:lang w:val="en-US" w:eastAsia="zh-CN"/>
        </w:rPr>
        <w:t>50</w:t>
      </w:r>
      <w:r w:rsidRPr="00115850">
        <w:rPr>
          <w:rFonts w:ascii="Book Antiqua" w:hAnsi="Book Antiqua" w:cs="宋体"/>
          <w:sz w:val="24"/>
          <w:szCs w:val="24"/>
          <w:lang w:val="en-US" w:eastAsia="zh-CN"/>
        </w:rPr>
        <w:t>: 21-44 [PMID: 20217490 DOI: 10.1007/400_2009_26]</w:t>
      </w:r>
    </w:p>
    <w:p w14:paraId="5374F84D"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4 </w:t>
      </w:r>
      <w:r w:rsidRPr="00115850">
        <w:rPr>
          <w:rFonts w:ascii="Book Antiqua" w:hAnsi="Book Antiqua" w:cs="宋体"/>
          <w:b/>
          <w:bCs/>
          <w:sz w:val="24"/>
          <w:szCs w:val="24"/>
          <w:lang w:val="en-US" w:eastAsia="zh-CN"/>
        </w:rPr>
        <w:t>Campana D</w:t>
      </w:r>
      <w:r w:rsidRPr="00115850">
        <w:rPr>
          <w:rFonts w:ascii="Book Antiqua" w:hAnsi="Book Antiqua" w:cs="宋体"/>
          <w:sz w:val="24"/>
          <w:szCs w:val="24"/>
          <w:lang w:val="en-US" w:eastAsia="zh-CN"/>
        </w:rPr>
        <w:t xml:space="preserve">, Nori F, Piscitelli L, Morselli-Labate AM, Pezzilli R, Corinaldesi R, Tomassetti P. Chromogranin A: is it a useful marker of neuroendocrine tumors? </w:t>
      </w:r>
      <w:r w:rsidRPr="00115850">
        <w:rPr>
          <w:rFonts w:ascii="Book Antiqua" w:hAnsi="Book Antiqua" w:cs="宋体"/>
          <w:i/>
          <w:iCs/>
          <w:sz w:val="24"/>
          <w:szCs w:val="24"/>
          <w:lang w:val="en-US" w:eastAsia="zh-CN"/>
        </w:rPr>
        <w:t>J Clin Oncol</w:t>
      </w:r>
      <w:r w:rsidRPr="00115850">
        <w:rPr>
          <w:rFonts w:ascii="Book Antiqua" w:hAnsi="Book Antiqua" w:cs="宋体"/>
          <w:sz w:val="24"/>
          <w:szCs w:val="24"/>
          <w:lang w:val="en-US" w:eastAsia="zh-CN"/>
        </w:rPr>
        <w:t xml:space="preserve"> 2007; </w:t>
      </w:r>
      <w:r w:rsidRPr="00115850">
        <w:rPr>
          <w:rFonts w:ascii="Book Antiqua" w:hAnsi="Book Antiqua" w:cs="宋体"/>
          <w:b/>
          <w:bCs/>
          <w:sz w:val="24"/>
          <w:szCs w:val="24"/>
          <w:lang w:val="en-US" w:eastAsia="zh-CN"/>
        </w:rPr>
        <w:t>25</w:t>
      </w:r>
      <w:r w:rsidRPr="00115850">
        <w:rPr>
          <w:rFonts w:ascii="Book Antiqua" w:hAnsi="Book Antiqua" w:cs="宋体"/>
          <w:sz w:val="24"/>
          <w:szCs w:val="24"/>
          <w:lang w:val="en-US" w:eastAsia="zh-CN"/>
        </w:rPr>
        <w:t>: 1967-1973 [PMID: 17513802 DOI: 10.1200/JCO.2006.10.1535]</w:t>
      </w:r>
    </w:p>
    <w:p w14:paraId="496688A0"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5 </w:t>
      </w:r>
      <w:r w:rsidRPr="00115850">
        <w:rPr>
          <w:rFonts w:ascii="Book Antiqua" w:hAnsi="Book Antiqua" w:cs="宋体"/>
          <w:b/>
          <w:bCs/>
          <w:sz w:val="24"/>
          <w:szCs w:val="24"/>
          <w:lang w:val="en-US" w:eastAsia="zh-CN"/>
        </w:rPr>
        <w:t>Deftos LJ</w:t>
      </w:r>
      <w:r w:rsidRPr="00115850">
        <w:rPr>
          <w:rFonts w:ascii="Book Antiqua" w:hAnsi="Book Antiqua" w:cs="宋体"/>
          <w:sz w:val="24"/>
          <w:szCs w:val="24"/>
          <w:lang w:val="en-US" w:eastAsia="zh-CN"/>
        </w:rPr>
        <w:t xml:space="preserve">. Chromogranin A: its role in endocrine function and as an endocrine and neuroendocrine tumor marker. </w:t>
      </w:r>
      <w:r w:rsidRPr="00115850">
        <w:rPr>
          <w:rFonts w:ascii="Book Antiqua" w:hAnsi="Book Antiqua" w:cs="宋体"/>
          <w:i/>
          <w:iCs/>
          <w:sz w:val="24"/>
          <w:szCs w:val="24"/>
          <w:lang w:val="en-US" w:eastAsia="zh-CN"/>
        </w:rPr>
        <w:t>Endocr Rev</w:t>
      </w:r>
      <w:r w:rsidRPr="00115850">
        <w:rPr>
          <w:rFonts w:ascii="Book Antiqua" w:hAnsi="Book Antiqua" w:cs="宋体"/>
          <w:sz w:val="24"/>
          <w:szCs w:val="24"/>
          <w:lang w:val="en-US" w:eastAsia="zh-CN"/>
        </w:rPr>
        <w:t xml:space="preserve"> 1991; </w:t>
      </w:r>
      <w:r w:rsidRPr="00115850">
        <w:rPr>
          <w:rFonts w:ascii="Book Antiqua" w:hAnsi="Book Antiqua" w:cs="宋体"/>
          <w:b/>
          <w:bCs/>
          <w:sz w:val="24"/>
          <w:szCs w:val="24"/>
          <w:lang w:val="en-US" w:eastAsia="zh-CN"/>
        </w:rPr>
        <w:t>12</w:t>
      </w:r>
      <w:r w:rsidRPr="00115850">
        <w:rPr>
          <w:rFonts w:ascii="Book Antiqua" w:hAnsi="Book Antiqua" w:cs="宋体"/>
          <w:sz w:val="24"/>
          <w:szCs w:val="24"/>
          <w:lang w:val="en-US" w:eastAsia="zh-CN"/>
        </w:rPr>
        <w:t>: 181-187 [PMID: 2070778 DOI: 10.1210/edrv-12-2-181]</w:t>
      </w:r>
    </w:p>
    <w:p w14:paraId="7D94361E"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6 </w:t>
      </w:r>
      <w:r w:rsidRPr="00115850">
        <w:rPr>
          <w:rFonts w:ascii="Book Antiqua" w:hAnsi="Book Antiqua" w:cs="宋体"/>
          <w:b/>
          <w:bCs/>
          <w:sz w:val="24"/>
          <w:szCs w:val="24"/>
          <w:lang w:val="en-US" w:eastAsia="zh-CN"/>
        </w:rPr>
        <w:t>Murray SS</w:t>
      </w:r>
      <w:r w:rsidRPr="00115850">
        <w:rPr>
          <w:rFonts w:ascii="Book Antiqua" w:hAnsi="Book Antiqua" w:cs="宋体"/>
          <w:sz w:val="24"/>
          <w:szCs w:val="24"/>
          <w:lang w:val="en-US" w:eastAsia="zh-CN"/>
        </w:rPr>
        <w:t xml:space="preserve">, Deaven LL, Burton DW, O'Connor DI, Mellon PL, Deftos LJ. The gene for human chromogranin A (CgA) is located on chromosome 14. </w:t>
      </w:r>
      <w:r w:rsidRPr="00115850">
        <w:rPr>
          <w:rFonts w:ascii="Book Antiqua" w:hAnsi="Book Antiqua" w:cs="宋体"/>
          <w:i/>
          <w:iCs/>
          <w:sz w:val="24"/>
          <w:szCs w:val="24"/>
          <w:lang w:val="en-US" w:eastAsia="zh-CN"/>
        </w:rPr>
        <w:t>Biochem Biophys Res Commun</w:t>
      </w:r>
      <w:r w:rsidRPr="00115850">
        <w:rPr>
          <w:rFonts w:ascii="Book Antiqua" w:hAnsi="Book Antiqua" w:cs="宋体"/>
          <w:sz w:val="24"/>
          <w:szCs w:val="24"/>
          <w:lang w:val="en-US" w:eastAsia="zh-CN"/>
        </w:rPr>
        <w:t xml:space="preserve"> 1987; </w:t>
      </w:r>
      <w:r w:rsidRPr="00115850">
        <w:rPr>
          <w:rFonts w:ascii="Book Antiqua" w:hAnsi="Book Antiqua" w:cs="宋体"/>
          <w:b/>
          <w:bCs/>
          <w:sz w:val="24"/>
          <w:szCs w:val="24"/>
          <w:lang w:val="en-US" w:eastAsia="zh-CN"/>
        </w:rPr>
        <w:t>142</w:t>
      </w:r>
      <w:r w:rsidRPr="00115850">
        <w:rPr>
          <w:rFonts w:ascii="Book Antiqua" w:hAnsi="Book Antiqua" w:cs="宋体"/>
          <w:sz w:val="24"/>
          <w:szCs w:val="24"/>
          <w:lang w:val="en-US" w:eastAsia="zh-CN"/>
        </w:rPr>
        <w:t>: 141-146 [PMID: 3814131 DOI: 10.1016/0006-291X(87)90462-1]</w:t>
      </w:r>
    </w:p>
    <w:p w14:paraId="39ED0E7E" w14:textId="5504C2A0"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7 </w:t>
      </w:r>
      <w:r w:rsidRPr="00115850">
        <w:rPr>
          <w:rFonts w:ascii="Book Antiqua" w:hAnsi="Book Antiqua" w:cs="宋体"/>
          <w:b/>
          <w:bCs/>
          <w:sz w:val="24"/>
          <w:szCs w:val="24"/>
          <w:lang w:val="en-US" w:eastAsia="zh-CN"/>
        </w:rPr>
        <w:t>Lawrence B</w:t>
      </w:r>
      <w:r w:rsidRPr="00115850">
        <w:rPr>
          <w:rFonts w:ascii="Book Antiqua" w:hAnsi="Book Antiqua" w:cs="宋体"/>
          <w:sz w:val="24"/>
          <w:szCs w:val="24"/>
          <w:lang w:val="en-US" w:eastAsia="zh-CN"/>
        </w:rPr>
        <w:t xml:space="preserve">, Gustafsson BI, Kidd M, Pavel M, Svejda B, Modlin IM. The clinical relevance of chromogranin A as a biomarker for gastroenteropancreatic neuroendocrine tumors. </w:t>
      </w:r>
      <w:r w:rsidRPr="00115850">
        <w:rPr>
          <w:rFonts w:ascii="Book Antiqua" w:hAnsi="Book Antiqua" w:cs="宋体"/>
          <w:i/>
          <w:iCs/>
          <w:sz w:val="24"/>
          <w:szCs w:val="24"/>
          <w:lang w:val="en-US" w:eastAsia="zh-CN"/>
        </w:rPr>
        <w:t>Endocrinol Metab Clin North Am</w:t>
      </w:r>
      <w:r w:rsidRPr="00115850">
        <w:rPr>
          <w:rFonts w:ascii="Book Antiqua" w:hAnsi="Book Antiqua" w:cs="宋体"/>
          <w:sz w:val="24"/>
          <w:szCs w:val="24"/>
          <w:lang w:val="en-US" w:eastAsia="zh-CN"/>
        </w:rPr>
        <w:t xml:space="preserve"> 2011; </w:t>
      </w:r>
      <w:r w:rsidRPr="00115850">
        <w:rPr>
          <w:rFonts w:ascii="Book Antiqua" w:hAnsi="Book Antiqua" w:cs="宋体"/>
          <w:b/>
          <w:bCs/>
          <w:sz w:val="24"/>
          <w:szCs w:val="24"/>
          <w:lang w:val="en-US" w:eastAsia="zh-CN"/>
        </w:rPr>
        <w:t>40</w:t>
      </w:r>
      <w:r w:rsidRPr="00115850">
        <w:rPr>
          <w:rFonts w:ascii="Book Antiqua" w:hAnsi="Book Antiqua" w:cs="宋体"/>
          <w:sz w:val="24"/>
          <w:szCs w:val="24"/>
          <w:lang w:val="en-US" w:eastAsia="zh-CN"/>
        </w:rPr>
        <w:t>: 111-</w:t>
      </w:r>
      <w:r w:rsidR="00B93397">
        <w:rPr>
          <w:rFonts w:ascii="Book Antiqua" w:hAnsi="Book Antiqua" w:cs="宋体" w:hint="eastAsia"/>
          <w:sz w:val="24"/>
          <w:szCs w:val="24"/>
          <w:lang w:val="en-US" w:eastAsia="zh-CN"/>
        </w:rPr>
        <w:t>1</w:t>
      </w:r>
      <w:r w:rsidRPr="00115850">
        <w:rPr>
          <w:rFonts w:ascii="Book Antiqua" w:hAnsi="Book Antiqua" w:cs="宋体"/>
          <w:sz w:val="24"/>
          <w:szCs w:val="24"/>
          <w:lang w:val="en-US" w:eastAsia="zh-CN"/>
        </w:rPr>
        <w:t>34, viii [PMID: 21349414 DOI: 10.1016/j.ecl.2010.12.001]</w:t>
      </w:r>
    </w:p>
    <w:p w14:paraId="5651B956"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8 </w:t>
      </w:r>
      <w:r w:rsidRPr="00115850">
        <w:rPr>
          <w:rFonts w:ascii="Book Antiqua" w:hAnsi="Book Antiqua" w:cs="宋体"/>
          <w:b/>
          <w:bCs/>
          <w:sz w:val="24"/>
          <w:szCs w:val="24"/>
          <w:lang w:val="en-US" w:eastAsia="zh-CN"/>
        </w:rPr>
        <w:t>Goetze JP</w:t>
      </w:r>
      <w:r w:rsidRPr="00115850">
        <w:rPr>
          <w:rFonts w:ascii="Book Antiqua" w:hAnsi="Book Antiqua" w:cs="宋体"/>
          <w:sz w:val="24"/>
          <w:szCs w:val="24"/>
          <w:lang w:val="en-US" w:eastAsia="zh-CN"/>
        </w:rPr>
        <w:t xml:space="preserve">, Alehagen U, Flyvbjerg A, Rehfeld JF. Chromogranin A as a biomarker in cardiovascular disease. </w:t>
      </w:r>
      <w:r w:rsidRPr="00115850">
        <w:rPr>
          <w:rFonts w:ascii="Book Antiqua" w:hAnsi="Book Antiqua" w:cs="宋体"/>
          <w:i/>
          <w:iCs/>
          <w:sz w:val="24"/>
          <w:szCs w:val="24"/>
          <w:lang w:val="en-US" w:eastAsia="zh-CN"/>
        </w:rPr>
        <w:t>Biomark Med</w:t>
      </w:r>
      <w:r w:rsidRPr="00115850">
        <w:rPr>
          <w:rFonts w:ascii="Book Antiqua" w:hAnsi="Book Antiqua" w:cs="宋体"/>
          <w:sz w:val="24"/>
          <w:szCs w:val="24"/>
          <w:lang w:val="en-US" w:eastAsia="zh-CN"/>
        </w:rPr>
        <w:t xml:space="preserve"> 2014; </w:t>
      </w:r>
      <w:r w:rsidRPr="00115850">
        <w:rPr>
          <w:rFonts w:ascii="Book Antiqua" w:hAnsi="Book Antiqua" w:cs="宋体"/>
          <w:b/>
          <w:bCs/>
          <w:sz w:val="24"/>
          <w:szCs w:val="24"/>
          <w:lang w:val="en-US" w:eastAsia="zh-CN"/>
        </w:rPr>
        <w:t>8</w:t>
      </w:r>
      <w:r w:rsidRPr="00115850">
        <w:rPr>
          <w:rFonts w:ascii="Book Antiqua" w:hAnsi="Book Antiqua" w:cs="宋体"/>
          <w:sz w:val="24"/>
          <w:szCs w:val="24"/>
          <w:lang w:val="en-US" w:eastAsia="zh-CN"/>
        </w:rPr>
        <w:t>: 133-140 [PMID: 24325234 DOI: 10.2217/bmm.13.102]</w:t>
      </w:r>
    </w:p>
    <w:p w14:paraId="183FEF9D"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9 </w:t>
      </w:r>
      <w:r w:rsidRPr="00115850">
        <w:rPr>
          <w:rFonts w:ascii="Book Antiqua" w:hAnsi="Book Antiqua" w:cs="宋体"/>
          <w:b/>
          <w:bCs/>
          <w:sz w:val="24"/>
          <w:szCs w:val="24"/>
          <w:lang w:val="en-US" w:eastAsia="zh-CN"/>
        </w:rPr>
        <w:t>di Comite G</w:t>
      </w:r>
      <w:r w:rsidRPr="00115850">
        <w:rPr>
          <w:rFonts w:ascii="Book Antiqua" w:hAnsi="Book Antiqua" w:cs="宋体"/>
          <w:sz w:val="24"/>
          <w:szCs w:val="24"/>
          <w:lang w:val="en-US" w:eastAsia="zh-CN"/>
        </w:rPr>
        <w:t xml:space="preserve">, Marinosci A, Di Matteo P, Manfredi A, Rovere-Querini P, Baldissera E, Aiello P, Corti A, Sabbadini MG. Neuroendocrine modulation induced by selective blockade of TNF-alpha in rheumatoid arthritis. </w:t>
      </w:r>
      <w:r w:rsidRPr="00115850">
        <w:rPr>
          <w:rFonts w:ascii="Book Antiqua" w:hAnsi="Book Antiqua" w:cs="宋体"/>
          <w:i/>
          <w:iCs/>
          <w:sz w:val="24"/>
          <w:szCs w:val="24"/>
          <w:lang w:val="en-US" w:eastAsia="zh-CN"/>
        </w:rPr>
        <w:t>Ann N Y Acad Sci</w:t>
      </w:r>
      <w:r w:rsidRPr="00115850">
        <w:rPr>
          <w:rFonts w:ascii="Book Antiqua" w:hAnsi="Book Antiqua" w:cs="宋体"/>
          <w:sz w:val="24"/>
          <w:szCs w:val="24"/>
          <w:lang w:val="en-US" w:eastAsia="zh-CN"/>
        </w:rPr>
        <w:t xml:space="preserve"> 2006; </w:t>
      </w:r>
      <w:r w:rsidRPr="00115850">
        <w:rPr>
          <w:rFonts w:ascii="Book Antiqua" w:hAnsi="Book Antiqua" w:cs="宋体"/>
          <w:b/>
          <w:bCs/>
          <w:sz w:val="24"/>
          <w:szCs w:val="24"/>
          <w:lang w:val="en-US" w:eastAsia="zh-CN"/>
        </w:rPr>
        <w:t>1069</w:t>
      </w:r>
      <w:r w:rsidRPr="00115850">
        <w:rPr>
          <w:rFonts w:ascii="Book Antiqua" w:hAnsi="Book Antiqua" w:cs="宋体"/>
          <w:sz w:val="24"/>
          <w:szCs w:val="24"/>
          <w:lang w:val="en-US" w:eastAsia="zh-CN"/>
        </w:rPr>
        <w:t>: 428-437 [PMID: 16855170 DOI: 10.1196/annals.1351.041]</w:t>
      </w:r>
    </w:p>
    <w:p w14:paraId="67D80591"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lastRenderedPageBreak/>
        <w:t xml:space="preserve">10 </w:t>
      </w:r>
      <w:r w:rsidRPr="00115850">
        <w:rPr>
          <w:rFonts w:ascii="Book Antiqua" w:hAnsi="Book Antiqua" w:cs="宋体"/>
          <w:b/>
          <w:bCs/>
          <w:sz w:val="24"/>
          <w:szCs w:val="24"/>
          <w:lang w:val="en-US" w:eastAsia="zh-CN"/>
        </w:rPr>
        <w:t>Di Comite G</w:t>
      </w:r>
      <w:r w:rsidRPr="00115850">
        <w:rPr>
          <w:rFonts w:ascii="Book Antiqua" w:hAnsi="Book Antiqua" w:cs="宋体"/>
          <w:sz w:val="24"/>
          <w:szCs w:val="24"/>
          <w:lang w:val="en-US" w:eastAsia="zh-CN"/>
        </w:rPr>
        <w:t xml:space="preserve">, Rossi CM, Marinosci A, Lolmede K, Baldissera E, Aiello P, Mueller RB, Herrmann M, Voll RE, Rovere-Querini P, Sabbadini MG, Corti A, Manfredi AA. Circulating chromogranin A reveals extra-articular involvement in patients with rheumatoid arthritis and curbs TNF-alpha-elicited endothelial activation. </w:t>
      </w:r>
      <w:r w:rsidRPr="00115850">
        <w:rPr>
          <w:rFonts w:ascii="Book Antiqua" w:hAnsi="Book Antiqua" w:cs="宋体"/>
          <w:i/>
          <w:iCs/>
          <w:sz w:val="24"/>
          <w:szCs w:val="24"/>
          <w:lang w:val="en-US" w:eastAsia="zh-CN"/>
        </w:rPr>
        <w:t>J Leukoc Biol</w:t>
      </w:r>
      <w:r w:rsidRPr="00115850">
        <w:rPr>
          <w:rFonts w:ascii="Book Antiqua" w:hAnsi="Book Antiqua" w:cs="宋体"/>
          <w:sz w:val="24"/>
          <w:szCs w:val="24"/>
          <w:lang w:val="en-US" w:eastAsia="zh-CN"/>
        </w:rPr>
        <w:t xml:space="preserve"> 2009; </w:t>
      </w:r>
      <w:r w:rsidRPr="00115850">
        <w:rPr>
          <w:rFonts w:ascii="Book Antiqua" w:hAnsi="Book Antiqua" w:cs="宋体"/>
          <w:b/>
          <w:bCs/>
          <w:sz w:val="24"/>
          <w:szCs w:val="24"/>
          <w:lang w:val="en-US" w:eastAsia="zh-CN"/>
        </w:rPr>
        <w:t>85</w:t>
      </w:r>
      <w:r w:rsidRPr="00115850">
        <w:rPr>
          <w:rFonts w:ascii="Book Antiqua" w:hAnsi="Book Antiqua" w:cs="宋体"/>
          <w:sz w:val="24"/>
          <w:szCs w:val="24"/>
          <w:lang w:val="en-US" w:eastAsia="zh-CN"/>
        </w:rPr>
        <w:t>: 81-87 [PMID: 18832606 DOI: 10.1189/jlb.0608358]</w:t>
      </w:r>
    </w:p>
    <w:p w14:paraId="655A79F8"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11 </w:t>
      </w:r>
      <w:r w:rsidRPr="00115850">
        <w:rPr>
          <w:rFonts w:ascii="Book Antiqua" w:hAnsi="Book Antiqua" w:cs="宋体"/>
          <w:b/>
          <w:bCs/>
          <w:sz w:val="24"/>
          <w:szCs w:val="24"/>
          <w:lang w:val="en-US" w:eastAsia="zh-CN"/>
        </w:rPr>
        <w:t>Sanduleanu S</w:t>
      </w:r>
      <w:r w:rsidRPr="00115850">
        <w:rPr>
          <w:rFonts w:ascii="Book Antiqua" w:hAnsi="Book Antiqua" w:cs="宋体"/>
          <w:sz w:val="24"/>
          <w:szCs w:val="24"/>
          <w:lang w:val="en-US" w:eastAsia="zh-CN"/>
        </w:rPr>
        <w:t xml:space="preserve">, Stridsberg M, Jonkers D, Hameeteman W, Biemond I, Lundqvist G, Lamers C, Stockbrügger RW. Serum gastrin and chromogranin A during medium- and long-term acid suppressive therapy: a case-control study. </w:t>
      </w:r>
      <w:r w:rsidRPr="00115850">
        <w:rPr>
          <w:rFonts w:ascii="Book Antiqua" w:hAnsi="Book Antiqua" w:cs="宋体"/>
          <w:i/>
          <w:iCs/>
          <w:sz w:val="24"/>
          <w:szCs w:val="24"/>
          <w:lang w:val="en-US" w:eastAsia="zh-CN"/>
        </w:rPr>
        <w:t>Aliment Pharmacol Ther</w:t>
      </w:r>
      <w:r w:rsidRPr="00115850">
        <w:rPr>
          <w:rFonts w:ascii="Book Antiqua" w:hAnsi="Book Antiqua" w:cs="宋体"/>
          <w:sz w:val="24"/>
          <w:szCs w:val="24"/>
          <w:lang w:val="en-US" w:eastAsia="zh-CN"/>
        </w:rPr>
        <w:t xml:space="preserve"> 1999; </w:t>
      </w:r>
      <w:r w:rsidRPr="00115850">
        <w:rPr>
          <w:rFonts w:ascii="Book Antiqua" w:hAnsi="Book Antiqua" w:cs="宋体"/>
          <w:b/>
          <w:bCs/>
          <w:sz w:val="24"/>
          <w:szCs w:val="24"/>
          <w:lang w:val="en-US" w:eastAsia="zh-CN"/>
        </w:rPr>
        <w:t>13</w:t>
      </w:r>
      <w:r w:rsidRPr="00115850">
        <w:rPr>
          <w:rFonts w:ascii="Book Antiqua" w:hAnsi="Book Antiqua" w:cs="宋体"/>
          <w:sz w:val="24"/>
          <w:szCs w:val="24"/>
          <w:lang w:val="en-US" w:eastAsia="zh-CN"/>
        </w:rPr>
        <w:t>: 145-153 [PMID: 10102943 DOI: 10.1046/j.1365-2036.1999.00466.x]</w:t>
      </w:r>
    </w:p>
    <w:p w14:paraId="5B060751" w14:textId="4113D9F5"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12 </w:t>
      </w:r>
      <w:r w:rsidRPr="00115850">
        <w:rPr>
          <w:rFonts w:ascii="Book Antiqua" w:hAnsi="Book Antiqua" w:cs="宋体"/>
          <w:b/>
          <w:bCs/>
          <w:sz w:val="24"/>
          <w:szCs w:val="24"/>
          <w:lang w:val="en-US" w:eastAsia="zh-CN"/>
        </w:rPr>
        <w:t>Glinicki P</w:t>
      </w:r>
      <w:r w:rsidRPr="00115850">
        <w:rPr>
          <w:rFonts w:ascii="Book Antiqua" w:hAnsi="Book Antiqua" w:cs="宋体"/>
          <w:sz w:val="24"/>
          <w:szCs w:val="24"/>
          <w:lang w:val="en-US" w:eastAsia="zh-CN"/>
        </w:rPr>
        <w:t xml:space="preserve">, Jeske W. Chromogranin A (CgA)--the influence of various factors in vivo and in vitro, and existing disorders on it's concentration in blood. </w:t>
      </w:r>
      <w:r w:rsidRPr="00115850">
        <w:rPr>
          <w:rFonts w:ascii="Book Antiqua" w:hAnsi="Book Antiqua" w:cs="宋体"/>
          <w:i/>
          <w:iCs/>
          <w:sz w:val="24"/>
          <w:szCs w:val="24"/>
          <w:lang w:val="en-US" w:eastAsia="zh-CN"/>
        </w:rPr>
        <w:t>Endokrynol Pol</w:t>
      </w:r>
      <w:r w:rsidRPr="00115850">
        <w:rPr>
          <w:rFonts w:ascii="Book Antiqua" w:hAnsi="Book Antiqua" w:cs="宋体"/>
          <w:sz w:val="24"/>
          <w:szCs w:val="24"/>
          <w:lang w:val="en-US" w:eastAsia="zh-CN"/>
        </w:rPr>
        <w:t xml:space="preserve"> </w:t>
      </w:r>
      <w:r w:rsidR="00AA4DED">
        <w:rPr>
          <w:rFonts w:ascii="Book Antiqua" w:hAnsi="Book Antiqua" w:cs="宋体" w:hint="eastAsia"/>
          <w:sz w:val="24"/>
          <w:szCs w:val="24"/>
          <w:lang w:val="en-US" w:eastAsia="zh-CN"/>
        </w:rPr>
        <w:t>2010</w:t>
      </w:r>
      <w:r w:rsidRPr="00115850">
        <w:rPr>
          <w:rFonts w:ascii="Book Antiqua" w:hAnsi="Book Antiqua" w:cs="宋体"/>
          <w:sz w:val="24"/>
          <w:szCs w:val="24"/>
          <w:lang w:val="en-US" w:eastAsia="zh-CN"/>
        </w:rPr>
        <w:t xml:space="preserve">; </w:t>
      </w:r>
      <w:r w:rsidRPr="00115850">
        <w:rPr>
          <w:rFonts w:ascii="Book Antiqua" w:hAnsi="Book Antiqua" w:cs="宋体"/>
          <w:b/>
          <w:bCs/>
          <w:sz w:val="24"/>
          <w:szCs w:val="24"/>
          <w:lang w:val="en-US" w:eastAsia="zh-CN"/>
        </w:rPr>
        <w:t>61</w:t>
      </w:r>
      <w:r w:rsidRPr="00115850">
        <w:rPr>
          <w:rFonts w:ascii="Book Antiqua" w:hAnsi="Book Antiqua" w:cs="宋体"/>
          <w:sz w:val="24"/>
          <w:szCs w:val="24"/>
          <w:lang w:val="en-US" w:eastAsia="zh-CN"/>
        </w:rPr>
        <w:t>: 384-387 [PMID: 20806183]</w:t>
      </w:r>
    </w:p>
    <w:p w14:paraId="1153A1AB"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13 </w:t>
      </w:r>
      <w:r w:rsidRPr="00115850">
        <w:rPr>
          <w:rFonts w:ascii="Book Antiqua" w:hAnsi="Book Antiqua" w:cs="宋体"/>
          <w:b/>
          <w:bCs/>
          <w:sz w:val="24"/>
          <w:szCs w:val="24"/>
          <w:lang w:val="en-US" w:eastAsia="zh-CN"/>
        </w:rPr>
        <w:t>Modlin IM</w:t>
      </w:r>
      <w:r w:rsidRPr="00115850">
        <w:rPr>
          <w:rFonts w:ascii="Book Antiqua" w:hAnsi="Book Antiqua" w:cs="宋体"/>
          <w:sz w:val="24"/>
          <w:szCs w:val="24"/>
          <w:lang w:val="en-US" w:eastAsia="zh-CN"/>
        </w:rPr>
        <w:t xml:space="preserve">, Gustafsson BI, Moss SF, Pavel M, Tsolakis AV, Kidd M. Chromogranin A--biological function and clinical utility in neuro endocrine tumor disease. </w:t>
      </w:r>
      <w:r w:rsidRPr="00115850">
        <w:rPr>
          <w:rFonts w:ascii="Book Antiqua" w:hAnsi="Book Antiqua" w:cs="宋体"/>
          <w:i/>
          <w:iCs/>
          <w:sz w:val="24"/>
          <w:szCs w:val="24"/>
          <w:lang w:val="en-US" w:eastAsia="zh-CN"/>
        </w:rPr>
        <w:t>Ann Surg Oncol</w:t>
      </w:r>
      <w:r w:rsidRPr="00115850">
        <w:rPr>
          <w:rFonts w:ascii="Book Antiqua" w:hAnsi="Book Antiqua" w:cs="宋体"/>
          <w:sz w:val="24"/>
          <w:szCs w:val="24"/>
          <w:lang w:val="en-US" w:eastAsia="zh-CN"/>
        </w:rPr>
        <w:t xml:space="preserve"> 2010; </w:t>
      </w:r>
      <w:r w:rsidRPr="00115850">
        <w:rPr>
          <w:rFonts w:ascii="Book Antiqua" w:hAnsi="Book Antiqua" w:cs="宋体"/>
          <w:b/>
          <w:bCs/>
          <w:sz w:val="24"/>
          <w:szCs w:val="24"/>
          <w:lang w:val="en-US" w:eastAsia="zh-CN"/>
        </w:rPr>
        <w:t>17</w:t>
      </w:r>
      <w:r w:rsidRPr="00115850">
        <w:rPr>
          <w:rFonts w:ascii="Book Antiqua" w:hAnsi="Book Antiqua" w:cs="宋体"/>
          <w:sz w:val="24"/>
          <w:szCs w:val="24"/>
          <w:lang w:val="en-US" w:eastAsia="zh-CN"/>
        </w:rPr>
        <w:t>: 2427-2443 [PMID: 20217257 DOI: 10.1245/s10434-010-1006-3]</w:t>
      </w:r>
    </w:p>
    <w:p w14:paraId="506DDE88"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14 </w:t>
      </w:r>
      <w:r w:rsidRPr="00115850">
        <w:rPr>
          <w:rFonts w:ascii="Book Antiqua" w:hAnsi="Book Antiqua" w:cs="宋体"/>
          <w:b/>
          <w:bCs/>
          <w:sz w:val="24"/>
          <w:szCs w:val="24"/>
          <w:lang w:val="en-US" w:eastAsia="zh-CN"/>
        </w:rPr>
        <w:t>Modlin IM</w:t>
      </w:r>
      <w:r w:rsidRPr="00115850">
        <w:rPr>
          <w:rFonts w:ascii="Book Antiqua" w:hAnsi="Book Antiqua" w:cs="宋体"/>
          <w:sz w:val="24"/>
          <w:szCs w:val="24"/>
          <w:lang w:val="en-US" w:eastAsia="zh-CN"/>
        </w:rPr>
        <w:t xml:space="preserve">, Oberg K, Chung DC, Jensen RT, de Herder WW, Thakker RV, Caplin M, Delle Fave G, Kaltsas GA, Krenning EP, Moss SF, Nilsson O, Rindi G, Salazar R, Ruszniewski P, Sundin A. Gastroenteropancreatic neuroendocrine tumours. </w:t>
      </w:r>
      <w:r w:rsidRPr="00115850">
        <w:rPr>
          <w:rFonts w:ascii="Book Antiqua" w:hAnsi="Book Antiqua" w:cs="宋体"/>
          <w:i/>
          <w:iCs/>
          <w:sz w:val="24"/>
          <w:szCs w:val="24"/>
          <w:lang w:val="en-US" w:eastAsia="zh-CN"/>
        </w:rPr>
        <w:t>Lancet Oncol</w:t>
      </w:r>
      <w:r w:rsidRPr="00115850">
        <w:rPr>
          <w:rFonts w:ascii="Book Antiqua" w:hAnsi="Book Antiqua" w:cs="宋体"/>
          <w:sz w:val="24"/>
          <w:szCs w:val="24"/>
          <w:lang w:val="en-US" w:eastAsia="zh-CN"/>
        </w:rPr>
        <w:t xml:space="preserve"> 2008; </w:t>
      </w:r>
      <w:r w:rsidRPr="00115850">
        <w:rPr>
          <w:rFonts w:ascii="Book Antiqua" w:hAnsi="Book Antiqua" w:cs="宋体"/>
          <w:b/>
          <w:bCs/>
          <w:sz w:val="24"/>
          <w:szCs w:val="24"/>
          <w:lang w:val="en-US" w:eastAsia="zh-CN"/>
        </w:rPr>
        <w:t>9</w:t>
      </w:r>
      <w:r w:rsidRPr="00115850">
        <w:rPr>
          <w:rFonts w:ascii="Book Antiqua" w:hAnsi="Book Antiqua" w:cs="宋体"/>
          <w:sz w:val="24"/>
          <w:szCs w:val="24"/>
          <w:lang w:val="en-US" w:eastAsia="zh-CN"/>
        </w:rPr>
        <w:t>: 61-72 [PMID: 18177818 DOI: 10.1016/S1470-2045(07)70410-2]</w:t>
      </w:r>
    </w:p>
    <w:p w14:paraId="21FEF734"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15 </w:t>
      </w:r>
      <w:r w:rsidRPr="00115850">
        <w:rPr>
          <w:rFonts w:ascii="Book Antiqua" w:hAnsi="Book Antiqua" w:cs="宋体"/>
          <w:b/>
          <w:bCs/>
          <w:sz w:val="24"/>
          <w:szCs w:val="24"/>
          <w:lang w:val="en-US" w:eastAsia="zh-CN"/>
        </w:rPr>
        <w:t>Nobels FR</w:t>
      </w:r>
      <w:r w:rsidRPr="00115850">
        <w:rPr>
          <w:rFonts w:ascii="Book Antiqua" w:hAnsi="Book Antiqua" w:cs="宋体"/>
          <w:sz w:val="24"/>
          <w:szCs w:val="24"/>
          <w:lang w:val="en-US" w:eastAsia="zh-CN"/>
        </w:rPr>
        <w:t xml:space="preserve">, Kwekkeboom DJ, Coopmans W, Schoenmakers CH, Lindemans J, De Herder WW, Krenning EP, Bouillon R, Lamberts SW. Chromogranin A as serum marker for neuroendocrine neoplasia: comparison with neuron-specific enolase and the alpha-subunit of glycoprotein hormones. </w:t>
      </w:r>
      <w:r w:rsidRPr="00115850">
        <w:rPr>
          <w:rFonts w:ascii="Book Antiqua" w:hAnsi="Book Antiqua" w:cs="宋体"/>
          <w:i/>
          <w:iCs/>
          <w:sz w:val="24"/>
          <w:szCs w:val="24"/>
          <w:lang w:val="en-US" w:eastAsia="zh-CN"/>
        </w:rPr>
        <w:t>J Clin Endocrinol Metab</w:t>
      </w:r>
      <w:r w:rsidRPr="00115850">
        <w:rPr>
          <w:rFonts w:ascii="Book Antiqua" w:hAnsi="Book Antiqua" w:cs="宋体"/>
          <w:sz w:val="24"/>
          <w:szCs w:val="24"/>
          <w:lang w:val="en-US" w:eastAsia="zh-CN"/>
        </w:rPr>
        <w:t xml:space="preserve"> 1997; </w:t>
      </w:r>
      <w:r w:rsidRPr="00115850">
        <w:rPr>
          <w:rFonts w:ascii="Book Antiqua" w:hAnsi="Book Antiqua" w:cs="宋体"/>
          <w:b/>
          <w:bCs/>
          <w:sz w:val="24"/>
          <w:szCs w:val="24"/>
          <w:lang w:val="en-US" w:eastAsia="zh-CN"/>
        </w:rPr>
        <w:t>82</w:t>
      </w:r>
      <w:r w:rsidRPr="00115850">
        <w:rPr>
          <w:rFonts w:ascii="Book Antiqua" w:hAnsi="Book Antiqua" w:cs="宋体"/>
          <w:sz w:val="24"/>
          <w:szCs w:val="24"/>
          <w:lang w:val="en-US" w:eastAsia="zh-CN"/>
        </w:rPr>
        <w:t>: 2622-2628 [PMID: 9253344 DOI: 10.1210/jcem.82.8.4145]</w:t>
      </w:r>
    </w:p>
    <w:p w14:paraId="4D5E39AA"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16 </w:t>
      </w:r>
      <w:r w:rsidRPr="00115850">
        <w:rPr>
          <w:rFonts w:ascii="Book Antiqua" w:hAnsi="Book Antiqua" w:cs="宋体"/>
          <w:b/>
          <w:bCs/>
          <w:sz w:val="24"/>
          <w:szCs w:val="24"/>
          <w:lang w:val="en-US" w:eastAsia="zh-CN"/>
        </w:rPr>
        <w:t>Nehar D</w:t>
      </w:r>
      <w:r w:rsidRPr="00115850">
        <w:rPr>
          <w:rFonts w:ascii="Book Antiqua" w:hAnsi="Book Antiqua" w:cs="宋体"/>
          <w:sz w:val="24"/>
          <w:szCs w:val="24"/>
          <w:lang w:val="en-US" w:eastAsia="zh-CN"/>
        </w:rPr>
        <w:t xml:space="preserve">, Lombard-Bohas C, Olivieri S, Claustrat B, Chayvialle JA, Penes MC, Sassolas G, Borson-Chazot F. Interest of Chromogranin A for diagnosis and follow-up of endocrine tumours. </w:t>
      </w:r>
      <w:r w:rsidRPr="00115850">
        <w:rPr>
          <w:rFonts w:ascii="Book Antiqua" w:hAnsi="Book Antiqua" w:cs="宋体"/>
          <w:i/>
          <w:iCs/>
          <w:sz w:val="24"/>
          <w:szCs w:val="24"/>
          <w:lang w:val="en-US" w:eastAsia="zh-CN"/>
        </w:rPr>
        <w:t xml:space="preserve">Clin Endocrinol </w:t>
      </w:r>
      <w:r w:rsidRPr="00115850">
        <w:rPr>
          <w:rFonts w:ascii="Book Antiqua" w:hAnsi="Book Antiqua" w:cs="宋体"/>
          <w:iCs/>
          <w:sz w:val="24"/>
          <w:szCs w:val="24"/>
          <w:lang w:val="en-US" w:eastAsia="zh-CN"/>
        </w:rPr>
        <w:t>(Oxf)</w:t>
      </w:r>
      <w:r w:rsidRPr="00115850">
        <w:rPr>
          <w:rFonts w:ascii="Book Antiqua" w:hAnsi="Book Antiqua" w:cs="宋体"/>
          <w:sz w:val="24"/>
          <w:szCs w:val="24"/>
          <w:lang w:val="en-US" w:eastAsia="zh-CN"/>
        </w:rPr>
        <w:t xml:space="preserve"> 2004; </w:t>
      </w:r>
      <w:r w:rsidRPr="00115850">
        <w:rPr>
          <w:rFonts w:ascii="Book Antiqua" w:hAnsi="Book Antiqua" w:cs="宋体"/>
          <w:b/>
          <w:bCs/>
          <w:sz w:val="24"/>
          <w:szCs w:val="24"/>
          <w:lang w:val="en-US" w:eastAsia="zh-CN"/>
        </w:rPr>
        <w:t>60</w:t>
      </w:r>
      <w:r w:rsidRPr="00115850">
        <w:rPr>
          <w:rFonts w:ascii="Book Antiqua" w:hAnsi="Book Antiqua" w:cs="宋体"/>
          <w:sz w:val="24"/>
          <w:szCs w:val="24"/>
          <w:lang w:val="en-US" w:eastAsia="zh-CN"/>
        </w:rPr>
        <w:t>: 644-652 [PMID: 15104570 DOI: 10.1111/j.1365-2265.2004.02030.x]</w:t>
      </w:r>
    </w:p>
    <w:p w14:paraId="32D71C4E"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lastRenderedPageBreak/>
        <w:t xml:space="preserve">17 </w:t>
      </w:r>
      <w:r w:rsidRPr="00115850">
        <w:rPr>
          <w:rFonts w:ascii="Book Antiqua" w:hAnsi="Book Antiqua" w:cs="宋体"/>
          <w:b/>
          <w:bCs/>
          <w:sz w:val="24"/>
          <w:szCs w:val="24"/>
          <w:lang w:val="en-US" w:eastAsia="zh-CN"/>
        </w:rPr>
        <w:t>Gustafsson BI</w:t>
      </w:r>
      <w:r w:rsidRPr="00115850">
        <w:rPr>
          <w:rFonts w:ascii="Book Antiqua" w:hAnsi="Book Antiqua" w:cs="宋体"/>
          <w:sz w:val="24"/>
          <w:szCs w:val="24"/>
          <w:lang w:val="en-US" w:eastAsia="zh-CN"/>
        </w:rPr>
        <w:t xml:space="preserve">, Kidd M, Chan A, Malfertheiner MV, Modlin IM. Bronchopulmonary neuroendocrine tumors. </w:t>
      </w:r>
      <w:r w:rsidRPr="00115850">
        <w:rPr>
          <w:rFonts w:ascii="Book Antiqua" w:hAnsi="Book Antiqua" w:cs="宋体"/>
          <w:i/>
          <w:iCs/>
          <w:sz w:val="24"/>
          <w:szCs w:val="24"/>
          <w:lang w:val="en-US" w:eastAsia="zh-CN"/>
        </w:rPr>
        <w:t>Cancer</w:t>
      </w:r>
      <w:r w:rsidRPr="00115850">
        <w:rPr>
          <w:rFonts w:ascii="Book Antiqua" w:hAnsi="Book Antiqua" w:cs="宋体"/>
          <w:sz w:val="24"/>
          <w:szCs w:val="24"/>
          <w:lang w:val="en-US" w:eastAsia="zh-CN"/>
        </w:rPr>
        <w:t xml:space="preserve"> 2008; </w:t>
      </w:r>
      <w:r w:rsidRPr="00115850">
        <w:rPr>
          <w:rFonts w:ascii="Book Antiqua" w:hAnsi="Book Antiqua" w:cs="宋体"/>
          <w:b/>
          <w:bCs/>
          <w:sz w:val="24"/>
          <w:szCs w:val="24"/>
          <w:lang w:val="en-US" w:eastAsia="zh-CN"/>
        </w:rPr>
        <w:t>113</w:t>
      </w:r>
      <w:r w:rsidRPr="00115850">
        <w:rPr>
          <w:rFonts w:ascii="Book Antiqua" w:hAnsi="Book Antiqua" w:cs="宋体"/>
          <w:sz w:val="24"/>
          <w:szCs w:val="24"/>
          <w:lang w:val="en-US" w:eastAsia="zh-CN"/>
        </w:rPr>
        <w:t>: 5-21 [PMID: 18473355 DOI: 10.1002/cncr.23542]</w:t>
      </w:r>
    </w:p>
    <w:p w14:paraId="0165A53F"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18 </w:t>
      </w:r>
      <w:r w:rsidRPr="00115850">
        <w:rPr>
          <w:rFonts w:ascii="Book Antiqua" w:hAnsi="Book Antiqua" w:cs="宋体"/>
          <w:b/>
          <w:bCs/>
          <w:sz w:val="24"/>
          <w:szCs w:val="24"/>
          <w:lang w:val="en-US" w:eastAsia="zh-CN"/>
        </w:rPr>
        <w:t>Yuan C</w:t>
      </w:r>
      <w:r w:rsidRPr="00115850">
        <w:rPr>
          <w:rFonts w:ascii="Book Antiqua" w:hAnsi="Book Antiqua" w:cs="宋体"/>
          <w:sz w:val="24"/>
          <w:szCs w:val="24"/>
          <w:lang w:val="en-US" w:eastAsia="zh-CN"/>
        </w:rPr>
        <w:t xml:space="preserve">, Keating B, Farricielli LA, Zhang K. Large-cell neuroendocrine carcinoma (LCNEC) without pulmonary symptoms diagnosed in a cutaneous metastasis. </w:t>
      </w:r>
      <w:r w:rsidRPr="00115850">
        <w:rPr>
          <w:rFonts w:ascii="Book Antiqua" w:hAnsi="Book Antiqua" w:cs="宋体"/>
          <w:i/>
          <w:iCs/>
          <w:sz w:val="24"/>
          <w:szCs w:val="24"/>
          <w:lang w:val="en-US" w:eastAsia="zh-CN"/>
        </w:rPr>
        <w:t>Am J Case Rep</w:t>
      </w:r>
      <w:r w:rsidRPr="00115850">
        <w:rPr>
          <w:rFonts w:ascii="Book Antiqua" w:hAnsi="Book Antiqua" w:cs="宋体"/>
          <w:sz w:val="24"/>
          <w:szCs w:val="24"/>
          <w:lang w:val="en-US" w:eastAsia="zh-CN"/>
        </w:rPr>
        <w:t xml:space="preserve"> 2014; </w:t>
      </w:r>
      <w:r w:rsidRPr="00115850">
        <w:rPr>
          <w:rFonts w:ascii="Book Antiqua" w:hAnsi="Book Antiqua" w:cs="宋体"/>
          <w:b/>
          <w:bCs/>
          <w:sz w:val="24"/>
          <w:szCs w:val="24"/>
          <w:lang w:val="en-US" w:eastAsia="zh-CN"/>
        </w:rPr>
        <w:t>15</w:t>
      </w:r>
      <w:r w:rsidRPr="00115850">
        <w:rPr>
          <w:rFonts w:ascii="Book Antiqua" w:hAnsi="Book Antiqua" w:cs="宋体"/>
          <w:sz w:val="24"/>
          <w:szCs w:val="24"/>
          <w:lang w:val="en-US" w:eastAsia="zh-CN"/>
        </w:rPr>
        <w:t>: 97-102 [PMID: 24624250 DOI: 10.12659/AJCR.890094]</w:t>
      </w:r>
    </w:p>
    <w:p w14:paraId="33810B40" w14:textId="319D63F9"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19 </w:t>
      </w:r>
      <w:r w:rsidRPr="00115850">
        <w:rPr>
          <w:rFonts w:ascii="Book Antiqua" w:hAnsi="Book Antiqua" w:cs="宋体"/>
          <w:b/>
          <w:bCs/>
          <w:sz w:val="24"/>
          <w:szCs w:val="24"/>
          <w:lang w:val="en-US" w:eastAsia="zh-CN"/>
        </w:rPr>
        <w:t>Giovanella L</w:t>
      </w:r>
      <w:r w:rsidRPr="00115850">
        <w:rPr>
          <w:rFonts w:ascii="Book Antiqua" w:hAnsi="Book Antiqua" w:cs="宋体"/>
          <w:sz w:val="24"/>
          <w:szCs w:val="24"/>
          <w:lang w:val="en-US" w:eastAsia="zh-CN"/>
        </w:rPr>
        <w:t xml:space="preserve">, Marelli M, Ceriani L, Giardina G, Garancini S, Colombo L. Evaluation of chromogranin A expression in serum and tissues of breast cancer patients. </w:t>
      </w:r>
      <w:r w:rsidRPr="00115850">
        <w:rPr>
          <w:rFonts w:ascii="Book Antiqua" w:hAnsi="Book Antiqua" w:cs="宋体"/>
          <w:i/>
          <w:iCs/>
          <w:sz w:val="24"/>
          <w:szCs w:val="24"/>
          <w:lang w:val="en-US" w:eastAsia="zh-CN"/>
        </w:rPr>
        <w:t>Int J Biol Markers</w:t>
      </w:r>
      <w:r w:rsidRPr="00115850">
        <w:rPr>
          <w:rFonts w:ascii="Book Antiqua" w:hAnsi="Book Antiqua" w:cs="宋体"/>
          <w:sz w:val="24"/>
          <w:szCs w:val="24"/>
          <w:lang w:val="en-US" w:eastAsia="zh-CN"/>
        </w:rPr>
        <w:t xml:space="preserve"> </w:t>
      </w:r>
      <w:r w:rsidR="00AA4DED">
        <w:rPr>
          <w:rFonts w:ascii="Book Antiqua" w:hAnsi="Book Antiqua" w:cs="宋体" w:hint="eastAsia"/>
          <w:sz w:val="24"/>
          <w:szCs w:val="24"/>
          <w:lang w:val="en-US" w:eastAsia="zh-CN"/>
        </w:rPr>
        <w:t>2001</w:t>
      </w:r>
      <w:r w:rsidRPr="00115850">
        <w:rPr>
          <w:rFonts w:ascii="Book Antiqua" w:hAnsi="Book Antiqua" w:cs="宋体"/>
          <w:sz w:val="24"/>
          <w:szCs w:val="24"/>
          <w:lang w:val="en-US" w:eastAsia="zh-CN"/>
        </w:rPr>
        <w:t xml:space="preserve">; </w:t>
      </w:r>
      <w:r w:rsidRPr="00115850">
        <w:rPr>
          <w:rFonts w:ascii="Book Antiqua" w:hAnsi="Book Antiqua" w:cs="宋体"/>
          <w:b/>
          <w:bCs/>
          <w:sz w:val="24"/>
          <w:szCs w:val="24"/>
          <w:lang w:val="en-US" w:eastAsia="zh-CN"/>
        </w:rPr>
        <w:t>16</w:t>
      </w:r>
      <w:r w:rsidRPr="00115850">
        <w:rPr>
          <w:rFonts w:ascii="Book Antiqua" w:hAnsi="Book Antiqua" w:cs="宋体"/>
          <w:sz w:val="24"/>
          <w:szCs w:val="24"/>
          <w:lang w:val="en-US" w:eastAsia="zh-CN"/>
        </w:rPr>
        <w:t>: 268-272 [PMID: 11820723]</w:t>
      </w:r>
    </w:p>
    <w:p w14:paraId="789953EA"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20 </w:t>
      </w:r>
      <w:r w:rsidRPr="00115850">
        <w:rPr>
          <w:rFonts w:ascii="Book Antiqua" w:hAnsi="Book Antiqua" w:cs="宋体"/>
          <w:b/>
          <w:bCs/>
          <w:sz w:val="24"/>
          <w:szCs w:val="24"/>
          <w:lang w:val="en-US" w:eastAsia="zh-CN"/>
        </w:rPr>
        <w:t>Gaiser MR</w:t>
      </w:r>
      <w:r w:rsidRPr="00115850">
        <w:rPr>
          <w:rFonts w:ascii="Book Antiqua" w:hAnsi="Book Antiqua" w:cs="宋体"/>
          <w:sz w:val="24"/>
          <w:szCs w:val="24"/>
          <w:lang w:val="en-US" w:eastAsia="zh-CN"/>
        </w:rPr>
        <w:t xml:space="preserve">, Daily K, Hoffmann J, Brune M, Enk A, Brownell I. Evaluating blood levels of neuron specific enolase, chromogranin A, and circulating tumor cells as Merkel cell carcinoma biomarkers. </w:t>
      </w:r>
      <w:r w:rsidRPr="00115850">
        <w:rPr>
          <w:rFonts w:ascii="Book Antiqua" w:hAnsi="Book Antiqua" w:cs="宋体"/>
          <w:i/>
          <w:iCs/>
          <w:sz w:val="24"/>
          <w:szCs w:val="24"/>
          <w:lang w:val="en-US" w:eastAsia="zh-CN"/>
        </w:rPr>
        <w:t>Oncotarget</w:t>
      </w:r>
      <w:r w:rsidRPr="00115850">
        <w:rPr>
          <w:rFonts w:ascii="Book Antiqua" w:hAnsi="Book Antiqua" w:cs="宋体"/>
          <w:sz w:val="24"/>
          <w:szCs w:val="24"/>
          <w:lang w:val="en-US" w:eastAsia="zh-CN"/>
        </w:rPr>
        <w:t xml:space="preserve"> 2015; </w:t>
      </w:r>
      <w:r w:rsidRPr="00115850">
        <w:rPr>
          <w:rFonts w:ascii="Book Antiqua" w:hAnsi="Book Antiqua" w:cs="宋体"/>
          <w:b/>
          <w:bCs/>
          <w:sz w:val="24"/>
          <w:szCs w:val="24"/>
          <w:lang w:val="en-US" w:eastAsia="zh-CN"/>
        </w:rPr>
        <w:t>6</w:t>
      </w:r>
      <w:r w:rsidRPr="00115850">
        <w:rPr>
          <w:rFonts w:ascii="Book Antiqua" w:hAnsi="Book Antiqua" w:cs="宋体"/>
          <w:sz w:val="24"/>
          <w:szCs w:val="24"/>
          <w:lang w:val="en-US" w:eastAsia="zh-CN"/>
        </w:rPr>
        <w:t>: 26472-26482 [PMID: 26299616 DOI: 10.18632/oncotarget.4500]</w:t>
      </w:r>
    </w:p>
    <w:p w14:paraId="2D353028"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21 </w:t>
      </w:r>
      <w:r w:rsidRPr="00115850">
        <w:rPr>
          <w:rFonts w:ascii="Book Antiqua" w:hAnsi="Book Antiqua" w:cs="宋体"/>
          <w:b/>
          <w:bCs/>
          <w:sz w:val="24"/>
          <w:szCs w:val="24"/>
          <w:lang w:val="en-US" w:eastAsia="zh-CN"/>
        </w:rPr>
        <w:t>O'Connor DT</w:t>
      </w:r>
      <w:r w:rsidRPr="00115850">
        <w:rPr>
          <w:rFonts w:ascii="Book Antiqua" w:hAnsi="Book Antiqua" w:cs="宋体"/>
          <w:sz w:val="24"/>
          <w:szCs w:val="24"/>
          <w:lang w:val="en-US" w:eastAsia="zh-CN"/>
        </w:rPr>
        <w:t xml:space="preserve">, Deftos LJ. Secretion of chromogranin A by peptide-producing endocrine neoplasms. </w:t>
      </w:r>
      <w:r w:rsidRPr="00115850">
        <w:rPr>
          <w:rFonts w:ascii="Book Antiqua" w:hAnsi="Book Antiqua" w:cs="宋体"/>
          <w:i/>
          <w:iCs/>
          <w:sz w:val="24"/>
          <w:szCs w:val="24"/>
          <w:lang w:val="en-US" w:eastAsia="zh-CN"/>
        </w:rPr>
        <w:t>N Engl J Med</w:t>
      </w:r>
      <w:r w:rsidRPr="00115850">
        <w:rPr>
          <w:rFonts w:ascii="Book Antiqua" w:hAnsi="Book Antiqua" w:cs="宋体"/>
          <w:sz w:val="24"/>
          <w:szCs w:val="24"/>
          <w:lang w:val="en-US" w:eastAsia="zh-CN"/>
        </w:rPr>
        <w:t xml:space="preserve"> 1986; </w:t>
      </w:r>
      <w:r w:rsidRPr="00115850">
        <w:rPr>
          <w:rFonts w:ascii="Book Antiqua" w:hAnsi="Book Antiqua" w:cs="宋体"/>
          <w:b/>
          <w:bCs/>
          <w:sz w:val="24"/>
          <w:szCs w:val="24"/>
          <w:lang w:val="en-US" w:eastAsia="zh-CN"/>
        </w:rPr>
        <w:t>314</w:t>
      </w:r>
      <w:r w:rsidRPr="00115850">
        <w:rPr>
          <w:rFonts w:ascii="Book Antiqua" w:hAnsi="Book Antiqua" w:cs="宋体"/>
          <w:sz w:val="24"/>
          <w:szCs w:val="24"/>
          <w:lang w:val="en-US" w:eastAsia="zh-CN"/>
        </w:rPr>
        <w:t>: 1145-1151 [PMID: 3007986 DOI: 10.1056/NEJM198605013141803]</w:t>
      </w:r>
    </w:p>
    <w:p w14:paraId="6C853F3A"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22 </w:t>
      </w:r>
      <w:r w:rsidRPr="00115850">
        <w:rPr>
          <w:rFonts w:ascii="Book Antiqua" w:hAnsi="Book Antiqua" w:cs="宋体"/>
          <w:b/>
          <w:bCs/>
          <w:sz w:val="24"/>
          <w:szCs w:val="24"/>
          <w:lang w:val="en-US" w:eastAsia="zh-CN"/>
        </w:rPr>
        <w:t>Eriksson B</w:t>
      </w:r>
      <w:r w:rsidRPr="00115850">
        <w:rPr>
          <w:rFonts w:ascii="Book Antiqua" w:hAnsi="Book Antiqua" w:cs="宋体"/>
          <w:sz w:val="24"/>
          <w:szCs w:val="24"/>
          <w:lang w:val="en-US" w:eastAsia="zh-CN"/>
        </w:rPr>
        <w:t xml:space="preserve">, Arnberg H, Oberg K, Hellman U, Lundqvist G, Wernstedt C, Wilander E. Chromogranins--new sensitive markers for neuroendocrine tumors. </w:t>
      </w:r>
      <w:r w:rsidRPr="00115850">
        <w:rPr>
          <w:rFonts w:ascii="Book Antiqua" w:hAnsi="Book Antiqua" w:cs="宋体"/>
          <w:i/>
          <w:iCs/>
          <w:sz w:val="24"/>
          <w:szCs w:val="24"/>
          <w:lang w:val="en-US" w:eastAsia="zh-CN"/>
        </w:rPr>
        <w:t>Acta Oncol</w:t>
      </w:r>
      <w:r w:rsidRPr="00115850">
        <w:rPr>
          <w:rFonts w:ascii="Book Antiqua" w:hAnsi="Book Antiqua" w:cs="宋体"/>
          <w:sz w:val="24"/>
          <w:szCs w:val="24"/>
          <w:lang w:val="en-US" w:eastAsia="zh-CN"/>
        </w:rPr>
        <w:t xml:space="preserve"> 1989; </w:t>
      </w:r>
      <w:r w:rsidRPr="00115850">
        <w:rPr>
          <w:rFonts w:ascii="Book Antiqua" w:hAnsi="Book Antiqua" w:cs="宋体"/>
          <w:b/>
          <w:bCs/>
          <w:sz w:val="24"/>
          <w:szCs w:val="24"/>
          <w:lang w:val="en-US" w:eastAsia="zh-CN"/>
        </w:rPr>
        <w:t>28</w:t>
      </w:r>
      <w:r w:rsidRPr="00115850">
        <w:rPr>
          <w:rFonts w:ascii="Book Antiqua" w:hAnsi="Book Antiqua" w:cs="宋体"/>
          <w:sz w:val="24"/>
          <w:szCs w:val="24"/>
          <w:lang w:val="en-US" w:eastAsia="zh-CN"/>
        </w:rPr>
        <w:t>: 325-329 [PMID: 2545231 DOI: 10.3109/02841868909111201]</w:t>
      </w:r>
    </w:p>
    <w:p w14:paraId="4ED785F6"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23 </w:t>
      </w:r>
      <w:r w:rsidRPr="00115850">
        <w:rPr>
          <w:rFonts w:ascii="Book Antiqua" w:hAnsi="Book Antiqua" w:cs="宋体"/>
          <w:b/>
          <w:bCs/>
          <w:sz w:val="24"/>
          <w:szCs w:val="24"/>
          <w:lang w:val="en-US" w:eastAsia="zh-CN"/>
        </w:rPr>
        <w:t>Verbeek WH</w:t>
      </w:r>
      <w:r w:rsidRPr="00115850">
        <w:rPr>
          <w:rFonts w:ascii="Book Antiqua" w:hAnsi="Book Antiqua" w:cs="宋体"/>
          <w:sz w:val="24"/>
          <w:szCs w:val="24"/>
          <w:lang w:val="en-US" w:eastAsia="zh-CN"/>
        </w:rPr>
        <w:t xml:space="preserve">, Korse CM, Tesselaar ME. GEP-NETs UPDATE: Secreting gastro-enteropancreatic neuroendocrine tumours and biomarkers. </w:t>
      </w:r>
      <w:r w:rsidRPr="00115850">
        <w:rPr>
          <w:rFonts w:ascii="Book Antiqua" w:hAnsi="Book Antiqua" w:cs="宋体"/>
          <w:i/>
          <w:iCs/>
          <w:sz w:val="24"/>
          <w:szCs w:val="24"/>
          <w:lang w:val="en-US" w:eastAsia="zh-CN"/>
        </w:rPr>
        <w:t>Eur J Endocrinol</w:t>
      </w:r>
      <w:r w:rsidRPr="00115850">
        <w:rPr>
          <w:rFonts w:ascii="Book Antiqua" w:hAnsi="Book Antiqua" w:cs="宋体"/>
          <w:sz w:val="24"/>
          <w:szCs w:val="24"/>
          <w:lang w:val="en-US" w:eastAsia="zh-CN"/>
        </w:rPr>
        <w:t xml:space="preserve"> 2016; </w:t>
      </w:r>
      <w:r w:rsidRPr="00115850">
        <w:rPr>
          <w:rFonts w:ascii="Book Antiqua" w:hAnsi="Book Antiqua" w:cs="宋体"/>
          <w:b/>
          <w:bCs/>
          <w:sz w:val="24"/>
          <w:szCs w:val="24"/>
          <w:lang w:val="en-US" w:eastAsia="zh-CN"/>
        </w:rPr>
        <w:t>174</w:t>
      </w:r>
      <w:r w:rsidRPr="00115850">
        <w:rPr>
          <w:rFonts w:ascii="Book Antiqua" w:hAnsi="Book Antiqua" w:cs="宋体"/>
          <w:sz w:val="24"/>
          <w:szCs w:val="24"/>
          <w:lang w:val="en-US" w:eastAsia="zh-CN"/>
        </w:rPr>
        <w:t>: R1-R7 [PMID: 26162406 DOI: 10.1530/EJE-14-0971]</w:t>
      </w:r>
    </w:p>
    <w:p w14:paraId="3D3B0BCE"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24 </w:t>
      </w:r>
      <w:r w:rsidRPr="00115850">
        <w:rPr>
          <w:rFonts w:ascii="Book Antiqua" w:hAnsi="Book Antiqua" w:cs="宋体"/>
          <w:b/>
          <w:bCs/>
          <w:sz w:val="24"/>
          <w:szCs w:val="24"/>
          <w:lang w:val="en-US" w:eastAsia="zh-CN"/>
        </w:rPr>
        <w:t>Kanakis G</w:t>
      </w:r>
      <w:r w:rsidRPr="00115850">
        <w:rPr>
          <w:rFonts w:ascii="Book Antiqua" w:hAnsi="Book Antiqua" w:cs="宋体"/>
          <w:sz w:val="24"/>
          <w:szCs w:val="24"/>
          <w:lang w:val="en-US" w:eastAsia="zh-CN"/>
        </w:rPr>
        <w:t xml:space="preserve">, Kaltsas G. Biochemical markers for gastroenteropancreatic neuroendocrine tumours (GEP-NETs). </w:t>
      </w:r>
      <w:r w:rsidRPr="00115850">
        <w:rPr>
          <w:rFonts w:ascii="Book Antiqua" w:hAnsi="Book Antiqua" w:cs="宋体"/>
          <w:i/>
          <w:iCs/>
          <w:sz w:val="24"/>
          <w:szCs w:val="24"/>
          <w:lang w:val="en-US" w:eastAsia="zh-CN"/>
        </w:rPr>
        <w:t>Best Pract Res Clin Gastroenterol</w:t>
      </w:r>
      <w:r w:rsidRPr="00115850">
        <w:rPr>
          <w:rFonts w:ascii="Book Antiqua" w:hAnsi="Book Antiqua" w:cs="宋体"/>
          <w:sz w:val="24"/>
          <w:szCs w:val="24"/>
          <w:lang w:val="en-US" w:eastAsia="zh-CN"/>
        </w:rPr>
        <w:t xml:space="preserve"> 2012; </w:t>
      </w:r>
      <w:r w:rsidRPr="00115850">
        <w:rPr>
          <w:rFonts w:ascii="Book Antiqua" w:hAnsi="Book Antiqua" w:cs="宋体"/>
          <w:b/>
          <w:bCs/>
          <w:sz w:val="24"/>
          <w:szCs w:val="24"/>
          <w:lang w:val="en-US" w:eastAsia="zh-CN"/>
        </w:rPr>
        <w:t>26</w:t>
      </w:r>
      <w:r w:rsidRPr="00115850">
        <w:rPr>
          <w:rFonts w:ascii="Book Antiqua" w:hAnsi="Book Antiqua" w:cs="宋体"/>
          <w:sz w:val="24"/>
          <w:szCs w:val="24"/>
          <w:lang w:val="en-US" w:eastAsia="zh-CN"/>
        </w:rPr>
        <w:t>: 791-802 [PMID: 23582919 DOI: 10.1016/j.bpg.2012.12.006]</w:t>
      </w:r>
    </w:p>
    <w:p w14:paraId="1D40A4B8"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25 </w:t>
      </w:r>
      <w:r w:rsidRPr="00115850">
        <w:rPr>
          <w:rFonts w:ascii="Book Antiqua" w:hAnsi="Book Antiqua" w:cs="宋体"/>
          <w:b/>
          <w:bCs/>
          <w:sz w:val="24"/>
          <w:szCs w:val="24"/>
          <w:lang w:val="en-US" w:eastAsia="zh-CN"/>
        </w:rPr>
        <w:t>Arnold R</w:t>
      </w:r>
      <w:r w:rsidRPr="00115850">
        <w:rPr>
          <w:rFonts w:ascii="Book Antiqua" w:hAnsi="Book Antiqua" w:cs="宋体"/>
          <w:sz w:val="24"/>
          <w:szCs w:val="24"/>
          <w:lang w:val="en-US" w:eastAsia="zh-CN"/>
        </w:rPr>
        <w:t>, Chen YJ, Costa F, Falconi M, Gross D, Grossman AB, Hyrdel R, Kos-Kud</w:t>
      </w:r>
      <w:r w:rsidRPr="00115850">
        <w:rPr>
          <w:rFonts w:ascii="Book Antiqua" w:eastAsia="MS Mincho" w:hAnsi="Book Antiqua" w:cs="MS Mincho"/>
          <w:sz w:val="24"/>
          <w:szCs w:val="24"/>
          <w:lang w:val="en-US" w:eastAsia="zh-CN"/>
        </w:rPr>
        <w:t>ł</w:t>
      </w:r>
      <w:r w:rsidRPr="00115850">
        <w:rPr>
          <w:rFonts w:ascii="Book Antiqua" w:hAnsi="Book Antiqua" w:cs="宋体"/>
          <w:sz w:val="24"/>
          <w:szCs w:val="24"/>
          <w:lang w:val="en-US" w:eastAsia="zh-CN"/>
        </w:rPr>
        <w:t xml:space="preserve">a B, Salazar R, Plöckinger U. ENETS Consensus Guidelines for the Standards of Care in Neuroendocrine Tumors: follow-up and documentation. </w:t>
      </w:r>
      <w:r w:rsidRPr="00115850">
        <w:rPr>
          <w:rFonts w:ascii="Book Antiqua" w:hAnsi="Book Antiqua" w:cs="宋体"/>
          <w:i/>
          <w:iCs/>
          <w:sz w:val="24"/>
          <w:szCs w:val="24"/>
          <w:lang w:val="en-US" w:eastAsia="zh-CN"/>
        </w:rPr>
        <w:t>Neuroendocrinology</w:t>
      </w:r>
      <w:r w:rsidRPr="00115850">
        <w:rPr>
          <w:rFonts w:ascii="Book Antiqua" w:hAnsi="Book Antiqua" w:cs="宋体"/>
          <w:sz w:val="24"/>
          <w:szCs w:val="24"/>
          <w:lang w:val="en-US" w:eastAsia="zh-CN"/>
        </w:rPr>
        <w:t xml:space="preserve"> 2009; </w:t>
      </w:r>
      <w:r w:rsidRPr="00115850">
        <w:rPr>
          <w:rFonts w:ascii="Book Antiqua" w:hAnsi="Book Antiqua" w:cs="宋体"/>
          <w:b/>
          <w:bCs/>
          <w:sz w:val="24"/>
          <w:szCs w:val="24"/>
          <w:lang w:val="en-US" w:eastAsia="zh-CN"/>
        </w:rPr>
        <w:t>90</w:t>
      </w:r>
      <w:r w:rsidRPr="00115850">
        <w:rPr>
          <w:rFonts w:ascii="Book Antiqua" w:hAnsi="Book Antiqua" w:cs="宋体"/>
          <w:sz w:val="24"/>
          <w:szCs w:val="24"/>
          <w:lang w:val="en-US" w:eastAsia="zh-CN"/>
        </w:rPr>
        <w:t>: 227-233 [PMID: 19713715 DOI: 10.1159/000225952]</w:t>
      </w:r>
    </w:p>
    <w:p w14:paraId="53FBFA3D"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lastRenderedPageBreak/>
        <w:t xml:space="preserve">26 </w:t>
      </w:r>
      <w:r w:rsidRPr="00115850">
        <w:rPr>
          <w:rFonts w:ascii="Book Antiqua" w:hAnsi="Book Antiqua" w:cs="宋体"/>
          <w:b/>
          <w:bCs/>
          <w:sz w:val="24"/>
          <w:szCs w:val="24"/>
          <w:lang w:val="en-US" w:eastAsia="zh-CN"/>
        </w:rPr>
        <w:t>Oberg K</w:t>
      </w:r>
      <w:r w:rsidRPr="00115850">
        <w:rPr>
          <w:rFonts w:ascii="Book Antiqua" w:hAnsi="Book Antiqua" w:cs="宋体"/>
          <w:sz w:val="24"/>
          <w:szCs w:val="24"/>
          <w:lang w:val="en-US" w:eastAsia="zh-CN"/>
        </w:rPr>
        <w:t xml:space="preserve">. Circulating biomarkers in gastroenteropancreatic neuroendocrine tumours. </w:t>
      </w:r>
      <w:r w:rsidRPr="00115850">
        <w:rPr>
          <w:rFonts w:ascii="Book Antiqua" w:hAnsi="Book Antiqua" w:cs="宋体"/>
          <w:i/>
          <w:iCs/>
          <w:sz w:val="24"/>
          <w:szCs w:val="24"/>
          <w:lang w:val="en-US" w:eastAsia="zh-CN"/>
        </w:rPr>
        <w:t>Endocr Relat Cancer</w:t>
      </w:r>
      <w:r w:rsidRPr="00115850">
        <w:rPr>
          <w:rFonts w:ascii="Book Antiqua" w:hAnsi="Book Antiqua" w:cs="宋体"/>
          <w:sz w:val="24"/>
          <w:szCs w:val="24"/>
          <w:lang w:val="en-US" w:eastAsia="zh-CN"/>
        </w:rPr>
        <w:t xml:space="preserve"> 2011; </w:t>
      </w:r>
      <w:r w:rsidRPr="00115850">
        <w:rPr>
          <w:rFonts w:ascii="Book Antiqua" w:hAnsi="Book Antiqua" w:cs="宋体"/>
          <w:b/>
          <w:bCs/>
          <w:sz w:val="24"/>
          <w:szCs w:val="24"/>
          <w:lang w:val="en-US" w:eastAsia="zh-CN"/>
        </w:rPr>
        <w:t xml:space="preserve">18 </w:t>
      </w:r>
      <w:r w:rsidRPr="00115850">
        <w:rPr>
          <w:rFonts w:ascii="Book Antiqua" w:hAnsi="Book Antiqua" w:cs="宋体"/>
          <w:bCs/>
          <w:sz w:val="24"/>
          <w:szCs w:val="24"/>
          <w:lang w:val="en-US" w:eastAsia="zh-CN"/>
        </w:rPr>
        <w:t>Suppl 1</w:t>
      </w:r>
      <w:r w:rsidRPr="00115850">
        <w:rPr>
          <w:rFonts w:ascii="Book Antiqua" w:hAnsi="Book Antiqua" w:cs="宋体"/>
          <w:sz w:val="24"/>
          <w:szCs w:val="24"/>
          <w:lang w:val="en-US" w:eastAsia="zh-CN"/>
        </w:rPr>
        <w:t>: S17-S25 [PMID: 22005113 DOI: 10.1530/ERC-10-0280]</w:t>
      </w:r>
    </w:p>
    <w:p w14:paraId="04BBD65F"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27 </w:t>
      </w:r>
      <w:r w:rsidRPr="00115850">
        <w:rPr>
          <w:rFonts w:ascii="Book Antiqua" w:hAnsi="Book Antiqua" w:cs="宋体"/>
          <w:b/>
          <w:bCs/>
          <w:sz w:val="24"/>
          <w:szCs w:val="24"/>
          <w:lang w:val="en-US" w:eastAsia="zh-CN"/>
        </w:rPr>
        <w:t>Arnold R</w:t>
      </w:r>
      <w:r w:rsidRPr="00115850">
        <w:rPr>
          <w:rFonts w:ascii="Book Antiqua" w:hAnsi="Book Antiqua" w:cs="宋体"/>
          <w:sz w:val="24"/>
          <w:szCs w:val="24"/>
          <w:lang w:val="en-US" w:eastAsia="zh-CN"/>
        </w:rPr>
        <w:t xml:space="preserve">, Wilke A, Rinke A, Mayer C, Kann PH, Klose KJ, Scherag A, Hahmann M, Müller HH, Barth P. Plasma chromogranin A as marker for survival in patients with metastatic endocrine gastroenteropancreatic tumors. </w:t>
      </w:r>
      <w:r w:rsidRPr="00115850">
        <w:rPr>
          <w:rFonts w:ascii="Book Antiqua" w:hAnsi="Book Antiqua" w:cs="宋体"/>
          <w:i/>
          <w:iCs/>
          <w:sz w:val="24"/>
          <w:szCs w:val="24"/>
          <w:lang w:val="en-US" w:eastAsia="zh-CN"/>
        </w:rPr>
        <w:t>Clin Gastroenterol Hepatol</w:t>
      </w:r>
      <w:r w:rsidRPr="00115850">
        <w:rPr>
          <w:rFonts w:ascii="Book Antiqua" w:hAnsi="Book Antiqua" w:cs="宋体"/>
          <w:sz w:val="24"/>
          <w:szCs w:val="24"/>
          <w:lang w:val="en-US" w:eastAsia="zh-CN"/>
        </w:rPr>
        <w:t xml:space="preserve"> 2008; </w:t>
      </w:r>
      <w:r w:rsidRPr="00115850">
        <w:rPr>
          <w:rFonts w:ascii="Book Antiqua" w:hAnsi="Book Antiqua" w:cs="宋体"/>
          <w:b/>
          <w:bCs/>
          <w:sz w:val="24"/>
          <w:szCs w:val="24"/>
          <w:lang w:val="en-US" w:eastAsia="zh-CN"/>
        </w:rPr>
        <w:t>6</w:t>
      </w:r>
      <w:r w:rsidRPr="00115850">
        <w:rPr>
          <w:rFonts w:ascii="Book Antiqua" w:hAnsi="Book Antiqua" w:cs="宋体"/>
          <w:sz w:val="24"/>
          <w:szCs w:val="24"/>
          <w:lang w:val="en-US" w:eastAsia="zh-CN"/>
        </w:rPr>
        <w:t>: 820-827 [PMID: 18547872 DOI: 10.1016/j.cgh.2008.02.052]</w:t>
      </w:r>
    </w:p>
    <w:p w14:paraId="351BB6AE"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28 </w:t>
      </w:r>
      <w:r w:rsidRPr="00115850">
        <w:rPr>
          <w:rFonts w:ascii="Book Antiqua" w:hAnsi="Book Antiqua" w:cs="宋体"/>
          <w:b/>
          <w:bCs/>
          <w:sz w:val="24"/>
          <w:szCs w:val="24"/>
          <w:lang w:val="en-US" w:eastAsia="zh-CN"/>
        </w:rPr>
        <w:t>Welin S</w:t>
      </w:r>
      <w:r w:rsidRPr="00115850">
        <w:rPr>
          <w:rFonts w:ascii="Book Antiqua" w:hAnsi="Book Antiqua" w:cs="宋体"/>
          <w:sz w:val="24"/>
          <w:szCs w:val="24"/>
          <w:lang w:val="en-US" w:eastAsia="zh-CN"/>
        </w:rPr>
        <w:t xml:space="preserve">, Stridsberg M, Cunningham J, Granberg D, Skogseid B, Oberg K, Eriksson B, Janson ET. Elevated plasma chromogranin A is the first indication of recurrence in radically operated midgut carcinoid tumors. </w:t>
      </w:r>
      <w:r w:rsidRPr="00115850">
        <w:rPr>
          <w:rFonts w:ascii="Book Antiqua" w:hAnsi="Book Antiqua" w:cs="宋体"/>
          <w:i/>
          <w:iCs/>
          <w:sz w:val="24"/>
          <w:szCs w:val="24"/>
          <w:lang w:val="en-US" w:eastAsia="zh-CN"/>
        </w:rPr>
        <w:t>Neuroendocrinology</w:t>
      </w:r>
      <w:r w:rsidRPr="00115850">
        <w:rPr>
          <w:rFonts w:ascii="Book Antiqua" w:hAnsi="Book Antiqua" w:cs="宋体"/>
          <w:sz w:val="24"/>
          <w:szCs w:val="24"/>
          <w:lang w:val="en-US" w:eastAsia="zh-CN"/>
        </w:rPr>
        <w:t xml:space="preserve"> 2009; </w:t>
      </w:r>
      <w:r w:rsidRPr="00115850">
        <w:rPr>
          <w:rFonts w:ascii="Book Antiqua" w:hAnsi="Book Antiqua" w:cs="宋体"/>
          <w:b/>
          <w:bCs/>
          <w:sz w:val="24"/>
          <w:szCs w:val="24"/>
          <w:lang w:val="en-US" w:eastAsia="zh-CN"/>
        </w:rPr>
        <w:t>89</w:t>
      </w:r>
      <w:r w:rsidRPr="00115850">
        <w:rPr>
          <w:rFonts w:ascii="Book Antiqua" w:hAnsi="Book Antiqua" w:cs="宋体"/>
          <w:sz w:val="24"/>
          <w:szCs w:val="24"/>
          <w:lang w:val="en-US" w:eastAsia="zh-CN"/>
        </w:rPr>
        <w:t>: 302-307 [PMID: 19176944 DOI: 10.1159/000179900]</w:t>
      </w:r>
    </w:p>
    <w:p w14:paraId="033C0596"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29 </w:t>
      </w:r>
      <w:r w:rsidRPr="00115850">
        <w:rPr>
          <w:rFonts w:ascii="Book Antiqua" w:hAnsi="Book Antiqua" w:cs="宋体"/>
          <w:b/>
          <w:bCs/>
          <w:sz w:val="24"/>
          <w:szCs w:val="24"/>
          <w:lang w:val="en-US" w:eastAsia="zh-CN"/>
        </w:rPr>
        <w:t>Ardill JE</w:t>
      </w:r>
      <w:r w:rsidRPr="00115850">
        <w:rPr>
          <w:rFonts w:ascii="Book Antiqua" w:hAnsi="Book Antiqua" w:cs="宋体"/>
          <w:sz w:val="24"/>
          <w:szCs w:val="24"/>
          <w:lang w:val="en-US" w:eastAsia="zh-CN"/>
        </w:rPr>
        <w:t xml:space="preserve">, Erikkson B. The importance of the measurement of circulating markers in patients with neuroendocrine tumours of the pancreas and gut. </w:t>
      </w:r>
      <w:r w:rsidRPr="00115850">
        <w:rPr>
          <w:rFonts w:ascii="Book Antiqua" w:hAnsi="Book Antiqua" w:cs="宋体"/>
          <w:i/>
          <w:iCs/>
          <w:sz w:val="24"/>
          <w:szCs w:val="24"/>
          <w:lang w:val="en-US" w:eastAsia="zh-CN"/>
        </w:rPr>
        <w:t>Endocr Relat Cancer</w:t>
      </w:r>
      <w:r w:rsidRPr="00115850">
        <w:rPr>
          <w:rFonts w:ascii="Book Antiqua" w:hAnsi="Book Antiqua" w:cs="宋体"/>
          <w:sz w:val="24"/>
          <w:szCs w:val="24"/>
          <w:lang w:val="en-US" w:eastAsia="zh-CN"/>
        </w:rPr>
        <w:t xml:space="preserve"> 2003; </w:t>
      </w:r>
      <w:r w:rsidRPr="00115850">
        <w:rPr>
          <w:rFonts w:ascii="Book Antiqua" w:hAnsi="Book Antiqua" w:cs="宋体"/>
          <w:b/>
          <w:bCs/>
          <w:sz w:val="24"/>
          <w:szCs w:val="24"/>
          <w:lang w:val="en-US" w:eastAsia="zh-CN"/>
        </w:rPr>
        <w:t>10</w:t>
      </w:r>
      <w:r w:rsidRPr="00115850">
        <w:rPr>
          <w:rFonts w:ascii="Book Antiqua" w:hAnsi="Book Antiqua" w:cs="宋体"/>
          <w:sz w:val="24"/>
          <w:szCs w:val="24"/>
          <w:lang w:val="en-US" w:eastAsia="zh-CN"/>
        </w:rPr>
        <w:t>: 459-462 [PMID: 14713258 DOI: 10.1677/erc.0.0100459]</w:t>
      </w:r>
    </w:p>
    <w:p w14:paraId="30AEECD6" w14:textId="7E11045F"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30 </w:t>
      </w:r>
      <w:r w:rsidRPr="00115850">
        <w:rPr>
          <w:rFonts w:ascii="Book Antiqua" w:hAnsi="Book Antiqua" w:cs="宋体"/>
          <w:b/>
          <w:bCs/>
          <w:sz w:val="24"/>
          <w:szCs w:val="24"/>
          <w:lang w:val="en-US" w:eastAsia="zh-CN"/>
        </w:rPr>
        <w:t>Vezzosi D</w:t>
      </w:r>
      <w:r w:rsidRPr="00115850">
        <w:rPr>
          <w:rFonts w:ascii="Book Antiqua" w:hAnsi="Book Antiqua" w:cs="宋体"/>
          <w:sz w:val="24"/>
          <w:szCs w:val="24"/>
          <w:lang w:val="en-US" w:eastAsia="zh-CN"/>
        </w:rPr>
        <w:t xml:space="preserve">, Walter T, Laplanche A, Raoul JL, Dromain C, Ruszniewski P, d'Herbomez M, Guigay J, Mitry E, Cadiot G, Leboulleux S, Lombard-Bohas C, Borson-Chazot F, Ducreux M, Baudin E. Chromogranin A measurement in metastatic well-differentiated gastroenteropancreatic neuroendocrine carcinoma: screening for false positives and a prospective follow-up study. </w:t>
      </w:r>
      <w:r w:rsidRPr="00115850">
        <w:rPr>
          <w:rFonts w:ascii="Book Antiqua" w:hAnsi="Book Antiqua" w:cs="宋体"/>
          <w:i/>
          <w:iCs/>
          <w:sz w:val="24"/>
          <w:szCs w:val="24"/>
          <w:lang w:val="en-US" w:eastAsia="zh-CN"/>
        </w:rPr>
        <w:t>Int J Biol Markers</w:t>
      </w:r>
      <w:r w:rsidRPr="00115850">
        <w:rPr>
          <w:rFonts w:ascii="Book Antiqua" w:hAnsi="Book Antiqua" w:cs="宋体"/>
          <w:sz w:val="24"/>
          <w:szCs w:val="24"/>
          <w:lang w:val="en-US" w:eastAsia="zh-CN"/>
        </w:rPr>
        <w:t xml:space="preserve"> </w:t>
      </w:r>
      <w:r w:rsidR="00AA4DED">
        <w:rPr>
          <w:rFonts w:ascii="Book Antiqua" w:hAnsi="Book Antiqua" w:cs="宋体" w:hint="eastAsia"/>
          <w:sz w:val="24"/>
          <w:szCs w:val="24"/>
          <w:lang w:val="en-US" w:eastAsia="zh-CN"/>
        </w:rPr>
        <w:t>2011</w:t>
      </w:r>
      <w:r w:rsidRPr="00115850">
        <w:rPr>
          <w:rFonts w:ascii="Book Antiqua" w:hAnsi="Book Antiqua" w:cs="宋体"/>
          <w:sz w:val="24"/>
          <w:szCs w:val="24"/>
          <w:lang w:val="en-US" w:eastAsia="zh-CN"/>
        </w:rPr>
        <w:t xml:space="preserve">; </w:t>
      </w:r>
      <w:r w:rsidRPr="00115850">
        <w:rPr>
          <w:rFonts w:ascii="Book Antiqua" w:hAnsi="Book Antiqua" w:cs="宋体"/>
          <w:b/>
          <w:bCs/>
          <w:sz w:val="24"/>
          <w:szCs w:val="24"/>
          <w:lang w:val="en-US" w:eastAsia="zh-CN"/>
        </w:rPr>
        <w:t>26</w:t>
      </w:r>
      <w:r w:rsidRPr="00115850">
        <w:rPr>
          <w:rFonts w:ascii="Book Antiqua" w:hAnsi="Book Antiqua" w:cs="宋体"/>
          <w:sz w:val="24"/>
          <w:szCs w:val="24"/>
          <w:lang w:val="en-US" w:eastAsia="zh-CN"/>
        </w:rPr>
        <w:t>: 94-101 [PMID: 21574156 DOI: 10.5301/JBM.2011.8327]</w:t>
      </w:r>
    </w:p>
    <w:p w14:paraId="41C0A111"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31 </w:t>
      </w:r>
      <w:r w:rsidRPr="00115850">
        <w:rPr>
          <w:rFonts w:ascii="Book Antiqua" w:hAnsi="Book Antiqua" w:cs="宋体"/>
          <w:b/>
          <w:bCs/>
          <w:sz w:val="24"/>
          <w:szCs w:val="24"/>
          <w:lang w:val="en-US" w:eastAsia="zh-CN"/>
        </w:rPr>
        <w:t>Korse CM</w:t>
      </w:r>
      <w:r w:rsidRPr="00115850">
        <w:rPr>
          <w:rFonts w:ascii="Book Antiqua" w:hAnsi="Book Antiqua" w:cs="宋体"/>
          <w:sz w:val="24"/>
          <w:szCs w:val="24"/>
          <w:lang w:val="en-US" w:eastAsia="zh-CN"/>
        </w:rPr>
        <w:t xml:space="preserve">, Taal BG, Vincent A, van Velthuysen ML, Baas P, Buning-Kager JC, Linders TC, Bonfrer JM. Choice of tumour markers in patients with neuroendocrine tumours is dependent on the histological grade. A marker study of Chromogranin A, Neuron specific enolase, Progastrin-releasing peptide and cytokeratin fragments. </w:t>
      </w:r>
      <w:r w:rsidRPr="00115850">
        <w:rPr>
          <w:rFonts w:ascii="Book Antiqua" w:hAnsi="Book Antiqua" w:cs="宋体"/>
          <w:i/>
          <w:iCs/>
          <w:sz w:val="24"/>
          <w:szCs w:val="24"/>
          <w:lang w:val="en-US" w:eastAsia="zh-CN"/>
        </w:rPr>
        <w:t>Eur J Cancer</w:t>
      </w:r>
      <w:r w:rsidRPr="00115850">
        <w:rPr>
          <w:rFonts w:ascii="Book Antiqua" w:hAnsi="Book Antiqua" w:cs="宋体"/>
          <w:sz w:val="24"/>
          <w:szCs w:val="24"/>
          <w:lang w:val="en-US" w:eastAsia="zh-CN"/>
        </w:rPr>
        <w:t xml:space="preserve"> 2012; </w:t>
      </w:r>
      <w:r w:rsidRPr="00115850">
        <w:rPr>
          <w:rFonts w:ascii="Book Antiqua" w:hAnsi="Book Antiqua" w:cs="宋体"/>
          <w:b/>
          <w:bCs/>
          <w:sz w:val="24"/>
          <w:szCs w:val="24"/>
          <w:lang w:val="en-US" w:eastAsia="zh-CN"/>
        </w:rPr>
        <w:t>48</w:t>
      </w:r>
      <w:r w:rsidRPr="00115850">
        <w:rPr>
          <w:rFonts w:ascii="Book Antiqua" w:hAnsi="Book Antiqua" w:cs="宋体"/>
          <w:sz w:val="24"/>
          <w:szCs w:val="24"/>
          <w:lang w:val="en-US" w:eastAsia="zh-CN"/>
        </w:rPr>
        <w:t>: 662-671 [PMID: 21945100 DOI: 10.1016/j.ejca.2011.08.012]</w:t>
      </w:r>
    </w:p>
    <w:p w14:paraId="15EFD30F"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32 </w:t>
      </w:r>
      <w:r w:rsidRPr="00115850">
        <w:rPr>
          <w:rFonts w:ascii="Book Antiqua" w:hAnsi="Book Antiqua" w:cs="宋体"/>
          <w:b/>
          <w:bCs/>
          <w:sz w:val="24"/>
          <w:szCs w:val="24"/>
          <w:lang w:val="en-US" w:eastAsia="zh-CN"/>
        </w:rPr>
        <w:t>O'Connor DT</w:t>
      </w:r>
      <w:r w:rsidRPr="00115850">
        <w:rPr>
          <w:rFonts w:ascii="Book Antiqua" w:hAnsi="Book Antiqua" w:cs="宋体"/>
          <w:sz w:val="24"/>
          <w:szCs w:val="24"/>
          <w:lang w:val="en-US" w:eastAsia="zh-CN"/>
        </w:rPr>
        <w:t xml:space="preserve">, Pandlan MR, Carlton E, Cervenka JH, Hslao RJ. Rapid radioimmunoassay of circulating chromogranin A: in vitro stability, exploration of the neuroendocrine character of neoplasia, and assessment of the effects of organ failure. </w:t>
      </w:r>
      <w:r w:rsidRPr="00115850">
        <w:rPr>
          <w:rFonts w:ascii="Book Antiqua" w:hAnsi="Book Antiqua" w:cs="宋体"/>
          <w:i/>
          <w:iCs/>
          <w:sz w:val="24"/>
          <w:szCs w:val="24"/>
          <w:lang w:val="en-US" w:eastAsia="zh-CN"/>
        </w:rPr>
        <w:t>Clin Chem</w:t>
      </w:r>
      <w:r w:rsidRPr="00115850">
        <w:rPr>
          <w:rFonts w:ascii="Book Antiqua" w:hAnsi="Book Antiqua" w:cs="宋体"/>
          <w:sz w:val="24"/>
          <w:szCs w:val="24"/>
          <w:lang w:val="en-US" w:eastAsia="zh-CN"/>
        </w:rPr>
        <w:t xml:space="preserve"> 1989; </w:t>
      </w:r>
      <w:r w:rsidRPr="00115850">
        <w:rPr>
          <w:rFonts w:ascii="Book Antiqua" w:hAnsi="Book Antiqua" w:cs="宋体"/>
          <w:b/>
          <w:bCs/>
          <w:sz w:val="24"/>
          <w:szCs w:val="24"/>
          <w:lang w:val="en-US" w:eastAsia="zh-CN"/>
        </w:rPr>
        <w:t>35</w:t>
      </w:r>
      <w:r w:rsidRPr="00115850">
        <w:rPr>
          <w:rFonts w:ascii="Book Antiqua" w:hAnsi="Book Antiqua" w:cs="宋体"/>
          <w:sz w:val="24"/>
          <w:szCs w:val="24"/>
          <w:lang w:val="en-US" w:eastAsia="zh-CN"/>
        </w:rPr>
        <w:t>: 1631-1637 [PMID: 2547534]</w:t>
      </w:r>
    </w:p>
    <w:p w14:paraId="2C809DAC"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lastRenderedPageBreak/>
        <w:t xml:space="preserve">33 </w:t>
      </w:r>
      <w:r w:rsidRPr="00115850">
        <w:rPr>
          <w:rFonts w:ascii="Book Antiqua" w:hAnsi="Book Antiqua" w:cs="宋体"/>
          <w:b/>
          <w:bCs/>
          <w:sz w:val="24"/>
          <w:szCs w:val="24"/>
          <w:lang w:val="en-US" w:eastAsia="zh-CN"/>
        </w:rPr>
        <w:t>Baudin E</w:t>
      </w:r>
      <w:r w:rsidRPr="00115850">
        <w:rPr>
          <w:rFonts w:ascii="Book Antiqua" w:hAnsi="Book Antiqua" w:cs="宋体"/>
          <w:sz w:val="24"/>
          <w:szCs w:val="24"/>
          <w:lang w:val="en-US" w:eastAsia="zh-CN"/>
        </w:rPr>
        <w:t xml:space="preserve">, Bidart JM, Bachelot A, Ducreux M, Elias D, Ruffié P, Schlumberger M. Impact of chromogranin A measurement in the work-up of neuroendocrine tumors. </w:t>
      </w:r>
      <w:r w:rsidRPr="00115850">
        <w:rPr>
          <w:rFonts w:ascii="Book Antiqua" w:hAnsi="Book Antiqua" w:cs="宋体"/>
          <w:i/>
          <w:iCs/>
          <w:sz w:val="24"/>
          <w:szCs w:val="24"/>
          <w:lang w:val="en-US" w:eastAsia="zh-CN"/>
        </w:rPr>
        <w:t>Ann Oncol</w:t>
      </w:r>
      <w:r w:rsidRPr="00115850">
        <w:rPr>
          <w:rFonts w:ascii="Book Antiqua" w:hAnsi="Book Antiqua" w:cs="宋体"/>
          <w:sz w:val="24"/>
          <w:szCs w:val="24"/>
          <w:lang w:val="en-US" w:eastAsia="zh-CN"/>
        </w:rPr>
        <w:t xml:space="preserve"> 2001; </w:t>
      </w:r>
      <w:r w:rsidRPr="00115850">
        <w:rPr>
          <w:rFonts w:ascii="Book Antiqua" w:hAnsi="Book Antiqua" w:cs="宋体"/>
          <w:b/>
          <w:bCs/>
          <w:sz w:val="24"/>
          <w:szCs w:val="24"/>
          <w:lang w:val="en-US" w:eastAsia="zh-CN"/>
        </w:rPr>
        <w:t xml:space="preserve">12 </w:t>
      </w:r>
      <w:r w:rsidRPr="00115850">
        <w:rPr>
          <w:rFonts w:ascii="Book Antiqua" w:hAnsi="Book Antiqua" w:cs="宋体"/>
          <w:bCs/>
          <w:sz w:val="24"/>
          <w:szCs w:val="24"/>
          <w:lang w:val="en-US" w:eastAsia="zh-CN"/>
        </w:rPr>
        <w:t>Suppl 2</w:t>
      </w:r>
      <w:r w:rsidRPr="00115850">
        <w:rPr>
          <w:rFonts w:ascii="Book Antiqua" w:hAnsi="Book Antiqua" w:cs="宋体"/>
          <w:sz w:val="24"/>
          <w:szCs w:val="24"/>
          <w:lang w:val="en-US" w:eastAsia="zh-CN"/>
        </w:rPr>
        <w:t>: S79-S82 [PMID: 11762357 DOI: 10.1023/A: 1012494309486]</w:t>
      </w:r>
    </w:p>
    <w:p w14:paraId="5D2DA44D"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34 </w:t>
      </w:r>
      <w:r w:rsidRPr="00115850">
        <w:rPr>
          <w:rFonts w:ascii="Book Antiqua" w:hAnsi="Book Antiqua" w:cs="宋体"/>
          <w:b/>
          <w:bCs/>
          <w:sz w:val="24"/>
          <w:szCs w:val="24"/>
          <w:lang w:val="en-US" w:eastAsia="zh-CN"/>
        </w:rPr>
        <w:t>Sidhu R</w:t>
      </w:r>
      <w:r w:rsidRPr="00115850">
        <w:rPr>
          <w:rFonts w:ascii="Book Antiqua" w:hAnsi="Book Antiqua" w:cs="宋体"/>
          <w:sz w:val="24"/>
          <w:szCs w:val="24"/>
          <w:lang w:val="en-US" w:eastAsia="zh-CN"/>
        </w:rPr>
        <w:t xml:space="preserve">, McAlindon ME, Leeds JS, Skilling J, Sanders DS. The role of serum chromogranin A in diarrhoea predominant irritable bowel syndrome. </w:t>
      </w:r>
      <w:r w:rsidRPr="00115850">
        <w:rPr>
          <w:rFonts w:ascii="Book Antiqua" w:hAnsi="Book Antiqua" w:cs="宋体"/>
          <w:i/>
          <w:iCs/>
          <w:sz w:val="24"/>
          <w:szCs w:val="24"/>
          <w:lang w:val="en-US" w:eastAsia="zh-CN"/>
        </w:rPr>
        <w:t>J Gastrointestin Liver Dis</w:t>
      </w:r>
      <w:r w:rsidRPr="00115850">
        <w:rPr>
          <w:rFonts w:ascii="Book Antiqua" w:hAnsi="Book Antiqua" w:cs="宋体"/>
          <w:sz w:val="24"/>
          <w:szCs w:val="24"/>
          <w:lang w:val="en-US" w:eastAsia="zh-CN"/>
        </w:rPr>
        <w:t xml:space="preserve"> 2009; </w:t>
      </w:r>
      <w:r w:rsidRPr="00115850">
        <w:rPr>
          <w:rFonts w:ascii="Book Antiqua" w:hAnsi="Book Antiqua" w:cs="宋体"/>
          <w:b/>
          <w:bCs/>
          <w:sz w:val="24"/>
          <w:szCs w:val="24"/>
          <w:lang w:val="en-US" w:eastAsia="zh-CN"/>
        </w:rPr>
        <w:t>18</w:t>
      </w:r>
      <w:r w:rsidRPr="00115850">
        <w:rPr>
          <w:rFonts w:ascii="Book Antiqua" w:hAnsi="Book Antiqua" w:cs="宋体"/>
          <w:sz w:val="24"/>
          <w:szCs w:val="24"/>
          <w:lang w:val="en-US" w:eastAsia="zh-CN"/>
        </w:rPr>
        <w:t>: 23-26 [PMID: 19337629]</w:t>
      </w:r>
    </w:p>
    <w:p w14:paraId="3B050F7D"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35 </w:t>
      </w:r>
      <w:r w:rsidRPr="00115850">
        <w:rPr>
          <w:rFonts w:ascii="Book Antiqua" w:hAnsi="Book Antiqua" w:cs="宋体"/>
          <w:b/>
          <w:bCs/>
          <w:sz w:val="24"/>
          <w:szCs w:val="24"/>
          <w:lang w:val="en-US" w:eastAsia="zh-CN"/>
        </w:rPr>
        <w:t>Bajetta E</w:t>
      </w:r>
      <w:r w:rsidRPr="00115850">
        <w:rPr>
          <w:rFonts w:ascii="Book Antiqua" w:hAnsi="Book Antiqua" w:cs="宋体"/>
          <w:sz w:val="24"/>
          <w:szCs w:val="24"/>
          <w:lang w:val="en-US" w:eastAsia="zh-CN"/>
        </w:rPr>
        <w:t xml:space="preserve">, Ferrari L, Martinetti A, Celio L, Procopio G, Artale S, Zilembo N, Di Bartolomeo M, Seregni E, Bombardieri E. Chromogranin A, neuron specific enolase, carcinoembryonic antigen, and hydroxyindole acetic acid evaluation in patients with neuroendocrine tumors. </w:t>
      </w:r>
      <w:r w:rsidRPr="00115850">
        <w:rPr>
          <w:rFonts w:ascii="Book Antiqua" w:hAnsi="Book Antiqua" w:cs="宋体"/>
          <w:i/>
          <w:iCs/>
          <w:sz w:val="24"/>
          <w:szCs w:val="24"/>
          <w:lang w:val="en-US" w:eastAsia="zh-CN"/>
        </w:rPr>
        <w:t>Cancer</w:t>
      </w:r>
      <w:r w:rsidRPr="00115850">
        <w:rPr>
          <w:rFonts w:ascii="Book Antiqua" w:hAnsi="Book Antiqua" w:cs="宋体"/>
          <w:sz w:val="24"/>
          <w:szCs w:val="24"/>
          <w:lang w:val="en-US" w:eastAsia="zh-CN"/>
        </w:rPr>
        <w:t xml:space="preserve"> 1999; </w:t>
      </w:r>
      <w:r w:rsidRPr="00115850">
        <w:rPr>
          <w:rFonts w:ascii="Book Antiqua" w:hAnsi="Book Antiqua" w:cs="宋体"/>
          <w:b/>
          <w:bCs/>
          <w:sz w:val="24"/>
          <w:szCs w:val="24"/>
          <w:lang w:val="en-US" w:eastAsia="zh-CN"/>
        </w:rPr>
        <w:t>86</w:t>
      </w:r>
      <w:r w:rsidRPr="00115850">
        <w:rPr>
          <w:rFonts w:ascii="Book Antiqua" w:hAnsi="Book Antiqua" w:cs="宋体"/>
          <w:sz w:val="24"/>
          <w:szCs w:val="24"/>
          <w:lang w:val="en-US" w:eastAsia="zh-CN"/>
        </w:rPr>
        <w:t>: 858-865 [PMID: 10463986 DOI: 10.1002/(SICI)1097-0142(19990901)86: 5&lt;858: : AID-CNCR23&gt;3.0.CO; 2-8]</w:t>
      </w:r>
    </w:p>
    <w:p w14:paraId="4C300F5E"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36 </w:t>
      </w:r>
      <w:r w:rsidRPr="00115850">
        <w:rPr>
          <w:rFonts w:ascii="Book Antiqua" w:hAnsi="Book Antiqua" w:cs="宋体"/>
          <w:b/>
          <w:bCs/>
          <w:sz w:val="24"/>
          <w:szCs w:val="24"/>
          <w:lang w:val="en-US" w:eastAsia="zh-CN"/>
        </w:rPr>
        <w:t>Yao JC</w:t>
      </w:r>
      <w:r w:rsidRPr="00115850">
        <w:rPr>
          <w:rFonts w:ascii="Book Antiqua" w:hAnsi="Book Antiqua" w:cs="宋体"/>
          <w:sz w:val="24"/>
          <w:szCs w:val="24"/>
          <w:lang w:val="en-US" w:eastAsia="zh-CN"/>
        </w:rPr>
        <w:t xml:space="preserve">, Pavel M, Phan AT, Kulke MH, Hoosen S, St Peter J, Cherfi A, Öberg KE. Chromogranin A and neuron-specific enolase as prognostic markers in patients with advanced pNET treated with everolimus. </w:t>
      </w:r>
      <w:r w:rsidRPr="00115850">
        <w:rPr>
          <w:rFonts w:ascii="Book Antiqua" w:hAnsi="Book Antiqua" w:cs="宋体"/>
          <w:i/>
          <w:iCs/>
          <w:sz w:val="24"/>
          <w:szCs w:val="24"/>
          <w:lang w:val="en-US" w:eastAsia="zh-CN"/>
        </w:rPr>
        <w:t>J Clin Endocrinol Metab</w:t>
      </w:r>
      <w:r w:rsidRPr="00115850">
        <w:rPr>
          <w:rFonts w:ascii="Book Antiqua" w:hAnsi="Book Antiqua" w:cs="宋体"/>
          <w:sz w:val="24"/>
          <w:szCs w:val="24"/>
          <w:lang w:val="en-US" w:eastAsia="zh-CN"/>
        </w:rPr>
        <w:t xml:space="preserve"> 2011; </w:t>
      </w:r>
      <w:r w:rsidRPr="00115850">
        <w:rPr>
          <w:rFonts w:ascii="Book Antiqua" w:hAnsi="Book Antiqua" w:cs="宋体"/>
          <w:b/>
          <w:bCs/>
          <w:sz w:val="24"/>
          <w:szCs w:val="24"/>
          <w:lang w:val="en-US" w:eastAsia="zh-CN"/>
        </w:rPr>
        <w:t>96</w:t>
      </w:r>
      <w:r w:rsidRPr="00115850">
        <w:rPr>
          <w:rFonts w:ascii="Book Antiqua" w:hAnsi="Book Antiqua" w:cs="宋体"/>
          <w:sz w:val="24"/>
          <w:szCs w:val="24"/>
          <w:lang w:val="en-US" w:eastAsia="zh-CN"/>
        </w:rPr>
        <w:t>: 3741-3749 [PMID: 21994954 DOI: 10.1210/jc.2011-0666]</w:t>
      </w:r>
    </w:p>
    <w:p w14:paraId="6ACA64A2" w14:textId="60B3F732"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37 </w:t>
      </w:r>
      <w:r w:rsidRPr="00115850">
        <w:rPr>
          <w:rFonts w:ascii="Book Antiqua" w:hAnsi="Book Antiqua" w:cs="宋体"/>
          <w:b/>
          <w:sz w:val="24"/>
          <w:szCs w:val="24"/>
          <w:lang w:val="en-US" w:eastAsia="zh-CN"/>
        </w:rPr>
        <w:t>Baudin E</w:t>
      </w:r>
      <w:r w:rsidRPr="00115850">
        <w:rPr>
          <w:rFonts w:ascii="Book Antiqua" w:hAnsi="Book Antiqua" w:cs="宋体"/>
          <w:sz w:val="24"/>
          <w:szCs w:val="24"/>
          <w:lang w:val="en-US" w:eastAsia="zh-CN"/>
        </w:rPr>
        <w:t>, Wolin EM, Castellano D, Kaltsas G, Lebrec J, Tsuchihashi Z,</w:t>
      </w:r>
      <w:r w:rsidR="00AA4DED">
        <w:rPr>
          <w:rFonts w:ascii="Book Antiqua" w:hAnsi="Book Antiqua" w:cs="宋体"/>
          <w:sz w:val="24"/>
          <w:szCs w:val="24"/>
          <w:lang w:val="en-US" w:eastAsia="zh-CN"/>
        </w:rPr>
        <w:t xml:space="preserve"> Klimovsky J, Saletan S, Yao JC</w:t>
      </w:r>
      <w:r w:rsidRPr="00115850">
        <w:rPr>
          <w:rFonts w:ascii="Book Antiqua" w:hAnsi="Book Antiqua" w:cs="宋体"/>
          <w:sz w:val="24"/>
          <w:szCs w:val="24"/>
          <w:lang w:val="en-US" w:eastAsia="zh-CN"/>
        </w:rPr>
        <w:t xml:space="preserve">, Gross D. Effect of everolimus plus octreotide LAR treatment on chromogranin A and 5-hydroxyindoleacetic acid levels in patients with advanced neuroendocrine tumors: Phase III RADIANT-2 study results. </w:t>
      </w:r>
      <w:r w:rsidRPr="00115850">
        <w:rPr>
          <w:rFonts w:ascii="Book Antiqua" w:hAnsi="Book Antiqua" w:cs="宋体"/>
          <w:i/>
          <w:sz w:val="24"/>
          <w:szCs w:val="24"/>
          <w:lang w:val="en-US" w:eastAsia="zh-CN"/>
        </w:rPr>
        <w:t>J Clin Oncol</w:t>
      </w:r>
      <w:r w:rsidRPr="00115850">
        <w:rPr>
          <w:rFonts w:ascii="Book Antiqua" w:hAnsi="Book Antiqua" w:cs="宋体"/>
          <w:sz w:val="24"/>
          <w:szCs w:val="24"/>
          <w:lang w:val="en-US" w:eastAsia="zh-CN"/>
        </w:rPr>
        <w:t xml:space="preserve"> 2011; </w:t>
      </w:r>
      <w:r w:rsidRPr="00115850">
        <w:rPr>
          <w:rFonts w:ascii="Book Antiqua" w:hAnsi="Book Antiqua" w:cs="宋体"/>
          <w:b/>
          <w:sz w:val="24"/>
          <w:szCs w:val="24"/>
          <w:lang w:val="en-US" w:eastAsia="zh-CN"/>
        </w:rPr>
        <w:t>29</w:t>
      </w:r>
      <w:r w:rsidRPr="00115850">
        <w:rPr>
          <w:rFonts w:ascii="Book Antiqua" w:hAnsi="Book Antiqua" w:cs="宋体"/>
          <w:sz w:val="24"/>
          <w:szCs w:val="24"/>
          <w:lang w:val="en-US" w:eastAsia="zh-CN"/>
        </w:rPr>
        <w:t xml:space="preserve"> Suppl</w:t>
      </w:r>
      <w:r w:rsidR="00AA4DED">
        <w:rPr>
          <w:rFonts w:ascii="Book Antiqua" w:hAnsi="Book Antiqua" w:cs="宋体" w:hint="eastAsia"/>
          <w:sz w:val="24"/>
          <w:szCs w:val="24"/>
          <w:lang w:val="en-US" w:eastAsia="zh-CN"/>
        </w:rPr>
        <w:t>:</w:t>
      </w:r>
      <w:r w:rsidRPr="00115850">
        <w:rPr>
          <w:rFonts w:ascii="Book Antiqua" w:hAnsi="Book Antiqua" w:cs="宋体"/>
          <w:sz w:val="24"/>
          <w:szCs w:val="24"/>
          <w:lang w:val="en-US" w:eastAsia="zh-CN"/>
        </w:rPr>
        <w:t xml:space="preserve"> Abstr 10527</w:t>
      </w:r>
    </w:p>
    <w:p w14:paraId="718392BC"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38 </w:t>
      </w:r>
      <w:r w:rsidRPr="00115850">
        <w:rPr>
          <w:rFonts w:ascii="Book Antiqua" w:hAnsi="Book Antiqua" w:cs="宋体"/>
          <w:b/>
          <w:bCs/>
          <w:sz w:val="24"/>
          <w:szCs w:val="24"/>
          <w:lang w:val="en-US" w:eastAsia="zh-CN"/>
        </w:rPr>
        <w:t>Parimi V</w:t>
      </w:r>
      <w:r w:rsidRPr="00115850">
        <w:rPr>
          <w:rFonts w:ascii="Book Antiqua" w:hAnsi="Book Antiqua" w:cs="宋体"/>
          <w:sz w:val="24"/>
          <w:szCs w:val="24"/>
          <w:lang w:val="en-US" w:eastAsia="zh-CN"/>
        </w:rPr>
        <w:t xml:space="preserve">, Goyal R, Poropatich K, Yang XJ. Neuroendocrine differentiation of prostate cancer: a review. </w:t>
      </w:r>
      <w:r w:rsidRPr="00115850">
        <w:rPr>
          <w:rFonts w:ascii="Book Antiqua" w:hAnsi="Book Antiqua" w:cs="宋体"/>
          <w:i/>
          <w:iCs/>
          <w:sz w:val="24"/>
          <w:szCs w:val="24"/>
          <w:lang w:val="en-US" w:eastAsia="zh-CN"/>
        </w:rPr>
        <w:t>Am J Clin Exp Urol</w:t>
      </w:r>
      <w:r w:rsidRPr="00115850">
        <w:rPr>
          <w:rFonts w:ascii="Book Antiqua" w:hAnsi="Book Antiqua" w:cs="宋体"/>
          <w:sz w:val="24"/>
          <w:szCs w:val="24"/>
          <w:lang w:val="en-US" w:eastAsia="zh-CN"/>
        </w:rPr>
        <w:t xml:space="preserve"> 2014; </w:t>
      </w:r>
      <w:r w:rsidRPr="00115850">
        <w:rPr>
          <w:rFonts w:ascii="Book Antiqua" w:hAnsi="Book Antiqua" w:cs="宋体"/>
          <w:b/>
          <w:bCs/>
          <w:sz w:val="24"/>
          <w:szCs w:val="24"/>
          <w:lang w:val="en-US" w:eastAsia="zh-CN"/>
        </w:rPr>
        <w:t>2</w:t>
      </w:r>
      <w:r w:rsidRPr="00115850">
        <w:rPr>
          <w:rFonts w:ascii="Book Antiqua" w:hAnsi="Book Antiqua" w:cs="宋体"/>
          <w:sz w:val="24"/>
          <w:szCs w:val="24"/>
          <w:lang w:val="en-US" w:eastAsia="zh-CN"/>
        </w:rPr>
        <w:t>: 273-285 [PMID: 25606573]</w:t>
      </w:r>
    </w:p>
    <w:p w14:paraId="5FA1281D" w14:textId="736FB806"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39 </w:t>
      </w:r>
      <w:r w:rsidRPr="00115850">
        <w:rPr>
          <w:rFonts w:ascii="Book Antiqua" w:hAnsi="Book Antiqua" w:cs="宋体"/>
          <w:b/>
          <w:bCs/>
          <w:sz w:val="24"/>
          <w:szCs w:val="24"/>
          <w:lang w:val="en-US" w:eastAsia="zh-CN"/>
        </w:rPr>
        <w:t>Conteduca V</w:t>
      </w:r>
      <w:r w:rsidRPr="00115850">
        <w:rPr>
          <w:rFonts w:ascii="Book Antiqua" w:hAnsi="Book Antiqua" w:cs="宋体"/>
          <w:sz w:val="24"/>
          <w:szCs w:val="24"/>
          <w:lang w:val="en-US" w:eastAsia="zh-CN"/>
        </w:rPr>
        <w:t xml:space="preserve">, Aieta M, Amadori D, De Giorgi U. Neuroendocrine differentiation in prostate cancer: current and emerging therapy strategies. </w:t>
      </w:r>
      <w:r w:rsidRPr="00115850">
        <w:rPr>
          <w:rFonts w:ascii="Book Antiqua" w:hAnsi="Book Antiqua" w:cs="宋体"/>
          <w:i/>
          <w:iCs/>
          <w:sz w:val="24"/>
          <w:szCs w:val="24"/>
          <w:lang w:val="en-US" w:eastAsia="zh-CN"/>
        </w:rPr>
        <w:t>Crit Rev Oncol Hematol</w:t>
      </w:r>
      <w:r w:rsidRPr="00115850">
        <w:rPr>
          <w:rFonts w:ascii="Book Antiqua" w:hAnsi="Book Antiqua" w:cs="宋体"/>
          <w:sz w:val="24"/>
          <w:szCs w:val="24"/>
          <w:lang w:val="en-US" w:eastAsia="zh-CN"/>
        </w:rPr>
        <w:t xml:space="preserve"> 2014; </w:t>
      </w:r>
      <w:r w:rsidRPr="00115850">
        <w:rPr>
          <w:rFonts w:ascii="Book Antiqua" w:hAnsi="Book Antiqua" w:cs="宋体"/>
          <w:b/>
          <w:bCs/>
          <w:sz w:val="24"/>
          <w:szCs w:val="24"/>
          <w:lang w:val="en-US" w:eastAsia="zh-CN"/>
        </w:rPr>
        <w:t>92</w:t>
      </w:r>
      <w:r w:rsidRPr="00115850">
        <w:rPr>
          <w:rFonts w:ascii="Book Antiqua" w:hAnsi="Book Antiqua" w:cs="宋体"/>
          <w:sz w:val="24"/>
          <w:szCs w:val="24"/>
          <w:lang w:val="en-US" w:eastAsia="zh-CN"/>
        </w:rPr>
        <w:t>: 11-</w:t>
      </w:r>
      <w:r w:rsidR="00AA4DED">
        <w:rPr>
          <w:rFonts w:ascii="Book Antiqua" w:hAnsi="Book Antiqua" w:cs="宋体"/>
          <w:sz w:val="24"/>
          <w:szCs w:val="24"/>
          <w:lang w:val="en-US" w:eastAsia="zh-CN"/>
        </w:rPr>
        <w:t>24 [PMID: 24952997 DOI: 10.1016</w:t>
      </w:r>
      <w:r w:rsidR="00AA4DED">
        <w:rPr>
          <w:rFonts w:ascii="Book Antiqua" w:hAnsi="Book Antiqua" w:cs="宋体" w:hint="eastAsia"/>
          <w:sz w:val="24"/>
          <w:szCs w:val="24"/>
          <w:lang w:val="en-US" w:eastAsia="zh-CN"/>
        </w:rPr>
        <w:t>/</w:t>
      </w:r>
      <w:r w:rsidR="00AA4DED" w:rsidRPr="00AA4DED">
        <w:rPr>
          <w:rFonts w:ascii="Book Antiqua" w:hAnsi="Book Antiqua" w:cs="宋体"/>
          <w:sz w:val="24"/>
          <w:szCs w:val="24"/>
          <w:lang w:val="en-US" w:eastAsia="zh-CN"/>
        </w:rPr>
        <w:t>j.critrevonc.2014.05.008</w:t>
      </w:r>
      <w:r w:rsidRPr="00115850">
        <w:rPr>
          <w:rFonts w:ascii="Book Antiqua" w:hAnsi="Book Antiqua" w:cs="宋体"/>
          <w:sz w:val="24"/>
          <w:szCs w:val="24"/>
          <w:lang w:val="en-US" w:eastAsia="zh-CN"/>
        </w:rPr>
        <w:t>]</w:t>
      </w:r>
    </w:p>
    <w:p w14:paraId="448CB714"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40 </w:t>
      </w:r>
      <w:r w:rsidRPr="00115850">
        <w:rPr>
          <w:rFonts w:ascii="Book Antiqua" w:hAnsi="Book Antiqua" w:cs="宋体"/>
          <w:b/>
          <w:bCs/>
          <w:sz w:val="24"/>
          <w:szCs w:val="24"/>
          <w:lang w:val="en-US" w:eastAsia="zh-CN"/>
        </w:rPr>
        <w:t>Bocan EV</w:t>
      </w:r>
      <w:r w:rsidRPr="00115850">
        <w:rPr>
          <w:rFonts w:ascii="Book Antiqua" w:hAnsi="Book Antiqua" w:cs="宋体"/>
          <w:sz w:val="24"/>
          <w:szCs w:val="24"/>
          <w:lang w:val="en-US" w:eastAsia="zh-CN"/>
        </w:rPr>
        <w:t xml:space="preserve">, Mederle O, Sârb S, Minciu R, Agapie D, Raica M. Correlation between histopathological form and the degree of neuroendocrine differentiations in prostate cancer. </w:t>
      </w:r>
      <w:r w:rsidRPr="00115850">
        <w:rPr>
          <w:rFonts w:ascii="Book Antiqua" w:hAnsi="Book Antiqua" w:cs="宋体"/>
          <w:i/>
          <w:iCs/>
          <w:sz w:val="24"/>
          <w:szCs w:val="24"/>
          <w:lang w:val="en-US" w:eastAsia="zh-CN"/>
        </w:rPr>
        <w:t>Rom J Morphol Embryol</w:t>
      </w:r>
      <w:r w:rsidRPr="00115850">
        <w:rPr>
          <w:rFonts w:ascii="Book Antiqua" w:hAnsi="Book Antiqua" w:cs="宋体"/>
          <w:sz w:val="24"/>
          <w:szCs w:val="24"/>
          <w:lang w:val="en-US" w:eastAsia="zh-CN"/>
        </w:rPr>
        <w:t xml:space="preserve"> 2011; </w:t>
      </w:r>
      <w:r w:rsidRPr="00115850">
        <w:rPr>
          <w:rFonts w:ascii="Book Antiqua" w:hAnsi="Book Antiqua" w:cs="宋体"/>
          <w:b/>
          <w:bCs/>
          <w:sz w:val="24"/>
          <w:szCs w:val="24"/>
          <w:lang w:val="en-US" w:eastAsia="zh-CN"/>
        </w:rPr>
        <w:t>52</w:t>
      </w:r>
      <w:r w:rsidRPr="00115850">
        <w:rPr>
          <w:rFonts w:ascii="Book Antiqua" w:hAnsi="Book Antiqua" w:cs="宋体"/>
          <w:sz w:val="24"/>
          <w:szCs w:val="24"/>
          <w:lang w:val="en-US" w:eastAsia="zh-CN"/>
        </w:rPr>
        <w:t>: 1215-1218 [PMID: 22203925]</w:t>
      </w:r>
    </w:p>
    <w:p w14:paraId="65584C3C"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41 </w:t>
      </w:r>
      <w:r w:rsidRPr="00115850">
        <w:rPr>
          <w:rFonts w:ascii="Book Antiqua" w:hAnsi="Book Antiqua" w:cs="宋体"/>
          <w:b/>
          <w:bCs/>
          <w:sz w:val="24"/>
          <w:szCs w:val="24"/>
          <w:lang w:val="en-US" w:eastAsia="zh-CN"/>
        </w:rPr>
        <w:t>Hirano D</w:t>
      </w:r>
      <w:r w:rsidRPr="00115850">
        <w:rPr>
          <w:rFonts w:ascii="Book Antiqua" w:hAnsi="Book Antiqua" w:cs="宋体"/>
          <w:sz w:val="24"/>
          <w:szCs w:val="24"/>
          <w:lang w:val="en-US" w:eastAsia="zh-CN"/>
        </w:rPr>
        <w:t xml:space="preserve">, Okada Y, Minei S, Takimoto Y, Nemoto N. Neuroendocrine differentiation in hormone refractory prostate cancer following androgen deprivation </w:t>
      </w:r>
      <w:r w:rsidRPr="00115850">
        <w:rPr>
          <w:rFonts w:ascii="Book Antiqua" w:hAnsi="Book Antiqua" w:cs="宋体"/>
          <w:sz w:val="24"/>
          <w:szCs w:val="24"/>
          <w:lang w:val="en-US" w:eastAsia="zh-CN"/>
        </w:rPr>
        <w:lastRenderedPageBreak/>
        <w:t xml:space="preserve">therapy. </w:t>
      </w:r>
      <w:r w:rsidRPr="00115850">
        <w:rPr>
          <w:rFonts w:ascii="Book Antiqua" w:hAnsi="Book Antiqua" w:cs="宋体"/>
          <w:i/>
          <w:iCs/>
          <w:sz w:val="24"/>
          <w:szCs w:val="24"/>
          <w:lang w:val="en-US" w:eastAsia="zh-CN"/>
        </w:rPr>
        <w:t>Eur Urol</w:t>
      </w:r>
      <w:r w:rsidRPr="00115850">
        <w:rPr>
          <w:rFonts w:ascii="Book Antiqua" w:hAnsi="Book Antiqua" w:cs="宋体"/>
          <w:sz w:val="24"/>
          <w:szCs w:val="24"/>
          <w:lang w:val="en-US" w:eastAsia="zh-CN"/>
        </w:rPr>
        <w:t xml:space="preserve"> 2004; </w:t>
      </w:r>
      <w:r w:rsidRPr="00115850">
        <w:rPr>
          <w:rFonts w:ascii="Book Antiqua" w:hAnsi="Book Antiqua" w:cs="宋体"/>
          <w:b/>
          <w:bCs/>
          <w:sz w:val="24"/>
          <w:szCs w:val="24"/>
          <w:lang w:val="en-US" w:eastAsia="zh-CN"/>
        </w:rPr>
        <w:t>45</w:t>
      </w:r>
      <w:r w:rsidRPr="00115850">
        <w:rPr>
          <w:rFonts w:ascii="Book Antiqua" w:hAnsi="Book Antiqua" w:cs="宋体"/>
          <w:sz w:val="24"/>
          <w:szCs w:val="24"/>
          <w:lang w:val="en-US" w:eastAsia="zh-CN"/>
        </w:rPr>
        <w:t>: 586-92; discussion 592 [PMID: 15082200 DOI: 10.1016/j.eururo.2003.11.032]</w:t>
      </w:r>
    </w:p>
    <w:p w14:paraId="07718F10" w14:textId="32AB4CD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42 </w:t>
      </w:r>
      <w:r w:rsidRPr="00115850">
        <w:rPr>
          <w:rFonts w:ascii="Book Antiqua" w:hAnsi="Book Antiqua" w:cs="宋体"/>
          <w:b/>
          <w:bCs/>
          <w:sz w:val="24"/>
          <w:szCs w:val="24"/>
          <w:lang w:val="en-US" w:eastAsia="zh-CN"/>
        </w:rPr>
        <w:t>Berruti A</w:t>
      </w:r>
      <w:r w:rsidRPr="00115850">
        <w:rPr>
          <w:rFonts w:ascii="Book Antiqua" w:hAnsi="Book Antiqua" w:cs="宋体"/>
          <w:sz w:val="24"/>
          <w:szCs w:val="24"/>
          <w:lang w:val="en-US" w:eastAsia="zh-CN"/>
        </w:rPr>
        <w:t xml:space="preserve">, Mosca A, Porpiglia F, Bollito E, Tucci M, Vana F, Cracco C, Torta M, Russo L, Cappia S, Saini A, Angeli A, Papotti M, Scarpa RM, Dogliotti L. Chromogranin A expression in patients with hormone naïve prostate cancer predicts the development of hormone refractory disease. </w:t>
      </w:r>
      <w:r w:rsidRPr="00115850">
        <w:rPr>
          <w:rFonts w:ascii="Book Antiqua" w:hAnsi="Book Antiqua" w:cs="宋体"/>
          <w:i/>
          <w:iCs/>
          <w:sz w:val="24"/>
          <w:szCs w:val="24"/>
          <w:lang w:val="en-US" w:eastAsia="zh-CN"/>
        </w:rPr>
        <w:t>J Urol</w:t>
      </w:r>
      <w:r w:rsidRPr="00115850">
        <w:rPr>
          <w:rFonts w:ascii="Book Antiqua" w:hAnsi="Book Antiqua" w:cs="宋体"/>
          <w:sz w:val="24"/>
          <w:szCs w:val="24"/>
          <w:lang w:val="en-US" w:eastAsia="zh-CN"/>
        </w:rPr>
        <w:t xml:space="preserve"> 2007; </w:t>
      </w:r>
      <w:r w:rsidRPr="00115850">
        <w:rPr>
          <w:rFonts w:ascii="Book Antiqua" w:hAnsi="Book Antiqua" w:cs="宋体"/>
          <w:b/>
          <w:bCs/>
          <w:sz w:val="24"/>
          <w:szCs w:val="24"/>
          <w:lang w:val="en-US" w:eastAsia="zh-CN"/>
        </w:rPr>
        <w:t>178</w:t>
      </w:r>
      <w:r w:rsidRPr="00115850">
        <w:rPr>
          <w:rFonts w:ascii="Book Antiqua" w:hAnsi="Book Antiqua" w:cs="宋体"/>
          <w:sz w:val="24"/>
          <w:szCs w:val="24"/>
          <w:lang w:val="en-US" w:eastAsia="zh-CN"/>
        </w:rPr>
        <w:t>: 838-</w:t>
      </w:r>
      <w:r w:rsidR="00B93397">
        <w:rPr>
          <w:rFonts w:ascii="Book Antiqua" w:hAnsi="Book Antiqua" w:cs="宋体" w:hint="eastAsia"/>
          <w:sz w:val="24"/>
          <w:szCs w:val="24"/>
          <w:lang w:val="en-US" w:eastAsia="zh-CN"/>
        </w:rPr>
        <w:t>8</w:t>
      </w:r>
      <w:r w:rsidRPr="00115850">
        <w:rPr>
          <w:rFonts w:ascii="Book Antiqua" w:hAnsi="Book Antiqua" w:cs="宋体"/>
          <w:sz w:val="24"/>
          <w:szCs w:val="24"/>
          <w:lang w:val="en-US" w:eastAsia="zh-CN"/>
        </w:rPr>
        <w:t>43; quiz 1129 [PMID: 17631319 DOI: 10.1016/j.juro.2007.05.018]</w:t>
      </w:r>
    </w:p>
    <w:p w14:paraId="2A8A168E"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43 </w:t>
      </w:r>
      <w:r w:rsidRPr="00115850">
        <w:rPr>
          <w:rFonts w:ascii="Book Antiqua" w:hAnsi="Book Antiqua" w:cs="宋体"/>
          <w:b/>
          <w:bCs/>
          <w:sz w:val="24"/>
          <w:szCs w:val="24"/>
          <w:lang w:val="en-US" w:eastAsia="zh-CN"/>
        </w:rPr>
        <w:t>Bonkhoff H</w:t>
      </w:r>
      <w:r w:rsidRPr="00115850">
        <w:rPr>
          <w:rFonts w:ascii="Book Antiqua" w:hAnsi="Book Antiqua" w:cs="宋体"/>
          <w:sz w:val="24"/>
          <w:szCs w:val="24"/>
          <w:lang w:val="en-US" w:eastAsia="zh-CN"/>
        </w:rPr>
        <w:t xml:space="preserve">, Stein U, Remberger K. Androgen receptor status in endocrine-paracrine cell types of the normal, hyperplastic, and neoplastic human prostate. </w:t>
      </w:r>
      <w:r w:rsidRPr="00115850">
        <w:rPr>
          <w:rFonts w:ascii="Book Antiqua" w:hAnsi="Book Antiqua" w:cs="宋体"/>
          <w:i/>
          <w:iCs/>
          <w:sz w:val="24"/>
          <w:szCs w:val="24"/>
          <w:lang w:val="en-US" w:eastAsia="zh-CN"/>
        </w:rPr>
        <w:t>Virchows Arch A Pathol Anat Histopathol</w:t>
      </w:r>
      <w:r w:rsidRPr="00115850">
        <w:rPr>
          <w:rFonts w:ascii="Book Antiqua" w:hAnsi="Book Antiqua" w:cs="宋体"/>
          <w:sz w:val="24"/>
          <w:szCs w:val="24"/>
          <w:lang w:val="en-US" w:eastAsia="zh-CN"/>
        </w:rPr>
        <w:t xml:space="preserve"> 1993; </w:t>
      </w:r>
      <w:r w:rsidRPr="00115850">
        <w:rPr>
          <w:rFonts w:ascii="Book Antiqua" w:hAnsi="Book Antiqua" w:cs="宋体"/>
          <w:b/>
          <w:bCs/>
          <w:sz w:val="24"/>
          <w:szCs w:val="24"/>
          <w:lang w:val="en-US" w:eastAsia="zh-CN"/>
        </w:rPr>
        <w:t>423</w:t>
      </w:r>
      <w:r w:rsidRPr="00115850">
        <w:rPr>
          <w:rFonts w:ascii="Book Antiqua" w:hAnsi="Book Antiqua" w:cs="宋体"/>
          <w:sz w:val="24"/>
          <w:szCs w:val="24"/>
          <w:lang w:val="en-US" w:eastAsia="zh-CN"/>
        </w:rPr>
        <w:t>: 291-294 [PMID: 7694424 DOI: 10.1007/BF01606893]</w:t>
      </w:r>
    </w:p>
    <w:p w14:paraId="0E9012D7"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44 </w:t>
      </w:r>
      <w:r w:rsidRPr="00115850">
        <w:rPr>
          <w:rFonts w:ascii="Book Antiqua" w:hAnsi="Book Antiqua" w:cs="宋体"/>
          <w:b/>
          <w:bCs/>
          <w:sz w:val="24"/>
          <w:szCs w:val="24"/>
          <w:lang w:val="en-US" w:eastAsia="zh-CN"/>
        </w:rPr>
        <w:t>Isshiki S</w:t>
      </w:r>
      <w:r w:rsidRPr="00115850">
        <w:rPr>
          <w:rFonts w:ascii="Book Antiqua" w:hAnsi="Book Antiqua" w:cs="宋体"/>
          <w:sz w:val="24"/>
          <w:szCs w:val="24"/>
          <w:lang w:val="en-US" w:eastAsia="zh-CN"/>
        </w:rPr>
        <w:t xml:space="preserve">, Akakura K, Komiya A, Suzuki H, Kamiya N, Ito H. Chromogranin a concentration as a serum marker to predict prognosis after endocrine therapy for prostate cancer. </w:t>
      </w:r>
      <w:r w:rsidRPr="00115850">
        <w:rPr>
          <w:rFonts w:ascii="Book Antiqua" w:hAnsi="Book Antiqua" w:cs="宋体"/>
          <w:i/>
          <w:iCs/>
          <w:sz w:val="24"/>
          <w:szCs w:val="24"/>
          <w:lang w:val="en-US" w:eastAsia="zh-CN"/>
        </w:rPr>
        <w:t>J Urol</w:t>
      </w:r>
      <w:r w:rsidRPr="00115850">
        <w:rPr>
          <w:rFonts w:ascii="Book Antiqua" w:hAnsi="Book Antiqua" w:cs="宋体"/>
          <w:sz w:val="24"/>
          <w:szCs w:val="24"/>
          <w:lang w:val="en-US" w:eastAsia="zh-CN"/>
        </w:rPr>
        <w:t xml:space="preserve"> 2002; </w:t>
      </w:r>
      <w:r w:rsidRPr="00115850">
        <w:rPr>
          <w:rFonts w:ascii="Book Antiqua" w:hAnsi="Book Antiqua" w:cs="宋体"/>
          <w:b/>
          <w:bCs/>
          <w:sz w:val="24"/>
          <w:szCs w:val="24"/>
          <w:lang w:val="en-US" w:eastAsia="zh-CN"/>
        </w:rPr>
        <w:t>167</w:t>
      </w:r>
      <w:r w:rsidRPr="00115850">
        <w:rPr>
          <w:rFonts w:ascii="Book Antiqua" w:hAnsi="Book Antiqua" w:cs="宋体"/>
          <w:sz w:val="24"/>
          <w:szCs w:val="24"/>
          <w:lang w:val="en-US" w:eastAsia="zh-CN"/>
        </w:rPr>
        <w:t>: 512-515 [PMID: 11792908 DOI: 10.1016/S0022-5347(01)69075-X]</w:t>
      </w:r>
    </w:p>
    <w:p w14:paraId="482F7FFF"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45 </w:t>
      </w:r>
      <w:r w:rsidRPr="00115850">
        <w:rPr>
          <w:rFonts w:ascii="Book Antiqua" w:hAnsi="Book Antiqua" w:cs="宋体"/>
          <w:b/>
          <w:bCs/>
          <w:sz w:val="24"/>
          <w:szCs w:val="24"/>
          <w:lang w:val="en-US" w:eastAsia="zh-CN"/>
        </w:rPr>
        <w:t>Berruti A</w:t>
      </w:r>
      <w:r w:rsidRPr="00115850">
        <w:rPr>
          <w:rFonts w:ascii="Book Antiqua" w:hAnsi="Book Antiqua" w:cs="宋体"/>
          <w:sz w:val="24"/>
          <w:szCs w:val="24"/>
          <w:lang w:val="en-US" w:eastAsia="zh-CN"/>
        </w:rPr>
        <w:t xml:space="preserve">, Dogliotti L, Mosca A, Gorzegno G, Bollito E, Mari M, Tarabuzzi R, Poggio M, Torta M, Fontana D, Angeli A. Potential clinical value of circulating chromogranin A in patients with prostate carcinoma. </w:t>
      </w:r>
      <w:r w:rsidRPr="00115850">
        <w:rPr>
          <w:rFonts w:ascii="Book Antiqua" w:hAnsi="Book Antiqua" w:cs="宋体"/>
          <w:i/>
          <w:iCs/>
          <w:sz w:val="24"/>
          <w:szCs w:val="24"/>
          <w:lang w:val="en-US" w:eastAsia="zh-CN"/>
        </w:rPr>
        <w:t>Ann Oncol</w:t>
      </w:r>
      <w:r w:rsidRPr="00115850">
        <w:rPr>
          <w:rFonts w:ascii="Book Antiqua" w:hAnsi="Book Antiqua" w:cs="宋体"/>
          <w:sz w:val="24"/>
          <w:szCs w:val="24"/>
          <w:lang w:val="en-US" w:eastAsia="zh-CN"/>
        </w:rPr>
        <w:t xml:space="preserve"> 2001; </w:t>
      </w:r>
      <w:r w:rsidRPr="00115850">
        <w:rPr>
          <w:rFonts w:ascii="Book Antiqua" w:hAnsi="Book Antiqua" w:cs="宋体"/>
          <w:b/>
          <w:bCs/>
          <w:sz w:val="24"/>
          <w:szCs w:val="24"/>
          <w:lang w:val="en-US" w:eastAsia="zh-CN"/>
        </w:rPr>
        <w:t xml:space="preserve">12 </w:t>
      </w:r>
      <w:r w:rsidRPr="00115850">
        <w:rPr>
          <w:rFonts w:ascii="Book Antiqua" w:hAnsi="Book Antiqua" w:cs="宋体"/>
          <w:bCs/>
          <w:sz w:val="24"/>
          <w:szCs w:val="24"/>
          <w:lang w:val="en-US" w:eastAsia="zh-CN"/>
        </w:rPr>
        <w:t>Suppl 2</w:t>
      </w:r>
      <w:r w:rsidRPr="00115850">
        <w:rPr>
          <w:rFonts w:ascii="Book Antiqua" w:hAnsi="Book Antiqua" w:cs="宋体"/>
          <w:sz w:val="24"/>
          <w:szCs w:val="24"/>
          <w:lang w:val="en-US" w:eastAsia="zh-CN"/>
        </w:rPr>
        <w:t>: S153-S157 [PMID: 11762344 DOI: 10.1023/A: 1012411111245]</w:t>
      </w:r>
    </w:p>
    <w:p w14:paraId="614E34D3"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46 </w:t>
      </w:r>
      <w:r w:rsidRPr="00115850">
        <w:rPr>
          <w:rFonts w:ascii="Book Antiqua" w:hAnsi="Book Antiqua" w:cs="宋体"/>
          <w:b/>
          <w:bCs/>
          <w:sz w:val="24"/>
          <w:szCs w:val="24"/>
          <w:lang w:val="en-US" w:eastAsia="zh-CN"/>
        </w:rPr>
        <w:t>Khan MO</w:t>
      </w:r>
      <w:r w:rsidRPr="00115850">
        <w:rPr>
          <w:rFonts w:ascii="Book Antiqua" w:hAnsi="Book Antiqua" w:cs="宋体"/>
          <w:sz w:val="24"/>
          <w:szCs w:val="24"/>
          <w:lang w:val="en-US" w:eastAsia="zh-CN"/>
        </w:rPr>
        <w:t xml:space="preserve">, Ather MH. Chromogranin A--serum marker for prostate cancer. </w:t>
      </w:r>
      <w:r w:rsidRPr="00115850">
        <w:rPr>
          <w:rFonts w:ascii="Book Antiqua" w:hAnsi="Book Antiqua" w:cs="宋体"/>
          <w:i/>
          <w:iCs/>
          <w:sz w:val="24"/>
          <w:szCs w:val="24"/>
          <w:lang w:val="en-US" w:eastAsia="zh-CN"/>
        </w:rPr>
        <w:t>J Pak Med Assoc</w:t>
      </w:r>
      <w:r w:rsidRPr="00115850">
        <w:rPr>
          <w:rFonts w:ascii="Book Antiqua" w:hAnsi="Book Antiqua" w:cs="宋体"/>
          <w:sz w:val="24"/>
          <w:szCs w:val="24"/>
          <w:lang w:val="en-US" w:eastAsia="zh-CN"/>
        </w:rPr>
        <w:t xml:space="preserve"> 2011; </w:t>
      </w:r>
      <w:r w:rsidRPr="00115850">
        <w:rPr>
          <w:rFonts w:ascii="Book Antiqua" w:hAnsi="Book Antiqua" w:cs="宋体"/>
          <w:b/>
          <w:bCs/>
          <w:sz w:val="24"/>
          <w:szCs w:val="24"/>
          <w:lang w:val="en-US" w:eastAsia="zh-CN"/>
        </w:rPr>
        <w:t>61</w:t>
      </w:r>
      <w:r w:rsidRPr="00115850">
        <w:rPr>
          <w:rFonts w:ascii="Book Antiqua" w:hAnsi="Book Antiqua" w:cs="宋体"/>
          <w:sz w:val="24"/>
          <w:szCs w:val="24"/>
          <w:lang w:val="en-US" w:eastAsia="zh-CN"/>
        </w:rPr>
        <w:t>: 108-111 [PMID: 22368921]</w:t>
      </w:r>
    </w:p>
    <w:p w14:paraId="104D5EAB"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47 </w:t>
      </w:r>
      <w:r w:rsidRPr="00115850">
        <w:rPr>
          <w:rFonts w:ascii="Book Antiqua" w:hAnsi="Book Antiqua" w:cs="宋体"/>
          <w:b/>
          <w:bCs/>
          <w:sz w:val="24"/>
          <w:szCs w:val="24"/>
          <w:lang w:val="en-US" w:eastAsia="zh-CN"/>
        </w:rPr>
        <w:t>Hoosein NM</w:t>
      </w:r>
      <w:r w:rsidRPr="00115850">
        <w:rPr>
          <w:rFonts w:ascii="Book Antiqua" w:hAnsi="Book Antiqua" w:cs="宋体"/>
          <w:sz w:val="24"/>
          <w:szCs w:val="24"/>
          <w:lang w:val="en-US" w:eastAsia="zh-CN"/>
        </w:rPr>
        <w:t xml:space="preserve">, Logothetis CJ, Chung LW. Differential effects of peptide hormones bombesin, vasoactive intestinal polypeptide and somatostatin analog RC-160 on the invasive capacity of human prostatic carcinoma cells. </w:t>
      </w:r>
      <w:r w:rsidRPr="00115850">
        <w:rPr>
          <w:rFonts w:ascii="Book Antiqua" w:hAnsi="Book Antiqua" w:cs="宋体"/>
          <w:i/>
          <w:iCs/>
          <w:sz w:val="24"/>
          <w:szCs w:val="24"/>
          <w:lang w:val="en-US" w:eastAsia="zh-CN"/>
        </w:rPr>
        <w:t>J Urol</w:t>
      </w:r>
      <w:r w:rsidRPr="00115850">
        <w:rPr>
          <w:rFonts w:ascii="Book Antiqua" w:hAnsi="Book Antiqua" w:cs="宋体"/>
          <w:sz w:val="24"/>
          <w:szCs w:val="24"/>
          <w:lang w:val="en-US" w:eastAsia="zh-CN"/>
        </w:rPr>
        <w:t xml:space="preserve"> 1993; </w:t>
      </w:r>
      <w:r w:rsidRPr="00115850">
        <w:rPr>
          <w:rFonts w:ascii="Book Antiqua" w:hAnsi="Book Antiqua" w:cs="宋体"/>
          <w:b/>
          <w:bCs/>
          <w:sz w:val="24"/>
          <w:szCs w:val="24"/>
          <w:lang w:val="en-US" w:eastAsia="zh-CN"/>
        </w:rPr>
        <w:t>149</w:t>
      </w:r>
      <w:r w:rsidRPr="00115850">
        <w:rPr>
          <w:rFonts w:ascii="Book Antiqua" w:hAnsi="Book Antiqua" w:cs="宋体"/>
          <w:sz w:val="24"/>
          <w:szCs w:val="24"/>
          <w:lang w:val="en-US" w:eastAsia="zh-CN"/>
        </w:rPr>
        <w:t>: 1209-1213 [PMID: 8097794]</w:t>
      </w:r>
    </w:p>
    <w:p w14:paraId="03357BB3"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48 </w:t>
      </w:r>
      <w:r w:rsidRPr="00115850">
        <w:rPr>
          <w:rFonts w:ascii="Book Antiqua" w:hAnsi="Book Antiqua" w:cs="宋体"/>
          <w:b/>
          <w:bCs/>
          <w:sz w:val="24"/>
          <w:szCs w:val="24"/>
          <w:lang w:val="en-US" w:eastAsia="zh-CN"/>
        </w:rPr>
        <w:t>Berruti A</w:t>
      </w:r>
      <w:r w:rsidRPr="00115850">
        <w:rPr>
          <w:rFonts w:ascii="Book Antiqua" w:hAnsi="Book Antiqua" w:cs="宋体"/>
          <w:sz w:val="24"/>
          <w:szCs w:val="24"/>
          <w:lang w:val="en-US" w:eastAsia="zh-CN"/>
        </w:rPr>
        <w:t xml:space="preserve">, Mosca A, Tucci M, Terrone C, Torta M, Tarabuzzi R, Russo L, Cracco C, Bollito E, Scarpa RM, Angeli A, Dogliotti L. Independent prognostic role of circulating chromogranin A in prostate cancer patients with hormone-refractory disease. </w:t>
      </w:r>
      <w:r w:rsidRPr="00115850">
        <w:rPr>
          <w:rFonts w:ascii="Book Antiqua" w:hAnsi="Book Antiqua" w:cs="宋体"/>
          <w:i/>
          <w:iCs/>
          <w:sz w:val="24"/>
          <w:szCs w:val="24"/>
          <w:lang w:val="en-US" w:eastAsia="zh-CN"/>
        </w:rPr>
        <w:t>Endocr Relat Cancer</w:t>
      </w:r>
      <w:r w:rsidRPr="00115850">
        <w:rPr>
          <w:rFonts w:ascii="Book Antiqua" w:hAnsi="Book Antiqua" w:cs="宋体"/>
          <w:sz w:val="24"/>
          <w:szCs w:val="24"/>
          <w:lang w:val="en-US" w:eastAsia="zh-CN"/>
        </w:rPr>
        <w:t xml:space="preserve"> 2005; </w:t>
      </w:r>
      <w:r w:rsidRPr="00115850">
        <w:rPr>
          <w:rFonts w:ascii="Book Antiqua" w:hAnsi="Book Antiqua" w:cs="宋体"/>
          <w:b/>
          <w:bCs/>
          <w:sz w:val="24"/>
          <w:szCs w:val="24"/>
          <w:lang w:val="en-US" w:eastAsia="zh-CN"/>
        </w:rPr>
        <w:t>12</w:t>
      </w:r>
      <w:r w:rsidRPr="00115850">
        <w:rPr>
          <w:rFonts w:ascii="Book Antiqua" w:hAnsi="Book Antiqua" w:cs="宋体"/>
          <w:sz w:val="24"/>
          <w:szCs w:val="24"/>
          <w:lang w:val="en-US" w:eastAsia="zh-CN"/>
        </w:rPr>
        <w:t>: 109-117 [PMID: 15788643 DOI: 10.1677/erc.1.00876]</w:t>
      </w:r>
    </w:p>
    <w:p w14:paraId="35D730A2"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lastRenderedPageBreak/>
        <w:t xml:space="preserve">49 </w:t>
      </w:r>
      <w:r w:rsidRPr="00115850">
        <w:rPr>
          <w:rFonts w:ascii="Book Antiqua" w:hAnsi="Book Antiqua" w:cs="宋体"/>
          <w:b/>
          <w:bCs/>
          <w:sz w:val="24"/>
          <w:szCs w:val="24"/>
          <w:lang w:val="en-US" w:eastAsia="zh-CN"/>
        </w:rPr>
        <w:t>Eriksson B</w:t>
      </w:r>
      <w:r w:rsidRPr="00115850">
        <w:rPr>
          <w:rFonts w:ascii="Book Antiqua" w:hAnsi="Book Antiqua" w:cs="宋体"/>
          <w:sz w:val="24"/>
          <w:szCs w:val="24"/>
          <w:lang w:val="en-US" w:eastAsia="zh-CN"/>
        </w:rPr>
        <w:t xml:space="preserve">, Oberg K, Skogseid B. Neuroendocrine pancreatic tumors. Clinical findings in a prospective study of 84 patients. </w:t>
      </w:r>
      <w:r w:rsidRPr="00115850">
        <w:rPr>
          <w:rFonts w:ascii="Book Antiqua" w:hAnsi="Book Antiqua" w:cs="宋体"/>
          <w:i/>
          <w:iCs/>
          <w:sz w:val="24"/>
          <w:szCs w:val="24"/>
          <w:lang w:val="en-US" w:eastAsia="zh-CN"/>
        </w:rPr>
        <w:t>Acta Oncol</w:t>
      </w:r>
      <w:r w:rsidRPr="00115850">
        <w:rPr>
          <w:rFonts w:ascii="Book Antiqua" w:hAnsi="Book Antiqua" w:cs="宋体"/>
          <w:sz w:val="24"/>
          <w:szCs w:val="24"/>
          <w:lang w:val="en-US" w:eastAsia="zh-CN"/>
        </w:rPr>
        <w:t xml:space="preserve"> 1989; </w:t>
      </w:r>
      <w:r w:rsidRPr="00115850">
        <w:rPr>
          <w:rFonts w:ascii="Book Antiqua" w:hAnsi="Book Antiqua" w:cs="宋体"/>
          <w:b/>
          <w:bCs/>
          <w:sz w:val="24"/>
          <w:szCs w:val="24"/>
          <w:lang w:val="en-US" w:eastAsia="zh-CN"/>
        </w:rPr>
        <w:t>28</w:t>
      </w:r>
      <w:r w:rsidRPr="00115850">
        <w:rPr>
          <w:rFonts w:ascii="Book Antiqua" w:hAnsi="Book Antiqua" w:cs="宋体"/>
          <w:sz w:val="24"/>
          <w:szCs w:val="24"/>
          <w:lang w:val="en-US" w:eastAsia="zh-CN"/>
        </w:rPr>
        <w:t>: 373-377 [PMID: 2472825 DOI: 10.3109/02841868909111211]</w:t>
      </w:r>
    </w:p>
    <w:p w14:paraId="1B718FF2"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50 </w:t>
      </w:r>
      <w:r w:rsidRPr="00115850">
        <w:rPr>
          <w:rFonts w:ascii="Book Antiqua" w:hAnsi="Book Antiqua" w:cs="宋体"/>
          <w:b/>
          <w:bCs/>
          <w:sz w:val="24"/>
          <w:szCs w:val="24"/>
          <w:lang w:val="en-US" w:eastAsia="zh-CN"/>
        </w:rPr>
        <w:t>Peracchi M</w:t>
      </w:r>
      <w:r w:rsidRPr="00115850">
        <w:rPr>
          <w:rFonts w:ascii="Book Antiqua" w:hAnsi="Book Antiqua" w:cs="宋体"/>
          <w:sz w:val="24"/>
          <w:szCs w:val="24"/>
          <w:lang w:val="en-US" w:eastAsia="zh-CN"/>
        </w:rPr>
        <w:t xml:space="preserve">, Conte D, Gebbia C, Penati C, Pizzinelli S, Arosio M, Corbetta S, Spada A. Plasma chromogranin A in patients with sporadic gastro-entero-pancreatic neuroendocrine tumors or multiple endocrine neoplasia type 1. </w:t>
      </w:r>
      <w:r w:rsidRPr="00115850">
        <w:rPr>
          <w:rFonts w:ascii="Book Antiqua" w:hAnsi="Book Antiqua" w:cs="宋体"/>
          <w:i/>
          <w:iCs/>
          <w:sz w:val="24"/>
          <w:szCs w:val="24"/>
          <w:lang w:val="en-US" w:eastAsia="zh-CN"/>
        </w:rPr>
        <w:t>Eur J Endocrinol</w:t>
      </w:r>
      <w:r w:rsidRPr="00115850">
        <w:rPr>
          <w:rFonts w:ascii="Book Antiqua" w:hAnsi="Book Antiqua" w:cs="宋体"/>
          <w:sz w:val="24"/>
          <w:szCs w:val="24"/>
          <w:lang w:val="en-US" w:eastAsia="zh-CN"/>
        </w:rPr>
        <w:t xml:space="preserve"> 2003; </w:t>
      </w:r>
      <w:r w:rsidRPr="00115850">
        <w:rPr>
          <w:rFonts w:ascii="Book Antiqua" w:hAnsi="Book Antiqua" w:cs="宋体"/>
          <w:b/>
          <w:bCs/>
          <w:sz w:val="24"/>
          <w:szCs w:val="24"/>
          <w:lang w:val="en-US" w:eastAsia="zh-CN"/>
        </w:rPr>
        <w:t>148</w:t>
      </w:r>
      <w:r w:rsidRPr="00115850">
        <w:rPr>
          <w:rFonts w:ascii="Book Antiqua" w:hAnsi="Book Antiqua" w:cs="宋体"/>
          <w:sz w:val="24"/>
          <w:szCs w:val="24"/>
          <w:lang w:val="en-US" w:eastAsia="zh-CN"/>
        </w:rPr>
        <w:t>: 39-43 [PMID: 12534356 DOI: 10.1530/eje.0.1480039]</w:t>
      </w:r>
    </w:p>
    <w:p w14:paraId="6EAC0044"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51 </w:t>
      </w:r>
      <w:r w:rsidRPr="00115850">
        <w:rPr>
          <w:rFonts w:ascii="Book Antiqua" w:hAnsi="Book Antiqua" w:cs="宋体"/>
          <w:b/>
          <w:bCs/>
          <w:sz w:val="24"/>
          <w:szCs w:val="24"/>
          <w:lang w:val="en-US" w:eastAsia="zh-CN"/>
        </w:rPr>
        <w:t>Deftos LJ</w:t>
      </w:r>
      <w:r w:rsidRPr="00115850">
        <w:rPr>
          <w:rFonts w:ascii="Book Antiqua" w:hAnsi="Book Antiqua" w:cs="宋体"/>
          <w:sz w:val="24"/>
          <w:szCs w:val="24"/>
          <w:lang w:val="en-US" w:eastAsia="zh-CN"/>
        </w:rPr>
        <w:t xml:space="preserve">, O'Connor DT, Wilson CB, Fitzgerald PA. Human pituitary tumors secrete chromogranin-A. </w:t>
      </w:r>
      <w:r w:rsidRPr="00115850">
        <w:rPr>
          <w:rFonts w:ascii="Book Antiqua" w:hAnsi="Book Antiqua" w:cs="宋体"/>
          <w:i/>
          <w:iCs/>
          <w:sz w:val="24"/>
          <w:szCs w:val="24"/>
          <w:lang w:val="en-US" w:eastAsia="zh-CN"/>
        </w:rPr>
        <w:t>J Clin Endocrinol Metab</w:t>
      </w:r>
      <w:r w:rsidRPr="00115850">
        <w:rPr>
          <w:rFonts w:ascii="Book Antiqua" w:hAnsi="Book Antiqua" w:cs="宋体"/>
          <w:sz w:val="24"/>
          <w:szCs w:val="24"/>
          <w:lang w:val="en-US" w:eastAsia="zh-CN"/>
        </w:rPr>
        <w:t xml:space="preserve"> 1989; </w:t>
      </w:r>
      <w:r w:rsidRPr="00115850">
        <w:rPr>
          <w:rFonts w:ascii="Book Antiqua" w:hAnsi="Book Antiqua" w:cs="宋体"/>
          <w:b/>
          <w:bCs/>
          <w:sz w:val="24"/>
          <w:szCs w:val="24"/>
          <w:lang w:val="en-US" w:eastAsia="zh-CN"/>
        </w:rPr>
        <w:t>68</w:t>
      </w:r>
      <w:r w:rsidRPr="00115850">
        <w:rPr>
          <w:rFonts w:ascii="Book Antiqua" w:hAnsi="Book Antiqua" w:cs="宋体"/>
          <w:sz w:val="24"/>
          <w:szCs w:val="24"/>
          <w:lang w:val="en-US" w:eastAsia="zh-CN"/>
        </w:rPr>
        <w:t>: 869-872 [PMID: 2715290 DOI: 10.1210/jcem-68-5-869]</w:t>
      </w:r>
    </w:p>
    <w:p w14:paraId="57932A3C"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52 </w:t>
      </w:r>
      <w:r w:rsidRPr="00115850">
        <w:rPr>
          <w:rFonts w:ascii="Book Antiqua" w:hAnsi="Book Antiqua" w:cs="宋体"/>
          <w:b/>
          <w:bCs/>
          <w:sz w:val="24"/>
          <w:szCs w:val="24"/>
          <w:lang w:val="en-US" w:eastAsia="zh-CN"/>
        </w:rPr>
        <w:t>Nanes MS</w:t>
      </w:r>
      <w:r w:rsidRPr="00115850">
        <w:rPr>
          <w:rFonts w:ascii="Book Antiqua" w:hAnsi="Book Antiqua" w:cs="宋体"/>
          <w:sz w:val="24"/>
          <w:szCs w:val="24"/>
          <w:lang w:val="en-US" w:eastAsia="zh-CN"/>
        </w:rPr>
        <w:t xml:space="preserve">, O'Connor DT, Marx SJ. Plasma chromogranin-A in primary hyperparathyroidism. </w:t>
      </w:r>
      <w:r w:rsidRPr="00115850">
        <w:rPr>
          <w:rFonts w:ascii="Book Antiqua" w:hAnsi="Book Antiqua" w:cs="宋体"/>
          <w:i/>
          <w:iCs/>
          <w:sz w:val="24"/>
          <w:szCs w:val="24"/>
          <w:lang w:val="en-US" w:eastAsia="zh-CN"/>
        </w:rPr>
        <w:t>J Clin Endocrinol Metab</w:t>
      </w:r>
      <w:r w:rsidRPr="00115850">
        <w:rPr>
          <w:rFonts w:ascii="Book Antiqua" w:hAnsi="Book Antiqua" w:cs="宋体"/>
          <w:sz w:val="24"/>
          <w:szCs w:val="24"/>
          <w:lang w:val="en-US" w:eastAsia="zh-CN"/>
        </w:rPr>
        <w:t xml:space="preserve"> 1989; </w:t>
      </w:r>
      <w:r w:rsidRPr="00115850">
        <w:rPr>
          <w:rFonts w:ascii="Book Antiqua" w:hAnsi="Book Antiqua" w:cs="宋体"/>
          <w:b/>
          <w:bCs/>
          <w:sz w:val="24"/>
          <w:szCs w:val="24"/>
          <w:lang w:val="en-US" w:eastAsia="zh-CN"/>
        </w:rPr>
        <w:t>69</w:t>
      </w:r>
      <w:r w:rsidRPr="00115850">
        <w:rPr>
          <w:rFonts w:ascii="Book Antiqua" w:hAnsi="Book Antiqua" w:cs="宋体"/>
          <w:sz w:val="24"/>
          <w:szCs w:val="24"/>
          <w:lang w:val="en-US" w:eastAsia="zh-CN"/>
        </w:rPr>
        <w:t>: 950-955 [PMID: 2571619 DOI: 10.1210/jcem-69-5-950]</w:t>
      </w:r>
    </w:p>
    <w:p w14:paraId="43C83177"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53 </w:t>
      </w:r>
      <w:r w:rsidRPr="00115850">
        <w:rPr>
          <w:rFonts w:ascii="Book Antiqua" w:hAnsi="Book Antiqua" w:cs="宋体"/>
          <w:b/>
          <w:bCs/>
          <w:sz w:val="24"/>
          <w:szCs w:val="24"/>
          <w:lang w:val="en-US" w:eastAsia="zh-CN"/>
        </w:rPr>
        <w:t>Sangiovanni A</w:t>
      </w:r>
      <w:r w:rsidRPr="00115850">
        <w:rPr>
          <w:rFonts w:ascii="Book Antiqua" w:hAnsi="Book Antiqua" w:cs="宋体"/>
          <w:sz w:val="24"/>
          <w:szCs w:val="24"/>
          <w:lang w:val="en-US" w:eastAsia="zh-CN"/>
        </w:rPr>
        <w:t xml:space="preserve">, Del Ninno E, Fasani P, De Fazio C, Ronchi G, Romeo R, Morabito A, De Franchis R, Colombo M. Increased survival of cirrhotic patients with a hepatocellular carcinoma detected during surveillance. </w:t>
      </w:r>
      <w:r w:rsidRPr="00115850">
        <w:rPr>
          <w:rFonts w:ascii="Book Antiqua" w:hAnsi="Book Antiqua" w:cs="宋体"/>
          <w:i/>
          <w:iCs/>
          <w:sz w:val="24"/>
          <w:szCs w:val="24"/>
          <w:lang w:val="en-US" w:eastAsia="zh-CN"/>
        </w:rPr>
        <w:t>Gastroenterology</w:t>
      </w:r>
      <w:r w:rsidRPr="00115850">
        <w:rPr>
          <w:rFonts w:ascii="Book Antiqua" w:hAnsi="Book Antiqua" w:cs="宋体"/>
          <w:sz w:val="24"/>
          <w:szCs w:val="24"/>
          <w:lang w:val="en-US" w:eastAsia="zh-CN"/>
        </w:rPr>
        <w:t xml:space="preserve"> 2004; </w:t>
      </w:r>
      <w:r w:rsidRPr="00115850">
        <w:rPr>
          <w:rFonts w:ascii="Book Antiqua" w:hAnsi="Book Antiqua" w:cs="宋体"/>
          <w:b/>
          <w:bCs/>
          <w:sz w:val="24"/>
          <w:szCs w:val="24"/>
          <w:lang w:val="en-US" w:eastAsia="zh-CN"/>
        </w:rPr>
        <w:t>126</w:t>
      </w:r>
      <w:r w:rsidRPr="00115850">
        <w:rPr>
          <w:rFonts w:ascii="Book Antiqua" w:hAnsi="Book Antiqua" w:cs="宋体"/>
          <w:sz w:val="24"/>
          <w:szCs w:val="24"/>
          <w:lang w:val="en-US" w:eastAsia="zh-CN"/>
        </w:rPr>
        <w:t>: 1005-1014 [PMID: 15057740 DOI: 10.1053/j.gastro.2003.12.049]</w:t>
      </w:r>
    </w:p>
    <w:p w14:paraId="721E6AC2"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54 </w:t>
      </w:r>
      <w:r w:rsidRPr="00115850">
        <w:rPr>
          <w:rFonts w:ascii="Book Antiqua" w:hAnsi="Book Antiqua" w:cs="宋体"/>
          <w:b/>
          <w:bCs/>
          <w:sz w:val="24"/>
          <w:szCs w:val="24"/>
          <w:lang w:val="en-US" w:eastAsia="zh-CN"/>
        </w:rPr>
        <w:t>Massironi S</w:t>
      </w:r>
      <w:r w:rsidRPr="00115850">
        <w:rPr>
          <w:rFonts w:ascii="Book Antiqua" w:hAnsi="Book Antiqua" w:cs="宋体"/>
          <w:sz w:val="24"/>
          <w:szCs w:val="24"/>
          <w:lang w:val="en-US" w:eastAsia="zh-CN"/>
        </w:rPr>
        <w:t xml:space="preserve">, Fraquelli M, Paggi S, Sangiovanni A, Conte D, Sciola V, Ciafardini C, Colombo M, Peracchi M. Chromogranin A levels in chronic liver disease and hepatocellular carcinoma. </w:t>
      </w:r>
      <w:r w:rsidRPr="00115850">
        <w:rPr>
          <w:rFonts w:ascii="Book Antiqua" w:hAnsi="Book Antiqua" w:cs="宋体"/>
          <w:i/>
          <w:iCs/>
          <w:sz w:val="24"/>
          <w:szCs w:val="24"/>
          <w:lang w:val="en-US" w:eastAsia="zh-CN"/>
        </w:rPr>
        <w:t>Dig Liver Dis</w:t>
      </w:r>
      <w:r w:rsidRPr="00115850">
        <w:rPr>
          <w:rFonts w:ascii="Book Antiqua" w:hAnsi="Book Antiqua" w:cs="宋体"/>
          <w:sz w:val="24"/>
          <w:szCs w:val="24"/>
          <w:lang w:val="en-US" w:eastAsia="zh-CN"/>
        </w:rPr>
        <w:t xml:space="preserve"> 2009; </w:t>
      </w:r>
      <w:r w:rsidRPr="00115850">
        <w:rPr>
          <w:rFonts w:ascii="Book Antiqua" w:hAnsi="Book Antiqua" w:cs="宋体"/>
          <w:b/>
          <w:bCs/>
          <w:sz w:val="24"/>
          <w:szCs w:val="24"/>
          <w:lang w:val="en-US" w:eastAsia="zh-CN"/>
        </w:rPr>
        <w:t>41</w:t>
      </w:r>
      <w:r w:rsidRPr="00115850">
        <w:rPr>
          <w:rFonts w:ascii="Book Antiqua" w:hAnsi="Book Antiqua" w:cs="宋体"/>
          <w:sz w:val="24"/>
          <w:szCs w:val="24"/>
          <w:lang w:val="en-US" w:eastAsia="zh-CN"/>
        </w:rPr>
        <w:t>: 31-35 [PMID: 18762462 DOI: 10.1016/j.dld.2008.05.002]</w:t>
      </w:r>
    </w:p>
    <w:p w14:paraId="13F28E17"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55 </w:t>
      </w:r>
      <w:r w:rsidRPr="00115850">
        <w:rPr>
          <w:rFonts w:ascii="Book Antiqua" w:hAnsi="Book Antiqua" w:cs="宋体"/>
          <w:b/>
          <w:bCs/>
          <w:sz w:val="24"/>
          <w:szCs w:val="24"/>
          <w:lang w:val="en-US" w:eastAsia="zh-CN"/>
        </w:rPr>
        <w:t>Spadaro A</w:t>
      </w:r>
      <w:r w:rsidRPr="00115850">
        <w:rPr>
          <w:rFonts w:ascii="Book Antiqua" w:hAnsi="Book Antiqua" w:cs="宋体"/>
          <w:sz w:val="24"/>
          <w:szCs w:val="24"/>
          <w:lang w:val="en-US" w:eastAsia="zh-CN"/>
        </w:rPr>
        <w:t xml:space="preserve">, Ajello A, Morace C, Zirilli A, D'arrigo G, Luigiano C, Martino F, Bene A, Migliorato D, Turiano S, Ferraù O, Freni MA. Serum chromogranin-A in hepatocellular carcinoma: diagnostic utility and limits. </w:t>
      </w:r>
      <w:r w:rsidRPr="00115850">
        <w:rPr>
          <w:rFonts w:ascii="Book Antiqua" w:hAnsi="Book Antiqua" w:cs="宋体"/>
          <w:i/>
          <w:iCs/>
          <w:sz w:val="24"/>
          <w:szCs w:val="24"/>
          <w:lang w:val="en-US" w:eastAsia="zh-CN"/>
        </w:rPr>
        <w:t>World J Gastroenterol</w:t>
      </w:r>
      <w:r w:rsidRPr="00115850">
        <w:rPr>
          <w:rFonts w:ascii="Book Antiqua" w:hAnsi="Book Antiqua" w:cs="宋体"/>
          <w:sz w:val="24"/>
          <w:szCs w:val="24"/>
          <w:lang w:val="en-US" w:eastAsia="zh-CN"/>
        </w:rPr>
        <w:t xml:space="preserve"> 2005; </w:t>
      </w:r>
      <w:r w:rsidRPr="00115850">
        <w:rPr>
          <w:rFonts w:ascii="Book Antiqua" w:hAnsi="Book Antiqua" w:cs="宋体"/>
          <w:b/>
          <w:bCs/>
          <w:sz w:val="24"/>
          <w:szCs w:val="24"/>
          <w:lang w:val="en-US" w:eastAsia="zh-CN"/>
        </w:rPr>
        <w:t>11</w:t>
      </w:r>
      <w:r w:rsidRPr="00115850">
        <w:rPr>
          <w:rFonts w:ascii="Book Antiqua" w:hAnsi="Book Antiqua" w:cs="宋体"/>
          <w:sz w:val="24"/>
          <w:szCs w:val="24"/>
          <w:lang w:val="en-US" w:eastAsia="zh-CN"/>
        </w:rPr>
        <w:t>: 1987-1990 [PMID: 15800991 DOI: 10.3748/wjg.v11.i13.1987]</w:t>
      </w:r>
    </w:p>
    <w:p w14:paraId="5B41B456"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56 </w:t>
      </w:r>
      <w:r w:rsidRPr="00115850">
        <w:rPr>
          <w:rFonts w:ascii="Book Antiqua" w:hAnsi="Book Antiqua" w:cs="宋体"/>
          <w:b/>
          <w:bCs/>
          <w:sz w:val="24"/>
          <w:szCs w:val="24"/>
          <w:lang w:val="en-US" w:eastAsia="zh-CN"/>
        </w:rPr>
        <w:t>Leone N</w:t>
      </w:r>
      <w:r w:rsidRPr="00115850">
        <w:rPr>
          <w:rFonts w:ascii="Book Antiqua" w:hAnsi="Book Antiqua" w:cs="宋体"/>
          <w:sz w:val="24"/>
          <w:szCs w:val="24"/>
          <w:lang w:val="en-US" w:eastAsia="zh-CN"/>
        </w:rPr>
        <w:t xml:space="preserve">, Pellicano R, Brunello F, Rizzetto M, Ponzetto A. Elevated serum chromogranin A in patients with hepatocellular carcinoma. </w:t>
      </w:r>
      <w:r w:rsidRPr="00115850">
        <w:rPr>
          <w:rFonts w:ascii="Book Antiqua" w:hAnsi="Book Antiqua" w:cs="宋体"/>
          <w:i/>
          <w:iCs/>
          <w:sz w:val="24"/>
          <w:szCs w:val="24"/>
          <w:lang w:val="en-US" w:eastAsia="zh-CN"/>
        </w:rPr>
        <w:t>Clin Exp Med</w:t>
      </w:r>
      <w:r w:rsidRPr="00115850">
        <w:rPr>
          <w:rFonts w:ascii="Book Antiqua" w:hAnsi="Book Antiqua" w:cs="宋体"/>
          <w:sz w:val="24"/>
          <w:szCs w:val="24"/>
          <w:lang w:val="en-US" w:eastAsia="zh-CN"/>
        </w:rPr>
        <w:t xml:space="preserve"> 2002; </w:t>
      </w:r>
      <w:r w:rsidRPr="00115850">
        <w:rPr>
          <w:rFonts w:ascii="Book Antiqua" w:hAnsi="Book Antiqua" w:cs="宋体"/>
          <w:b/>
          <w:bCs/>
          <w:sz w:val="24"/>
          <w:szCs w:val="24"/>
          <w:lang w:val="en-US" w:eastAsia="zh-CN"/>
        </w:rPr>
        <w:t>2</w:t>
      </w:r>
      <w:r w:rsidRPr="00115850">
        <w:rPr>
          <w:rFonts w:ascii="Book Antiqua" w:hAnsi="Book Antiqua" w:cs="宋体"/>
          <w:sz w:val="24"/>
          <w:szCs w:val="24"/>
          <w:lang w:val="en-US" w:eastAsia="zh-CN"/>
        </w:rPr>
        <w:t>: 119-123 [PMID: 12447608 DOI: 10.1007/s102380200016]</w:t>
      </w:r>
    </w:p>
    <w:p w14:paraId="02B038FD"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57 </w:t>
      </w:r>
      <w:r w:rsidRPr="00115850">
        <w:rPr>
          <w:rFonts w:ascii="Book Antiqua" w:hAnsi="Book Antiqua" w:cs="宋体"/>
          <w:b/>
          <w:bCs/>
          <w:sz w:val="24"/>
          <w:szCs w:val="24"/>
          <w:lang w:val="en-US" w:eastAsia="zh-CN"/>
        </w:rPr>
        <w:t>Baudin E</w:t>
      </w:r>
      <w:r w:rsidRPr="00115850">
        <w:rPr>
          <w:rFonts w:ascii="Book Antiqua" w:hAnsi="Book Antiqua" w:cs="宋体"/>
          <w:sz w:val="24"/>
          <w:szCs w:val="24"/>
          <w:lang w:val="en-US" w:eastAsia="zh-CN"/>
        </w:rPr>
        <w:t xml:space="preserve">, Gigliotti A, Ducreux M, Ropers J, Comoy E, Sabourin JC, Bidart JM, Cailleux AF, Bonacci R, Ruffié P, Schlumberger M. Neuron-specific enolase and </w:t>
      </w:r>
      <w:r w:rsidRPr="00115850">
        <w:rPr>
          <w:rFonts w:ascii="Book Antiqua" w:hAnsi="Book Antiqua" w:cs="宋体"/>
          <w:sz w:val="24"/>
          <w:szCs w:val="24"/>
          <w:lang w:val="en-US" w:eastAsia="zh-CN"/>
        </w:rPr>
        <w:lastRenderedPageBreak/>
        <w:t xml:space="preserve">chromogranin A as markers of neuroendocrine tumours. </w:t>
      </w:r>
      <w:r w:rsidRPr="00115850">
        <w:rPr>
          <w:rFonts w:ascii="Book Antiqua" w:hAnsi="Book Antiqua" w:cs="宋体"/>
          <w:i/>
          <w:iCs/>
          <w:sz w:val="24"/>
          <w:szCs w:val="24"/>
          <w:lang w:val="en-US" w:eastAsia="zh-CN"/>
        </w:rPr>
        <w:t>Br J Cancer</w:t>
      </w:r>
      <w:r w:rsidRPr="00115850">
        <w:rPr>
          <w:rFonts w:ascii="Book Antiqua" w:hAnsi="Book Antiqua" w:cs="宋体"/>
          <w:sz w:val="24"/>
          <w:szCs w:val="24"/>
          <w:lang w:val="en-US" w:eastAsia="zh-CN"/>
        </w:rPr>
        <w:t xml:space="preserve"> 1998; </w:t>
      </w:r>
      <w:r w:rsidRPr="00115850">
        <w:rPr>
          <w:rFonts w:ascii="Book Antiqua" w:hAnsi="Book Antiqua" w:cs="宋体"/>
          <w:b/>
          <w:bCs/>
          <w:sz w:val="24"/>
          <w:szCs w:val="24"/>
          <w:lang w:val="en-US" w:eastAsia="zh-CN"/>
        </w:rPr>
        <w:t>78</w:t>
      </w:r>
      <w:r w:rsidRPr="00115850">
        <w:rPr>
          <w:rFonts w:ascii="Book Antiqua" w:hAnsi="Book Antiqua" w:cs="宋体"/>
          <w:sz w:val="24"/>
          <w:szCs w:val="24"/>
          <w:lang w:val="en-US" w:eastAsia="zh-CN"/>
        </w:rPr>
        <w:t>: 1102-1107 [PMID: 9792158 DOI: 10.1038/bjc.1998.635]</w:t>
      </w:r>
    </w:p>
    <w:p w14:paraId="3D86EB0C"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58 </w:t>
      </w:r>
      <w:r w:rsidRPr="00115850">
        <w:rPr>
          <w:rFonts w:ascii="Book Antiqua" w:hAnsi="Book Antiqua" w:cs="宋体"/>
          <w:b/>
          <w:bCs/>
          <w:sz w:val="24"/>
          <w:szCs w:val="24"/>
          <w:lang w:val="en-US" w:eastAsia="zh-CN"/>
        </w:rPr>
        <w:t>Tomassetti P</w:t>
      </w:r>
      <w:r w:rsidRPr="00115850">
        <w:rPr>
          <w:rFonts w:ascii="Book Antiqua" w:hAnsi="Book Antiqua" w:cs="宋体"/>
          <w:sz w:val="24"/>
          <w:szCs w:val="24"/>
          <w:lang w:val="en-US" w:eastAsia="zh-CN"/>
        </w:rPr>
        <w:t xml:space="preserve">, Migliori M, Simoni P, Casadei R, De Iasio R, Corinaldesi R, Gullo L. Diagnostic value of plasma chromogranin A in neuroendocrine tumours. </w:t>
      </w:r>
      <w:r w:rsidRPr="00115850">
        <w:rPr>
          <w:rFonts w:ascii="Book Antiqua" w:hAnsi="Book Antiqua" w:cs="宋体"/>
          <w:i/>
          <w:iCs/>
          <w:sz w:val="24"/>
          <w:szCs w:val="24"/>
          <w:lang w:val="en-US" w:eastAsia="zh-CN"/>
        </w:rPr>
        <w:t>Eur J Gastroenterol Hepatol</w:t>
      </w:r>
      <w:r w:rsidRPr="00115850">
        <w:rPr>
          <w:rFonts w:ascii="Book Antiqua" w:hAnsi="Book Antiqua" w:cs="宋体"/>
          <w:sz w:val="24"/>
          <w:szCs w:val="24"/>
          <w:lang w:val="en-US" w:eastAsia="zh-CN"/>
        </w:rPr>
        <w:t xml:space="preserve"> 2001; </w:t>
      </w:r>
      <w:r w:rsidRPr="00115850">
        <w:rPr>
          <w:rFonts w:ascii="Book Antiqua" w:hAnsi="Book Antiqua" w:cs="宋体"/>
          <w:b/>
          <w:bCs/>
          <w:sz w:val="24"/>
          <w:szCs w:val="24"/>
          <w:lang w:val="en-US" w:eastAsia="zh-CN"/>
        </w:rPr>
        <w:t>13</w:t>
      </w:r>
      <w:r w:rsidRPr="00115850">
        <w:rPr>
          <w:rFonts w:ascii="Book Antiqua" w:hAnsi="Book Antiqua" w:cs="宋体"/>
          <w:sz w:val="24"/>
          <w:szCs w:val="24"/>
          <w:lang w:val="en-US" w:eastAsia="zh-CN"/>
        </w:rPr>
        <w:t>: 55-58 [PMID: 11204811 DOI: 10.1097/00042737-200101000-00010]</w:t>
      </w:r>
    </w:p>
    <w:p w14:paraId="7BF3FA7C"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59 </w:t>
      </w:r>
      <w:r w:rsidRPr="00115850">
        <w:rPr>
          <w:rFonts w:ascii="Book Antiqua" w:hAnsi="Book Antiqua" w:cs="宋体"/>
          <w:b/>
          <w:bCs/>
          <w:sz w:val="24"/>
          <w:szCs w:val="24"/>
          <w:lang w:val="en-US" w:eastAsia="zh-CN"/>
        </w:rPr>
        <w:t>Cimitan M</w:t>
      </w:r>
      <w:r w:rsidRPr="00115850">
        <w:rPr>
          <w:rFonts w:ascii="Book Antiqua" w:hAnsi="Book Antiqua" w:cs="宋体"/>
          <w:sz w:val="24"/>
          <w:szCs w:val="24"/>
          <w:lang w:val="en-US" w:eastAsia="zh-CN"/>
        </w:rPr>
        <w:t xml:space="preserve">, Buonadonna A, Cannizzaro R, Canzonieri V, Borsatti E, Ruffo R, De Apollonia L. Somatostatin receptor scintigraphy versus chromogranin A assay in the management of patients with neuroendocrine tumors of different types: clinical role. </w:t>
      </w:r>
      <w:r w:rsidRPr="00115850">
        <w:rPr>
          <w:rFonts w:ascii="Book Antiqua" w:hAnsi="Book Antiqua" w:cs="宋体"/>
          <w:i/>
          <w:iCs/>
          <w:sz w:val="24"/>
          <w:szCs w:val="24"/>
          <w:lang w:val="en-US" w:eastAsia="zh-CN"/>
        </w:rPr>
        <w:t>Ann Oncol</w:t>
      </w:r>
      <w:r w:rsidRPr="00115850">
        <w:rPr>
          <w:rFonts w:ascii="Book Antiqua" w:hAnsi="Book Antiqua" w:cs="宋体"/>
          <w:sz w:val="24"/>
          <w:szCs w:val="24"/>
          <w:lang w:val="en-US" w:eastAsia="zh-CN"/>
        </w:rPr>
        <w:t xml:space="preserve"> 2003; </w:t>
      </w:r>
      <w:r w:rsidRPr="00115850">
        <w:rPr>
          <w:rFonts w:ascii="Book Antiqua" w:hAnsi="Book Antiqua" w:cs="宋体"/>
          <w:b/>
          <w:bCs/>
          <w:sz w:val="24"/>
          <w:szCs w:val="24"/>
          <w:lang w:val="en-US" w:eastAsia="zh-CN"/>
        </w:rPr>
        <w:t>14</w:t>
      </w:r>
      <w:r w:rsidRPr="00115850">
        <w:rPr>
          <w:rFonts w:ascii="Book Antiqua" w:hAnsi="Book Antiqua" w:cs="宋体"/>
          <w:sz w:val="24"/>
          <w:szCs w:val="24"/>
          <w:lang w:val="en-US" w:eastAsia="zh-CN"/>
        </w:rPr>
        <w:t>: 1135-1141 [PMID: 12853358 DOI: 10.1093/annonc/mdg279]</w:t>
      </w:r>
    </w:p>
    <w:p w14:paraId="59DD50B2"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60 </w:t>
      </w:r>
      <w:r w:rsidRPr="00115850">
        <w:rPr>
          <w:rFonts w:ascii="Book Antiqua" w:hAnsi="Book Antiqua" w:cs="宋体"/>
          <w:b/>
          <w:bCs/>
          <w:sz w:val="24"/>
          <w:szCs w:val="24"/>
          <w:lang w:val="en-US" w:eastAsia="zh-CN"/>
        </w:rPr>
        <w:t>Zatelli MC</w:t>
      </w:r>
      <w:r w:rsidRPr="00115850">
        <w:rPr>
          <w:rFonts w:ascii="Book Antiqua" w:hAnsi="Book Antiqua" w:cs="宋体"/>
          <w:sz w:val="24"/>
          <w:szCs w:val="24"/>
          <w:lang w:val="en-US" w:eastAsia="zh-CN"/>
        </w:rPr>
        <w:t xml:space="preserve">, Torta M, Leon A, Ambrosio MR, Gion M, Tomassetti P, De Braud F, Delle Fave G, Dogliotti L, degli Uberti EC. Chromogranin A as a marker of neuroendocrine neoplasia: an Italian Multicenter Study. </w:t>
      </w:r>
      <w:r w:rsidRPr="00115850">
        <w:rPr>
          <w:rFonts w:ascii="Book Antiqua" w:hAnsi="Book Antiqua" w:cs="宋体"/>
          <w:i/>
          <w:iCs/>
          <w:sz w:val="24"/>
          <w:szCs w:val="24"/>
          <w:lang w:val="en-US" w:eastAsia="zh-CN"/>
        </w:rPr>
        <w:t>Endocr Relat Cancer</w:t>
      </w:r>
      <w:r w:rsidRPr="00115850">
        <w:rPr>
          <w:rFonts w:ascii="Book Antiqua" w:hAnsi="Book Antiqua" w:cs="宋体"/>
          <w:sz w:val="24"/>
          <w:szCs w:val="24"/>
          <w:lang w:val="en-US" w:eastAsia="zh-CN"/>
        </w:rPr>
        <w:t xml:space="preserve"> 2007; </w:t>
      </w:r>
      <w:r w:rsidRPr="00115850">
        <w:rPr>
          <w:rFonts w:ascii="Book Antiqua" w:hAnsi="Book Antiqua" w:cs="宋体"/>
          <w:b/>
          <w:bCs/>
          <w:sz w:val="24"/>
          <w:szCs w:val="24"/>
          <w:lang w:val="en-US" w:eastAsia="zh-CN"/>
        </w:rPr>
        <w:t>14</w:t>
      </w:r>
      <w:r w:rsidRPr="00115850">
        <w:rPr>
          <w:rFonts w:ascii="Book Antiqua" w:hAnsi="Book Antiqua" w:cs="宋体"/>
          <w:sz w:val="24"/>
          <w:szCs w:val="24"/>
          <w:lang w:val="en-US" w:eastAsia="zh-CN"/>
        </w:rPr>
        <w:t>: 473-482 [PMID: 17639060 DOI: 10.1677/ERC-07-0001]</w:t>
      </w:r>
    </w:p>
    <w:p w14:paraId="1A6D9ADA"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61 </w:t>
      </w:r>
      <w:r w:rsidRPr="00115850">
        <w:rPr>
          <w:rFonts w:ascii="Book Antiqua" w:hAnsi="Book Antiqua" w:cs="宋体"/>
          <w:b/>
          <w:bCs/>
          <w:sz w:val="24"/>
          <w:szCs w:val="24"/>
          <w:lang w:val="en-US" w:eastAsia="zh-CN"/>
        </w:rPr>
        <w:t>Rodrigues M</w:t>
      </w:r>
      <w:r w:rsidRPr="00115850">
        <w:rPr>
          <w:rFonts w:ascii="Book Antiqua" w:hAnsi="Book Antiqua" w:cs="宋体"/>
          <w:sz w:val="24"/>
          <w:szCs w:val="24"/>
          <w:lang w:val="en-US" w:eastAsia="zh-CN"/>
        </w:rPr>
        <w:t xml:space="preserve">, Gabriel M, Heute D, Putzer D, Griesmacher A, Virgolini I. Concordance between results of somatostatin receptor scintigraphy with 111In-DOTA-DPhe 1-Tyr 3-octreotide and chromogranin A assay in patients with neuroendocrine tumours. </w:t>
      </w:r>
      <w:r w:rsidRPr="00115850">
        <w:rPr>
          <w:rFonts w:ascii="Book Antiqua" w:hAnsi="Book Antiqua" w:cs="宋体"/>
          <w:i/>
          <w:iCs/>
          <w:sz w:val="24"/>
          <w:szCs w:val="24"/>
          <w:lang w:val="en-US" w:eastAsia="zh-CN"/>
        </w:rPr>
        <w:t>Eur J Nucl Med Mol Imaging</w:t>
      </w:r>
      <w:r w:rsidRPr="00115850">
        <w:rPr>
          <w:rFonts w:ascii="Book Antiqua" w:hAnsi="Book Antiqua" w:cs="宋体"/>
          <w:sz w:val="24"/>
          <w:szCs w:val="24"/>
          <w:lang w:val="en-US" w:eastAsia="zh-CN"/>
        </w:rPr>
        <w:t xml:space="preserve"> 2008; </w:t>
      </w:r>
      <w:r w:rsidRPr="00115850">
        <w:rPr>
          <w:rFonts w:ascii="Book Antiqua" w:hAnsi="Book Antiqua" w:cs="宋体"/>
          <w:b/>
          <w:bCs/>
          <w:sz w:val="24"/>
          <w:szCs w:val="24"/>
          <w:lang w:val="en-US" w:eastAsia="zh-CN"/>
        </w:rPr>
        <w:t>35</w:t>
      </w:r>
      <w:r w:rsidRPr="00115850">
        <w:rPr>
          <w:rFonts w:ascii="Book Antiqua" w:hAnsi="Book Antiqua" w:cs="宋体"/>
          <w:sz w:val="24"/>
          <w:szCs w:val="24"/>
          <w:lang w:val="en-US" w:eastAsia="zh-CN"/>
        </w:rPr>
        <w:t>: 1796-1802 [PMID: 18425512 DOI: 10.1007/s00259-008-0794-1]</w:t>
      </w:r>
    </w:p>
    <w:p w14:paraId="79DA5D08"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62 </w:t>
      </w:r>
      <w:r w:rsidRPr="00115850">
        <w:rPr>
          <w:rFonts w:ascii="Book Antiqua" w:hAnsi="Book Antiqua" w:cs="宋体"/>
          <w:b/>
          <w:bCs/>
          <w:sz w:val="24"/>
          <w:szCs w:val="24"/>
          <w:lang w:val="en-US" w:eastAsia="zh-CN"/>
        </w:rPr>
        <w:t>Belli SH</w:t>
      </w:r>
      <w:r w:rsidRPr="00115850">
        <w:rPr>
          <w:rFonts w:ascii="Book Antiqua" w:hAnsi="Book Antiqua" w:cs="宋体"/>
          <w:sz w:val="24"/>
          <w:szCs w:val="24"/>
          <w:lang w:val="en-US" w:eastAsia="zh-CN"/>
        </w:rPr>
        <w:t xml:space="preserve">, Oneto A, Aranda C, O'Connor JM, Domenichini E, Roca E, Méndez G, Bestani MC, Parma P, Giacomi N, Marmissolle F. Chromogranin A as a biochemical marker for the management of neuroendocrine tumors: a multicenter study developed in Argentina. </w:t>
      </w:r>
      <w:r w:rsidRPr="00115850">
        <w:rPr>
          <w:rFonts w:ascii="Book Antiqua" w:hAnsi="Book Antiqua" w:cs="宋体"/>
          <w:i/>
          <w:iCs/>
          <w:sz w:val="24"/>
          <w:szCs w:val="24"/>
          <w:lang w:val="en-US" w:eastAsia="zh-CN"/>
        </w:rPr>
        <w:t>Acta Gastroenterol Latinoam</w:t>
      </w:r>
      <w:r w:rsidRPr="00115850">
        <w:rPr>
          <w:rFonts w:ascii="Book Antiqua" w:hAnsi="Book Antiqua" w:cs="宋体"/>
          <w:sz w:val="24"/>
          <w:szCs w:val="24"/>
          <w:lang w:val="en-US" w:eastAsia="zh-CN"/>
        </w:rPr>
        <w:t xml:space="preserve"> 2009; </w:t>
      </w:r>
      <w:r w:rsidRPr="00115850">
        <w:rPr>
          <w:rFonts w:ascii="Book Antiqua" w:hAnsi="Book Antiqua" w:cs="宋体"/>
          <w:b/>
          <w:bCs/>
          <w:sz w:val="24"/>
          <w:szCs w:val="24"/>
          <w:lang w:val="en-US" w:eastAsia="zh-CN"/>
        </w:rPr>
        <w:t>39</w:t>
      </w:r>
      <w:r w:rsidRPr="00115850">
        <w:rPr>
          <w:rFonts w:ascii="Book Antiqua" w:hAnsi="Book Antiqua" w:cs="宋体"/>
          <w:sz w:val="24"/>
          <w:szCs w:val="24"/>
          <w:lang w:val="en-US" w:eastAsia="zh-CN"/>
        </w:rPr>
        <w:t>: 184-189 [PMID: 19845257]</w:t>
      </w:r>
    </w:p>
    <w:p w14:paraId="492FF2D1" w14:textId="77777777" w:rsidR="00115850" w:rsidRPr="00115850" w:rsidRDefault="00115850" w:rsidP="00115850">
      <w:pPr>
        <w:spacing w:after="0" w:line="360" w:lineRule="auto"/>
        <w:jc w:val="both"/>
        <w:rPr>
          <w:rFonts w:ascii="Book Antiqua" w:hAnsi="Book Antiqua" w:cs="宋体"/>
          <w:sz w:val="24"/>
          <w:szCs w:val="24"/>
          <w:lang w:val="en-US" w:eastAsia="zh-CN"/>
        </w:rPr>
      </w:pPr>
      <w:r w:rsidRPr="00115850">
        <w:rPr>
          <w:rFonts w:ascii="Book Antiqua" w:hAnsi="Book Antiqua" w:cs="宋体"/>
          <w:sz w:val="24"/>
          <w:szCs w:val="24"/>
          <w:lang w:val="en-US" w:eastAsia="zh-CN"/>
        </w:rPr>
        <w:t xml:space="preserve">63 </w:t>
      </w:r>
      <w:r w:rsidRPr="00115850">
        <w:rPr>
          <w:rFonts w:ascii="Book Antiqua" w:hAnsi="Book Antiqua" w:cs="宋体"/>
          <w:b/>
          <w:bCs/>
          <w:sz w:val="24"/>
          <w:szCs w:val="24"/>
          <w:lang w:val="en-US" w:eastAsia="zh-CN"/>
        </w:rPr>
        <w:t>Marotta V</w:t>
      </w:r>
      <w:r w:rsidRPr="00115850">
        <w:rPr>
          <w:rFonts w:ascii="Book Antiqua" w:hAnsi="Book Antiqua" w:cs="宋体"/>
          <w:sz w:val="24"/>
          <w:szCs w:val="24"/>
          <w:lang w:val="en-US" w:eastAsia="zh-CN"/>
        </w:rPr>
        <w:t xml:space="preserve">, Nuzzo V, Ferrara T, Zuccoli A, Masone M, Nocerino L, Del Prete M, Marciello F, Ramundo V, Lombardi G, Vitale M, Colao A, Faggiano A. Limitations of Chromogranin A in clinical practice. </w:t>
      </w:r>
      <w:r w:rsidRPr="00115850">
        <w:rPr>
          <w:rFonts w:ascii="Book Antiqua" w:hAnsi="Book Antiqua" w:cs="宋体"/>
          <w:i/>
          <w:iCs/>
          <w:sz w:val="24"/>
          <w:szCs w:val="24"/>
          <w:lang w:val="en-US" w:eastAsia="zh-CN"/>
        </w:rPr>
        <w:t>Biomarkers</w:t>
      </w:r>
      <w:r w:rsidRPr="00115850">
        <w:rPr>
          <w:rFonts w:ascii="Book Antiqua" w:hAnsi="Book Antiqua" w:cs="宋体"/>
          <w:sz w:val="24"/>
          <w:szCs w:val="24"/>
          <w:lang w:val="en-US" w:eastAsia="zh-CN"/>
        </w:rPr>
        <w:t xml:space="preserve"> 2012; </w:t>
      </w:r>
      <w:r w:rsidRPr="00115850">
        <w:rPr>
          <w:rFonts w:ascii="Book Antiqua" w:hAnsi="Book Antiqua" w:cs="宋体"/>
          <w:b/>
          <w:bCs/>
          <w:sz w:val="24"/>
          <w:szCs w:val="24"/>
          <w:lang w:val="en-US" w:eastAsia="zh-CN"/>
        </w:rPr>
        <w:t>17</w:t>
      </w:r>
      <w:r w:rsidRPr="00115850">
        <w:rPr>
          <w:rFonts w:ascii="Book Antiqua" w:hAnsi="Book Antiqua" w:cs="宋体"/>
          <w:sz w:val="24"/>
          <w:szCs w:val="24"/>
          <w:lang w:val="en-US" w:eastAsia="zh-CN"/>
        </w:rPr>
        <w:t>: 186-191 [PMID: 22303881 DOI: 10.3109/1354750X.2012.654511]</w:t>
      </w:r>
    </w:p>
    <w:p w14:paraId="7D8B9FCF" w14:textId="226623F9" w:rsidR="00507CD1" w:rsidRPr="00115850" w:rsidRDefault="00507CD1" w:rsidP="00115850">
      <w:pPr>
        <w:spacing w:after="0" w:line="360" w:lineRule="auto"/>
        <w:jc w:val="both"/>
        <w:rPr>
          <w:rFonts w:ascii="Book Antiqua" w:hAnsi="Book Antiqua" w:cs="Times New Roman"/>
          <w:sz w:val="24"/>
          <w:szCs w:val="24"/>
        </w:rPr>
      </w:pPr>
    </w:p>
    <w:p w14:paraId="3C023B94" w14:textId="6EF634F5" w:rsidR="00FC194B" w:rsidRPr="00AA4DED" w:rsidRDefault="000908D4" w:rsidP="00AA4DED">
      <w:pPr>
        <w:spacing w:after="0" w:line="360" w:lineRule="auto"/>
        <w:jc w:val="right"/>
        <w:rPr>
          <w:rFonts w:ascii="Book Antiqua" w:hAnsi="Book Antiqua"/>
          <w:b/>
          <w:sz w:val="24"/>
          <w:szCs w:val="24"/>
        </w:rPr>
      </w:pPr>
      <w:r w:rsidRPr="00AA4DED">
        <w:rPr>
          <w:rFonts w:ascii="Book Antiqua" w:hAnsi="Book Antiqua"/>
          <w:b/>
          <w:sz w:val="24"/>
          <w:szCs w:val="24"/>
        </w:rPr>
        <w:t>P-Reviewer:</w:t>
      </w:r>
      <w:r w:rsidRPr="00AA4DED">
        <w:rPr>
          <w:rFonts w:ascii="Book Antiqua" w:hAnsi="Book Antiqua"/>
          <w:color w:val="000000"/>
          <w:sz w:val="24"/>
          <w:szCs w:val="24"/>
        </w:rPr>
        <w:t xml:space="preserve"> Deutsch</w:t>
      </w:r>
      <w:r w:rsidRPr="00AA4DED">
        <w:rPr>
          <w:rFonts w:ascii="Book Antiqua" w:hAnsi="Book Antiqua"/>
          <w:color w:val="000000"/>
          <w:sz w:val="24"/>
          <w:szCs w:val="24"/>
          <w:lang w:eastAsia="zh-CN"/>
        </w:rPr>
        <w:t xml:space="preserve"> JC, </w:t>
      </w:r>
      <w:r w:rsidRPr="00AA4DED">
        <w:rPr>
          <w:rFonts w:ascii="Book Antiqua" w:hAnsi="Book Antiqua"/>
          <w:color w:val="000000"/>
          <w:sz w:val="24"/>
          <w:szCs w:val="24"/>
        </w:rPr>
        <w:t>Ke</w:t>
      </w:r>
      <w:r w:rsidRPr="00AA4DED">
        <w:rPr>
          <w:rFonts w:ascii="Book Antiqua" w:hAnsi="Book Antiqua"/>
          <w:color w:val="000000"/>
          <w:sz w:val="24"/>
          <w:szCs w:val="24"/>
          <w:lang w:eastAsia="zh-CN"/>
        </w:rPr>
        <w:t xml:space="preserve"> YQ, </w:t>
      </w:r>
      <w:r w:rsidRPr="00AA4DED">
        <w:rPr>
          <w:rFonts w:ascii="Book Antiqua" w:hAnsi="Book Antiqua"/>
          <w:color w:val="000000"/>
          <w:sz w:val="24"/>
          <w:szCs w:val="24"/>
        </w:rPr>
        <w:t>Ooi</w:t>
      </w:r>
      <w:r w:rsidRPr="00AA4DED">
        <w:rPr>
          <w:rFonts w:ascii="Book Antiqua" w:hAnsi="Book Antiqua"/>
          <w:color w:val="000000"/>
          <w:sz w:val="24"/>
          <w:szCs w:val="24"/>
          <w:lang w:eastAsia="zh-CN"/>
        </w:rPr>
        <w:t xml:space="preserve"> LLPJ </w:t>
      </w:r>
      <w:r w:rsidRPr="00AA4DED">
        <w:rPr>
          <w:rFonts w:ascii="Book Antiqua" w:hAnsi="Book Antiqua"/>
          <w:b/>
          <w:sz w:val="24"/>
          <w:szCs w:val="24"/>
        </w:rPr>
        <w:t xml:space="preserve"> S-Editor: </w:t>
      </w:r>
      <w:r w:rsidRPr="00AA4DED">
        <w:rPr>
          <w:rFonts w:ascii="Book Antiqua" w:hAnsi="Book Antiqua"/>
          <w:sz w:val="24"/>
          <w:szCs w:val="24"/>
        </w:rPr>
        <w:t>Ji FF</w:t>
      </w:r>
      <w:r w:rsidRPr="00AA4DED">
        <w:rPr>
          <w:rFonts w:ascii="Book Antiqua" w:hAnsi="Book Antiqua"/>
          <w:b/>
          <w:sz w:val="24"/>
          <w:szCs w:val="24"/>
        </w:rPr>
        <w:t xml:space="preserve"> L-Editor: E-Editor:</w:t>
      </w:r>
    </w:p>
    <w:p w14:paraId="765A9B0E" w14:textId="77777777" w:rsidR="00FC194B" w:rsidRPr="00115850" w:rsidRDefault="00FC194B" w:rsidP="00115850">
      <w:pPr>
        <w:spacing w:after="0" w:line="360" w:lineRule="auto"/>
        <w:jc w:val="both"/>
        <w:rPr>
          <w:rFonts w:ascii="Book Antiqua" w:hAnsi="Book Antiqua"/>
          <w:b/>
          <w:sz w:val="24"/>
          <w:szCs w:val="24"/>
        </w:rPr>
      </w:pPr>
      <w:r w:rsidRPr="00115850">
        <w:rPr>
          <w:rFonts w:ascii="Book Antiqua" w:hAnsi="Book Antiqua"/>
          <w:b/>
          <w:sz w:val="24"/>
          <w:szCs w:val="24"/>
        </w:rPr>
        <w:br w:type="page"/>
      </w:r>
    </w:p>
    <w:p w14:paraId="695377CF" w14:textId="1FD7143E" w:rsidR="00FC194B" w:rsidRPr="00B93397" w:rsidRDefault="00FC194B" w:rsidP="00FC194B">
      <w:pPr>
        <w:spacing w:after="0" w:line="360" w:lineRule="auto"/>
        <w:jc w:val="both"/>
        <w:rPr>
          <w:rFonts w:ascii="Book Antiqua" w:hAnsi="Book Antiqua" w:cs="Times New Roman"/>
          <w:b/>
          <w:sz w:val="24"/>
          <w:szCs w:val="24"/>
          <w:lang w:eastAsia="zh-CN"/>
        </w:rPr>
      </w:pPr>
      <w:r w:rsidRPr="00B93397">
        <w:rPr>
          <w:rFonts w:ascii="Book Antiqua" w:hAnsi="Book Antiqua" w:cs="Times New Roman"/>
          <w:b/>
          <w:sz w:val="24"/>
          <w:szCs w:val="24"/>
        </w:rPr>
        <w:lastRenderedPageBreak/>
        <w:t xml:space="preserve">Table 1 Non cancerous causes of </w:t>
      </w:r>
      <w:r w:rsidRPr="00B93397">
        <w:rPr>
          <w:rFonts w:ascii="Book Antiqua" w:hAnsi="Book Antiqua" w:cs="Times New Roman"/>
          <w:b/>
          <w:sz w:val="24"/>
          <w:szCs w:val="24"/>
          <w:lang w:val="en-US"/>
        </w:rPr>
        <w:t>chromogranin A</w:t>
      </w:r>
      <w:r w:rsidRPr="00B93397">
        <w:rPr>
          <w:rFonts w:ascii="Book Antiqua" w:hAnsi="Book Antiqua" w:cs="Times New Roman"/>
          <w:b/>
          <w:sz w:val="24"/>
          <w:szCs w:val="24"/>
        </w:rPr>
        <w:t xml:space="preserve">  elevation</w:t>
      </w:r>
    </w:p>
    <w:p w14:paraId="42282FFE" w14:textId="77777777" w:rsidR="00FC194B" w:rsidRPr="00FC194B" w:rsidRDefault="00FC194B" w:rsidP="00FC194B">
      <w:pPr>
        <w:spacing w:after="0" w:line="360" w:lineRule="auto"/>
        <w:jc w:val="both"/>
        <w:rPr>
          <w:rFonts w:ascii="Book Antiqua" w:hAnsi="Book Antiqua"/>
          <w:sz w:val="24"/>
          <w:szCs w:val="24"/>
        </w:rPr>
      </w:pPr>
    </w:p>
    <w:tbl>
      <w:tblPr>
        <w:tblStyle w:val="a6"/>
        <w:tblW w:w="9329" w:type="dxa"/>
        <w:tblLook w:val="04A0" w:firstRow="1" w:lastRow="0" w:firstColumn="1" w:lastColumn="0" w:noHBand="0" w:noVBand="1"/>
      </w:tblPr>
      <w:tblGrid>
        <w:gridCol w:w="1870"/>
        <w:gridCol w:w="2560"/>
        <w:gridCol w:w="2690"/>
        <w:gridCol w:w="20"/>
        <w:gridCol w:w="2189"/>
      </w:tblGrid>
      <w:tr w:rsidR="00FC194B" w:rsidRPr="00FC194B" w14:paraId="2F3450B2" w14:textId="77777777" w:rsidTr="00FC194B">
        <w:tc>
          <w:tcPr>
            <w:tcW w:w="1722" w:type="dxa"/>
          </w:tcPr>
          <w:p w14:paraId="29E35935" w14:textId="77777777" w:rsidR="00FC194B" w:rsidRPr="00FC194B" w:rsidRDefault="00FC194B" w:rsidP="00FC194B">
            <w:pPr>
              <w:spacing w:line="360" w:lineRule="auto"/>
              <w:jc w:val="both"/>
              <w:rPr>
                <w:rFonts w:ascii="Book Antiqua" w:hAnsi="Book Antiqua" w:cs="Times New Roman"/>
                <w:b/>
              </w:rPr>
            </w:pPr>
            <w:r w:rsidRPr="00FC194B">
              <w:rPr>
                <w:rFonts w:ascii="Book Antiqua" w:hAnsi="Book Antiqua" w:cs="Times New Roman"/>
                <w:b/>
              </w:rPr>
              <w:t>Cardiovascular</w:t>
            </w:r>
          </w:p>
        </w:tc>
        <w:tc>
          <w:tcPr>
            <w:tcW w:w="2349" w:type="dxa"/>
          </w:tcPr>
          <w:p w14:paraId="11E215FB" w14:textId="77777777" w:rsidR="00FC194B" w:rsidRPr="00FC194B" w:rsidRDefault="00FC194B" w:rsidP="00FC194B">
            <w:pPr>
              <w:spacing w:line="360" w:lineRule="auto"/>
              <w:jc w:val="both"/>
              <w:rPr>
                <w:rFonts w:ascii="Book Antiqua" w:hAnsi="Book Antiqua" w:cs="Times New Roman"/>
                <w:b/>
              </w:rPr>
            </w:pPr>
            <w:r w:rsidRPr="00FC194B">
              <w:rPr>
                <w:rFonts w:ascii="Book Antiqua" w:hAnsi="Book Antiqua" w:cs="Times New Roman"/>
                <w:b/>
              </w:rPr>
              <w:t>Endocrine</w:t>
            </w:r>
          </w:p>
        </w:tc>
        <w:tc>
          <w:tcPr>
            <w:tcW w:w="2468" w:type="dxa"/>
          </w:tcPr>
          <w:p w14:paraId="2971FBDA" w14:textId="77777777" w:rsidR="00FC194B" w:rsidRPr="00FC194B" w:rsidRDefault="00FC194B" w:rsidP="00FC194B">
            <w:pPr>
              <w:spacing w:line="360" w:lineRule="auto"/>
              <w:jc w:val="both"/>
              <w:rPr>
                <w:rFonts w:ascii="Book Antiqua" w:hAnsi="Book Antiqua" w:cs="Times New Roman"/>
                <w:b/>
              </w:rPr>
            </w:pPr>
            <w:r w:rsidRPr="00FC194B">
              <w:rPr>
                <w:rFonts w:ascii="Book Antiqua" w:hAnsi="Book Antiqua" w:cs="Times New Roman"/>
                <w:b/>
              </w:rPr>
              <w:t>Gastrointestinal</w:t>
            </w:r>
          </w:p>
        </w:tc>
        <w:tc>
          <w:tcPr>
            <w:tcW w:w="2790" w:type="dxa"/>
            <w:gridSpan w:val="2"/>
          </w:tcPr>
          <w:p w14:paraId="14D7A07B" w14:textId="77777777" w:rsidR="00FC194B" w:rsidRPr="00FC194B" w:rsidRDefault="00FC194B" w:rsidP="00FC194B">
            <w:pPr>
              <w:spacing w:line="360" w:lineRule="auto"/>
              <w:jc w:val="both"/>
              <w:rPr>
                <w:rFonts w:ascii="Book Antiqua" w:hAnsi="Book Antiqua" w:cs="Times New Roman"/>
                <w:b/>
              </w:rPr>
            </w:pPr>
            <w:r w:rsidRPr="00FC194B">
              <w:rPr>
                <w:rFonts w:ascii="Book Antiqua" w:hAnsi="Book Antiqua" w:cs="Times New Roman"/>
                <w:b/>
              </w:rPr>
              <w:t>Inflammatory</w:t>
            </w:r>
          </w:p>
        </w:tc>
      </w:tr>
      <w:tr w:rsidR="00FC194B" w:rsidRPr="00FC194B" w14:paraId="5B9147BD" w14:textId="77777777" w:rsidTr="00FC194B">
        <w:tc>
          <w:tcPr>
            <w:tcW w:w="9329" w:type="dxa"/>
            <w:gridSpan w:val="5"/>
          </w:tcPr>
          <w:p w14:paraId="102E4ECA" w14:textId="63A96F7C" w:rsidR="00FC194B" w:rsidRPr="00FC194B" w:rsidRDefault="00FC194B" w:rsidP="00FC194B">
            <w:pPr>
              <w:spacing w:line="360" w:lineRule="auto"/>
              <w:jc w:val="both"/>
              <w:rPr>
                <w:rFonts w:ascii="Book Antiqua" w:hAnsi="Book Antiqua" w:cs="Times New Roman"/>
                <w:b/>
              </w:rPr>
            </w:pPr>
            <w:r w:rsidRPr="00FC194B">
              <w:rPr>
                <w:rFonts w:ascii="Book Antiqua" w:hAnsi="Book Antiqua" w:cs="Times New Roman"/>
                <w:b/>
              </w:rPr>
              <w:t>Disease</w:t>
            </w:r>
          </w:p>
        </w:tc>
      </w:tr>
      <w:tr w:rsidR="00FC194B" w:rsidRPr="00FC194B" w14:paraId="2FB004D0" w14:textId="77777777" w:rsidTr="00FC194B">
        <w:tc>
          <w:tcPr>
            <w:tcW w:w="1722" w:type="dxa"/>
          </w:tcPr>
          <w:p w14:paraId="0508977B"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Acute coronary syndrome</w:t>
            </w:r>
          </w:p>
        </w:tc>
        <w:tc>
          <w:tcPr>
            <w:tcW w:w="2349" w:type="dxa"/>
          </w:tcPr>
          <w:p w14:paraId="35A802DB"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Hyperparathyroidism</w:t>
            </w:r>
          </w:p>
        </w:tc>
        <w:tc>
          <w:tcPr>
            <w:tcW w:w="2468" w:type="dxa"/>
          </w:tcPr>
          <w:p w14:paraId="098255BE"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Chronic atrophic gastritis</w:t>
            </w:r>
          </w:p>
        </w:tc>
        <w:tc>
          <w:tcPr>
            <w:tcW w:w="2790" w:type="dxa"/>
            <w:gridSpan w:val="2"/>
          </w:tcPr>
          <w:p w14:paraId="682006C1"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Chronic bronchitis</w:t>
            </w:r>
          </w:p>
        </w:tc>
      </w:tr>
      <w:tr w:rsidR="00FC194B" w:rsidRPr="00FC194B" w14:paraId="2020CBD9" w14:textId="77777777" w:rsidTr="00FC194B">
        <w:tc>
          <w:tcPr>
            <w:tcW w:w="1722" w:type="dxa"/>
          </w:tcPr>
          <w:p w14:paraId="0EB56C38"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Arterial hypertension</w:t>
            </w:r>
          </w:p>
        </w:tc>
        <w:tc>
          <w:tcPr>
            <w:tcW w:w="2349" w:type="dxa"/>
          </w:tcPr>
          <w:p w14:paraId="61054CD9"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Hyperthyroidism</w:t>
            </w:r>
          </w:p>
        </w:tc>
        <w:tc>
          <w:tcPr>
            <w:tcW w:w="2468" w:type="dxa"/>
          </w:tcPr>
          <w:p w14:paraId="23621CFE"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Chronic hepatitis</w:t>
            </w:r>
          </w:p>
        </w:tc>
        <w:tc>
          <w:tcPr>
            <w:tcW w:w="2790" w:type="dxa"/>
            <w:gridSpan w:val="2"/>
          </w:tcPr>
          <w:p w14:paraId="05FEEEEE"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Chronic obstructive pulmonary disease</w:t>
            </w:r>
          </w:p>
        </w:tc>
      </w:tr>
      <w:tr w:rsidR="00FC194B" w:rsidRPr="00FC194B" w14:paraId="2960304C" w14:textId="77777777" w:rsidTr="00FC194B">
        <w:tc>
          <w:tcPr>
            <w:tcW w:w="1722" w:type="dxa"/>
          </w:tcPr>
          <w:p w14:paraId="2538FDD4"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Cardiac insufficiency</w:t>
            </w:r>
          </w:p>
        </w:tc>
        <w:tc>
          <w:tcPr>
            <w:tcW w:w="2349" w:type="dxa"/>
          </w:tcPr>
          <w:p w14:paraId="166E781F"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Hypercortisolism</w:t>
            </w:r>
          </w:p>
        </w:tc>
        <w:tc>
          <w:tcPr>
            <w:tcW w:w="2468" w:type="dxa"/>
          </w:tcPr>
          <w:p w14:paraId="27030964"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Inflammatory/Irritable bowel syndrome</w:t>
            </w:r>
          </w:p>
        </w:tc>
        <w:tc>
          <w:tcPr>
            <w:tcW w:w="2790" w:type="dxa"/>
            <w:gridSpan w:val="2"/>
          </w:tcPr>
          <w:p w14:paraId="3A8C09C9"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Giant cell arthritis</w:t>
            </w:r>
          </w:p>
        </w:tc>
      </w:tr>
      <w:tr w:rsidR="00FC194B" w:rsidRPr="00FC194B" w14:paraId="101D7B9D" w14:textId="77777777" w:rsidTr="00FC194B">
        <w:tc>
          <w:tcPr>
            <w:tcW w:w="1722" w:type="dxa"/>
          </w:tcPr>
          <w:p w14:paraId="6A29AA00" w14:textId="77777777" w:rsidR="00FC194B" w:rsidRPr="00FC194B" w:rsidRDefault="00FC194B" w:rsidP="00FC194B">
            <w:pPr>
              <w:spacing w:line="360" w:lineRule="auto"/>
              <w:jc w:val="both"/>
              <w:rPr>
                <w:rFonts w:ascii="Book Antiqua" w:hAnsi="Book Antiqua" w:cs="Times New Roman"/>
              </w:rPr>
            </w:pPr>
          </w:p>
        </w:tc>
        <w:tc>
          <w:tcPr>
            <w:tcW w:w="2349" w:type="dxa"/>
          </w:tcPr>
          <w:p w14:paraId="5B6BAC66" w14:textId="77777777" w:rsidR="00FC194B" w:rsidRPr="00FC194B" w:rsidRDefault="00FC194B" w:rsidP="00FC194B">
            <w:pPr>
              <w:spacing w:line="360" w:lineRule="auto"/>
              <w:jc w:val="both"/>
              <w:rPr>
                <w:rFonts w:ascii="Book Antiqua" w:hAnsi="Book Antiqua" w:cs="Times New Roman"/>
              </w:rPr>
            </w:pPr>
          </w:p>
        </w:tc>
        <w:tc>
          <w:tcPr>
            <w:tcW w:w="2468" w:type="dxa"/>
          </w:tcPr>
          <w:p w14:paraId="4CC19C32"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Liver cirrhosis</w:t>
            </w:r>
          </w:p>
        </w:tc>
        <w:tc>
          <w:tcPr>
            <w:tcW w:w="2790" w:type="dxa"/>
            <w:gridSpan w:val="2"/>
          </w:tcPr>
          <w:p w14:paraId="3A920D85"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Rheumatoid arthritis</w:t>
            </w:r>
          </w:p>
        </w:tc>
      </w:tr>
      <w:tr w:rsidR="00FC194B" w:rsidRPr="00FC194B" w14:paraId="77268FF5" w14:textId="77777777" w:rsidTr="00FC194B">
        <w:tc>
          <w:tcPr>
            <w:tcW w:w="1722" w:type="dxa"/>
          </w:tcPr>
          <w:p w14:paraId="561BF6C6" w14:textId="77777777" w:rsidR="00FC194B" w:rsidRPr="00FC194B" w:rsidRDefault="00FC194B" w:rsidP="00FC194B">
            <w:pPr>
              <w:spacing w:line="360" w:lineRule="auto"/>
              <w:jc w:val="both"/>
              <w:rPr>
                <w:rFonts w:ascii="Book Antiqua" w:hAnsi="Book Antiqua" w:cs="Times New Roman"/>
              </w:rPr>
            </w:pPr>
          </w:p>
        </w:tc>
        <w:tc>
          <w:tcPr>
            <w:tcW w:w="2349" w:type="dxa"/>
          </w:tcPr>
          <w:p w14:paraId="09D6E160" w14:textId="77777777" w:rsidR="00FC194B" w:rsidRPr="00FC194B" w:rsidRDefault="00FC194B" w:rsidP="00FC194B">
            <w:pPr>
              <w:spacing w:line="360" w:lineRule="auto"/>
              <w:jc w:val="both"/>
              <w:rPr>
                <w:rFonts w:ascii="Book Antiqua" w:hAnsi="Book Antiqua" w:cs="Times New Roman"/>
              </w:rPr>
            </w:pPr>
          </w:p>
        </w:tc>
        <w:tc>
          <w:tcPr>
            <w:tcW w:w="2468" w:type="dxa"/>
          </w:tcPr>
          <w:p w14:paraId="1390D261"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Pancreatitis</w:t>
            </w:r>
          </w:p>
        </w:tc>
        <w:tc>
          <w:tcPr>
            <w:tcW w:w="2790" w:type="dxa"/>
            <w:gridSpan w:val="2"/>
          </w:tcPr>
          <w:p w14:paraId="35E3970D"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Systemic inflammatory response syndrome</w:t>
            </w:r>
          </w:p>
        </w:tc>
      </w:tr>
      <w:tr w:rsidR="00FC194B" w:rsidRPr="00FC194B" w14:paraId="10AF2175" w14:textId="77777777" w:rsidTr="00FC194B">
        <w:tc>
          <w:tcPr>
            <w:tcW w:w="9329" w:type="dxa"/>
            <w:gridSpan w:val="5"/>
          </w:tcPr>
          <w:p w14:paraId="1D6D99B9" w14:textId="77777777" w:rsidR="00FC194B" w:rsidRPr="00FC194B" w:rsidRDefault="00FC194B" w:rsidP="00FC194B">
            <w:pPr>
              <w:spacing w:line="360" w:lineRule="auto"/>
              <w:jc w:val="both"/>
              <w:rPr>
                <w:rFonts w:ascii="Book Antiqua" w:hAnsi="Book Antiqua" w:cs="Times New Roman"/>
                <w:b/>
              </w:rPr>
            </w:pPr>
            <w:r w:rsidRPr="00FC194B">
              <w:rPr>
                <w:rFonts w:ascii="Book Antiqua" w:hAnsi="Book Antiqua" w:cs="Times New Roman"/>
                <w:b/>
              </w:rPr>
              <w:t>Drugs</w:t>
            </w:r>
          </w:p>
        </w:tc>
      </w:tr>
      <w:tr w:rsidR="00FC194B" w:rsidRPr="00FC194B" w14:paraId="18A6CC07" w14:textId="77777777" w:rsidTr="00FC194B">
        <w:tc>
          <w:tcPr>
            <w:tcW w:w="1722" w:type="dxa"/>
          </w:tcPr>
          <w:p w14:paraId="29A3316A"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Corticoids</w:t>
            </w:r>
          </w:p>
        </w:tc>
        <w:tc>
          <w:tcPr>
            <w:tcW w:w="2349" w:type="dxa"/>
          </w:tcPr>
          <w:p w14:paraId="74AB73EA"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H2 receptor antagonist</w:t>
            </w:r>
          </w:p>
        </w:tc>
        <w:tc>
          <w:tcPr>
            <w:tcW w:w="5258" w:type="dxa"/>
            <w:gridSpan w:val="3"/>
          </w:tcPr>
          <w:p w14:paraId="708AD1FD"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Proton pump inhibitor</w:t>
            </w:r>
          </w:p>
        </w:tc>
      </w:tr>
      <w:tr w:rsidR="00FC194B" w:rsidRPr="00FC194B" w14:paraId="2C9483B3" w14:textId="77777777" w:rsidTr="00FC194B">
        <w:tc>
          <w:tcPr>
            <w:tcW w:w="9329" w:type="dxa"/>
            <w:gridSpan w:val="5"/>
          </w:tcPr>
          <w:p w14:paraId="51EDD86C" w14:textId="77777777" w:rsidR="00FC194B" w:rsidRPr="00FC194B" w:rsidRDefault="00FC194B" w:rsidP="00FC194B">
            <w:pPr>
              <w:spacing w:line="360" w:lineRule="auto"/>
              <w:jc w:val="both"/>
              <w:rPr>
                <w:rFonts w:ascii="Book Antiqua" w:hAnsi="Book Antiqua" w:cs="Times New Roman"/>
                <w:b/>
              </w:rPr>
            </w:pPr>
            <w:r w:rsidRPr="00FC194B">
              <w:rPr>
                <w:rFonts w:ascii="Book Antiqua" w:hAnsi="Book Antiqua" w:cs="Times New Roman"/>
                <w:b/>
              </w:rPr>
              <w:t>Status</w:t>
            </w:r>
          </w:p>
        </w:tc>
      </w:tr>
      <w:tr w:rsidR="00FC194B" w:rsidRPr="00FC194B" w14:paraId="215DC620" w14:textId="77777777" w:rsidTr="00FC194B">
        <w:tc>
          <w:tcPr>
            <w:tcW w:w="1722" w:type="dxa"/>
          </w:tcPr>
          <w:p w14:paraId="588D230C"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Exercise</w:t>
            </w:r>
          </w:p>
        </w:tc>
        <w:tc>
          <w:tcPr>
            <w:tcW w:w="2349" w:type="dxa"/>
          </w:tcPr>
          <w:p w14:paraId="398665F7"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Ingestion of a meal</w:t>
            </w:r>
          </w:p>
        </w:tc>
        <w:tc>
          <w:tcPr>
            <w:tcW w:w="5258" w:type="dxa"/>
            <w:gridSpan w:val="3"/>
          </w:tcPr>
          <w:p w14:paraId="74029011"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Pregnancy</w:t>
            </w:r>
          </w:p>
        </w:tc>
      </w:tr>
      <w:tr w:rsidR="00FC194B" w:rsidRPr="00FC194B" w14:paraId="35E85882" w14:textId="77777777" w:rsidTr="00FC194B">
        <w:tc>
          <w:tcPr>
            <w:tcW w:w="9329" w:type="dxa"/>
            <w:gridSpan w:val="5"/>
          </w:tcPr>
          <w:p w14:paraId="25868D52"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b/>
              </w:rPr>
              <w:t>Factors having potential influence on sample</w:t>
            </w:r>
          </w:p>
        </w:tc>
      </w:tr>
      <w:tr w:rsidR="00FC194B" w:rsidRPr="00FC194B" w14:paraId="34F69B79" w14:textId="77777777" w:rsidTr="00FC194B">
        <w:tc>
          <w:tcPr>
            <w:tcW w:w="1722" w:type="dxa"/>
          </w:tcPr>
          <w:p w14:paraId="2D984546"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Fibrin presence</w:t>
            </w:r>
          </w:p>
        </w:tc>
        <w:tc>
          <w:tcPr>
            <w:tcW w:w="2349" w:type="dxa"/>
          </w:tcPr>
          <w:p w14:paraId="45A6644C"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Haemolysis</w:t>
            </w:r>
          </w:p>
        </w:tc>
        <w:tc>
          <w:tcPr>
            <w:tcW w:w="2684" w:type="dxa"/>
            <w:gridSpan w:val="2"/>
          </w:tcPr>
          <w:p w14:paraId="1B629798" w14:textId="517F388C"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 xml:space="preserve">Imposing effect: </w:t>
            </w:r>
            <w:r w:rsidR="00550C57" w:rsidRPr="00FC194B">
              <w:rPr>
                <w:rFonts w:ascii="Book Antiqua" w:hAnsi="Book Antiqua" w:cs="Times New Roman"/>
              </w:rPr>
              <w:t>A</w:t>
            </w:r>
            <w:r w:rsidRPr="00FC194B">
              <w:rPr>
                <w:rFonts w:ascii="Book Antiqua" w:hAnsi="Book Antiqua" w:cs="Times New Roman"/>
              </w:rPr>
              <w:t>utoantibodies presence</w:t>
            </w:r>
          </w:p>
          <w:p w14:paraId="305E6FD9"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(RF-IgM, Avidine, Heterofile)</w:t>
            </w:r>
          </w:p>
        </w:tc>
        <w:tc>
          <w:tcPr>
            <w:tcW w:w="2574" w:type="dxa"/>
          </w:tcPr>
          <w:p w14:paraId="31F59234" w14:textId="2C10AD1E"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Late afternoon/night</w:t>
            </w:r>
            <w:r w:rsidR="00550C57">
              <w:rPr>
                <w:rFonts w:ascii="Book Antiqua" w:eastAsia="宋体" w:hAnsi="Book Antiqua" w:cs="Times New Roman" w:hint="eastAsia"/>
                <w:lang w:eastAsia="zh-CN"/>
              </w:rPr>
              <w:t xml:space="preserve"> </w:t>
            </w:r>
            <w:r w:rsidRPr="00FC194B">
              <w:rPr>
                <w:rFonts w:ascii="Book Antiqua" w:hAnsi="Book Antiqua" w:cs="Times New Roman"/>
              </w:rPr>
              <w:t>&gt;</w:t>
            </w:r>
            <w:r w:rsidR="00550C57">
              <w:rPr>
                <w:rFonts w:ascii="Book Antiqua" w:eastAsia="宋体" w:hAnsi="Book Antiqua" w:cs="Times New Roman" w:hint="eastAsia"/>
                <w:lang w:eastAsia="zh-CN"/>
              </w:rPr>
              <w:t xml:space="preserve"> </w:t>
            </w:r>
            <w:r w:rsidRPr="00FC194B">
              <w:rPr>
                <w:rFonts w:ascii="Book Antiqua" w:hAnsi="Book Antiqua" w:cs="Times New Roman"/>
              </w:rPr>
              <w:t>morning</w:t>
            </w:r>
          </w:p>
        </w:tc>
      </w:tr>
      <w:tr w:rsidR="00FC194B" w:rsidRPr="00FC194B" w14:paraId="10053925" w14:textId="77777777" w:rsidTr="00FC194B">
        <w:tc>
          <w:tcPr>
            <w:tcW w:w="1722" w:type="dxa"/>
          </w:tcPr>
          <w:p w14:paraId="73B74ED7"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Lipaemia</w:t>
            </w:r>
          </w:p>
        </w:tc>
        <w:tc>
          <w:tcPr>
            <w:tcW w:w="7607" w:type="dxa"/>
            <w:gridSpan w:val="4"/>
          </w:tcPr>
          <w:p w14:paraId="5A587ECC" w14:textId="7B51DFA1"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Plasma</w:t>
            </w:r>
            <w:r w:rsidR="00550C57">
              <w:rPr>
                <w:rFonts w:ascii="Book Antiqua" w:eastAsia="宋体" w:hAnsi="Book Antiqua" w:cs="Times New Roman" w:hint="eastAsia"/>
                <w:lang w:eastAsia="zh-CN"/>
              </w:rPr>
              <w:t xml:space="preserve"> </w:t>
            </w:r>
            <w:r w:rsidRPr="00FC194B">
              <w:rPr>
                <w:rFonts w:ascii="Book Antiqua" w:hAnsi="Book Antiqua" w:cs="Times New Roman"/>
              </w:rPr>
              <w:t>&gt;</w:t>
            </w:r>
            <w:r w:rsidR="00550C57">
              <w:rPr>
                <w:rFonts w:ascii="Book Antiqua" w:eastAsia="宋体" w:hAnsi="Book Antiqua" w:cs="Times New Roman" w:hint="eastAsia"/>
                <w:lang w:eastAsia="zh-CN"/>
              </w:rPr>
              <w:t xml:space="preserve"> </w:t>
            </w:r>
            <w:r w:rsidRPr="00FC194B">
              <w:rPr>
                <w:rFonts w:ascii="Book Antiqua" w:hAnsi="Book Antiqua" w:cs="Times New Roman"/>
              </w:rPr>
              <w:t>serum</w:t>
            </w:r>
          </w:p>
        </w:tc>
      </w:tr>
    </w:tbl>
    <w:p w14:paraId="749ABA9E" w14:textId="4F5CBDFD" w:rsidR="00FC194B" w:rsidRPr="00FC194B" w:rsidRDefault="00FC194B" w:rsidP="00FC194B">
      <w:pPr>
        <w:spacing w:after="0" w:line="360" w:lineRule="auto"/>
        <w:jc w:val="both"/>
        <w:rPr>
          <w:rFonts w:ascii="Book Antiqua" w:hAnsi="Book Antiqua"/>
          <w:sz w:val="24"/>
          <w:szCs w:val="24"/>
        </w:rPr>
      </w:pPr>
    </w:p>
    <w:p w14:paraId="265C1676" w14:textId="3DE3A6C5" w:rsidR="00FC194B" w:rsidRPr="00FC194B" w:rsidRDefault="00550C57" w:rsidP="00FC194B">
      <w:pPr>
        <w:spacing w:after="0" w:line="360" w:lineRule="auto"/>
        <w:jc w:val="both"/>
        <w:rPr>
          <w:rFonts w:ascii="Book Antiqua" w:hAnsi="Book Antiqua" w:cs="Times New Roman"/>
          <w:sz w:val="24"/>
          <w:szCs w:val="24"/>
          <w:lang w:eastAsia="zh-CN"/>
        </w:rPr>
      </w:pPr>
      <w:r w:rsidRPr="00550C57">
        <w:rPr>
          <w:rFonts w:ascii="Book Antiqua" w:hAnsi="Book Antiqua" w:cs="Times New Roman"/>
          <w:b/>
          <w:sz w:val="24"/>
          <w:szCs w:val="24"/>
        </w:rPr>
        <w:lastRenderedPageBreak/>
        <w:t>Table 2</w:t>
      </w:r>
      <w:r w:rsidR="00FC194B" w:rsidRPr="00550C57">
        <w:rPr>
          <w:rFonts w:ascii="Book Antiqua" w:hAnsi="Book Antiqua" w:cs="Times New Roman"/>
          <w:b/>
          <w:sz w:val="24"/>
          <w:szCs w:val="24"/>
        </w:rPr>
        <w:t xml:space="preserve"> Frequent  cancer-related causes of increased </w:t>
      </w:r>
      <w:r w:rsidR="00FC194B" w:rsidRPr="00550C57">
        <w:rPr>
          <w:rFonts w:ascii="Book Antiqua" w:hAnsi="Book Antiqua" w:cs="Times New Roman"/>
          <w:b/>
          <w:sz w:val="24"/>
          <w:szCs w:val="24"/>
          <w:lang w:val="en-US"/>
        </w:rPr>
        <w:t>chromogranin</w:t>
      </w:r>
      <w:r w:rsidR="00FC194B" w:rsidRPr="005F2615">
        <w:rPr>
          <w:rFonts w:ascii="Book Antiqua" w:hAnsi="Book Antiqua" w:cs="Times New Roman"/>
          <w:sz w:val="24"/>
          <w:szCs w:val="24"/>
          <w:lang w:val="en-US"/>
        </w:rPr>
        <w:t xml:space="preserve"> A</w:t>
      </w:r>
    </w:p>
    <w:p w14:paraId="35D66B22" w14:textId="77777777" w:rsidR="00FC194B" w:rsidRPr="00FC194B" w:rsidRDefault="00FC194B" w:rsidP="00FC194B">
      <w:pPr>
        <w:spacing w:after="0" w:line="360" w:lineRule="auto"/>
        <w:jc w:val="both"/>
        <w:rPr>
          <w:rFonts w:ascii="Book Antiqua" w:hAnsi="Book Antiqua"/>
          <w:sz w:val="24"/>
          <w:szCs w:val="24"/>
        </w:rPr>
      </w:pPr>
    </w:p>
    <w:tbl>
      <w:tblPr>
        <w:tblStyle w:val="a6"/>
        <w:tblW w:w="0" w:type="auto"/>
        <w:tblLook w:val="04A0" w:firstRow="1" w:lastRow="0" w:firstColumn="1" w:lastColumn="0" w:noHBand="0" w:noVBand="1"/>
      </w:tblPr>
      <w:tblGrid>
        <w:gridCol w:w="2129"/>
        <w:gridCol w:w="2657"/>
      </w:tblGrid>
      <w:tr w:rsidR="00FC194B" w:rsidRPr="00FC194B" w14:paraId="4216FA98" w14:textId="77777777" w:rsidTr="00D034F6">
        <w:tc>
          <w:tcPr>
            <w:tcW w:w="2129" w:type="dxa"/>
          </w:tcPr>
          <w:p w14:paraId="7DD8CF04" w14:textId="77777777" w:rsidR="00FC194B" w:rsidRPr="00FC194B" w:rsidRDefault="00FC194B" w:rsidP="00FC194B">
            <w:pPr>
              <w:spacing w:line="360" w:lineRule="auto"/>
              <w:jc w:val="both"/>
              <w:rPr>
                <w:rFonts w:ascii="Book Antiqua" w:hAnsi="Book Antiqua" w:cs="Times New Roman"/>
                <w:b/>
              </w:rPr>
            </w:pPr>
            <w:r w:rsidRPr="00FC194B">
              <w:rPr>
                <w:rFonts w:ascii="Book Antiqua" w:hAnsi="Book Antiqua" w:cs="Times New Roman"/>
                <w:b/>
              </w:rPr>
              <w:t>Cancer</w:t>
            </w:r>
          </w:p>
        </w:tc>
        <w:tc>
          <w:tcPr>
            <w:tcW w:w="2657" w:type="dxa"/>
          </w:tcPr>
          <w:p w14:paraId="018ABA3A" w14:textId="77777777" w:rsidR="00FC194B" w:rsidRPr="00FC194B" w:rsidRDefault="00FC194B" w:rsidP="00FC194B">
            <w:pPr>
              <w:spacing w:line="360" w:lineRule="auto"/>
              <w:jc w:val="both"/>
              <w:rPr>
                <w:rFonts w:ascii="Book Antiqua" w:hAnsi="Book Antiqua" w:cs="Times New Roman"/>
                <w:b/>
              </w:rPr>
            </w:pPr>
            <w:r w:rsidRPr="00FC194B">
              <w:rPr>
                <w:rFonts w:ascii="Book Antiqua" w:hAnsi="Book Antiqua" w:cs="Times New Roman"/>
                <w:b/>
              </w:rPr>
              <w:t>Neuroendocrine tumors</w:t>
            </w:r>
          </w:p>
        </w:tc>
      </w:tr>
      <w:tr w:rsidR="00FC194B" w:rsidRPr="00FC194B" w14:paraId="0A722380" w14:textId="77777777" w:rsidTr="00D034F6">
        <w:tc>
          <w:tcPr>
            <w:tcW w:w="2129" w:type="dxa"/>
          </w:tcPr>
          <w:p w14:paraId="0698638D"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Breast</w:t>
            </w:r>
          </w:p>
        </w:tc>
        <w:tc>
          <w:tcPr>
            <w:tcW w:w="2657" w:type="dxa"/>
          </w:tcPr>
          <w:p w14:paraId="1F2FDE5C"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 xml:space="preserve">Colorectal </w:t>
            </w:r>
          </w:p>
        </w:tc>
      </w:tr>
      <w:tr w:rsidR="00FC194B" w:rsidRPr="00FC194B" w14:paraId="5BA01BB7" w14:textId="77777777" w:rsidTr="00D034F6">
        <w:tc>
          <w:tcPr>
            <w:tcW w:w="2129" w:type="dxa"/>
          </w:tcPr>
          <w:p w14:paraId="57C8A231"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Colon</w:t>
            </w:r>
          </w:p>
        </w:tc>
        <w:tc>
          <w:tcPr>
            <w:tcW w:w="2657" w:type="dxa"/>
          </w:tcPr>
          <w:p w14:paraId="47031096"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 xml:space="preserve">Gastric </w:t>
            </w:r>
          </w:p>
        </w:tc>
      </w:tr>
      <w:tr w:rsidR="00FC194B" w:rsidRPr="00FC194B" w14:paraId="2F7751F2" w14:textId="77777777" w:rsidTr="00D034F6">
        <w:tc>
          <w:tcPr>
            <w:tcW w:w="2129" w:type="dxa"/>
          </w:tcPr>
          <w:p w14:paraId="2854116D"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Hepatocellular</w:t>
            </w:r>
          </w:p>
        </w:tc>
        <w:tc>
          <w:tcPr>
            <w:tcW w:w="2657" w:type="dxa"/>
          </w:tcPr>
          <w:p w14:paraId="3C2D4330"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Medullary thyroid</w:t>
            </w:r>
          </w:p>
        </w:tc>
      </w:tr>
      <w:tr w:rsidR="00FC194B" w:rsidRPr="00FC194B" w14:paraId="0DD252CA" w14:textId="77777777" w:rsidTr="00D034F6">
        <w:tc>
          <w:tcPr>
            <w:tcW w:w="2129" w:type="dxa"/>
          </w:tcPr>
          <w:p w14:paraId="0F8F6BA9"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Ovarian</w:t>
            </w:r>
          </w:p>
        </w:tc>
        <w:tc>
          <w:tcPr>
            <w:tcW w:w="2657" w:type="dxa"/>
          </w:tcPr>
          <w:p w14:paraId="0C21F575"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Neuroblastoma</w:t>
            </w:r>
          </w:p>
        </w:tc>
      </w:tr>
      <w:tr w:rsidR="00FC194B" w:rsidRPr="00FC194B" w14:paraId="218CAF82" w14:textId="77777777" w:rsidTr="00D034F6">
        <w:tc>
          <w:tcPr>
            <w:tcW w:w="2129" w:type="dxa"/>
          </w:tcPr>
          <w:p w14:paraId="58BEB538"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Pancreatic</w:t>
            </w:r>
          </w:p>
        </w:tc>
        <w:tc>
          <w:tcPr>
            <w:tcW w:w="2657" w:type="dxa"/>
          </w:tcPr>
          <w:p w14:paraId="273B1B22"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 xml:space="preserve">Pancreatic </w:t>
            </w:r>
          </w:p>
        </w:tc>
      </w:tr>
      <w:tr w:rsidR="00FC194B" w:rsidRPr="00FC194B" w14:paraId="71E459B4" w14:textId="77777777" w:rsidTr="00D034F6">
        <w:tc>
          <w:tcPr>
            <w:tcW w:w="2129" w:type="dxa"/>
          </w:tcPr>
          <w:p w14:paraId="2D35E4FF"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Prostate</w:t>
            </w:r>
          </w:p>
        </w:tc>
        <w:tc>
          <w:tcPr>
            <w:tcW w:w="2657" w:type="dxa"/>
          </w:tcPr>
          <w:p w14:paraId="079ECB27"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Paraganglioma</w:t>
            </w:r>
          </w:p>
        </w:tc>
      </w:tr>
      <w:tr w:rsidR="00FC194B" w:rsidRPr="00FC194B" w14:paraId="42E07173" w14:textId="77777777" w:rsidTr="00D034F6">
        <w:tc>
          <w:tcPr>
            <w:tcW w:w="2129" w:type="dxa"/>
            <w:vMerge w:val="restart"/>
          </w:tcPr>
          <w:p w14:paraId="6052339E" w14:textId="77777777" w:rsidR="00FC194B" w:rsidRPr="00FC194B" w:rsidRDefault="00FC194B" w:rsidP="00FC194B">
            <w:pPr>
              <w:spacing w:line="360" w:lineRule="auto"/>
              <w:jc w:val="both"/>
              <w:rPr>
                <w:rFonts w:ascii="Book Antiqua" w:hAnsi="Book Antiqua" w:cs="Times New Roman"/>
              </w:rPr>
            </w:pPr>
          </w:p>
        </w:tc>
        <w:tc>
          <w:tcPr>
            <w:tcW w:w="2657" w:type="dxa"/>
          </w:tcPr>
          <w:p w14:paraId="4C931D86"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Pheochromocytoma</w:t>
            </w:r>
          </w:p>
        </w:tc>
      </w:tr>
      <w:tr w:rsidR="00FC194B" w:rsidRPr="00FC194B" w14:paraId="356918C6" w14:textId="77777777" w:rsidTr="00D034F6">
        <w:tc>
          <w:tcPr>
            <w:tcW w:w="2129" w:type="dxa"/>
            <w:vMerge/>
          </w:tcPr>
          <w:p w14:paraId="376D2577" w14:textId="77777777" w:rsidR="00FC194B" w:rsidRPr="00FC194B" w:rsidRDefault="00FC194B" w:rsidP="00FC194B">
            <w:pPr>
              <w:spacing w:line="360" w:lineRule="auto"/>
              <w:jc w:val="both"/>
              <w:rPr>
                <w:rFonts w:ascii="Book Antiqua" w:hAnsi="Book Antiqua" w:cs="Times New Roman"/>
              </w:rPr>
            </w:pPr>
          </w:p>
        </w:tc>
        <w:tc>
          <w:tcPr>
            <w:tcW w:w="2657" w:type="dxa"/>
          </w:tcPr>
          <w:p w14:paraId="71431427"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Pituitary</w:t>
            </w:r>
          </w:p>
        </w:tc>
      </w:tr>
      <w:tr w:rsidR="00FC194B" w:rsidRPr="00FC194B" w14:paraId="25A9619E" w14:textId="77777777" w:rsidTr="00D034F6">
        <w:tc>
          <w:tcPr>
            <w:tcW w:w="2129" w:type="dxa"/>
            <w:vMerge/>
          </w:tcPr>
          <w:p w14:paraId="1BE84078" w14:textId="77777777" w:rsidR="00FC194B" w:rsidRPr="00FC194B" w:rsidRDefault="00FC194B" w:rsidP="00FC194B">
            <w:pPr>
              <w:spacing w:line="360" w:lineRule="auto"/>
              <w:jc w:val="both"/>
              <w:rPr>
                <w:rFonts w:ascii="Book Antiqua" w:hAnsi="Book Antiqua" w:cs="Times New Roman"/>
              </w:rPr>
            </w:pPr>
          </w:p>
        </w:tc>
        <w:tc>
          <w:tcPr>
            <w:tcW w:w="2657" w:type="dxa"/>
          </w:tcPr>
          <w:p w14:paraId="37FDFB95"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Small cell lung</w:t>
            </w:r>
          </w:p>
        </w:tc>
      </w:tr>
      <w:tr w:rsidR="00FC194B" w:rsidRPr="00FC194B" w14:paraId="70013916" w14:textId="77777777" w:rsidTr="00D034F6">
        <w:tc>
          <w:tcPr>
            <w:tcW w:w="2129" w:type="dxa"/>
            <w:vMerge/>
          </w:tcPr>
          <w:p w14:paraId="6E129FBF" w14:textId="77777777" w:rsidR="00FC194B" w:rsidRPr="00FC194B" w:rsidRDefault="00FC194B" w:rsidP="00FC194B">
            <w:pPr>
              <w:spacing w:line="360" w:lineRule="auto"/>
              <w:jc w:val="both"/>
              <w:rPr>
                <w:rFonts w:ascii="Book Antiqua" w:hAnsi="Book Antiqua"/>
              </w:rPr>
            </w:pPr>
          </w:p>
        </w:tc>
        <w:tc>
          <w:tcPr>
            <w:tcW w:w="2657" w:type="dxa"/>
          </w:tcPr>
          <w:p w14:paraId="5B8748D0" w14:textId="77777777" w:rsidR="00FC194B" w:rsidRPr="00FC194B" w:rsidRDefault="00FC194B" w:rsidP="00FC194B">
            <w:pPr>
              <w:spacing w:line="360" w:lineRule="auto"/>
              <w:jc w:val="both"/>
              <w:rPr>
                <w:rFonts w:ascii="Book Antiqua" w:hAnsi="Book Antiqua" w:cs="Times New Roman"/>
              </w:rPr>
            </w:pPr>
            <w:r w:rsidRPr="00FC194B">
              <w:rPr>
                <w:rFonts w:ascii="Book Antiqua" w:hAnsi="Book Antiqua" w:cs="Times New Roman"/>
              </w:rPr>
              <w:t xml:space="preserve">Small intestinal </w:t>
            </w:r>
          </w:p>
        </w:tc>
      </w:tr>
    </w:tbl>
    <w:p w14:paraId="79F805E9" w14:textId="77777777" w:rsidR="00FC194B" w:rsidRPr="00FC194B" w:rsidRDefault="00FC194B" w:rsidP="00FC194B">
      <w:pPr>
        <w:spacing w:after="0" w:line="360" w:lineRule="auto"/>
        <w:jc w:val="both"/>
        <w:rPr>
          <w:rFonts w:ascii="Book Antiqua" w:hAnsi="Book Antiqua"/>
          <w:sz w:val="24"/>
          <w:szCs w:val="24"/>
        </w:rPr>
      </w:pPr>
    </w:p>
    <w:p w14:paraId="47DB9E82" w14:textId="3B07C4B0" w:rsidR="00FC194B" w:rsidRPr="00FC194B" w:rsidRDefault="00FC194B" w:rsidP="00FC194B">
      <w:pPr>
        <w:spacing w:after="0" w:line="360" w:lineRule="auto"/>
        <w:jc w:val="both"/>
        <w:rPr>
          <w:rFonts w:ascii="Book Antiqua" w:hAnsi="Book Antiqua" w:cs="Times New Roman"/>
          <w:b/>
          <w:sz w:val="24"/>
          <w:szCs w:val="24"/>
          <w:lang w:val="en-US" w:eastAsia="zh-CN"/>
        </w:rPr>
      </w:pPr>
      <w:r w:rsidRPr="00FC194B">
        <w:rPr>
          <w:rFonts w:ascii="Book Antiqua" w:hAnsi="Book Antiqua" w:cs="Times New Roman"/>
          <w:b/>
          <w:sz w:val="24"/>
          <w:szCs w:val="24"/>
          <w:lang w:val="en-US" w:eastAsia="zh-CN"/>
        </w:rPr>
        <w:br w:type="page"/>
      </w:r>
    </w:p>
    <w:tbl>
      <w:tblPr>
        <w:tblStyle w:val="a6"/>
        <w:tblpPr w:leftFromText="180" w:rightFromText="180" w:horzAnchor="page" w:tblpX="1729" w:tblpY="720"/>
        <w:tblW w:w="0" w:type="auto"/>
        <w:tblLook w:val="04A0" w:firstRow="1" w:lastRow="0" w:firstColumn="1" w:lastColumn="0" w:noHBand="0" w:noVBand="1"/>
      </w:tblPr>
      <w:tblGrid>
        <w:gridCol w:w="1330"/>
        <w:gridCol w:w="1419"/>
        <w:gridCol w:w="1419"/>
        <w:gridCol w:w="1420"/>
        <w:gridCol w:w="1420"/>
      </w:tblGrid>
      <w:tr w:rsidR="00550C57" w:rsidRPr="00FC194B" w14:paraId="726E5A2E" w14:textId="77777777" w:rsidTr="00550C57">
        <w:tc>
          <w:tcPr>
            <w:tcW w:w="1330" w:type="dxa"/>
          </w:tcPr>
          <w:p w14:paraId="6CD15D9E" w14:textId="77777777" w:rsidR="00550C57" w:rsidRPr="00FC194B" w:rsidRDefault="00550C57" w:rsidP="00FC194B">
            <w:pPr>
              <w:spacing w:line="360" w:lineRule="auto"/>
              <w:jc w:val="both"/>
              <w:rPr>
                <w:rFonts w:ascii="Book Antiqua" w:hAnsi="Book Antiqua" w:cs="Times New Roman"/>
                <w:b/>
              </w:rPr>
            </w:pPr>
            <w:r w:rsidRPr="00FC194B">
              <w:rPr>
                <w:rFonts w:ascii="Book Antiqua" w:hAnsi="Book Antiqua" w:cs="Times New Roman"/>
                <w:b/>
              </w:rPr>
              <w:lastRenderedPageBreak/>
              <w:t>Type</w:t>
            </w:r>
          </w:p>
          <w:p w14:paraId="370176E7" w14:textId="77777777" w:rsidR="00550C57" w:rsidRPr="00FC194B" w:rsidRDefault="00550C57" w:rsidP="00FC194B">
            <w:pPr>
              <w:spacing w:line="360" w:lineRule="auto"/>
              <w:jc w:val="both"/>
              <w:rPr>
                <w:rFonts w:ascii="Book Antiqua" w:hAnsi="Book Antiqua" w:cs="Times New Roman"/>
                <w:b/>
              </w:rPr>
            </w:pPr>
            <w:r w:rsidRPr="00FC194B">
              <w:rPr>
                <w:rFonts w:ascii="Book Antiqua" w:hAnsi="Book Antiqua" w:cs="Times New Roman"/>
                <w:b/>
              </w:rPr>
              <w:t>(no pts)</w:t>
            </w:r>
          </w:p>
        </w:tc>
        <w:tc>
          <w:tcPr>
            <w:tcW w:w="1419" w:type="dxa"/>
          </w:tcPr>
          <w:p w14:paraId="4E3B432D" w14:textId="77777777" w:rsidR="00550C57" w:rsidRPr="00FC194B" w:rsidRDefault="00550C57" w:rsidP="00FC194B">
            <w:pPr>
              <w:spacing w:line="360" w:lineRule="auto"/>
              <w:jc w:val="both"/>
              <w:rPr>
                <w:rFonts w:ascii="Book Antiqua" w:hAnsi="Book Antiqua" w:cs="Times New Roman"/>
                <w:b/>
              </w:rPr>
            </w:pPr>
            <w:r w:rsidRPr="00FC194B">
              <w:rPr>
                <w:rFonts w:ascii="Book Antiqua" w:hAnsi="Book Antiqua" w:cs="Times New Roman"/>
                <w:b/>
              </w:rPr>
              <w:t>CgA</w:t>
            </w:r>
          </w:p>
          <w:p w14:paraId="528CE538" w14:textId="77777777" w:rsidR="00550C57" w:rsidRPr="00FC194B" w:rsidRDefault="00550C57" w:rsidP="00FC194B">
            <w:pPr>
              <w:spacing w:line="360" w:lineRule="auto"/>
              <w:jc w:val="both"/>
              <w:rPr>
                <w:rFonts w:ascii="Book Antiqua" w:hAnsi="Book Antiqua" w:cs="Times New Roman"/>
                <w:b/>
              </w:rPr>
            </w:pPr>
            <w:r w:rsidRPr="00FC194B">
              <w:rPr>
                <w:rFonts w:ascii="Book Antiqua" w:hAnsi="Book Antiqua" w:cs="Times New Roman"/>
                <w:b/>
              </w:rPr>
              <w:t>cut-off</w:t>
            </w:r>
          </w:p>
        </w:tc>
        <w:tc>
          <w:tcPr>
            <w:tcW w:w="1419" w:type="dxa"/>
          </w:tcPr>
          <w:p w14:paraId="02428750" w14:textId="77777777" w:rsidR="00550C57" w:rsidRPr="00FC194B" w:rsidRDefault="00550C57" w:rsidP="00FC194B">
            <w:pPr>
              <w:spacing w:line="360" w:lineRule="auto"/>
              <w:jc w:val="both"/>
              <w:rPr>
                <w:rFonts w:ascii="Book Antiqua" w:hAnsi="Book Antiqua" w:cs="Times New Roman"/>
                <w:b/>
              </w:rPr>
            </w:pPr>
            <w:r w:rsidRPr="00FC194B">
              <w:rPr>
                <w:rFonts w:ascii="Book Antiqua" w:hAnsi="Book Antiqua" w:cs="Times New Roman"/>
                <w:b/>
              </w:rPr>
              <w:t>Sensitivity (%)</w:t>
            </w:r>
          </w:p>
        </w:tc>
        <w:tc>
          <w:tcPr>
            <w:tcW w:w="1420" w:type="dxa"/>
          </w:tcPr>
          <w:p w14:paraId="4D4DC61A" w14:textId="77777777" w:rsidR="00550C57" w:rsidRPr="00FC194B" w:rsidRDefault="00550C57" w:rsidP="00FC194B">
            <w:pPr>
              <w:spacing w:line="360" w:lineRule="auto"/>
              <w:jc w:val="both"/>
              <w:rPr>
                <w:rFonts w:ascii="Book Antiqua" w:hAnsi="Book Antiqua" w:cs="Times New Roman"/>
                <w:b/>
              </w:rPr>
            </w:pPr>
            <w:r w:rsidRPr="00FC194B">
              <w:rPr>
                <w:rFonts w:ascii="Book Antiqua" w:hAnsi="Book Antiqua" w:cs="Times New Roman"/>
                <w:b/>
              </w:rPr>
              <w:t>Specificity</w:t>
            </w:r>
          </w:p>
          <w:p w14:paraId="3BB5BC93" w14:textId="77777777" w:rsidR="00550C57" w:rsidRPr="00FC194B" w:rsidRDefault="00550C57" w:rsidP="00FC194B">
            <w:pPr>
              <w:spacing w:line="360" w:lineRule="auto"/>
              <w:jc w:val="both"/>
              <w:rPr>
                <w:rFonts w:ascii="Book Antiqua" w:hAnsi="Book Antiqua" w:cs="Times New Roman"/>
                <w:b/>
              </w:rPr>
            </w:pPr>
            <w:r w:rsidRPr="00FC194B">
              <w:rPr>
                <w:rFonts w:ascii="Book Antiqua" w:hAnsi="Book Antiqua" w:cs="Times New Roman"/>
                <w:b/>
              </w:rPr>
              <w:t>(%)</w:t>
            </w:r>
          </w:p>
        </w:tc>
        <w:tc>
          <w:tcPr>
            <w:tcW w:w="1420" w:type="dxa"/>
          </w:tcPr>
          <w:p w14:paraId="461017D0" w14:textId="77777777" w:rsidR="00550C57" w:rsidRPr="00FC194B" w:rsidRDefault="00550C57" w:rsidP="00FC194B">
            <w:pPr>
              <w:spacing w:line="360" w:lineRule="auto"/>
              <w:jc w:val="both"/>
              <w:rPr>
                <w:rFonts w:ascii="Book Antiqua" w:hAnsi="Book Antiqua" w:cs="Times New Roman"/>
                <w:b/>
              </w:rPr>
            </w:pPr>
            <w:r w:rsidRPr="00FC194B">
              <w:rPr>
                <w:rFonts w:ascii="Book Antiqua" w:hAnsi="Book Antiqua" w:cs="Times New Roman"/>
                <w:b/>
              </w:rPr>
              <w:t>Ref.</w:t>
            </w:r>
          </w:p>
        </w:tc>
      </w:tr>
      <w:tr w:rsidR="00550C57" w:rsidRPr="00FC194B" w14:paraId="18918C24" w14:textId="77777777" w:rsidTr="00550C57">
        <w:tc>
          <w:tcPr>
            <w:tcW w:w="1330" w:type="dxa"/>
          </w:tcPr>
          <w:p w14:paraId="5AAEF3E5"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 xml:space="preserve">NET </w:t>
            </w:r>
          </w:p>
          <w:p w14:paraId="04CF74A8"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(128)</w:t>
            </w:r>
          </w:p>
        </w:tc>
        <w:tc>
          <w:tcPr>
            <w:tcW w:w="1419" w:type="dxa"/>
          </w:tcPr>
          <w:p w14:paraId="25BB0A0E" w14:textId="742325B9"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100</w:t>
            </w:r>
            <w:r>
              <w:rPr>
                <w:rFonts w:ascii="Book Antiqua" w:eastAsia="宋体" w:hAnsi="Book Antiqua" w:cs="Times New Roman" w:hint="eastAsia"/>
                <w:lang w:eastAsia="zh-CN"/>
              </w:rPr>
              <w:t xml:space="preserve"> </w:t>
            </w:r>
            <w:r w:rsidRPr="00FC194B">
              <w:rPr>
                <w:rFonts w:ascii="Book Antiqua" w:hAnsi="Book Antiqua" w:cs="Times New Roman"/>
              </w:rPr>
              <w:t>μg/L</w:t>
            </w:r>
          </w:p>
        </w:tc>
        <w:tc>
          <w:tcPr>
            <w:tcW w:w="1419" w:type="dxa"/>
          </w:tcPr>
          <w:p w14:paraId="137D7755"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59</w:t>
            </w:r>
          </w:p>
        </w:tc>
        <w:tc>
          <w:tcPr>
            <w:tcW w:w="1420" w:type="dxa"/>
          </w:tcPr>
          <w:p w14:paraId="4F57ACDA"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68</w:t>
            </w:r>
          </w:p>
        </w:tc>
        <w:tc>
          <w:tcPr>
            <w:tcW w:w="1420" w:type="dxa"/>
          </w:tcPr>
          <w:p w14:paraId="718F1124" w14:textId="1C241E2B" w:rsidR="00550C57" w:rsidRPr="00550C57" w:rsidRDefault="00550C57" w:rsidP="00FC194B">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w:t>
            </w:r>
            <w:r w:rsidRPr="00FC194B">
              <w:rPr>
                <w:rFonts w:ascii="Book Antiqua" w:hAnsi="Book Antiqua" w:cs="Times New Roman"/>
              </w:rPr>
              <w:t>57</w:t>
            </w:r>
            <w:r>
              <w:rPr>
                <w:rFonts w:ascii="Book Antiqua" w:eastAsia="宋体" w:hAnsi="Book Antiqua" w:cs="Times New Roman" w:hint="eastAsia"/>
                <w:lang w:eastAsia="zh-CN"/>
              </w:rPr>
              <w:t>]</w:t>
            </w:r>
          </w:p>
        </w:tc>
      </w:tr>
      <w:tr w:rsidR="00550C57" w:rsidRPr="00FC194B" w14:paraId="455A9535" w14:textId="77777777" w:rsidTr="00550C57">
        <w:tc>
          <w:tcPr>
            <w:tcW w:w="1330" w:type="dxa"/>
          </w:tcPr>
          <w:p w14:paraId="524C843E"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 xml:space="preserve">NET </w:t>
            </w:r>
          </w:p>
          <w:p w14:paraId="5C7A1045"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(127)</w:t>
            </w:r>
          </w:p>
        </w:tc>
        <w:tc>
          <w:tcPr>
            <w:tcW w:w="1419" w:type="dxa"/>
          </w:tcPr>
          <w:p w14:paraId="51CF076C"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34.7 u/l</w:t>
            </w:r>
          </w:p>
        </w:tc>
        <w:tc>
          <w:tcPr>
            <w:tcW w:w="1419" w:type="dxa"/>
          </w:tcPr>
          <w:p w14:paraId="0E5CAAB5"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67.9</w:t>
            </w:r>
          </w:p>
        </w:tc>
        <w:tc>
          <w:tcPr>
            <w:tcW w:w="1420" w:type="dxa"/>
          </w:tcPr>
          <w:p w14:paraId="140D8785"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85.7</w:t>
            </w:r>
          </w:p>
        </w:tc>
        <w:tc>
          <w:tcPr>
            <w:tcW w:w="1420" w:type="dxa"/>
          </w:tcPr>
          <w:p w14:paraId="6614C1C5" w14:textId="70CD442B" w:rsidR="00550C57" w:rsidRPr="00550C57" w:rsidRDefault="00550C57" w:rsidP="00FC194B">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w:t>
            </w:r>
            <w:r w:rsidRPr="00FC194B">
              <w:rPr>
                <w:rFonts w:ascii="Book Antiqua" w:hAnsi="Book Antiqua" w:cs="Times New Roman"/>
              </w:rPr>
              <w:t>35</w:t>
            </w:r>
            <w:r>
              <w:rPr>
                <w:rFonts w:ascii="Book Antiqua" w:eastAsia="宋体" w:hAnsi="Book Antiqua" w:cs="Times New Roman" w:hint="eastAsia"/>
                <w:lang w:eastAsia="zh-CN"/>
              </w:rPr>
              <w:t>]</w:t>
            </w:r>
          </w:p>
        </w:tc>
      </w:tr>
      <w:tr w:rsidR="00550C57" w:rsidRPr="00FC194B" w14:paraId="3D2FE0EA" w14:textId="77777777" w:rsidTr="00550C57">
        <w:tc>
          <w:tcPr>
            <w:tcW w:w="1330" w:type="dxa"/>
          </w:tcPr>
          <w:p w14:paraId="065BEC58"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 xml:space="preserve">NET </w:t>
            </w:r>
          </w:p>
          <w:p w14:paraId="0F869CC0"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(80)</w:t>
            </w:r>
          </w:p>
        </w:tc>
        <w:tc>
          <w:tcPr>
            <w:tcW w:w="1419" w:type="dxa"/>
          </w:tcPr>
          <w:p w14:paraId="3A382EBE" w14:textId="78E0CCFC"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17 u/L</w:t>
            </w:r>
          </w:p>
        </w:tc>
        <w:tc>
          <w:tcPr>
            <w:tcW w:w="1419" w:type="dxa"/>
          </w:tcPr>
          <w:p w14:paraId="18660352"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56.3</w:t>
            </w:r>
          </w:p>
        </w:tc>
        <w:tc>
          <w:tcPr>
            <w:tcW w:w="1420" w:type="dxa"/>
          </w:tcPr>
          <w:p w14:paraId="1C9A2188"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100</w:t>
            </w:r>
          </w:p>
        </w:tc>
        <w:tc>
          <w:tcPr>
            <w:tcW w:w="1420" w:type="dxa"/>
          </w:tcPr>
          <w:p w14:paraId="60050F7C" w14:textId="2B278F6C" w:rsidR="00550C57" w:rsidRPr="00550C57" w:rsidRDefault="00550C57" w:rsidP="00FC194B">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w:t>
            </w:r>
            <w:r w:rsidRPr="00FC194B">
              <w:rPr>
                <w:rFonts w:ascii="Book Antiqua" w:hAnsi="Book Antiqua" w:cs="Times New Roman"/>
              </w:rPr>
              <w:t>58</w:t>
            </w:r>
            <w:r>
              <w:rPr>
                <w:rFonts w:ascii="Book Antiqua" w:eastAsia="宋体" w:hAnsi="Book Antiqua" w:cs="Times New Roman" w:hint="eastAsia"/>
                <w:lang w:eastAsia="zh-CN"/>
              </w:rPr>
              <w:t>]</w:t>
            </w:r>
          </w:p>
        </w:tc>
      </w:tr>
      <w:tr w:rsidR="00550C57" w:rsidRPr="00FC194B" w14:paraId="57C25689" w14:textId="77777777" w:rsidTr="00550C57">
        <w:tc>
          <w:tcPr>
            <w:tcW w:w="1330" w:type="dxa"/>
          </w:tcPr>
          <w:p w14:paraId="17CEEA67"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 xml:space="preserve">NET </w:t>
            </w:r>
          </w:p>
          <w:p w14:paraId="78031E39"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(63)</w:t>
            </w:r>
          </w:p>
        </w:tc>
        <w:tc>
          <w:tcPr>
            <w:tcW w:w="1419" w:type="dxa"/>
          </w:tcPr>
          <w:p w14:paraId="2AAB6260" w14:textId="5AFEEA0E"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34 u/L</w:t>
            </w:r>
          </w:p>
        </w:tc>
        <w:tc>
          <w:tcPr>
            <w:tcW w:w="1419" w:type="dxa"/>
          </w:tcPr>
          <w:p w14:paraId="0BE9C57C"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55</w:t>
            </w:r>
          </w:p>
        </w:tc>
        <w:tc>
          <w:tcPr>
            <w:tcW w:w="1420" w:type="dxa"/>
          </w:tcPr>
          <w:p w14:paraId="2249D9E6"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94</w:t>
            </w:r>
          </w:p>
        </w:tc>
        <w:tc>
          <w:tcPr>
            <w:tcW w:w="1420" w:type="dxa"/>
          </w:tcPr>
          <w:p w14:paraId="06391AB5" w14:textId="09D6AAA0" w:rsidR="00550C57" w:rsidRPr="00550C57" w:rsidRDefault="00550C57" w:rsidP="00FC194B">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w:t>
            </w:r>
            <w:r w:rsidRPr="00FC194B">
              <w:rPr>
                <w:rFonts w:ascii="Book Antiqua" w:hAnsi="Book Antiqua" w:cs="Times New Roman"/>
              </w:rPr>
              <w:t>59</w:t>
            </w:r>
            <w:r>
              <w:rPr>
                <w:rFonts w:ascii="Book Antiqua" w:eastAsia="宋体" w:hAnsi="Book Antiqua" w:cs="Times New Roman" w:hint="eastAsia"/>
                <w:lang w:eastAsia="zh-CN"/>
              </w:rPr>
              <w:t>]</w:t>
            </w:r>
          </w:p>
        </w:tc>
      </w:tr>
      <w:tr w:rsidR="00550C57" w:rsidRPr="00FC194B" w14:paraId="657AC19B" w14:textId="77777777" w:rsidTr="00550C57">
        <w:tc>
          <w:tcPr>
            <w:tcW w:w="1330" w:type="dxa"/>
          </w:tcPr>
          <w:p w14:paraId="7A0803F0"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GEP/NET (61)</w:t>
            </w:r>
          </w:p>
        </w:tc>
        <w:tc>
          <w:tcPr>
            <w:tcW w:w="1419" w:type="dxa"/>
          </w:tcPr>
          <w:p w14:paraId="208C0C98" w14:textId="0065F17C" w:rsidR="00550C57" w:rsidRPr="00FC194B" w:rsidRDefault="00550C57" w:rsidP="00550C57">
            <w:pPr>
              <w:spacing w:line="360" w:lineRule="auto"/>
              <w:jc w:val="both"/>
              <w:rPr>
                <w:rFonts w:ascii="Book Antiqua" w:hAnsi="Book Antiqua" w:cs="Times New Roman"/>
              </w:rPr>
            </w:pPr>
            <w:r w:rsidRPr="00FC194B">
              <w:rPr>
                <w:rFonts w:ascii="Book Antiqua" w:hAnsi="Book Antiqua" w:cs="Times New Roman"/>
              </w:rPr>
              <w:t>20 u/L</w:t>
            </w:r>
          </w:p>
          <w:p w14:paraId="37CBE72E" w14:textId="100D77E6" w:rsidR="00550C57" w:rsidRPr="00FC194B" w:rsidRDefault="00550C57" w:rsidP="00550C57">
            <w:pPr>
              <w:spacing w:line="360" w:lineRule="auto"/>
              <w:jc w:val="both"/>
              <w:rPr>
                <w:rFonts w:ascii="Book Antiqua" w:hAnsi="Book Antiqua" w:cs="Times New Roman"/>
              </w:rPr>
            </w:pPr>
            <w:r w:rsidRPr="00FC194B">
              <w:rPr>
                <w:rFonts w:ascii="Book Antiqua" w:hAnsi="Book Antiqua" w:cs="Times New Roman"/>
              </w:rPr>
              <w:t>100 u/L</w:t>
            </w:r>
          </w:p>
        </w:tc>
        <w:tc>
          <w:tcPr>
            <w:tcW w:w="1419" w:type="dxa"/>
          </w:tcPr>
          <w:p w14:paraId="24709FE3"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92</w:t>
            </w:r>
          </w:p>
          <w:p w14:paraId="0FB28895"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47</w:t>
            </w:r>
          </w:p>
        </w:tc>
        <w:tc>
          <w:tcPr>
            <w:tcW w:w="1420" w:type="dxa"/>
          </w:tcPr>
          <w:p w14:paraId="4F2E69AF"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83</w:t>
            </w:r>
          </w:p>
          <w:p w14:paraId="42994933"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99</w:t>
            </w:r>
          </w:p>
        </w:tc>
        <w:tc>
          <w:tcPr>
            <w:tcW w:w="1420" w:type="dxa"/>
          </w:tcPr>
          <w:p w14:paraId="0D99EF37" w14:textId="721E708A" w:rsidR="00550C57" w:rsidRPr="00550C57" w:rsidRDefault="00550C57" w:rsidP="00FC194B">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w:t>
            </w:r>
            <w:r w:rsidRPr="00FC194B">
              <w:rPr>
                <w:rFonts w:ascii="Book Antiqua" w:hAnsi="Book Antiqua" w:cs="Times New Roman"/>
              </w:rPr>
              <w:t>50</w:t>
            </w:r>
            <w:r>
              <w:rPr>
                <w:rFonts w:ascii="Book Antiqua" w:eastAsia="宋体" w:hAnsi="Book Antiqua" w:cs="Times New Roman" w:hint="eastAsia"/>
                <w:lang w:eastAsia="zh-CN"/>
              </w:rPr>
              <w:t>]</w:t>
            </w:r>
          </w:p>
        </w:tc>
      </w:tr>
      <w:tr w:rsidR="00550C57" w:rsidRPr="00FC194B" w14:paraId="62CEBB00" w14:textId="77777777" w:rsidTr="00550C57">
        <w:tc>
          <w:tcPr>
            <w:tcW w:w="1330" w:type="dxa"/>
          </w:tcPr>
          <w:p w14:paraId="241A75E5"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GEP/NET (124)</w:t>
            </w:r>
          </w:p>
        </w:tc>
        <w:tc>
          <w:tcPr>
            <w:tcW w:w="1419" w:type="dxa"/>
          </w:tcPr>
          <w:p w14:paraId="2629922F" w14:textId="396919BF"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130 μg/L</w:t>
            </w:r>
          </w:p>
        </w:tc>
        <w:tc>
          <w:tcPr>
            <w:tcW w:w="1419" w:type="dxa"/>
          </w:tcPr>
          <w:p w14:paraId="23D9CD33"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62.9</w:t>
            </w:r>
          </w:p>
        </w:tc>
        <w:tc>
          <w:tcPr>
            <w:tcW w:w="1420" w:type="dxa"/>
          </w:tcPr>
          <w:p w14:paraId="75A1D2E0"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98.4</w:t>
            </w:r>
          </w:p>
        </w:tc>
        <w:tc>
          <w:tcPr>
            <w:tcW w:w="1420" w:type="dxa"/>
          </w:tcPr>
          <w:p w14:paraId="5C23C1CD" w14:textId="17F3C419" w:rsidR="00550C57" w:rsidRPr="00550C57" w:rsidRDefault="00550C57" w:rsidP="00FC194B">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w:t>
            </w:r>
            <w:r w:rsidRPr="00FC194B">
              <w:rPr>
                <w:rFonts w:ascii="Book Antiqua" w:hAnsi="Book Antiqua" w:cs="Times New Roman"/>
              </w:rPr>
              <w:t>16</w:t>
            </w:r>
            <w:r>
              <w:rPr>
                <w:rFonts w:ascii="Book Antiqua" w:eastAsia="宋体" w:hAnsi="Book Antiqua" w:cs="Times New Roman" w:hint="eastAsia"/>
                <w:lang w:eastAsia="zh-CN"/>
              </w:rPr>
              <w:t>]</w:t>
            </w:r>
          </w:p>
        </w:tc>
      </w:tr>
      <w:tr w:rsidR="00550C57" w:rsidRPr="00FC194B" w14:paraId="60D208DD" w14:textId="77777777" w:rsidTr="00550C57">
        <w:tc>
          <w:tcPr>
            <w:tcW w:w="1330" w:type="dxa"/>
          </w:tcPr>
          <w:p w14:paraId="1122C9A2"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GEP/NET (202)</w:t>
            </w:r>
          </w:p>
        </w:tc>
        <w:tc>
          <w:tcPr>
            <w:tcW w:w="1419" w:type="dxa"/>
          </w:tcPr>
          <w:p w14:paraId="7E9E07CA" w14:textId="53C8C6FF"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53 ng/mL</w:t>
            </w:r>
          </w:p>
        </w:tc>
        <w:tc>
          <w:tcPr>
            <w:tcW w:w="1419" w:type="dxa"/>
          </w:tcPr>
          <w:p w14:paraId="0F9DDC94"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71.3</w:t>
            </w:r>
          </w:p>
        </w:tc>
        <w:tc>
          <w:tcPr>
            <w:tcW w:w="1420" w:type="dxa"/>
          </w:tcPr>
          <w:p w14:paraId="3623C78C"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77.8</w:t>
            </w:r>
          </w:p>
        </w:tc>
        <w:tc>
          <w:tcPr>
            <w:tcW w:w="1420" w:type="dxa"/>
          </w:tcPr>
          <w:p w14:paraId="15AB1F07" w14:textId="66AA04E2" w:rsidR="00550C57" w:rsidRPr="00550C57" w:rsidRDefault="00550C57" w:rsidP="00FC194B">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w:t>
            </w:r>
            <w:r w:rsidRPr="00FC194B">
              <w:rPr>
                <w:rFonts w:ascii="Book Antiqua" w:hAnsi="Book Antiqua" w:cs="Times New Roman"/>
              </w:rPr>
              <w:t>60</w:t>
            </w:r>
            <w:r>
              <w:rPr>
                <w:rFonts w:ascii="Book Antiqua" w:eastAsia="宋体" w:hAnsi="Book Antiqua" w:cs="Times New Roman" w:hint="eastAsia"/>
                <w:lang w:eastAsia="zh-CN"/>
              </w:rPr>
              <w:t>]</w:t>
            </w:r>
          </w:p>
        </w:tc>
      </w:tr>
      <w:tr w:rsidR="00550C57" w:rsidRPr="00FC194B" w14:paraId="611C29B4" w14:textId="77777777" w:rsidTr="00550C57">
        <w:tc>
          <w:tcPr>
            <w:tcW w:w="1330" w:type="dxa"/>
          </w:tcPr>
          <w:p w14:paraId="5A22E045"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 xml:space="preserve">NET </w:t>
            </w:r>
          </w:p>
          <w:p w14:paraId="0702A298"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(120)</w:t>
            </w:r>
          </w:p>
        </w:tc>
        <w:tc>
          <w:tcPr>
            <w:tcW w:w="1419" w:type="dxa"/>
          </w:tcPr>
          <w:p w14:paraId="0B244770" w14:textId="4CA6EDF5"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98 ng/mL</w:t>
            </w:r>
          </w:p>
        </w:tc>
        <w:tc>
          <w:tcPr>
            <w:tcW w:w="1419" w:type="dxa"/>
          </w:tcPr>
          <w:p w14:paraId="09D5393B"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79</w:t>
            </w:r>
          </w:p>
        </w:tc>
        <w:tc>
          <w:tcPr>
            <w:tcW w:w="1420" w:type="dxa"/>
          </w:tcPr>
          <w:p w14:paraId="54013FFC"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NA</w:t>
            </w:r>
          </w:p>
        </w:tc>
        <w:tc>
          <w:tcPr>
            <w:tcW w:w="1420" w:type="dxa"/>
          </w:tcPr>
          <w:p w14:paraId="4F007F30" w14:textId="07A4C424" w:rsidR="00550C57" w:rsidRPr="00550C57" w:rsidRDefault="00550C57" w:rsidP="00FC194B">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w:t>
            </w:r>
            <w:r w:rsidRPr="00FC194B">
              <w:rPr>
                <w:rFonts w:ascii="Book Antiqua" w:hAnsi="Book Antiqua" w:cs="Times New Roman"/>
              </w:rPr>
              <w:t>61</w:t>
            </w:r>
            <w:r>
              <w:rPr>
                <w:rFonts w:ascii="Book Antiqua" w:eastAsia="宋体" w:hAnsi="Book Antiqua" w:cs="Times New Roman" w:hint="eastAsia"/>
                <w:lang w:eastAsia="zh-CN"/>
              </w:rPr>
              <w:t>]</w:t>
            </w:r>
          </w:p>
        </w:tc>
      </w:tr>
      <w:tr w:rsidR="00550C57" w:rsidRPr="00FC194B" w14:paraId="295C0569" w14:textId="77777777" w:rsidTr="00550C57">
        <w:tc>
          <w:tcPr>
            <w:tcW w:w="1330" w:type="dxa"/>
          </w:tcPr>
          <w:p w14:paraId="6F377E9E"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GEP/NET (119)</w:t>
            </w:r>
          </w:p>
        </w:tc>
        <w:tc>
          <w:tcPr>
            <w:tcW w:w="1419" w:type="dxa"/>
          </w:tcPr>
          <w:p w14:paraId="3F015628" w14:textId="19FBAE16"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2.8 nmol/L</w:t>
            </w:r>
          </w:p>
        </w:tc>
        <w:tc>
          <w:tcPr>
            <w:tcW w:w="1419" w:type="dxa"/>
          </w:tcPr>
          <w:p w14:paraId="3152FF72"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92.9</w:t>
            </w:r>
          </w:p>
        </w:tc>
        <w:tc>
          <w:tcPr>
            <w:tcW w:w="1420" w:type="dxa"/>
          </w:tcPr>
          <w:p w14:paraId="581E73C2" w14:textId="77777777" w:rsidR="00550C57" w:rsidRPr="00FC194B" w:rsidRDefault="00550C57" w:rsidP="00FC194B">
            <w:pPr>
              <w:spacing w:line="360" w:lineRule="auto"/>
              <w:jc w:val="both"/>
              <w:rPr>
                <w:rFonts w:ascii="Book Antiqua" w:hAnsi="Book Antiqua" w:cs="Times New Roman"/>
              </w:rPr>
            </w:pPr>
            <w:r w:rsidRPr="00FC194B">
              <w:rPr>
                <w:rFonts w:ascii="Book Antiqua" w:hAnsi="Book Antiqua" w:cs="Times New Roman"/>
              </w:rPr>
              <w:t>100</w:t>
            </w:r>
          </w:p>
        </w:tc>
        <w:tc>
          <w:tcPr>
            <w:tcW w:w="1420" w:type="dxa"/>
          </w:tcPr>
          <w:p w14:paraId="234BADEC" w14:textId="7F17CF1F" w:rsidR="00550C57" w:rsidRPr="00550C57" w:rsidRDefault="00550C57" w:rsidP="00FC194B">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w:t>
            </w:r>
            <w:r w:rsidRPr="00FC194B">
              <w:rPr>
                <w:rFonts w:ascii="Book Antiqua" w:hAnsi="Book Antiqua" w:cs="Times New Roman"/>
              </w:rPr>
              <w:t>62</w:t>
            </w:r>
            <w:r>
              <w:rPr>
                <w:rFonts w:ascii="Book Antiqua" w:eastAsia="宋体" w:hAnsi="Book Antiqua" w:cs="Times New Roman" w:hint="eastAsia"/>
                <w:lang w:eastAsia="zh-CN"/>
              </w:rPr>
              <w:t>]</w:t>
            </w:r>
          </w:p>
        </w:tc>
      </w:tr>
    </w:tbl>
    <w:p w14:paraId="4A485C58" w14:textId="2A55002B" w:rsidR="00FC194B" w:rsidRPr="00550C57" w:rsidRDefault="00550C57" w:rsidP="00FC194B">
      <w:pPr>
        <w:spacing w:after="0" w:line="360" w:lineRule="auto"/>
        <w:jc w:val="both"/>
        <w:rPr>
          <w:rFonts w:ascii="Book Antiqua" w:hAnsi="Book Antiqua" w:cs="Times New Roman"/>
          <w:b/>
          <w:sz w:val="24"/>
          <w:szCs w:val="24"/>
          <w:lang w:eastAsia="zh-CN"/>
        </w:rPr>
      </w:pPr>
      <w:r w:rsidRPr="00550C57">
        <w:rPr>
          <w:rFonts w:ascii="Book Antiqua" w:hAnsi="Book Antiqua" w:cs="Times New Roman"/>
          <w:b/>
          <w:sz w:val="24"/>
          <w:szCs w:val="24"/>
        </w:rPr>
        <w:t>Table 3</w:t>
      </w:r>
      <w:r w:rsidR="00FC194B" w:rsidRPr="00550C57">
        <w:rPr>
          <w:rFonts w:ascii="Book Antiqua" w:hAnsi="Book Antiqua" w:cs="Times New Roman"/>
          <w:b/>
          <w:sz w:val="24"/>
          <w:szCs w:val="24"/>
          <w:lang w:val="en-US"/>
        </w:rPr>
        <w:t xml:space="preserve"> Chromogranin A</w:t>
      </w:r>
      <w:r w:rsidR="00FC194B" w:rsidRPr="00550C57">
        <w:rPr>
          <w:rFonts w:ascii="Book Antiqua" w:hAnsi="Book Antiqua" w:cs="Times New Roman"/>
          <w:b/>
          <w:sz w:val="24"/>
          <w:szCs w:val="24"/>
        </w:rPr>
        <w:t xml:space="preserve"> diagnostic accuracy in </w:t>
      </w:r>
      <w:r w:rsidRPr="00550C57">
        <w:rPr>
          <w:rFonts w:ascii="Book Antiqua" w:hAnsi="Book Antiqua"/>
          <w:b/>
          <w:sz w:val="24"/>
          <w:szCs w:val="24"/>
          <w:lang w:val="en-US"/>
        </w:rPr>
        <w:t>neuroendocrine tumor</w:t>
      </w:r>
      <w:r w:rsidRPr="00550C57">
        <w:rPr>
          <w:rFonts w:ascii="Book Antiqua" w:hAnsi="Book Antiqua" w:cs="Times New Roman"/>
          <w:b/>
          <w:sz w:val="24"/>
          <w:szCs w:val="24"/>
        </w:rPr>
        <w:t xml:space="preserve"> studies</w:t>
      </w:r>
    </w:p>
    <w:p w14:paraId="550B7595" w14:textId="77777777" w:rsidR="00FC194B" w:rsidRPr="00FC194B" w:rsidRDefault="00FC194B" w:rsidP="00FC194B">
      <w:pPr>
        <w:spacing w:after="0" w:line="360" w:lineRule="auto"/>
        <w:jc w:val="both"/>
        <w:rPr>
          <w:rFonts w:ascii="Book Antiqua" w:hAnsi="Book Antiqua" w:cs="Times New Roman"/>
          <w:b/>
          <w:sz w:val="24"/>
          <w:szCs w:val="24"/>
        </w:rPr>
      </w:pPr>
    </w:p>
    <w:p w14:paraId="33AAB843" w14:textId="77777777" w:rsidR="00FC194B" w:rsidRDefault="00FC194B" w:rsidP="00FC194B">
      <w:pPr>
        <w:spacing w:after="0" w:line="360" w:lineRule="auto"/>
        <w:jc w:val="both"/>
        <w:rPr>
          <w:rFonts w:ascii="Book Antiqua" w:hAnsi="Book Antiqua" w:cs="Times New Roman"/>
          <w:b/>
          <w:sz w:val="24"/>
          <w:szCs w:val="24"/>
          <w:lang w:eastAsia="zh-CN"/>
        </w:rPr>
      </w:pPr>
    </w:p>
    <w:p w14:paraId="17BA53C3" w14:textId="77777777" w:rsidR="00FC194B" w:rsidRDefault="00FC194B" w:rsidP="00FC194B">
      <w:pPr>
        <w:spacing w:after="0" w:line="360" w:lineRule="auto"/>
        <w:jc w:val="both"/>
        <w:rPr>
          <w:rFonts w:ascii="Book Antiqua" w:hAnsi="Book Antiqua" w:cs="Times New Roman"/>
          <w:b/>
          <w:sz w:val="24"/>
          <w:szCs w:val="24"/>
          <w:lang w:eastAsia="zh-CN"/>
        </w:rPr>
      </w:pPr>
    </w:p>
    <w:p w14:paraId="622C0E4B" w14:textId="77777777" w:rsidR="00FC194B" w:rsidRDefault="00FC194B" w:rsidP="00FC194B">
      <w:pPr>
        <w:spacing w:after="0" w:line="360" w:lineRule="auto"/>
        <w:jc w:val="both"/>
        <w:rPr>
          <w:rFonts w:ascii="Book Antiqua" w:hAnsi="Book Antiqua" w:cs="Times New Roman"/>
          <w:b/>
          <w:sz w:val="24"/>
          <w:szCs w:val="24"/>
          <w:lang w:eastAsia="zh-CN"/>
        </w:rPr>
      </w:pPr>
    </w:p>
    <w:p w14:paraId="4F2D44C3" w14:textId="77777777" w:rsidR="00FC194B" w:rsidRDefault="00FC194B" w:rsidP="00FC194B">
      <w:pPr>
        <w:spacing w:after="0" w:line="360" w:lineRule="auto"/>
        <w:jc w:val="both"/>
        <w:rPr>
          <w:rFonts w:ascii="Book Antiqua" w:hAnsi="Book Antiqua" w:cs="Times New Roman"/>
          <w:b/>
          <w:sz w:val="24"/>
          <w:szCs w:val="24"/>
          <w:lang w:eastAsia="zh-CN"/>
        </w:rPr>
      </w:pPr>
    </w:p>
    <w:p w14:paraId="16B3CDCD" w14:textId="77777777" w:rsidR="00FC194B" w:rsidRDefault="00FC194B" w:rsidP="00FC194B">
      <w:pPr>
        <w:spacing w:after="0" w:line="360" w:lineRule="auto"/>
        <w:jc w:val="both"/>
        <w:rPr>
          <w:rFonts w:ascii="Book Antiqua" w:hAnsi="Book Antiqua" w:cs="Times New Roman"/>
          <w:b/>
          <w:sz w:val="24"/>
          <w:szCs w:val="24"/>
          <w:lang w:eastAsia="zh-CN"/>
        </w:rPr>
      </w:pPr>
    </w:p>
    <w:p w14:paraId="0AEAE69A" w14:textId="77777777" w:rsidR="00FC194B" w:rsidRDefault="00FC194B" w:rsidP="00FC194B">
      <w:pPr>
        <w:spacing w:after="0" w:line="360" w:lineRule="auto"/>
        <w:jc w:val="both"/>
        <w:rPr>
          <w:rFonts w:ascii="Book Antiqua" w:hAnsi="Book Antiqua" w:cs="Times New Roman"/>
          <w:b/>
          <w:sz w:val="24"/>
          <w:szCs w:val="24"/>
          <w:lang w:eastAsia="zh-CN"/>
        </w:rPr>
      </w:pPr>
    </w:p>
    <w:p w14:paraId="709D4D1A" w14:textId="77777777" w:rsidR="00FC194B" w:rsidRDefault="00FC194B" w:rsidP="00FC194B">
      <w:pPr>
        <w:spacing w:after="0" w:line="360" w:lineRule="auto"/>
        <w:jc w:val="both"/>
        <w:rPr>
          <w:rFonts w:ascii="Book Antiqua" w:hAnsi="Book Antiqua" w:cs="Times New Roman"/>
          <w:b/>
          <w:sz w:val="24"/>
          <w:szCs w:val="24"/>
          <w:lang w:eastAsia="zh-CN"/>
        </w:rPr>
      </w:pPr>
    </w:p>
    <w:p w14:paraId="5DA3D043" w14:textId="77777777" w:rsidR="00FC194B" w:rsidRDefault="00FC194B" w:rsidP="00FC194B">
      <w:pPr>
        <w:spacing w:after="0" w:line="360" w:lineRule="auto"/>
        <w:jc w:val="both"/>
        <w:rPr>
          <w:rFonts w:ascii="Book Antiqua" w:hAnsi="Book Antiqua" w:cs="Times New Roman"/>
          <w:b/>
          <w:sz w:val="24"/>
          <w:szCs w:val="24"/>
          <w:lang w:eastAsia="zh-CN"/>
        </w:rPr>
      </w:pPr>
    </w:p>
    <w:p w14:paraId="707970E1" w14:textId="77777777" w:rsidR="00FC194B" w:rsidRDefault="00FC194B" w:rsidP="00FC194B">
      <w:pPr>
        <w:spacing w:after="0" w:line="360" w:lineRule="auto"/>
        <w:jc w:val="both"/>
        <w:rPr>
          <w:rFonts w:ascii="Book Antiqua" w:hAnsi="Book Antiqua" w:cs="Times New Roman"/>
          <w:b/>
          <w:sz w:val="24"/>
          <w:szCs w:val="24"/>
          <w:lang w:eastAsia="zh-CN"/>
        </w:rPr>
      </w:pPr>
    </w:p>
    <w:p w14:paraId="7DEC6012" w14:textId="77777777" w:rsidR="00FC194B" w:rsidRDefault="00FC194B" w:rsidP="00FC194B">
      <w:pPr>
        <w:spacing w:after="0" w:line="360" w:lineRule="auto"/>
        <w:jc w:val="both"/>
        <w:rPr>
          <w:rFonts w:ascii="Book Antiqua" w:hAnsi="Book Antiqua" w:cs="Times New Roman"/>
          <w:b/>
          <w:sz w:val="24"/>
          <w:szCs w:val="24"/>
          <w:lang w:eastAsia="zh-CN"/>
        </w:rPr>
      </w:pPr>
    </w:p>
    <w:p w14:paraId="702E87CD" w14:textId="77777777" w:rsidR="00FC194B" w:rsidRDefault="00FC194B" w:rsidP="00FC194B">
      <w:pPr>
        <w:spacing w:after="0" w:line="360" w:lineRule="auto"/>
        <w:jc w:val="both"/>
        <w:rPr>
          <w:rFonts w:ascii="Book Antiqua" w:hAnsi="Book Antiqua" w:cs="Times New Roman"/>
          <w:b/>
          <w:sz w:val="24"/>
          <w:szCs w:val="24"/>
          <w:lang w:eastAsia="zh-CN"/>
        </w:rPr>
      </w:pPr>
    </w:p>
    <w:p w14:paraId="441CA7A7" w14:textId="77777777" w:rsidR="00FC194B" w:rsidRDefault="00FC194B" w:rsidP="00FC194B">
      <w:pPr>
        <w:spacing w:after="0" w:line="360" w:lineRule="auto"/>
        <w:jc w:val="both"/>
        <w:rPr>
          <w:rFonts w:ascii="Book Antiqua" w:hAnsi="Book Antiqua" w:cs="Times New Roman"/>
          <w:b/>
          <w:sz w:val="24"/>
          <w:szCs w:val="24"/>
          <w:lang w:eastAsia="zh-CN"/>
        </w:rPr>
      </w:pPr>
    </w:p>
    <w:p w14:paraId="1A5885F7" w14:textId="77777777" w:rsidR="00FC194B" w:rsidRDefault="00FC194B" w:rsidP="00FC194B">
      <w:pPr>
        <w:spacing w:after="0" w:line="360" w:lineRule="auto"/>
        <w:jc w:val="both"/>
        <w:rPr>
          <w:rFonts w:ascii="Book Antiqua" w:hAnsi="Book Antiqua" w:cs="Times New Roman"/>
          <w:b/>
          <w:sz w:val="24"/>
          <w:szCs w:val="24"/>
          <w:lang w:eastAsia="zh-CN"/>
        </w:rPr>
      </w:pPr>
    </w:p>
    <w:p w14:paraId="51181578" w14:textId="77777777" w:rsidR="00FC194B" w:rsidRDefault="00FC194B" w:rsidP="00FC194B">
      <w:pPr>
        <w:spacing w:after="0" w:line="360" w:lineRule="auto"/>
        <w:jc w:val="both"/>
        <w:rPr>
          <w:rFonts w:ascii="Book Antiqua" w:hAnsi="Book Antiqua" w:cs="Times New Roman"/>
          <w:b/>
          <w:sz w:val="24"/>
          <w:szCs w:val="24"/>
          <w:lang w:eastAsia="zh-CN"/>
        </w:rPr>
      </w:pPr>
    </w:p>
    <w:p w14:paraId="23FC7409" w14:textId="77777777" w:rsidR="00FC194B" w:rsidRDefault="00FC194B" w:rsidP="00FC194B">
      <w:pPr>
        <w:spacing w:after="0" w:line="360" w:lineRule="auto"/>
        <w:jc w:val="both"/>
        <w:rPr>
          <w:rFonts w:ascii="Book Antiqua" w:hAnsi="Book Antiqua" w:cs="Times New Roman"/>
          <w:b/>
          <w:sz w:val="24"/>
          <w:szCs w:val="24"/>
          <w:lang w:eastAsia="zh-CN"/>
        </w:rPr>
      </w:pPr>
    </w:p>
    <w:p w14:paraId="26FC5623" w14:textId="77777777" w:rsidR="00FC194B" w:rsidRDefault="00FC194B" w:rsidP="00FC194B">
      <w:pPr>
        <w:spacing w:after="0" w:line="360" w:lineRule="auto"/>
        <w:jc w:val="both"/>
        <w:rPr>
          <w:rFonts w:ascii="Book Antiqua" w:hAnsi="Book Antiqua" w:cs="Times New Roman"/>
          <w:b/>
          <w:sz w:val="24"/>
          <w:szCs w:val="24"/>
          <w:lang w:eastAsia="zh-CN"/>
        </w:rPr>
      </w:pPr>
    </w:p>
    <w:p w14:paraId="39814087" w14:textId="77777777" w:rsidR="00FC194B" w:rsidRDefault="00FC194B" w:rsidP="00FC194B">
      <w:pPr>
        <w:spacing w:after="0" w:line="360" w:lineRule="auto"/>
        <w:jc w:val="both"/>
        <w:rPr>
          <w:rFonts w:ascii="Book Antiqua" w:hAnsi="Book Antiqua" w:cs="Times New Roman"/>
          <w:b/>
          <w:sz w:val="24"/>
          <w:szCs w:val="24"/>
          <w:lang w:eastAsia="zh-CN"/>
        </w:rPr>
      </w:pPr>
    </w:p>
    <w:p w14:paraId="2E953D48" w14:textId="77777777" w:rsidR="00FC194B" w:rsidRDefault="00FC194B" w:rsidP="00FC194B">
      <w:pPr>
        <w:spacing w:after="0" w:line="360" w:lineRule="auto"/>
        <w:jc w:val="both"/>
        <w:rPr>
          <w:rFonts w:ascii="Book Antiqua" w:hAnsi="Book Antiqua" w:cs="Times New Roman"/>
          <w:b/>
          <w:sz w:val="24"/>
          <w:szCs w:val="24"/>
          <w:lang w:eastAsia="zh-CN"/>
        </w:rPr>
      </w:pPr>
    </w:p>
    <w:p w14:paraId="2E5CBC83" w14:textId="77777777" w:rsidR="00FC194B" w:rsidRDefault="00FC194B" w:rsidP="00FC194B">
      <w:pPr>
        <w:spacing w:after="0" w:line="360" w:lineRule="auto"/>
        <w:jc w:val="both"/>
        <w:rPr>
          <w:rFonts w:ascii="Book Antiqua" w:hAnsi="Book Antiqua" w:cs="Times New Roman"/>
          <w:b/>
          <w:sz w:val="24"/>
          <w:szCs w:val="24"/>
          <w:lang w:eastAsia="zh-CN"/>
        </w:rPr>
      </w:pPr>
    </w:p>
    <w:p w14:paraId="36B8C0C3" w14:textId="77777777" w:rsidR="00FC194B" w:rsidRDefault="00FC194B" w:rsidP="00FC194B">
      <w:pPr>
        <w:spacing w:after="0" w:line="360" w:lineRule="auto"/>
        <w:jc w:val="both"/>
        <w:rPr>
          <w:rFonts w:ascii="Book Antiqua" w:hAnsi="Book Antiqua" w:cs="Times New Roman"/>
          <w:b/>
          <w:sz w:val="24"/>
          <w:szCs w:val="24"/>
          <w:lang w:eastAsia="zh-CN"/>
        </w:rPr>
      </w:pPr>
    </w:p>
    <w:p w14:paraId="68C7C424" w14:textId="77777777" w:rsidR="00FC194B" w:rsidRDefault="00FC194B" w:rsidP="00FC194B">
      <w:pPr>
        <w:spacing w:after="0" w:line="360" w:lineRule="auto"/>
        <w:jc w:val="both"/>
        <w:rPr>
          <w:rFonts w:ascii="Book Antiqua" w:hAnsi="Book Antiqua" w:cs="Times New Roman"/>
          <w:b/>
          <w:sz w:val="24"/>
          <w:szCs w:val="24"/>
          <w:lang w:eastAsia="zh-CN"/>
        </w:rPr>
      </w:pPr>
    </w:p>
    <w:p w14:paraId="52BC87F9" w14:textId="77777777" w:rsidR="00FC194B" w:rsidRPr="00FC194B" w:rsidRDefault="00FC194B" w:rsidP="00FC194B">
      <w:pPr>
        <w:spacing w:after="0" w:line="360" w:lineRule="auto"/>
        <w:jc w:val="both"/>
        <w:rPr>
          <w:rFonts w:ascii="Book Antiqua" w:hAnsi="Book Antiqua" w:cs="Times New Roman"/>
          <w:b/>
          <w:sz w:val="24"/>
          <w:szCs w:val="24"/>
          <w:lang w:eastAsia="zh-CN"/>
        </w:rPr>
      </w:pPr>
    </w:p>
    <w:p w14:paraId="34117652" w14:textId="50DFFCD3" w:rsidR="00635E10" w:rsidRPr="00550C57" w:rsidRDefault="00FC194B" w:rsidP="00B12312">
      <w:pPr>
        <w:spacing w:after="0" w:line="360" w:lineRule="auto"/>
        <w:jc w:val="both"/>
        <w:rPr>
          <w:rFonts w:ascii="Book Antiqua" w:hAnsi="Book Antiqua" w:cs="Times New Roman"/>
          <w:sz w:val="24"/>
          <w:szCs w:val="24"/>
        </w:rPr>
      </w:pPr>
      <w:r w:rsidRPr="00FC194B">
        <w:rPr>
          <w:rFonts w:ascii="Book Antiqua" w:hAnsi="Book Antiqua" w:cs="Times New Roman"/>
          <w:sz w:val="24"/>
          <w:szCs w:val="24"/>
        </w:rPr>
        <w:t xml:space="preserve">no: </w:t>
      </w:r>
      <w:r w:rsidR="00550C57" w:rsidRPr="00FC194B">
        <w:rPr>
          <w:rFonts w:ascii="Book Antiqua" w:hAnsi="Book Antiqua" w:cs="Times New Roman"/>
          <w:sz w:val="24"/>
          <w:szCs w:val="24"/>
        </w:rPr>
        <w:t>N</w:t>
      </w:r>
      <w:r w:rsidRPr="00FC194B">
        <w:rPr>
          <w:rFonts w:ascii="Book Antiqua" w:hAnsi="Book Antiqua" w:cs="Times New Roman"/>
          <w:sz w:val="24"/>
          <w:szCs w:val="24"/>
        </w:rPr>
        <w:t>umber</w:t>
      </w:r>
      <w:r w:rsidR="00550C57">
        <w:rPr>
          <w:rFonts w:ascii="Book Antiqua" w:hAnsi="Book Antiqua" w:cs="Times New Roman" w:hint="eastAsia"/>
          <w:sz w:val="24"/>
          <w:szCs w:val="24"/>
        </w:rPr>
        <w:t xml:space="preserve">; </w:t>
      </w:r>
      <w:r w:rsidRPr="00FC194B">
        <w:rPr>
          <w:rFonts w:ascii="Book Antiqua" w:hAnsi="Book Antiqua" w:cs="Times New Roman"/>
          <w:sz w:val="24"/>
          <w:szCs w:val="24"/>
        </w:rPr>
        <w:t xml:space="preserve">pts: </w:t>
      </w:r>
      <w:r w:rsidR="00550C57" w:rsidRPr="00FC194B">
        <w:rPr>
          <w:rFonts w:ascii="Book Antiqua" w:hAnsi="Book Antiqua" w:cs="Times New Roman"/>
          <w:sz w:val="24"/>
          <w:szCs w:val="24"/>
        </w:rPr>
        <w:t>P</w:t>
      </w:r>
      <w:r w:rsidRPr="00FC194B">
        <w:rPr>
          <w:rFonts w:ascii="Book Antiqua" w:hAnsi="Book Antiqua" w:cs="Times New Roman"/>
          <w:sz w:val="24"/>
          <w:szCs w:val="24"/>
        </w:rPr>
        <w:t>atients</w:t>
      </w:r>
      <w:r w:rsidR="00550C57">
        <w:rPr>
          <w:rFonts w:ascii="Book Antiqua" w:hAnsi="Book Antiqua" w:cs="Times New Roman" w:hint="eastAsia"/>
          <w:sz w:val="24"/>
          <w:szCs w:val="24"/>
        </w:rPr>
        <w:t xml:space="preserve">; </w:t>
      </w:r>
      <w:r w:rsidRPr="00FC194B">
        <w:rPr>
          <w:rFonts w:ascii="Book Antiqua" w:hAnsi="Book Antiqua" w:cs="Times New Roman"/>
          <w:sz w:val="24"/>
          <w:szCs w:val="24"/>
        </w:rPr>
        <w:t>NA: Non available</w:t>
      </w:r>
      <w:r>
        <w:rPr>
          <w:rFonts w:ascii="Book Antiqua" w:hAnsi="Book Antiqua" w:cs="Times New Roman" w:hint="eastAsia"/>
          <w:sz w:val="24"/>
          <w:szCs w:val="24"/>
        </w:rPr>
        <w:t xml:space="preserve">; </w:t>
      </w:r>
      <w:r w:rsidR="00550C57" w:rsidRPr="00550C57">
        <w:rPr>
          <w:rFonts w:ascii="Book Antiqua" w:hAnsi="Book Antiqua" w:cs="Times New Roman"/>
          <w:sz w:val="24"/>
          <w:szCs w:val="24"/>
        </w:rPr>
        <w:t>CgA</w:t>
      </w:r>
      <w:r w:rsidR="00550C57" w:rsidRPr="00550C57">
        <w:rPr>
          <w:rFonts w:ascii="Book Antiqua" w:hAnsi="Book Antiqua" w:cs="Times New Roman" w:hint="eastAsia"/>
          <w:sz w:val="24"/>
          <w:szCs w:val="24"/>
        </w:rPr>
        <w:t xml:space="preserve">: </w:t>
      </w:r>
      <w:r w:rsidR="00550C57" w:rsidRPr="00550C57">
        <w:rPr>
          <w:rFonts w:ascii="Book Antiqua" w:hAnsi="Book Antiqua" w:cs="Times New Roman"/>
          <w:sz w:val="24"/>
          <w:szCs w:val="24"/>
        </w:rPr>
        <w:t>C</w:t>
      </w:r>
      <w:r w:rsidRPr="00550C57">
        <w:rPr>
          <w:rFonts w:ascii="Book Antiqua" w:hAnsi="Book Antiqua" w:cs="Times New Roman"/>
          <w:sz w:val="24"/>
          <w:szCs w:val="24"/>
        </w:rPr>
        <w:t>hromogranin A</w:t>
      </w:r>
      <w:r w:rsidR="00550C57" w:rsidRPr="00550C57">
        <w:rPr>
          <w:rFonts w:ascii="Book Antiqua" w:hAnsi="Book Antiqua" w:cs="Times New Roman" w:hint="eastAsia"/>
          <w:sz w:val="24"/>
          <w:szCs w:val="24"/>
        </w:rPr>
        <w:t xml:space="preserve">; </w:t>
      </w:r>
      <w:r w:rsidR="00550C57" w:rsidRPr="00FC194B">
        <w:rPr>
          <w:rFonts w:ascii="Book Antiqua" w:hAnsi="Book Antiqua" w:cs="Times New Roman"/>
          <w:sz w:val="24"/>
          <w:szCs w:val="24"/>
        </w:rPr>
        <w:t>NET</w:t>
      </w:r>
      <w:r w:rsidR="00550C57">
        <w:rPr>
          <w:rFonts w:ascii="Book Antiqua" w:hAnsi="Book Antiqua" w:cs="Times New Roman" w:hint="eastAsia"/>
          <w:sz w:val="24"/>
          <w:szCs w:val="24"/>
        </w:rPr>
        <w:t xml:space="preserve">: </w:t>
      </w:r>
      <w:r w:rsidR="00550C57" w:rsidRPr="00550C57">
        <w:rPr>
          <w:rFonts w:ascii="Book Antiqua" w:hAnsi="Book Antiqua" w:cs="Times New Roman"/>
          <w:sz w:val="24"/>
          <w:szCs w:val="24"/>
        </w:rPr>
        <w:t>Neuroendocrine tumor</w:t>
      </w:r>
      <w:r w:rsidR="00550C57" w:rsidRPr="00550C57">
        <w:rPr>
          <w:rFonts w:ascii="Book Antiqua" w:hAnsi="Book Antiqua" w:cs="Times New Roman" w:hint="eastAsia"/>
          <w:sz w:val="24"/>
          <w:szCs w:val="24"/>
        </w:rPr>
        <w:t>;</w:t>
      </w:r>
      <w:r w:rsidR="00550C57" w:rsidRPr="00550C57">
        <w:t xml:space="preserve"> </w:t>
      </w:r>
      <w:r w:rsidR="00550C57" w:rsidRPr="00FC194B">
        <w:rPr>
          <w:rFonts w:ascii="Book Antiqua" w:hAnsi="Book Antiqua" w:cs="Times New Roman"/>
          <w:sz w:val="24"/>
          <w:szCs w:val="24"/>
        </w:rPr>
        <w:t>GEP</w:t>
      </w:r>
      <w:r w:rsidR="00550C57">
        <w:rPr>
          <w:rFonts w:ascii="Book Antiqua" w:hAnsi="Book Antiqua" w:cs="Times New Roman" w:hint="eastAsia"/>
          <w:sz w:val="24"/>
          <w:szCs w:val="24"/>
        </w:rPr>
        <w:t>:</w:t>
      </w:r>
      <w:r w:rsidR="00550C57" w:rsidRPr="00550C57">
        <w:rPr>
          <w:rFonts w:ascii="Book Antiqua" w:hAnsi="Book Antiqua" w:cs="Times New Roman"/>
          <w:sz w:val="24"/>
          <w:szCs w:val="24"/>
        </w:rPr>
        <w:t xml:space="preserve"> Gastroenteropancreatic</w:t>
      </w:r>
      <w:r w:rsidR="00550C57" w:rsidRPr="00550C57">
        <w:rPr>
          <w:rFonts w:ascii="Book Antiqua" w:hAnsi="Book Antiqua" w:cs="Times New Roman" w:hint="eastAsia"/>
          <w:sz w:val="24"/>
          <w:szCs w:val="24"/>
        </w:rPr>
        <w:t>.</w:t>
      </w:r>
    </w:p>
    <w:sectPr w:rsidR="00635E10" w:rsidRPr="00550C57" w:rsidSect="002F1C18">
      <w:pgSz w:w="11906" w:h="16838"/>
      <w:pgMar w:top="1440"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 Garamond">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BE2354"/>
    <w:multiLevelType w:val="hybridMultilevel"/>
    <w:tmpl w:val="0396D8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5F"/>
    <w:rsid w:val="000078EE"/>
    <w:rsid w:val="00034158"/>
    <w:rsid w:val="00045087"/>
    <w:rsid w:val="000809ED"/>
    <w:rsid w:val="000908D4"/>
    <w:rsid w:val="00091D4E"/>
    <w:rsid w:val="00096B4A"/>
    <w:rsid w:val="0009736D"/>
    <w:rsid w:val="000A327A"/>
    <w:rsid w:val="000B2AB9"/>
    <w:rsid w:val="000B4864"/>
    <w:rsid w:val="000C226C"/>
    <w:rsid w:val="000C29CA"/>
    <w:rsid w:val="000D39EE"/>
    <w:rsid w:val="000D6335"/>
    <w:rsid w:val="000E4C3F"/>
    <w:rsid w:val="000E6570"/>
    <w:rsid w:val="000F3782"/>
    <w:rsid w:val="00105D13"/>
    <w:rsid w:val="00110210"/>
    <w:rsid w:val="001113D4"/>
    <w:rsid w:val="00115850"/>
    <w:rsid w:val="0011592C"/>
    <w:rsid w:val="00134BE2"/>
    <w:rsid w:val="00160A7C"/>
    <w:rsid w:val="0016446E"/>
    <w:rsid w:val="00171CF4"/>
    <w:rsid w:val="0018260C"/>
    <w:rsid w:val="00182A23"/>
    <w:rsid w:val="001A3737"/>
    <w:rsid w:val="001A7E07"/>
    <w:rsid w:val="001B125F"/>
    <w:rsid w:val="001C328F"/>
    <w:rsid w:val="001D7ADE"/>
    <w:rsid w:val="001E12A8"/>
    <w:rsid w:val="001E53A1"/>
    <w:rsid w:val="001E6C34"/>
    <w:rsid w:val="00203DE4"/>
    <w:rsid w:val="00225C60"/>
    <w:rsid w:val="0023314C"/>
    <w:rsid w:val="00246DCC"/>
    <w:rsid w:val="002606A4"/>
    <w:rsid w:val="002744CF"/>
    <w:rsid w:val="002761FD"/>
    <w:rsid w:val="00282515"/>
    <w:rsid w:val="002878B4"/>
    <w:rsid w:val="002946C4"/>
    <w:rsid w:val="002A53B2"/>
    <w:rsid w:val="002A5DE0"/>
    <w:rsid w:val="002B02DF"/>
    <w:rsid w:val="002B1FF4"/>
    <w:rsid w:val="002C02F4"/>
    <w:rsid w:val="002C2979"/>
    <w:rsid w:val="002C47D8"/>
    <w:rsid w:val="002D049F"/>
    <w:rsid w:val="002F1C18"/>
    <w:rsid w:val="002F49C0"/>
    <w:rsid w:val="002F7AF8"/>
    <w:rsid w:val="0030434D"/>
    <w:rsid w:val="003067DE"/>
    <w:rsid w:val="00321A64"/>
    <w:rsid w:val="00326500"/>
    <w:rsid w:val="00327AA1"/>
    <w:rsid w:val="00340967"/>
    <w:rsid w:val="00360630"/>
    <w:rsid w:val="00374518"/>
    <w:rsid w:val="003819CD"/>
    <w:rsid w:val="003872D2"/>
    <w:rsid w:val="00387494"/>
    <w:rsid w:val="0039027E"/>
    <w:rsid w:val="003A2A46"/>
    <w:rsid w:val="003B5E67"/>
    <w:rsid w:val="003B79EE"/>
    <w:rsid w:val="003C1844"/>
    <w:rsid w:val="003C60BF"/>
    <w:rsid w:val="003D577E"/>
    <w:rsid w:val="003D6F29"/>
    <w:rsid w:val="003E0A60"/>
    <w:rsid w:val="003E558B"/>
    <w:rsid w:val="00412884"/>
    <w:rsid w:val="00413402"/>
    <w:rsid w:val="00414A76"/>
    <w:rsid w:val="0041509D"/>
    <w:rsid w:val="00420661"/>
    <w:rsid w:val="004268F2"/>
    <w:rsid w:val="00431C17"/>
    <w:rsid w:val="00437D93"/>
    <w:rsid w:val="00453D44"/>
    <w:rsid w:val="004553E5"/>
    <w:rsid w:val="00457378"/>
    <w:rsid w:val="004610C5"/>
    <w:rsid w:val="004636C1"/>
    <w:rsid w:val="0047235A"/>
    <w:rsid w:val="00473ECD"/>
    <w:rsid w:val="004812ED"/>
    <w:rsid w:val="00487895"/>
    <w:rsid w:val="004940E1"/>
    <w:rsid w:val="00494896"/>
    <w:rsid w:val="004A4650"/>
    <w:rsid w:val="004B2AD8"/>
    <w:rsid w:val="004B2D66"/>
    <w:rsid w:val="004B43DD"/>
    <w:rsid w:val="004C483D"/>
    <w:rsid w:val="004C7323"/>
    <w:rsid w:val="004D4056"/>
    <w:rsid w:val="004E2374"/>
    <w:rsid w:val="004E4235"/>
    <w:rsid w:val="004F29EC"/>
    <w:rsid w:val="004F38DC"/>
    <w:rsid w:val="004F7101"/>
    <w:rsid w:val="00502F92"/>
    <w:rsid w:val="00503E5A"/>
    <w:rsid w:val="00504103"/>
    <w:rsid w:val="00507CD1"/>
    <w:rsid w:val="0051048B"/>
    <w:rsid w:val="00515111"/>
    <w:rsid w:val="0051559E"/>
    <w:rsid w:val="00522E90"/>
    <w:rsid w:val="005275CE"/>
    <w:rsid w:val="00530034"/>
    <w:rsid w:val="00542828"/>
    <w:rsid w:val="00550C57"/>
    <w:rsid w:val="00552A79"/>
    <w:rsid w:val="005555B7"/>
    <w:rsid w:val="00556724"/>
    <w:rsid w:val="00563955"/>
    <w:rsid w:val="005654FA"/>
    <w:rsid w:val="0056741F"/>
    <w:rsid w:val="00570DBA"/>
    <w:rsid w:val="00591E2C"/>
    <w:rsid w:val="00596246"/>
    <w:rsid w:val="005A3191"/>
    <w:rsid w:val="005C178E"/>
    <w:rsid w:val="005C3A6A"/>
    <w:rsid w:val="005D294B"/>
    <w:rsid w:val="005D465C"/>
    <w:rsid w:val="005D4F00"/>
    <w:rsid w:val="005E13E2"/>
    <w:rsid w:val="005E1ED9"/>
    <w:rsid w:val="005E2421"/>
    <w:rsid w:val="005F2615"/>
    <w:rsid w:val="005F5A41"/>
    <w:rsid w:val="00600ECC"/>
    <w:rsid w:val="00614CAB"/>
    <w:rsid w:val="0062218F"/>
    <w:rsid w:val="00634223"/>
    <w:rsid w:val="00635E10"/>
    <w:rsid w:val="00637FF0"/>
    <w:rsid w:val="006548F0"/>
    <w:rsid w:val="006700AC"/>
    <w:rsid w:val="006710B7"/>
    <w:rsid w:val="00674723"/>
    <w:rsid w:val="00684ED6"/>
    <w:rsid w:val="00686A81"/>
    <w:rsid w:val="006A67A6"/>
    <w:rsid w:val="006A6C5E"/>
    <w:rsid w:val="006C3507"/>
    <w:rsid w:val="006D040E"/>
    <w:rsid w:val="006E17BC"/>
    <w:rsid w:val="006E7AB6"/>
    <w:rsid w:val="00715DD1"/>
    <w:rsid w:val="00724BEE"/>
    <w:rsid w:val="00725A74"/>
    <w:rsid w:val="00741DF4"/>
    <w:rsid w:val="00775919"/>
    <w:rsid w:val="007876FC"/>
    <w:rsid w:val="007A3F45"/>
    <w:rsid w:val="007B30E1"/>
    <w:rsid w:val="007B552C"/>
    <w:rsid w:val="007B7815"/>
    <w:rsid w:val="007C422A"/>
    <w:rsid w:val="007C70EB"/>
    <w:rsid w:val="007D13ED"/>
    <w:rsid w:val="007D2A95"/>
    <w:rsid w:val="007D54A6"/>
    <w:rsid w:val="007F29E8"/>
    <w:rsid w:val="007F6900"/>
    <w:rsid w:val="008027BC"/>
    <w:rsid w:val="00812BFD"/>
    <w:rsid w:val="00815D9C"/>
    <w:rsid w:val="00836728"/>
    <w:rsid w:val="00840B97"/>
    <w:rsid w:val="0084206F"/>
    <w:rsid w:val="008535F4"/>
    <w:rsid w:val="00875EC5"/>
    <w:rsid w:val="008979CE"/>
    <w:rsid w:val="008A740F"/>
    <w:rsid w:val="008B71D6"/>
    <w:rsid w:val="008E3551"/>
    <w:rsid w:val="008E7376"/>
    <w:rsid w:val="008F07D5"/>
    <w:rsid w:val="00904DC7"/>
    <w:rsid w:val="0090733A"/>
    <w:rsid w:val="00910981"/>
    <w:rsid w:val="009124AF"/>
    <w:rsid w:val="0091596D"/>
    <w:rsid w:val="00921BD0"/>
    <w:rsid w:val="00923D63"/>
    <w:rsid w:val="00924EFC"/>
    <w:rsid w:val="009254D9"/>
    <w:rsid w:val="00925679"/>
    <w:rsid w:val="0095413D"/>
    <w:rsid w:val="00965601"/>
    <w:rsid w:val="00970BCE"/>
    <w:rsid w:val="00981CD3"/>
    <w:rsid w:val="00986366"/>
    <w:rsid w:val="00995484"/>
    <w:rsid w:val="009D2A38"/>
    <w:rsid w:val="009D506D"/>
    <w:rsid w:val="009E5830"/>
    <w:rsid w:val="009F2078"/>
    <w:rsid w:val="00A06FB6"/>
    <w:rsid w:val="00A1294D"/>
    <w:rsid w:val="00A36A9D"/>
    <w:rsid w:val="00A42A46"/>
    <w:rsid w:val="00A50BE9"/>
    <w:rsid w:val="00A61EFD"/>
    <w:rsid w:val="00A73019"/>
    <w:rsid w:val="00A73F3F"/>
    <w:rsid w:val="00A764A3"/>
    <w:rsid w:val="00A85340"/>
    <w:rsid w:val="00A86ABB"/>
    <w:rsid w:val="00A92C45"/>
    <w:rsid w:val="00AA26C3"/>
    <w:rsid w:val="00AA33C4"/>
    <w:rsid w:val="00AA4DED"/>
    <w:rsid w:val="00AA5232"/>
    <w:rsid w:val="00AA640A"/>
    <w:rsid w:val="00AB4FBC"/>
    <w:rsid w:val="00AB6F95"/>
    <w:rsid w:val="00AD3604"/>
    <w:rsid w:val="00AD7A8C"/>
    <w:rsid w:val="00AF30A9"/>
    <w:rsid w:val="00B10E2F"/>
    <w:rsid w:val="00B112B3"/>
    <w:rsid w:val="00B12312"/>
    <w:rsid w:val="00B17859"/>
    <w:rsid w:val="00B20923"/>
    <w:rsid w:val="00B262DC"/>
    <w:rsid w:val="00B33518"/>
    <w:rsid w:val="00B3471B"/>
    <w:rsid w:val="00B4644F"/>
    <w:rsid w:val="00B52990"/>
    <w:rsid w:val="00B604DB"/>
    <w:rsid w:val="00B60E95"/>
    <w:rsid w:val="00B616F9"/>
    <w:rsid w:val="00B640C7"/>
    <w:rsid w:val="00B70E76"/>
    <w:rsid w:val="00B7464E"/>
    <w:rsid w:val="00B93397"/>
    <w:rsid w:val="00BA720D"/>
    <w:rsid w:val="00BA7EE4"/>
    <w:rsid w:val="00BB58EC"/>
    <w:rsid w:val="00BC4529"/>
    <w:rsid w:val="00BC4573"/>
    <w:rsid w:val="00BC5623"/>
    <w:rsid w:val="00BC664A"/>
    <w:rsid w:val="00BD5F40"/>
    <w:rsid w:val="00BD66C5"/>
    <w:rsid w:val="00BD7ADA"/>
    <w:rsid w:val="00BE24BA"/>
    <w:rsid w:val="00BE2552"/>
    <w:rsid w:val="00BE3D30"/>
    <w:rsid w:val="00BE7F40"/>
    <w:rsid w:val="00BF46CF"/>
    <w:rsid w:val="00C055FE"/>
    <w:rsid w:val="00C470F8"/>
    <w:rsid w:val="00C65DF5"/>
    <w:rsid w:val="00C7384E"/>
    <w:rsid w:val="00CA4A82"/>
    <w:rsid w:val="00CB1836"/>
    <w:rsid w:val="00CC4921"/>
    <w:rsid w:val="00CE1E56"/>
    <w:rsid w:val="00D117AC"/>
    <w:rsid w:val="00D117FD"/>
    <w:rsid w:val="00D12AA1"/>
    <w:rsid w:val="00D167CF"/>
    <w:rsid w:val="00D20961"/>
    <w:rsid w:val="00D3309C"/>
    <w:rsid w:val="00D44578"/>
    <w:rsid w:val="00D5459B"/>
    <w:rsid w:val="00D545E7"/>
    <w:rsid w:val="00D9198A"/>
    <w:rsid w:val="00D95F86"/>
    <w:rsid w:val="00D9726D"/>
    <w:rsid w:val="00DA6E37"/>
    <w:rsid w:val="00DC2841"/>
    <w:rsid w:val="00DC3A88"/>
    <w:rsid w:val="00DC44A3"/>
    <w:rsid w:val="00DC468A"/>
    <w:rsid w:val="00DC7708"/>
    <w:rsid w:val="00DD0422"/>
    <w:rsid w:val="00DE0521"/>
    <w:rsid w:val="00DE5076"/>
    <w:rsid w:val="00DE587D"/>
    <w:rsid w:val="00DE64AD"/>
    <w:rsid w:val="00DE7799"/>
    <w:rsid w:val="00DF0F99"/>
    <w:rsid w:val="00DF1E48"/>
    <w:rsid w:val="00DF7977"/>
    <w:rsid w:val="00E00F8A"/>
    <w:rsid w:val="00E01682"/>
    <w:rsid w:val="00E02826"/>
    <w:rsid w:val="00E038A5"/>
    <w:rsid w:val="00E047F7"/>
    <w:rsid w:val="00E371DE"/>
    <w:rsid w:val="00E41D13"/>
    <w:rsid w:val="00E47CA2"/>
    <w:rsid w:val="00E5031E"/>
    <w:rsid w:val="00E74DB6"/>
    <w:rsid w:val="00E7542A"/>
    <w:rsid w:val="00E802EC"/>
    <w:rsid w:val="00E80307"/>
    <w:rsid w:val="00E805E9"/>
    <w:rsid w:val="00E84AB7"/>
    <w:rsid w:val="00E9063A"/>
    <w:rsid w:val="00E9598B"/>
    <w:rsid w:val="00EA1071"/>
    <w:rsid w:val="00EA1565"/>
    <w:rsid w:val="00EB7CAD"/>
    <w:rsid w:val="00EC0D62"/>
    <w:rsid w:val="00EC21B6"/>
    <w:rsid w:val="00EC453B"/>
    <w:rsid w:val="00EF52A9"/>
    <w:rsid w:val="00F04575"/>
    <w:rsid w:val="00F06F6B"/>
    <w:rsid w:val="00F105DD"/>
    <w:rsid w:val="00F130C6"/>
    <w:rsid w:val="00F1335F"/>
    <w:rsid w:val="00F21486"/>
    <w:rsid w:val="00F41859"/>
    <w:rsid w:val="00F50C45"/>
    <w:rsid w:val="00F63071"/>
    <w:rsid w:val="00F73950"/>
    <w:rsid w:val="00F81797"/>
    <w:rsid w:val="00F83B90"/>
    <w:rsid w:val="00F9225B"/>
    <w:rsid w:val="00F93C4E"/>
    <w:rsid w:val="00FA243D"/>
    <w:rsid w:val="00FA2E76"/>
    <w:rsid w:val="00FB0184"/>
    <w:rsid w:val="00FB77B3"/>
    <w:rsid w:val="00FC194B"/>
    <w:rsid w:val="00FE1E47"/>
    <w:rsid w:val="00FE3492"/>
    <w:rsid w:val="00FE595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D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33A"/>
  </w:style>
  <w:style w:type="paragraph" w:styleId="1">
    <w:name w:val="heading 1"/>
    <w:basedOn w:val="a"/>
    <w:link w:val="1Char"/>
    <w:uiPriority w:val="9"/>
    <w:qFormat/>
    <w:rsid w:val="00635E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5E10"/>
    <w:rPr>
      <w:rFonts w:ascii="Times New Roman" w:eastAsia="Times New Roman" w:hAnsi="Times New Roman" w:cs="Times New Roman"/>
      <w:b/>
      <w:bCs/>
      <w:kern w:val="36"/>
      <w:sz w:val="48"/>
      <w:szCs w:val="48"/>
      <w:lang w:eastAsia="el-GR"/>
    </w:rPr>
  </w:style>
  <w:style w:type="character" w:customStyle="1" w:styleId="A00">
    <w:name w:val="A0"/>
    <w:uiPriority w:val="99"/>
    <w:rsid w:val="000E4C3F"/>
    <w:rPr>
      <w:color w:val="000000"/>
      <w:sz w:val="18"/>
      <w:szCs w:val="18"/>
    </w:rPr>
  </w:style>
  <w:style w:type="character" w:customStyle="1" w:styleId="apple-converted-space">
    <w:name w:val="apple-converted-space"/>
    <w:basedOn w:val="a0"/>
    <w:rsid w:val="0039027E"/>
  </w:style>
  <w:style w:type="paragraph" w:customStyle="1" w:styleId="Default">
    <w:name w:val="Default"/>
    <w:rsid w:val="0039027E"/>
    <w:pPr>
      <w:autoSpaceDE w:val="0"/>
      <w:autoSpaceDN w:val="0"/>
      <w:adjustRightInd w:val="0"/>
      <w:spacing w:after="0" w:line="240" w:lineRule="auto"/>
    </w:pPr>
    <w:rPr>
      <w:rFonts w:ascii="Adobe Garamond" w:eastAsia="Times New Roman" w:hAnsi="Adobe Garamond" w:cs="Adobe Garamond"/>
      <w:color w:val="000000"/>
      <w:sz w:val="24"/>
      <w:szCs w:val="24"/>
      <w:lang w:eastAsia="el-GR"/>
    </w:rPr>
  </w:style>
  <w:style w:type="paragraph" w:styleId="a3">
    <w:name w:val="Balloon Text"/>
    <w:basedOn w:val="a"/>
    <w:link w:val="Char"/>
    <w:uiPriority w:val="99"/>
    <w:semiHidden/>
    <w:unhideWhenUsed/>
    <w:rsid w:val="009254D9"/>
    <w:pPr>
      <w:spacing w:after="0" w:line="240" w:lineRule="auto"/>
    </w:pPr>
    <w:rPr>
      <w:rFonts w:ascii="Lucida Grande" w:hAnsi="Lucida Grande" w:cs="Lucida Grande"/>
      <w:sz w:val="18"/>
      <w:szCs w:val="18"/>
    </w:rPr>
  </w:style>
  <w:style w:type="character" w:customStyle="1" w:styleId="Char">
    <w:name w:val="批注框文本 Char"/>
    <w:basedOn w:val="a0"/>
    <w:link w:val="a3"/>
    <w:uiPriority w:val="99"/>
    <w:semiHidden/>
    <w:rsid w:val="009254D9"/>
    <w:rPr>
      <w:rFonts w:ascii="Lucida Grande" w:hAnsi="Lucida Grande" w:cs="Lucida Grande"/>
      <w:sz w:val="18"/>
      <w:szCs w:val="18"/>
    </w:rPr>
  </w:style>
  <w:style w:type="paragraph" w:styleId="a4">
    <w:name w:val="List Paragraph"/>
    <w:basedOn w:val="a"/>
    <w:uiPriority w:val="34"/>
    <w:qFormat/>
    <w:rsid w:val="00507CD1"/>
    <w:pPr>
      <w:spacing w:after="0" w:line="240" w:lineRule="auto"/>
      <w:ind w:left="720"/>
      <w:contextualSpacing/>
    </w:pPr>
    <w:rPr>
      <w:rFonts w:eastAsiaTheme="minorEastAsia"/>
      <w:sz w:val="24"/>
      <w:szCs w:val="24"/>
      <w:lang w:val="en-US"/>
    </w:rPr>
  </w:style>
  <w:style w:type="character" w:styleId="a5">
    <w:name w:val="Hyperlink"/>
    <w:basedOn w:val="a0"/>
    <w:uiPriority w:val="99"/>
    <w:unhideWhenUsed/>
    <w:rsid w:val="005C178E"/>
    <w:rPr>
      <w:color w:val="0000FF" w:themeColor="hyperlink"/>
      <w:u w:val="single"/>
    </w:rPr>
  </w:style>
  <w:style w:type="table" w:styleId="a6">
    <w:name w:val="Table Grid"/>
    <w:basedOn w:val="a1"/>
    <w:uiPriority w:val="59"/>
    <w:rsid w:val="00FC194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981CD3"/>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33A"/>
  </w:style>
  <w:style w:type="paragraph" w:styleId="1">
    <w:name w:val="heading 1"/>
    <w:basedOn w:val="a"/>
    <w:link w:val="1Char"/>
    <w:uiPriority w:val="9"/>
    <w:qFormat/>
    <w:rsid w:val="00635E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5E10"/>
    <w:rPr>
      <w:rFonts w:ascii="Times New Roman" w:eastAsia="Times New Roman" w:hAnsi="Times New Roman" w:cs="Times New Roman"/>
      <w:b/>
      <w:bCs/>
      <w:kern w:val="36"/>
      <w:sz w:val="48"/>
      <w:szCs w:val="48"/>
      <w:lang w:eastAsia="el-GR"/>
    </w:rPr>
  </w:style>
  <w:style w:type="character" w:customStyle="1" w:styleId="A00">
    <w:name w:val="A0"/>
    <w:uiPriority w:val="99"/>
    <w:rsid w:val="000E4C3F"/>
    <w:rPr>
      <w:color w:val="000000"/>
      <w:sz w:val="18"/>
      <w:szCs w:val="18"/>
    </w:rPr>
  </w:style>
  <w:style w:type="character" w:customStyle="1" w:styleId="apple-converted-space">
    <w:name w:val="apple-converted-space"/>
    <w:basedOn w:val="a0"/>
    <w:rsid w:val="0039027E"/>
  </w:style>
  <w:style w:type="paragraph" w:customStyle="1" w:styleId="Default">
    <w:name w:val="Default"/>
    <w:rsid w:val="0039027E"/>
    <w:pPr>
      <w:autoSpaceDE w:val="0"/>
      <w:autoSpaceDN w:val="0"/>
      <w:adjustRightInd w:val="0"/>
      <w:spacing w:after="0" w:line="240" w:lineRule="auto"/>
    </w:pPr>
    <w:rPr>
      <w:rFonts w:ascii="Adobe Garamond" w:eastAsia="Times New Roman" w:hAnsi="Adobe Garamond" w:cs="Adobe Garamond"/>
      <w:color w:val="000000"/>
      <w:sz w:val="24"/>
      <w:szCs w:val="24"/>
      <w:lang w:eastAsia="el-GR"/>
    </w:rPr>
  </w:style>
  <w:style w:type="paragraph" w:styleId="a3">
    <w:name w:val="Balloon Text"/>
    <w:basedOn w:val="a"/>
    <w:link w:val="Char"/>
    <w:uiPriority w:val="99"/>
    <w:semiHidden/>
    <w:unhideWhenUsed/>
    <w:rsid w:val="009254D9"/>
    <w:pPr>
      <w:spacing w:after="0" w:line="240" w:lineRule="auto"/>
    </w:pPr>
    <w:rPr>
      <w:rFonts w:ascii="Lucida Grande" w:hAnsi="Lucida Grande" w:cs="Lucida Grande"/>
      <w:sz w:val="18"/>
      <w:szCs w:val="18"/>
    </w:rPr>
  </w:style>
  <w:style w:type="character" w:customStyle="1" w:styleId="Char">
    <w:name w:val="批注框文本 Char"/>
    <w:basedOn w:val="a0"/>
    <w:link w:val="a3"/>
    <w:uiPriority w:val="99"/>
    <w:semiHidden/>
    <w:rsid w:val="009254D9"/>
    <w:rPr>
      <w:rFonts w:ascii="Lucida Grande" w:hAnsi="Lucida Grande" w:cs="Lucida Grande"/>
      <w:sz w:val="18"/>
      <w:szCs w:val="18"/>
    </w:rPr>
  </w:style>
  <w:style w:type="paragraph" w:styleId="a4">
    <w:name w:val="List Paragraph"/>
    <w:basedOn w:val="a"/>
    <w:uiPriority w:val="34"/>
    <w:qFormat/>
    <w:rsid w:val="00507CD1"/>
    <w:pPr>
      <w:spacing w:after="0" w:line="240" w:lineRule="auto"/>
      <w:ind w:left="720"/>
      <w:contextualSpacing/>
    </w:pPr>
    <w:rPr>
      <w:rFonts w:eastAsiaTheme="minorEastAsia"/>
      <w:sz w:val="24"/>
      <w:szCs w:val="24"/>
      <w:lang w:val="en-US"/>
    </w:rPr>
  </w:style>
  <w:style w:type="character" w:styleId="a5">
    <w:name w:val="Hyperlink"/>
    <w:basedOn w:val="a0"/>
    <w:uiPriority w:val="99"/>
    <w:unhideWhenUsed/>
    <w:rsid w:val="005C178E"/>
    <w:rPr>
      <w:color w:val="0000FF" w:themeColor="hyperlink"/>
      <w:u w:val="single"/>
    </w:rPr>
  </w:style>
  <w:style w:type="table" w:styleId="a6">
    <w:name w:val="Table Grid"/>
    <w:basedOn w:val="a1"/>
    <w:uiPriority w:val="59"/>
    <w:rsid w:val="00FC194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981CD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9546">
      <w:bodyDiv w:val="1"/>
      <w:marLeft w:val="0"/>
      <w:marRight w:val="0"/>
      <w:marTop w:val="0"/>
      <w:marBottom w:val="0"/>
      <w:divBdr>
        <w:top w:val="none" w:sz="0" w:space="0" w:color="auto"/>
        <w:left w:val="none" w:sz="0" w:space="0" w:color="auto"/>
        <w:bottom w:val="none" w:sz="0" w:space="0" w:color="auto"/>
        <w:right w:val="none" w:sz="0" w:space="0" w:color="auto"/>
      </w:divBdr>
      <w:divsChild>
        <w:div w:id="115681381">
          <w:marLeft w:val="0"/>
          <w:marRight w:val="0"/>
          <w:marTop w:val="0"/>
          <w:marBottom w:val="0"/>
          <w:divBdr>
            <w:top w:val="none" w:sz="0" w:space="0" w:color="auto"/>
            <w:left w:val="none" w:sz="0" w:space="0" w:color="auto"/>
            <w:bottom w:val="none" w:sz="0" w:space="0" w:color="auto"/>
            <w:right w:val="none" w:sz="0" w:space="0" w:color="auto"/>
          </w:divBdr>
          <w:divsChild>
            <w:div w:id="924344756">
              <w:marLeft w:val="0"/>
              <w:marRight w:val="0"/>
              <w:marTop w:val="0"/>
              <w:marBottom w:val="0"/>
              <w:divBdr>
                <w:top w:val="none" w:sz="0" w:space="0" w:color="auto"/>
                <w:left w:val="none" w:sz="0" w:space="0" w:color="auto"/>
                <w:bottom w:val="none" w:sz="0" w:space="0" w:color="auto"/>
                <w:right w:val="none" w:sz="0" w:space="0" w:color="auto"/>
              </w:divBdr>
            </w:div>
            <w:div w:id="1500000524">
              <w:marLeft w:val="0"/>
              <w:marRight w:val="0"/>
              <w:marTop w:val="0"/>
              <w:marBottom w:val="0"/>
              <w:divBdr>
                <w:top w:val="none" w:sz="0" w:space="0" w:color="auto"/>
                <w:left w:val="none" w:sz="0" w:space="0" w:color="auto"/>
                <w:bottom w:val="none" w:sz="0" w:space="0" w:color="auto"/>
                <w:right w:val="none" w:sz="0" w:space="0" w:color="auto"/>
              </w:divBdr>
            </w:div>
            <w:div w:id="631013032">
              <w:marLeft w:val="0"/>
              <w:marRight w:val="0"/>
              <w:marTop w:val="0"/>
              <w:marBottom w:val="0"/>
              <w:divBdr>
                <w:top w:val="none" w:sz="0" w:space="0" w:color="auto"/>
                <w:left w:val="none" w:sz="0" w:space="0" w:color="auto"/>
                <w:bottom w:val="none" w:sz="0" w:space="0" w:color="auto"/>
                <w:right w:val="none" w:sz="0" w:space="0" w:color="auto"/>
              </w:divBdr>
            </w:div>
            <w:div w:id="623779081">
              <w:marLeft w:val="0"/>
              <w:marRight w:val="0"/>
              <w:marTop w:val="0"/>
              <w:marBottom w:val="0"/>
              <w:divBdr>
                <w:top w:val="none" w:sz="0" w:space="0" w:color="auto"/>
                <w:left w:val="none" w:sz="0" w:space="0" w:color="auto"/>
                <w:bottom w:val="none" w:sz="0" w:space="0" w:color="auto"/>
                <w:right w:val="none" w:sz="0" w:space="0" w:color="auto"/>
              </w:divBdr>
            </w:div>
            <w:div w:id="1819954434">
              <w:marLeft w:val="0"/>
              <w:marRight w:val="0"/>
              <w:marTop w:val="0"/>
              <w:marBottom w:val="0"/>
              <w:divBdr>
                <w:top w:val="none" w:sz="0" w:space="0" w:color="auto"/>
                <w:left w:val="none" w:sz="0" w:space="0" w:color="auto"/>
                <w:bottom w:val="none" w:sz="0" w:space="0" w:color="auto"/>
                <w:right w:val="none" w:sz="0" w:space="0" w:color="auto"/>
              </w:divBdr>
            </w:div>
            <w:div w:id="1576278178">
              <w:marLeft w:val="0"/>
              <w:marRight w:val="0"/>
              <w:marTop w:val="0"/>
              <w:marBottom w:val="0"/>
              <w:divBdr>
                <w:top w:val="none" w:sz="0" w:space="0" w:color="auto"/>
                <w:left w:val="none" w:sz="0" w:space="0" w:color="auto"/>
                <w:bottom w:val="none" w:sz="0" w:space="0" w:color="auto"/>
                <w:right w:val="none" w:sz="0" w:space="0" w:color="auto"/>
              </w:divBdr>
            </w:div>
            <w:div w:id="42296872">
              <w:marLeft w:val="0"/>
              <w:marRight w:val="0"/>
              <w:marTop w:val="0"/>
              <w:marBottom w:val="0"/>
              <w:divBdr>
                <w:top w:val="none" w:sz="0" w:space="0" w:color="auto"/>
                <w:left w:val="none" w:sz="0" w:space="0" w:color="auto"/>
                <w:bottom w:val="none" w:sz="0" w:space="0" w:color="auto"/>
                <w:right w:val="none" w:sz="0" w:space="0" w:color="auto"/>
              </w:divBdr>
            </w:div>
            <w:div w:id="732043158">
              <w:marLeft w:val="0"/>
              <w:marRight w:val="0"/>
              <w:marTop w:val="0"/>
              <w:marBottom w:val="0"/>
              <w:divBdr>
                <w:top w:val="none" w:sz="0" w:space="0" w:color="auto"/>
                <w:left w:val="none" w:sz="0" w:space="0" w:color="auto"/>
                <w:bottom w:val="none" w:sz="0" w:space="0" w:color="auto"/>
                <w:right w:val="none" w:sz="0" w:space="0" w:color="auto"/>
              </w:divBdr>
            </w:div>
            <w:div w:id="1775515474">
              <w:marLeft w:val="0"/>
              <w:marRight w:val="0"/>
              <w:marTop w:val="0"/>
              <w:marBottom w:val="0"/>
              <w:divBdr>
                <w:top w:val="none" w:sz="0" w:space="0" w:color="auto"/>
                <w:left w:val="none" w:sz="0" w:space="0" w:color="auto"/>
                <w:bottom w:val="none" w:sz="0" w:space="0" w:color="auto"/>
                <w:right w:val="none" w:sz="0" w:space="0" w:color="auto"/>
              </w:divBdr>
            </w:div>
            <w:div w:id="1744835976">
              <w:marLeft w:val="0"/>
              <w:marRight w:val="0"/>
              <w:marTop w:val="0"/>
              <w:marBottom w:val="0"/>
              <w:divBdr>
                <w:top w:val="none" w:sz="0" w:space="0" w:color="auto"/>
                <w:left w:val="none" w:sz="0" w:space="0" w:color="auto"/>
                <w:bottom w:val="none" w:sz="0" w:space="0" w:color="auto"/>
                <w:right w:val="none" w:sz="0" w:space="0" w:color="auto"/>
              </w:divBdr>
            </w:div>
            <w:div w:id="83960509">
              <w:marLeft w:val="0"/>
              <w:marRight w:val="0"/>
              <w:marTop w:val="0"/>
              <w:marBottom w:val="0"/>
              <w:divBdr>
                <w:top w:val="none" w:sz="0" w:space="0" w:color="auto"/>
                <w:left w:val="none" w:sz="0" w:space="0" w:color="auto"/>
                <w:bottom w:val="none" w:sz="0" w:space="0" w:color="auto"/>
                <w:right w:val="none" w:sz="0" w:space="0" w:color="auto"/>
              </w:divBdr>
            </w:div>
            <w:div w:id="1192842084">
              <w:marLeft w:val="0"/>
              <w:marRight w:val="0"/>
              <w:marTop w:val="0"/>
              <w:marBottom w:val="0"/>
              <w:divBdr>
                <w:top w:val="none" w:sz="0" w:space="0" w:color="auto"/>
                <w:left w:val="none" w:sz="0" w:space="0" w:color="auto"/>
                <w:bottom w:val="none" w:sz="0" w:space="0" w:color="auto"/>
                <w:right w:val="none" w:sz="0" w:space="0" w:color="auto"/>
              </w:divBdr>
            </w:div>
            <w:div w:id="1457025546">
              <w:marLeft w:val="0"/>
              <w:marRight w:val="0"/>
              <w:marTop w:val="0"/>
              <w:marBottom w:val="0"/>
              <w:divBdr>
                <w:top w:val="none" w:sz="0" w:space="0" w:color="auto"/>
                <w:left w:val="none" w:sz="0" w:space="0" w:color="auto"/>
                <w:bottom w:val="none" w:sz="0" w:space="0" w:color="auto"/>
                <w:right w:val="none" w:sz="0" w:space="0" w:color="auto"/>
              </w:divBdr>
            </w:div>
            <w:div w:id="44066055">
              <w:marLeft w:val="0"/>
              <w:marRight w:val="0"/>
              <w:marTop w:val="0"/>
              <w:marBottom w:val="0"/>
              <w:divBdr>
                <w:top w:val="none" w:sz="0" w:space="0" w:color="auto"/>
                <w:left w:val="none" w:sz="0" w:space="0" w:color="auto"/>
                <w:bottom w:val="none" w:sz="0" w:space="0" w:color="auto"/>
                <w:right w:val="none" w:sz="0" w:space="0" w:color="auto"/>
              </w:divBdr>
            </w:div>
            <w:div w:id="1392539552">
              <w:marLeft w:val="0"/>
              <w:marRight w:val="0"/>
              <w:marTop w:val="0"/>
              <w:marBottom w:val="0"/>
              <w:divBdr>
                <w:top w:val="none" w:sz="0" w:space="0" w:color="auto"/>
                <w:left w:val="none" w:sz="0" w:space="0" w:color="auto"/>
                <w:bottom w:val="none" w:sz="0" w:space="0" w:color="auto"/>
                <w:right w:val="none" w:sz="0" w:space="0" w:color="auto"/>
              </w:divBdr>
            </w:div>
            <w:div w:id="1533419881">
              <w:marLeft w:val="0"/>
              <w:marRight w:val="0"/>
              <w:marTop w:val="0"/>
              <w:marBottom w:val="0"/>
              <w:divBdr>
                <w:top w:val="none" w:sz="0" w:space="0" w:color="auto"/>
                <w:left w:val="none" w:sz="0" w:space="0" w:color="auto"/>
                <w:bottom w:val="none" w:sz="0" w:space="0" w:color="auto"/>
                <w:right w:val="none" w:sz="0" w:space="0" w:color="auto"/>
              </w:divBdr>
            </w:div>
            <w:div w:id="1409501366">
              <w:marLeft w:val="0"/>
              <w:marRight w:val="0"/>
              <w:marTop w:val="0"/>
              <w:marBottom w:val="0"/>
              <w:divBdr>
                <w:top w:val="none" w:sz="0" w:space="0" w:color="auto"/>
                <w:left w:val="none" w:sz="0" w:space="0" w:color="auto"/>
                <w:bottom w:val="none" w:sz="0" w:space="0" w:color="auto"/>
                <w:right w:val="none" w:sz="0" w:space="0" w:color="auto"/>
              </w:divBdr>
            </w:div>
            <w:div w:id="2078896213">
              <w:marLeft w:val="0"/>
              <w:marRight w:val="0"/>
              <w:marTop w:val="0"/>
              <w:marBottom w:val="0"/>
              <w:divBdr>
                <w:top w:val="none" w:sz="0" w:space="0" w:color="auto"/>
                <w:left w:val="none" w:sz="0" w:space="0" w:color="auto"/>
                <w:bottom w:val="none" w:sz="0" w:space="0" w:color="auto"/>
                <w:right w:val="none" w:sz="0" w:space="0" w:color="auto"/>
              </w:divBdr>
            </w:div>
            <w:div w:id="186337866">
              <w:marLeft w:val="0"/>
              <w:marRight w:val="0"/>
              <w:marTop w:val="0"/>
              <w:marBottom w:val="0"/>
              <w:divBdr>
                <w:top w:val="none" w:sz="0" w:space="0" w:color="auto"/>
                <w:left w:val="none" w:sz="0" w:space="0" w:color="auto"/>
                <w:bottom w:val="none" w:sz="0" w:space="0" w:color="auto"/>
                <w:right w:val="none" w:sz="0" w:space="0" w:color="auto"/>
              </w:divBdr>
            </w:div>
            <w:div w:id="649746276">
              <w:marLeft w:val="0"/>
              <w:marRight w:val="0"/>
              <w:marTop w:val="0"/>
              <w:marBottom w:val="0"/>
              <w:divBdr>
                <w:top w:val="none" w:sz="0" w:space="0" w:color="auto"/>
                <w:left w:val="none" w:sz="0" w:space="0" w:color="auto"/>
                <w:bottom w:val="none" w:sz="0" w:space="0" w:color="auto"/>
                <w:right w:val="none" w:sz="0" w:space="0" w:color="auto"/>
              </w:divBdr>
            </w:div>
            <w:div w:id="883785700">
              <w:marLeft w:val="0"/>
              <w:marRight w:val="0"/>
              <w:marTop w:val="0"/>
              <w:marBottom w:val="0"/>
              <w:divBdr>
                <w:top w:val="none" w:sz="0" w:space="0" w:color="auto"/>
                <w:left w:val="none" w:sz="0" w:space="0" w:color="auto"/>
                <w:bottom w:val="none" w:sz="0" w:space="0" w:color="auto"/>
                <w:right w:val="none" w:sz="0" w:space="0" w:color="auto"/>
              </w:divBdr>
            </w:div>
            <w:div w:id="2051110135">
              <w:marLeft w:val="0"/>
              <w:marRight w:val="0"/>
              <w:marTop w:val="0"/>
              <w:marBottom w:val="0"/>
              <w:divBdr>
                <w:top w:val="none" w:sz="0" w:space="0" w:color="auto"/>
                <w:left w:val="none" w:sz="0" w:space="0" w:color="auto"/>
                <w:bottom w:val="none" w:sz="0" w:space="0" w:color="auto"/>
                <w:right w:val="none" w:sz="0" w:space="0" w:color="auto"/>
              </w:divBdr>
            </w:div>
            <w:div w:id="1389261637">
              <w:marLeft w:val="0"/>
              <w:marRight w:val="0"/>
              <w:marTop w:val="0"/>
              <w:marBottom w:val="0"/>
              <w:divBdr>
                <w:top w:val="none" w:sz="0" w:space="0" w:color="auto"/>
                <w:left w:val="none" w:sz="0" w:space="0" w:color="auto"/>
                <w:bottom w:val="none" w:sz="0" w:space="0" w:color="auto"/>
                <w:right w:val="none" w:sz="0" w:space="0" w:color="auto"/>
              </w:divBdr>
            </w:div>
            <w:div w:id="1246916044">
              <w:marLeft w:val="0"/>
              <w:marRight w:val="0"/>
              <w:marTop w:val="0"/>
              <w:marBottom w:val="0"/>
              <w:divBdr>
                <w:top w:val="none" w:sz="0" w:space="0" w:color="auto"/>
                <w:left w:val="none" w:sz="0" w:space="0" w:color="auto"/>
                <w:bottom w:val="none" w:sz="0" w:space="0" w:color="auto"/>
                <w:right w:val="none" w:sz="0" w:space="0" w:color="auto"/>
              </w:divBdr>
            </w:div>
            <w:div w:id="1628660440">
              <w:marLeft w:val="0"/>
              <w:marRight w:val="0"/>
              <w:marTop w:val="0"/>
              <w:marBottom w:val="0"/>
              <w:divBdr>
                <w:top w:val="none" w:sz="0" w:space="0" w:color="auto"/>
                <w:left w:val="none" w:sz="0" w:space="0" w:color="auto"/>
                <w:bottom w:val="none" w:sz="0" w:space="0" w:color="auto"/>
                <w:right w:val="none" w:sz="0" w:space="0" w:color="auto"/>
              </w:divBdr>
            </w:div>
            <w:div w:id="414672031">
              <w:marLeft w:val="0"/>
              <w:marRight w:val="0"/>
              <w:marTop w:val="0"/>
              <w:marBottom w:val="0"/>
              <w:divBdr>
                <w:top w:val="none" w:sz="0" w:space="0" w:color="auto"/>
                <w:left w:val="none" w:sz="0" w:space="0" w:color="auto"/>
                <w:bottom w:val="none" w:sz="0" w:space="0" w:color="auto"/>
                <w:right w:val="none" w:sz="0" w:space="0" w:color="auto"/>
              </w:divBdr>
            </w:div>
            <w:div w:id="1117914113">
              <w:marLeft w:val="0"/>
              <w:marRight w:val="0"/>
              <w:marTop w:val="0"/>
              <w:marBottom w:val="0"/>
              <w:divBdr>
                <w:top w:val="none" w:sz="0" w:space="0" w:color="auto"/>
                <w:left w:val="none" w:sz="0" w:space="0" w:color="auto"/>
                <w:bottom w:val="none" w:sz="0" w:space="0" w:color="auto"/>
                <w:right w:val="none" w:sz="0" w:space="0" w:color="auto"/>
              </w:divBdr>
            </w:div>
            <w:div w:id="625505221">
              <w:marLeft w:val="0"/>
              <w:marRight w:val="0"/>
              <w:marTop w:val="0"/>
              <w:marBottom w:val="0"/>
              <w:divBdr>
                <w:top w:val="none" w:sz="0" w:space="0" w:color="auto"/>
                <w:left w:val="none" w:sz="0" w:space="0" w:color="auto"/>
                <w:bottom w:val="none" w:sz="0" w:space="0" w:color="auto"/>
                <w:right w:val="none" w:sz="0" w:space="0" w:color="auto"/>
              </w:divBdr>
            </w:div>
            <w:div w:id="85462170">
              <w:marLeft w:val="0"/>
              <w:marRight w:val="0"/>
              <w:marTop w:val="0"/>
              <w:marBottom w:val="0"/>
              <w:divBdr>
                <w:top w:val="none" w:sz="0" w:space="0" w:color="auto"/>
                <w:left w:val="none" w:sz="0" w:space="0" w:color="auto"/>
                <w:bottom w:val="none" w:sz="0" w:space="0" w:color="auto"/>
                <w:right w:val="none" w:sz="0" w:space="0" w:color="auto"/>
              </w:divBdr>
            </w:div>
            <w:div w:id="39595285">
              <w:marLeft w:val="0"/>
              <w:marRight w:val="0"/>
              <w:marTop w:val="0"/>
              <w:marBottom w:val="0"/>
              <w:divBdr>
                <w:top w:val="none" w:sz="0" w:space="0" w:color="auto"/>
                <w:left w:val="none" w:sz="0" w:space="0" w:color="auto"/>
                <w:bottom w:val="none" w:sz="0" w:space="0" w:color="auto"/>
                <w:right w:val="none" w:sz="0" w:space="0" w:color="auto"/>
              </w:divBdr>
            </w:div>
            <w:div w:id="273946391">
              <w:marLeft w:val="0"/>
              <w:marRight w:val="0"/>
              <w:marTop w:val="0"/>
              <w:marBottom w:val="0"/>
              <w:divBdr>
                <w:top w:val="none" w:sz="0" w:space="0" w:color="auto"/>
                <w:left w:val="none" w:sz="0" w:space="0" w:color="auto"/>
                <w:bottom w:val="none" w:sz="0" w:space="0" w:color="auto"/>
                <w:right w:val="none" w:sz="0" w:space="0" w:color="auto"/>
              </w:divBdr>
            </w:div>
            <w:div w:id="1843082722">
              <w:marLeft w:val="0"/>
              <w:marRight w:val="0"/>
              <w:marTop w:val="0"/>
              <w:marBottom w:val="0"/>
              <w:divBdr>
                <w:top w:val="none" w:sz="0" w:space="0" w:color="auto"/>
                <w:left w:val="none" w:sz="0" w:space="0" w:color="auto"/>
                <w:bottom w:val="none" w:sz="0" w:space="0" w:color="auto"/>
                <w:right w:val="none" w:sz="0" w:space="0" w:color="auto"/>
              </w:divBdr>
            </w:div>
            <w:div w:id="929001427">
              <w:marLeft w:val="0"/>
              <w:marRight w:val="0"/>
              <w:marTop w:val="0"/>
              <w:marBottom w:val="0"/>
              <w:divBdr>
                <w:top w:val="none" w:sz="0" w:space="0" w:color="auto"/>
                <w:left w:val="none" w:sz="0" w:space="0" w:color="auto"/>
                <w:bottom w:val="none" w:sz="0" w:space="0" w:color="auto"/>
                <w:right w:val="none" w:sz="0" w:space="0" w:color="auto"/>
              </w:divBdr>
            </w:div>
            <w:div w:id="345058076">
              <w:marLeft w:val="0"/>
              <w:marRight w:val="0"/>
              <w:marTop w:val="0"/>
              <w:marBottom w:val="0"/>
              <w:divBdr>
                <w:top w:val="none" w:sz="0" w:space="0" w:color="auto"/>
                <w:left w:val="none" w:sz="0" w:space="0" w:color="auto"/>
                <w:bottom w:val="none" w:sz="0" w:space="0" w:color="auto"/>
                <w:right w:val="none" w:sz="0" w:space="0" w:color="auto"/>
              </w:divBdr>
            </w:div>
            <w:div w:id="1913805543">
              <w:marLeft w:val="0"/>
              <w:marRight w:val="0"/>
              <w:marTop w:val="0"/>
              <w:marBottom w:val="0"/>
              <w:divBdr>
                <w:top w:val="none" w:sz="0" w:space="0" w:color="auto"/>
                <w:left w:val="none" w:sz="0" w:space="0" w:color="auto"/>
                <w:bottom w:val="none" w:sz="0" w:space="0" w:color="auto"/>
                <w:right w:val="none" w:sz="0" w:space="0" w:color="auto"/>
              </w:divBdr>
            </w:div>
            <w:div w:id="1848713538">
              <w:marLeft w:val="0"/>
              <w:marRight w:val="0"/>
              <w:marTop w:val="0"/>
              <w:marBottom w:val="0"/>
              <w:divBdr>
                <w:top w:val="none" w:sz="0" w:space="0" w:color="auto"/>
                <w:left w:val="none" w:sz="0" w:space="0" w:color="auto"/>
                <w:bottom w:val="none" w:sz="0" w:space="0" w:color="auto"/>
                <w:right w:val="none" w:sz="0" w:space="0" w:color="auto"/>
              </w:divBdr>
            </w:div>
            <w:div w:id="1842038370">
              <w:marLeft w:val="0"/>
              <w:marRight w:val="0"/>
              <w:marTop w:val="0"/>
              <w:marBottom w:val="0"/>
              <w:divBdr>
                <w:top w:val="none" w:sz="0" w:space="0" w:color="auto"/>
                <w:left w:val="none" w:sz="0" w:space="0" w:color="auto"/>
                <w:bottom w:val="none" w:sz="0" w:space="0" w:color="auto"/>
                <w:right w:val="none" w:sz="0" w:space="0" w:color="auto"/>
              </w:divBdr>
            </w:div>
            <w:div w:id="727650702">
              <w:marLeft w:val="0"/>
              <w:marRight w:val="0"/>
              <w:marTop w:val="0"/>
              <w:marBottom w:val="0"/>
              <w:divBdr>
                <w:top w:val="none" w:sz="0" w:space="0" w:color="auto"/>
                <w:left w:val="none" w:sz="0" w:space="0" w:color="auto"/>
                <w:bottom w:val="none" w:sz="0" w:space="0" w:color="auto"/>
                <w:right w:val="none" w:sz="0" w:space="0" w:color="auto"/>
              </w:divBdr>
            </w:div>
            <w:div w:id="122358043">
              <w:marLeft w:val="0"/>
              <w:marRight w:val="0"/>
              <w:marTop w:val="0"/>
              <w:marBottom w:val="0"/>
              <w:divBdr>
                <w:top w:val="none" w:sz="0" w:space="0" w:color="auto"/>
                <w:left w:val="none" w:sz="0" w:space="0" w:color="auto"/>
                <w:bottom w:val="none" w:sz="0" w:space="0" w:color="auto"/>
                <w:right w:val="none" w:sz="0" w:space="0" w:color="auto"/>
              </w:divBdr>
            </w:div>
            <w:div w:id="1415589246">
              <w:marLeft w:val="0"/>
              <w:marRight w:val="0"/>
              <w:marTop w:val="0"/>
              <w:marBottom w:val="0"/>
              <w:divBdr>
                <w:top w:val="none" w:sz="0" w:space="0" w:color="auto"/>
                <w:left w:val="none" w:sz="0" w:space="0" w:color="auto"/>
                <w:bottom w:val="none" w:sz="0" w:space="0" w:color="auto"/>
                <w:right w:val="none" w:sz="0" w:space="0" w:color="auto"/>
              </w:divBdr>
            </w:div>
            <w:div w:id="1334721477">
              <w:marLeft w:val="0"/>
              <w:marRight w:val="0"/>
              <w:marTop w:val="0"/>
              <w:marBottom w:val="0"/>
              <w:divBdr>
                <w:top w:val="none" w:sz="0" w:space="0" w:color="auto"/>
                <w:left w:val="none" w:sz="0" w:space="0" w:color="auto"/>
                <w:bottom w:val="none" w:sz="0" w:space="0" w:color="auto"/>
                <w:right w:val="none" w:sz="0" w:space="0" w:color="auto"/>
              </w:divBdr>
            </w:div>
            <w:div w:id="499929186">
              <w:marLeft w:val="0"/>
              <w:marRight w:val="0"/>
              <w:marTop w:val="0"/>
              <w:marBottom w:val="0"/>
              <w:divBdr>
                <w:top w:val="none" w:sz="0" w:space="0" w:color="auto"/>
                <w:left w:val="none" w:sz="0" w:space="0" w:color="auto"/>
                <w:bottom w:val="none" w:sz="0" w:space="0" w:color="auto"/>
                <w:right w:val="none" w:sz="0" w:space="0" w:color="auto"/>
              </w:divBdr>
            </w:div>
            <w:div w:id="1565917500">
              <w:marLeft w:val="0"/>
              <w:marRight w:val="0"/>
              <w:marTop w:val="0"/>
              <w:marBottom w:val="0"/>
              <w:divBdr>
                <w:top w:val="none" w:sz="0" w:space="0" w:color="auto"/>
                <w:left w:val="none" w:sz="0" w:space="0" w:color="auto"/>
                <w:bottom w:val="none" w:sz="0" w:space="0" w:color="auto"/>
                <w:right w:val="none" w:sz="0" w:space="0" w:color="auto"/>
              </w:divBdr>
            </w:div>
            <w:div w:id="1975328957">
              <w:marLeft w:val="0"/>
              <w:marRight w:val="0"/>
              <w:marTop w:val="0"/>
              <w:marBottom w:val="0"/>
              <w:divBdr>
                <w:top w:val="none" w:sz="0" w:space="0" w:color="auto"/>
                <w:left w:val="none" w:sz="0" w:space="0" w:color="auto"/>
                <w:bottom w:val="none" w:sz="0" w:space="0" w:color="auto"/>
                <w:right w:val="none" w:sz="0" w:space="0" w:color="auto"/>
              </w:divBdr>
            </w:div>
            <w:div w:id="352267770">
              <w:marLeft w:val="0"/>
              <w:marRight w:val="0"/>
              <w:marTop w:val="0"/>
              <w:marBottom w:val="0"/>
              <w:divBdr>
                <w:top w:val="none" w:sz="0" w:space="0" w:color="auto"/>
                <w:left w:val="none" w:sz="0" w:space="0" w:color="auto"/>
                <w:bottom w:val="none" w:sz="0" w:space="0" w:color="auto"/>
                <w:right w:val="none" w:sz="0" w:space="0" w:color="auto"/>
              </w:divBdr>
            </w:div>
            <w:div w:id="1496216385">
              <w:marLeft w:val="0"/>
              <w:marRight w:val="0"/>
              <w:marTop w:val="0"/>
              <w:marBottom w:val="0"/>
              <w:divBdr>
                <w:top w:val="none" w:sz="0" w:space="0" w:color="auto"/>
                <w:left w:val="none" w:sz="0" w:space="0" w:color="auto"/>
                <w:bottom w:val="none" w:sz="0" w:space="0" w:color="auto"/>
                <w:right w:val="none" w:sz="0" w:space="0" w:color="auto"/>
              </w:divBdr>
            </w:div>
            <w:div w:id="546529841">
              <w:marLeft w:val="0"/>
              <w:marRight w:val="0"/>
              <w:marTop w:val="0"/>
              <w:marBottom w:val="0"/>
              <w:divBdr>
                <w:top w:val="none" w:sz="0" w:space="0" w:color="auto"/>
                <w:left w:val="none" w:sz="0" w:space="0" w:color="auto"/>
                <w:bottom w:val="none" w:sz="0" w:space="0" w:color="auto"/>
                <w:right w:val="none" w:sz="0" w:space="0" w:color="auto"/>
              </w:divBdr>
            </w:div>
            <w:div w:id="555554441">
              <w:marLeft w:val="0"/>
              <w:marRight w:val="0"/>
              <w:marTop w:val="0"/>
              <w:marBottom w:val="0"/>
              <w:divBdr>
                <w:top w:val="none" w:sz="0" w:space="0" w:color="auto"/>
                <w:left w:val="none" w:sz="0" w:space="0" w:color="auto"/>
                <w:bottom w:val="none" w:sz="0" w:space="0" w:color="auto"/>
                <w:right w:val="none" w:sz="0" w:space="0" w:color="auto"/>
              </w:divBdr>
            </w:div>
            <w:div w:id="417290238">
              <w:marLeft w:val="0"/>
              <w:marRight w:val="0"/>
              <w:marTop w:val="0"/>
              <w:marBottom w:val="0"/>
              <w:divBdr>
                <w:top w:val="none" w:sz="0" w:space="0" w:color="auto"/>
                <w:left w:val="none" w:sz="0" w:space="0" w:color="auto"/>
                <w:bottom w:val="none" w:sz="0" w:space="0" w:color="auto"/>
                <w:right w:val="none" w:sz="0" w:space="0" w:color="auto"/>
              </w:divBdr>
            </w:div>
            <w:div w:id="1322470415">
              <w:marLeft w:val="0"/>
              <w:marRight w:val="0"/>
              <w:marTop w:val="0"/>
              <w:marBottom w:val="0"/>
              <w:divBdr>
                <w:top w:val="none" w:sz="0" w:space="0" w:color="auto"/>
                <w:left w:val="none" w:sz="0" w:space="0" w:color="auto"/>
                <w:bottom w:val="none" w:sz="0" w:space="0" w:color="auto"/>
                <w:right w:val="none" w:sz="0" w:space="0" w:color="auto"/>
              </w:divBdr>
            </w:div>
            <w:div w:id="5787025">
              <w:marLeft w:val="0"/>
              <w:marRight w:val="0"/>
              <w:marTop w:val="0"/>
              <w:marBottom w:val="0"/>
              <w:divBdr>
                <w:top w:val="none" w:sz="0" w:space="0" w:color="auto"/>
                <w:left w:val="none" w:sz="0" w:space="0" w:color="auto"/>
                <w:bottom w:val="none" w:sz="0" w:space="0" w:color="auto"/>
                <w:right w:val="none" w:sz="0" w:space="0" w:color="auto"/>
              </w:divBdr>
            </w:div>
            <w:div w:id="1233933396">
              <w:marLeft w:val="0"/>
              <w:marRight w:val="0"/>
              <w:marTop w:val="0"/>
              <w:marBottom w:val="0"/>
              <w:divBdr>
                <w:top w:val="none" w:sz="0" w:space="0" w:color="auto"/>
                <w:left w:val="none" w:sz="0" w:space="0" w:color="auto"/>
                <w:bottom w:val="none" w:sz="0" w:space="0" w:color="auto"/>
                <w:right w:val="none" w:sz="0" w:space="0" w:color="auto"/>
              </w:divBdr>
            </w:div>
            <w:div w:id="1143547355">
              <w:marLeft w:val="0"/>
              <w:marRight w:val="0"/>
              <w:marTop w:val="0"/>
              <w:marBottom w:val="0"/>
              <w:divBdr>
                <w:top w:val="none" w:sz="0" w:space="0" w:color="auto"/>
                <w:left w:val="none" w:sz="0" w:space="0" w:color="auto"/>
                <w:bottom w:val="none" w:sz="0" w:space="0" w:color="auto"/>
                <w:right w:val="none" w:sz="0" w:space="0" w:color="auto"/>
              </w:divBdr>
            </w:div>
            <w:div w:id="1199704610">
              <w:marLeft w:val="0"/>
              <w:marRight w:val="0"/>
              <w:marTop w:val="0"/>
              <w:marBottom w:val="0"/>
              <w:divBdr>
                <w:top w:val="none" w:sz="0" w:space="0" w:color="auto"/>
                <w:left w:val="none" w:sz="0" w:space="0" w:color="auto"/>
                <w:bottom w:val="none" w:sz="0" w:space="0" w:color="auto"/>
                <w:right w:val="none" w:sz="0" w:space="0" w:color="auto"/>
              </w:divBdr>
            </w:div>
            <w:div w:id="1163281669">
              <w:marLeft w:val="0"/>
              <w:marRight w:val="0"/>
              <w:marTop w:val="0"/>
              <w:marBottom w:val="0"/>
              <w:divBdr>
                <w:top w:val="none" w:sz="0" w:space="0" w:color="auto"/>
                <w:left w:val="none" w:sz="0" w:space="0" w:color="auto"/>
                <w:bottom w:val="none" w:sz="0" w:space="0" w:color="auto"/>
                <w:right w:val="none" w:sz="0" w:space="0" w:color="auto"/>
              </w:divBdr>
            </w:div>
            <w:div w:id="1867208249">
              <w:marLeft w:val="0"/>
              <w:marRight w:val="0"/>
              <w:marTop w:val="0"/>
              <w:marBottom w:val="0"/>
              <w:divBdr>
                <w:top w:val="none" w:sz="0" w:space="0" w:color="auto"/>
                <w:left w:val="none" w:sz="0" w:space="0" w:color="auto"/>
                <w:bottom w:val="none" w:sz="0" w:space="0" w:color="auto"/>
                <w:right w:val="none" w:sz="0" w:space="0" w:color="auto"/>
              </w:divBdr>
            </w:div>
            <w:div w:id="2065326923">
              <w:marLeft w:val="0"/>
              <w:marRight w:val="0"/>
              <w:marTop w:val="0"/>
              <w:marBottom w:val="0"/>
              <w:divBdr>
                <w:top w:val="none" w:sz="0" w:space="0" w:color="auto"/>
                <w:left w:val="none" w:sz="0" w:space="0" w:color="auto"/>
                <w:bottom w:val="none" w:sz="0" w:space="0" w:color="auto"/>
                <w:right w:val="none" w:sz="0" w:space="0" w:color="auto"/>
              </w:divBdr>
            </w:div>
            <w:div w:id="1320379241">
              <w:marLeft w:val="0"/>
              <w:marRight w:val="0"/>
              <w:marTop w:val="0"/>
              <w:marBottom w:val="0"/>
              <w:divBdr>
                <w:top w:val="none" w:sz="0" w:space="0" w:color="auto"/>
                <w:left w:val="none" w:sz="0" w:space="0" w:color="auto"/>
                <w:bottom w:val="none" w:sz="0" w:space="0" w:color="auto"/>
                <w:right w:val="none" w:sz="0" w:space="0" w:color="auto"/>
              </w:divBdr>
            </w:div>
            <w:div w:id="1492334749">
              <w:marLeft w:val="0"/>
              <w:marRight w:val="0"/>
              <w:marTop w:val="0"/>
              <w:marBottom w:val="0"/>
              <w:divBdr>
                <w:top w:val="none" w:sz="0" w:space="0" w:color="auto"/>
                <w:left w:val="none" w:sz="0" w:space="0" w:color="auto"/>
                <w:bottom w:val="none" w:sz="0" w:space="0" w:color="auto"/>
                <w:right w:val="none" w:sz="0" w:space="0" w:color="auto"/>
              </w:divBdr>
            </w:div>
            <w:div w:id="2067798787">
              <w:marLeft w:val="0"/>
              <w:marRight w:val="0"/>
              <w:marTop w:val="0"/>
              <w:marBottom w:val="0"/>
              <w:divBdr>
                <w:top w:val="none" w:sz="0" w:space="0" w:color="auto"/>
                <w:left w:val="none" w:sz="0" w:space="0" w:color="auto"/>
                <w:bottom w:val="none" w:sz="0" w:space="0" w:color="auto"/>
                <w:right w:val="none" w:sz="0" w:space="0" w:color="auto"/>
              </w:divBdr>
            </w:div>
            <w:div w:id="1671835483">
              <w:marLeft w:val="0"/>
              <w:marRight w:val="0"/>
              <w:marTop w:val="0"/>
              <w:marBottom w:val="0"/>
              <w:divBdr>
                <w:top w:val="none" w:sz="0" w:space="0" w:color="auto"/>
                <w:left w:val="none" w:sz="0" w:space="0" w:color="auto"/>
                <w:bottom w:val="none" w:sz="0" w:space="0" w:color="auto"/>
                <w:right w:val="none" w:sz="0" w:space="0" w:color="auto"/>
              </w:divBdr>
            </w:div>
            <w:div w:id="1109932703">
              <w:marLeft w:val="0"/>
              <w:marRight w:val="0"/>
              <w:marTop w:val="0"/>
              <w:marBottom w:val="0"/>
              <w:divBdr>
                <w:top w:val="none" w:sz="0" w:space="0" w:color="auto"/>
                <w:left w:val="none" w:sz="0" w:space="0" w:color="auto"/>
                <w:bottom w:val="none" w:sz="0" w:space="0" w:color="auto"/>
                <w:right w:val="none" w:sz="0" w:space="0" w:color="auto"/>
              </w:divBdr>
            </w:div>
            <w:div w:id="21394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73663">
      <w:bodyDiv w:val="1"/>
      <w:marLeft w:val="0"/>
      <w:marRight w:val="0"/>
      <w:marTop w:val="0"/>
      <w:marBottom w:val="0"/>
      <w:divBdr>
        <w:top w:val="none" w:sz="0" w:space="0" w:color="auto"/>
        <w:left w:val="none" w:sz="0" w:space="0" w:color="auto"/>
        <w:bottom w:val="none" w:sz="0" w:space="0" w:color="auto"/>
        <w:right w:val="none" w:sz="0" w:space="0" w:color="auto"/>
      </w:divBdr>
      <w:divsChild>
        <w:div w:id="19210542">
          <w:marLeft w:val="0"/>
          <w:marRight w:val="0"/>
          <w:marTop w:val="0"/>
          <w:marBottom w:val="0"/>
          <w:divBdr>
            <w:top w:val="none" w:sz="0" w:space="0" w:color="auto"/>
            <w:left w:val="none" w:sz="0" w:space="0" w:color="auto"/>
            <w:bottom w:val="none" w:sz="0" w:space="0" w:color="auto"/>
            <w:right w:val="none" w:sz="0" w:space="0" w:color="auto"/>
          </w:divBdr>
          <w:divsChild>
            <w:div w:id="564070916">
              <w:marLeft w:val="0"/>
              <w:marRight w:val="0"/>
              <w:marTop w:val="0"/>
              <w:marBottom w:val="0"/>
              <w:divBdr>
                <w:top w:val="none" w:sz="0" w:space="0" w:color="auto"/>
                <w:left w:val="none" w:sz="0" w:space="0" w:color="auto"/>
                <w:bottom w:val="none" w:sz="0" w:space="0" w:color="auto"/>
                <w:right w:val="none" w:sz="0" w:space="0" w:color="auto"/>
              </w:divBdr>
            </w:div>
            <w:div w:id="948588246">
              <w:marLeft w:val="0"/>
              <w:marRight w:val="0"/>
              <w:marTop w:val="0"/>
              <w:marBottom w:val="0"/>
              <w:divBdr>
                <w:top w:val="none" w:sz="0" w:space="0" w:color="auto"/>
                <w:left w:val="none" w:sz="0" w:space="0" w:color="auto"/>
                <w:bottom w:val="none" w:sz="0" w:space="0" w:color="auto"/>
                <w:right w:val="none" w:sz="0" w:space="0" w:color="auto"/>
              </w:divBdr>
            </w:div>
            <w:div w:id="316496057">
              <w:marLeft w:val="0"/>
              <w:marRight w:val="0"/>
              <w:marTop w:val="0"/>
              <w:marBottom w:val="0"/>
              <w:divBdr>
                <w:top w:val="none" w:sz="0" w:space="0" w:color="auto"/>
                <w:left w:val="none" w:sz="0" w:space="0" w:color="auto"/>
                <w:bottom w:val="none" w:sz="0" w:space="0" w:color="auto"/>
                <w:right w:val="none" w:sz="0" w:space="0" w:color="auto"/>
              </w:divBdr>
            </w:div>
            <w:div w:id="1540585276">
              <w:marLeft w:val="0"/>
              <w:marRight w:val="0"/>
              <w:marTop w:val="0"/>
              <w:marBottom w:val="0"/>
              <w:divBdr>
                <w:top w:val="none" w:sz="0" w:space="0" w:color="auto"/>
                <w:left w:val="none" w:sz="0" w:space="0" w:color="auto"/>
                <w:bottom w:val="none" w:sz="0" w:space="0" w:color="auto"/>
                <w:right w:val="none" w:sz="0" w:space="0" w:color="auto"/>
              </w:divBdr>
            </w:div>
            <w:div w:id="1843007397">
              <w:marLeft w:val="0"/>
              <w:marRight w:val="0"/>
              <w:marTop w:val="0"/>
              <w:marBottom w:val="0"/>
              <w:divBdr>
                <w:top w:val="none" w:sz="0" w:space="0" w:color="auto"/>
                <w:left w:val="none" w:sz="0" w:space="0" w:color="auto"/>
                <w:bottom w:val="none" w:sz="0" w:space="0" w:color="auto"/>
                <w:right w:val="none" w:sz="0" w:space="0" w:color="auto"/>
              </w:divBdr>
            </w:div>
            <w:div w:id="876313032">
              <w:marLeft w:val="0"/>
              <w:marRight w:val="0"/>
              <w:marTop w:val="0"/>
              <w:marBottom w:val="0"/>
              <w:divBdr>
                <w:top w:val="none" w:sz="0" w:space="0" w:color="auto"/>
                <w:left w:val="none" w:sz="0" w:space="0" w:color="auto"/>
                <w:bottom w:val="none" w:sz="0" w:space="0" w:color="auto"/>
                <w:right w:val="none" w:sz="0" w:space="0" w:color="auto"/>
              </w:divBdr>
            </w:div>
            <w:div w:id="683479214">
              <w:marLeft w:val="0"/>
              <w:marRight w:val="0"/>
              <w:marTop w:val="0"/>
              <w:marBottom w:val="0"/>
              <w:divBdr>
                <w:top w:val="none" w:sz="0" w:space="0" w:color="auto"/>
                <w:left w:val="none" w:sz="0" w:space="0" w:color="auto"/>
                <w:bottom w:val="none" w:sz="0" w:space="0" w:color="auto"/>
                <w:right w:val="none" w:sz="0" w:space="0" w:color="auto"/>
              </w:divBdr>
            </w:div>
            <w:div w:id="2110660790">
              <w:marLeft w:val="0"/>
              <w:marRight w:val="0"/>
              <w:marTop w:val="0"/>
              <w:marBottom w:val="0"/>
              <w:divBdr>
                <w:top w:val="none" w:sz="0" w:space="0" w:color="auto"/>
                <w:left w:val="none" w:sz="0" w:space="0" w:color="auto"/>
                <w:bottom w:val="none" w:sz="0" w:space="0" w:color="auto"/>
                <w:right w:val="none" w:sz="0" w:space="0" w:color="auto"/>
              </w:divBdr>
            </w:div>
            <w:div w:id="1940336984">
              <w:marLeft w:val="0"/>
              <w:marRight w:val="0"/>
              <w:marTop w:val="0"/>
              <w:marBottom w:val="0"/>
              <w:divBdr>
                <w:top w:val="none" w:sz="0" w:space="0" w:color="auto"/>
                <w:left w:val="none" w:sz="0" w:space="0" w:color="auto"/>
                <w:bottom w:val="none" w:sz="0" w:space="0" w:color="auto"/>
                <w:right w:val="none" w:sz="0" w:space="0" w:color="auto"/>
              </w:divBdr>
            </w:div>
            <w:div w:id="267349528">
              <w:marLeft w:val="0"/>
              <w:marRight w:val="0"/>
              <w:marTop w:val="0"/>
              <w:marBottom w:val="0"/>
              <w:divBdr>
                <w:top w:val="none" w:sz="0" w:space="0" w:color="auto"/>
                <w:left w:val="none" w:sz="0" w:space="0" w:color="auto"/>
                <w:bottom w:val="none" w:sz="0" w:space="0" w:color="auto"/>
                <w:right w:val="none" w:sz="0" w:space="0" w:color="auto"/>
              </w:divBdr>
            </w:div>
            <w:div w:id="693311416">
              <w:marLeft w:val="0"/>
              <w:marRight w:val="0"/>
              <w:marTop w:val="0"/>
              <w:marBottom w:val="0"/>
              <w:divBdr>
                <w:top w:val="none" w:sz="0" w:space="0" w:color="auto"/>
                <w:left w:val="none" w:sz="0" w:space="0" w:color="auto"/>
                <w:bottom w:val="none" w:sz="0" w:space="0" w:color="auto"/>
                <w:right w:val="none" w:sz="0" w:space="0" w:color="auto"/>
              </w:divBdr>
            </w:div>
            <w:div w:id="2038463830">
              <w:marLeft w:val="0"/>
              <w:marRight w:val="0"/>
              <w:marTop w:val="0"/>
              <w:marBottom w:val="0"/>
              <w:divBdr>
                <w:top w:val="none" w:sz="0" w:space="0" w:color="auto"/>
                <w:left w:val="none" w:sz="0" w:space="0" w:color="auto"/>
                <w:bottom w:val="none" w:sz="0" w:space="0" w:color="auto"/>
                <w:right w:val="none" w:sz="0" w:space="0" w:color="auto"/>
              </w:divBdr>
            </w:div>
            <w:div w:id="1771965827">
              <w:marLeft w:val="0"/>
              <w:marRight w:val="0"/>
              <w:marTop w:val="0"/>
              <w:marBottom w:val="0"/>
              <w:divBdr>
                <w:top w:val="none" w:sz="0" w:space="0" w:color="auto"/>
                <w:left w:val="none" w:sz="0" w:space="0" w:color="auto"/>
                <w:bottom w:val="none" w:sz="0" w:space="0" w:color="auto"/>
                <w:right w:val="none" w:sz="0" w:space="0" w:color="auto"/>
              </w:divBdr>
            </w:div>
            <w:div w:id="1943679641">
              <w:marLeft w:val="0"/>
              <w:marRight w:val="0"/>
              <w:marTop w:val="0"/>
              <w:marBottom w:val="0"/>
              <w:divBdr>
                <w:top w:val="none" w:sz="0" w:space="0" w:color="auto"/>
                <w:left w:val="none" w:sz="0" w:space="0" w:color="auto"/>
                <w:bottom w:val="none" w:sz="0" w:space="0" w:color="auto"/>
                <w:right w:val="none" w:sz="0" w:space="0" w:color="auto"/>
              </w:divBdr>
            </w:div>
            <w:div w:id="1051002214">
              <w:marLeft w:val="0"/>
              <w:marRight w:val="0"/>
              <w:marTop w:val="0"/>
              <w:marBottom w:val="0"/>
              <w:divBdr>
                <w:top w:val="none" w:sz="0" w:space="0" w:color="auto"/>
                <w:left w:val="none" w:sz="0" w:space="0" w:color="auto"/>
                <w:bottom w:val="none" w:sz="0" w:space="0" w:color="auto"/>
                <w:right w:val="none" w:sz="0" w:space="0" w:color="auto"/>
              </w:divBdr>
            </w:div>
            <w:div w:id="742528783">
              <w:marLeft w:val="0"/>
              <w:marRight w:val="0"/>
              <w:marTop w:val="0"/>
              <w:marBottom w:val="0"/>
              <w:divBdr>
                <w:top w:val="none" w:sz="0" w:space="0" w:color="auto"/>
                <w:left w:val="none" w:sz="0" w:space="0" w:color="auto"/>
                <w:bottom w:val="none" w:sz="0" w:space="0" w:color="auto"/>
                <w:right w:val="none" w:sz="0" w:space="0" w:color="auto"/>
              </w:divBdr>
            </w:div>
            <w:div w:id="885410004">
              <w:marLeft w:val="0"/>
              <w:marRight w:val="0"/>
              <w:marTop w:val="0"/>
              <w:marBottom w:val="0"/>
              <w:divBdr>
                <w:top w:val="none" w:sz="0" w:space="0" w:color="auto"/>
                <w:left w:val="none" w:sz="0" w:space="0" w:color="auto"/>
                <w:bottom w:val="none" w:sz="0" w:space="0" w:color="auto"/>
                <w:right w:val="none" w:sz="0" w:space="0" w:color="auto"/>
              </w:divBdr>
            </w:div>
            <w:div w:id="331683389">
              <w:marLeft w:val="0"/>
              <w:marRight w:val="0"/>
              <w:marTop w:val="0"/>
              <w:marBottom w:val="0"/>
              <w:divBdr>
                <w:top w:val="none" w:sz="0" w:space="0" w:color="auto"/>
                <w:left w:val="none" w:sz="0" w:space="0" w:color="auto"/>
                <w:bottom w:val="none" w:sz="0" w:space="0" w:color="auto"/>
                <w:right w:val="none" w:sz="0" w:space="0" w:color="auto"/>
              </w:divBdr>
            </w:div>
            <w:div w:id="784352842">
              <w:marLeft w:val="0"/>
              <w:marRight w:val="0"/>
              <w:marTop w:val="0"/>
              <w:marBottom w:val="0"/>
              <w:divBdr>
                <w:top w:val="none" w:sz="0" w:space="0" w:color="auto"/>
                <w:left w:val="none" w:sz="0" w:space="0" w:color="auto"/>
                <w:bottom w:val="none" w:sz="0" w:space="0" w:color="auto"/>
                <w:right w:val="none" w:sz="0" w:space="0" w:color="auto"/>
              </w:divBdr>
            </w:div>
            <w:div w:id="285429174">
              <w:marLeft w:val="0"/>
              <w:marRight w:val="0"/>
              <w:marTop w:val="0"/>
              <w:marBottom w:val="0"/>
              <w:divBdr>
                <w:top w:val="none" w:sz="0" w:space="0" w:color="auto"/>
                <w:left w:val="none" w:sz="0" w:space="0" w:color="auto"/>
                <w:bottom w:val="none" w:sz="0" w:space="0" w:color="auto"/>
                <w:right w:val="none" w:sz="0" w:space="0" w:color="auto"/>
              </w:divBdr>
            </w:div>
            <w:div w:id="1724718210">
              <w:marLeft w:val="0"/>
              <w:marRight w:val="0"/>
              <w:marTop w:val="0"/>
              <w:marBottom w:val="0"/>
              <w:divBdr>
                <w:top w:val="none" w:sz="0" w:space="0" w:color="auto"/>
                <w:left w:val="none" w:sz="0" w:space="0" w:color="auto"/>
                <w:bottom w:val="none" w:sz="0" w:space="0" w:color="auto"/>
                <w:right w:val="none" w:sz="0" w:space="0" w:color="auto"/>
              </w:divBdr>
            </w:div>
            <w:div w:id="1170019308">
              <w:marLeft w:val="0"/>
              <w:marRight w:val="0"/>
              <w:marTop w:val="0"/>
              <w:marBottom w:val="0"/>
              <w:divBdr>
                <w:top w:val="none" w:sz="0" w:space="0" w:color="auto"/>
                <w:left w:val="none" w:sz="0" w:space="0" w:color="auto"/>
                <w:bottom w:val="none" w:sz="0" w:space="0" w:color="auto"/>
                <w:right w:val="none" w:sz="0" w:space="0" w:color="auto"/>
              </w:divBdr>
            </w:div>
            <w:div w:id="1077171724">
              <w:marLeft w:val="0"/>
              <w:marRight w:val="0"/>
              <w:marTop w:val="0"/>
              <w:marBottom w:val="0"/>
              <w:divBdr>
                <w:top w:val="none" w:sz="0" w:space="0" w:color="auto"/>
                <w:left w:val="none" w:sz="0" w:space="0" w:color="auto"/>
                <w:bottom w:val="none" w:sz="0" w:space="0" w:color="auto"/>
                <w:right w:val="none" w:sz="0" w:space="0" w:color="auto"/>
              </w:divBdr>
            </w:div>
            <w:div w:id="1027025335">
              <w:marLeft w:val="0"/>
              <w:marRight w:val="0"/>
              <w:marTop w:val="0"/>
              <w:marBottom w:val="0"/>
              <w:divBdr>
                <w:top w:val="none" w:sz="0" w:space="0" w:color="auto"/>
                <w:left w:val="none" w:sz="0" w:space="0" w:color="auto"/>
                <w:bottom w:val="none" w:sz="0" w:space="0" w:color="auto"/>
                <w:right w:val="none" w:sz="0" w:space="0" w:color="auto"/>
              </w:divBdr>
            </w:div>
            <w:div w:id="1731999549">
              <w:marLeft w:val="0"/>
              <w:marRight w:val="0"/>
              <w:marTop w:val="0"/>
              <w:marBottom w:val="0"/>
              <w:divBdr>
                <w:top w:val="none" w:sz="0" w:space="0" w:color="auto"/>
                <w:left w:val="none" w:sz="0" w:space="0" w:color="auto"/>
                <w:bottom w:val="none" w:sz="0" w:space="0" w:color="auto"/>
                <w:right w:val="none" w:sz="0" w:space="0" w:color="auto"/>
              </w:divBdr>
            </w:div>
            <w:div w:id="815991413">
              <w:marLeft w:val="0"/>
              <w:marRight w:val="0"/>
              <w:marTop w:val="0"/>
              <w:marBottom w:val="0"/>
              <w:divBdr>
                <w:top w:val="none" w:sz="0" w:space="0" w:color="auto"/>
                <w:left w:val="none" w:sz="0" w:space="0" w:color="auto"/>
                <w:bottom w:val="none" w:sz="0" w:space="0" w:color="auto"/>
                <w:right w:val="none" w:sz="0" w:space="0" w:color="auto"/>
              </w:divBdr>
            </w:div>
            <w:div w:id="1140462340">
              <w:marLeft w:val="0"/>
              <w:marRight w:val="0"/>
              <w:marTop w:val="0"/>
              <w:marBottom w:val="0"/>
              <w:divBdr>
                <w:top w:val="none" w:sz="0" w:space="0" w:color="auto"/>
                <w:left w:val="none" w:sz="0" w:space="0" w:color="auto"/>
                <w:bottom w:val="none" w:sz="0" w:space="0" w:color="auto"/>
                <w:right w:val="none" w:sz="0" w:space="0" w:color="auto"/>
              </w:divBdr>
            </w:div>
            <w:div w:id="151800648">
              <w:marLeft w:val="0"/>
              <w:marRight w:val="0"/>
              <w:marTop w:val="0"/>
              <w:marBottom w:val="0"/>
              <w:divBdr>
                <w:top w:val="none" w:sz="0" w:space="0" w:color="auto"/>
                <w:left w:val="none" w:sz="0" w:space="0" w:color="auto"/>
                <w:bottom w:val="none" w:sz="0" w:space="0" w:color="auto"/>
                <w:right w:val="none" w:sz="0" w:space="0" w:color="auto"/>
              </w:divBdr>
            </w:div>
            <w:div w:id="479923313">
              <w:marLeft w:val="0"/>
              <w:marRight w:val="0"/>
              <w:marTop w:val="0"/>
              <w:marBottom w:val="0"/>
              <w:divBdr>
                <w:top w:val="none" w:sz="0" w:space="0" w:color="auto"/>
                <w:left w:val="none" w:sz="0" w:space="0" w:color="auto"/>
                <w:bottom w:val="none" w:sz="0" w:space="0" w:color="auto"/>
                <w:right w:val="none" w:sz="0" w:space="0" w:color="auto"/>
              </w:divBdr>
            </w:div>
            <w:div w:id="1649289445">
              <w:marLeft w:val="0"/>
              <w:marRight w:val="0"/>
              <w:marTop w:val="0"/>
              <w:marBottom w:val="0"/>
              <w:divBdr>
                <w:top w:val="none" w:sz="0" w:space="0" w:color="auto"/>
                <w:left w:val="none" w:sz="0" w:space="0" w:color="auto"/>
                <w:bottom w:val="none" w:sz="0" w:space="0" w:color="auto"/>
                <w:right w:val="none" w:sz="0" w:space="0" w:color="auto"/>
              </w:divBdr>
            </w:div>
            <w:div w:id="1945724480">
              <w:marLeft w:val="0"/>
              <w:marRight w:val="0"/>
              <w:marTop w:val="0"/>
              <w:marBottom w:val="0"/>
              <w:divBdr>
                <w:top w:val="none" w:sz="0" w:space="0" w:color="auto"/>
                <w:left w:val="none" w:sz="0" w:space="0" w:color="auto"/>
                <w:bottom w:val="none" w:sz="0" w:space="0" w:color="auto"/>
                <w:right w:val="none" w:sz="0" w:space="0" w:color="auto"/>
              </w:divBdr>
            </w:div>
            <w:div w:id="1000625113">
              <w:marLeft w:val="0"/>
              <w:marRight w:val="0"/>
              <w:marTop w:val="0"/>
              <w:marBottom w:val="0"/>
              <w:divBdr>
                <w:top w:val="none" w:sz="0" w:space="0" w:color="auto"/>
                <w:left w:val="none" w:sz="0" w:space="0" w:color="auto"/>
                <w:bottom w:val="none" w:sz="0" w:space="0" w:color="auto"/>
                <w:right w:val="none" w:sz="0" w:space="0" w:color="auto"/>
              </w:divBdr>
            </w:div>
            <w:div w:id="1534070640">
              <w:marLeft w:val="0"/>
              <w:marRight w:val="0"/>
              <w:marTop w:val="0"/>
              <w:marBottom w:val="0"/>
              <w:divBdr>
                <w:top w:val="none" w:sz="0" w:space="0" w:color="auto"/>
                <w:left w:val="none" w:sz="0" w:space="0" w:color="auto"/>
                <w:bottom w:val="none" w:sz="0" w:space="0" w:color="auto"/>
                <w:right w:val="none" w:sz="0" w:space="0" w:color="auto"/>
              </w:divBdr>
            </w:div>
            <w:div w:id="898129367">
              <w:marLeft w:val="0"/>
              <w:marRight w:val="0"/>
              <w:marTop w:val="0"/>
              <w:marBottom w:val="0"/>
              <w:divBdr>
                <w:top w:val="none" w:sz="0" w:space="0" w:color="auto"/>
                <w:left w:val="none" w:sz="0" w:space="0" w:color="auto"/>
                <w:bottom w:val="none" w:sz="0" w:space="0" w:color="auto"/>
                <w:right w:val="none" w:sz="0" w:space="0" w:color="auto"/>
              </w:divBdr>
            </w:div>
            <w:div w:id="853416841">
              <w:marLeft w:val="0"/>
              <w:marRight w:val="0"/>
              <w:marTop w:val="0"/>
              <w:marBottom w:val="0"/>
              <w:divBdr>
                <w:top w:val="none" w:sz="0" w:space="0" w:color="auto"/>
                <w:left w:val="none" w:sz="0" w:space="0" w:color="auto"/>
                <w:bottom w:val="none" w:sz="0" w:space="0" w:color="auto"/>
                <w:right w:val="none" w:sz="0" w:space="0" w:color="auto"/>
              </w:divBdr>
            </w:div>
            <w:div w:id="1506508607">
              <w:marLeft w:val="0"/>
              <w:marRight w:val="0"/>
              <w:marTop w:val="0"/>
              <w:marBottom w:val="0"/>
              <w:divBdr>
                <w:top w:val="none" w:sz="0" w:space="0" w:color="auto"/>
                <w:left w:val="none" w:sz="0" w:space="0" w:color="auto"/>
                <w:bottom w:val="none" w:sz="0" w:space="0" w:color="auto"/>
                <w:right w:val="none" w:sz="0" w:space="0" w:color="auto"/>
              </w:divBdr>
            </w:div>
            <w:div w:id="1344169688">
              <w:marLeft w:val="0"/>
              <w:marRight w:val="0"/>
              <w:marTop w:val="0"/>
              <w:marBottom w:val="0"/>
              <w:divBdr>
                <w:top w:val="none" w:sz="0" w:space="0" w:color="auto"/>
                <w:left w:val="none" w:sz="0" w:space="0" w:color="auto"/>
                <w:bottom w:val="none" w:sz="0" w:space="0" w:color="auto"/>
                <w:right w:val="none" w:sz="0" w:space="0" w:color="auto"/>
              </w:divBdr>
            </w:div>
            <w:div w:id="299389183">
              <w:marLeft w:val="0"/>
              <w:marRight w:val="0"/>
              <w:marTop w:val="0"/>
              <w:marBottom w:val="0"/>
              <w:divBdr>
                <w:top w:val="none" w:sz="0" w:space="0" w:color="auto"/>
                <w:left w:val="none" w:sz="0" w:space="0" w:color="auto"/>
                <w:bottom w:val="none" w:sz="0" w:space="0" w:color="auto"/>
                <w:right w:val="none" w:sz="0" w:space="0" w:color="auto"/>
              </w:divBdr>
            </w:div>
            <w:div w:id="1652519193">
              <w:marLeft w:val="0"/>
              <w:marRight w:val="0"/>
              <w:marTop w:val="0"/>
              <w:marBottom w:val="0"/>
              <w:divBdr>
                <w:top w:val="none" w:sz="0" w:space="0" w:color="auto"/>
                <w:left w:val="none" w:sz="0" w:space="0" w:color="auto"/>
                <w:bottom w:val="none" w:sz="0" w:space="0" w:color="auto"/>
                <w:right w:val="none" w:sz="0" w:space="0" w:color="auto"/>
              </w:divBdr>
            </w:div>
            <w:div w:id="143546457">
              <w:marLeft w:val="0"/>
              <w:marRight w:val="0"/>
              <w:marTop w:val="0"/>
              <w:marBottom w:val="0"/>
              <w:divBdr>
                <w:top w:val="none" w:sz="0" w:space="0" w:color="auto"/>
                <w:left w:val="none" w:sz="0" w:space="0" w:color="auto"/>
                <w:bottom w:val="none" w:sz="0" w:space="0" w:color="auto"/>
                <w:right w:val="none" w:sz="0" w:space="0" w:color="auto"/>
              </w:divBdr>
            </w:div>
            <w:div w:id="1771270670">
              <w:marLeft w:val="0"/>
              <w:marRight w:val="0"/>
              <w:marTop w:val="0"/>
              <w:marBottom w:val="0"/>
              <w:divBdr>
                <w:top w:val="none" w:sz="0" w:space="0" w:color="auto"/>
                <w:left w:val="none" w:sz="0" w:space="0" w:color="auto"/>
                <w:bottom w:val="none" w:sz="0" w:space="0" w:color="auto"/>
                <w:right w:val="none" w:sz="0" w:space="0" w:color="auto"/>
              </w:divBdr>
            </w:div>
            <w:div w:id="825703197">
              <w:marLeft w:val="0"/>
              <w:marRight w:val="0"/>
              <w:marTop w:val="0"/>
              <w:marBottom w:val="0"/>
              <w:divBdr>
                <w:top w:val="none" w:sz="0" w:space="0" w:color="auto"/>
                <w:left w:val="none" w:sz="0" w:space="0" w:color="auto"/>
                <w:bottom w:val="none" w:sz="0" w:space="0" w:color="auto"/>
                <w:right w:val="none" w:sz="0" w:space="0" w:color="auto"/>
              </w:divBdr>
            </w:div>
            <w:div w:id="1672104411">
              <w:marLeft w:val="0"/>
              <w:marRight w:val="0"/>
              <w:marTop w:val="0"/>
              <w:marBottom w:val="0"/>
              <w:divBdr>
                <w:top w:val="none" w:sz="0" w:space="0" w:color="auto"/>
                <w:left w:val="none" w:sz="0" w:space="0" w:color="auto"/>
                <w:bottom w:val="none" w:sz="0" w:space="0" w:color="auto"/>
                <w:right w:val="none" w:sz="0" w:space="0" w:color="auto"/>
              </w:divBdr>
            </w:div>
            <w:div w:id="2112968019">
              <w:marLeft w:val="0"/>
              <w:marRight w:val="0"/>
              <w:marTop w:val="0"/>
              <w:marBottom w:val="0"/>
              <w:divBdr>
                <w:top w:val="none" w:sz="0" w:space="0" w:color="auto"/>
                <w:left w:val="none" w:sz="0" w:space="0" w:color="auto"/>
                <w:bottom w:val="none" w:sz="0" w:space="0" w:color="auto"/>
                <w:right w:val="none" w:sz="0" w:space="0" w:color="auto"/>
              </w:divBdr>
            </w:div>
            <w:div w:id="1778987528">
              <w:marLeft w:val="0"/>
              <w:marRight w:val="0"/>
              <w:marTop w:val="0"/>
              <w:marBottom w:val="0"/>
              <w:divBdr>
                <w:top w:val="none" w:sz="0" w:space="0" w:color="auto"/>
                <w:left w:val="none" w:sz="0" w:space="0" w:color="auto"/>
                <w:bottom w:val="none" w:sz="0" w:space="0" w:color="auto"/>
                <w:right w:val="none" w:sz="0" w:space="0" w:color="auto"/>
              </w:divBdr>
            </w:div>
            <w:div w:id="2079284682">
              <w:marLeft w:val="0"/>
              <w:marRight w:val="0"/>
              <w:marTop w:val="0"/>
              <w:marBottom w:val="0"/>
              <w:divBdr>
                <w:top w:val="none" w:sz="0" w:space="0" w:color="auto"/>
                <w:left w:val="none" w:sz="0" w:space="0" w:color="auto"/>
                <w:bottom w:val="none" w:sz="0" w:space="0" w:color="auto"/>
                <w:right w:val="none" w:sz="0" w:space="0" w:color="auto"/>
              </w:divBdr>
            </w:div>
            <w:div w:id="1042053601">
              <w:marLeft w:val="0"/>
              <w:marRight w:val="0"/>
              <w:marTop w:val="0"/>
              <w:marBottom w:val="0"/>
              <w:divBdr>
                <w:top w:val="none" w:sz="0" w:space="0" w:color="auto"/>
                <w:left w:val="none" w:sz="0" w:space="0" w:color="auto"/>
                <w:bottom w:val="none" w:sz="0" w:space="0" w:color="auto"/>
                <w:right w:val="none" w:sz="0" w:space="0" w:color="auto"/>
              </w:divBdr>
            </w:div>
            <w:div w:id="1803183653">
              <w:marLeft w:val="0"/>
              <w:marRight w:val="0"/>
              <w:marTop w:val="0"/>
              <w:marBottom w:val="0"/>
              <w:divBdr>
                <w:top w:val="none" w:sz="0" w:space="0" w:color="auto"/>
                <w:left w:val="none" w:sz="0" w:space="0" w:color="auto"/>
                <w:bottom w:val="none" w:sz="0" w:space="0" w:color="auto"/>
                <w:right w:val="none" w:sz="0" w:space="0" w:color="auto"/>
              </w:divBdr>
            </w:div>
            <w:div w:id="758647120">
              <w:marLeft w:val="0"/>
              <w:marRight w:val="0"/>
              <w:marTop w:val="0"/>
              <w:marBottom w:val="0"/>
              <w:divBdr>
                <w:top w:val="none" w:sz="0" w:space="0" w:color="auto"/>
                <w:left w:val="none" w:sz="0" w:space="0" w:color="auto"/>
                <w:bottom w:val="none" w:sz="0" w:space="0" w:color="auto"/>
                <w:right w:val="none" w:sz="0" w:space="0" w:color="auto"/>
              </w:divBdr>
            </w:div>
            <w:div w:id="1378898811">
              <w:marLeft w:val="0"/>
              <w:marRight w:val="0"/>
              <w:marTop w:val="0"/>
              <w:marBottom w:val="0"/>
              <w:divBdr>
                <w:top w:val="none" w:sz="0" w:space="0" w:color="auto"/>
                <w:left w:val="none" w:sz="0" w:space="0" w:color="auto"/>
                <w:bottom w:val="none" w:sz="0" w:space="0" w:color="auto"/>
                <w:right w:val="none" w:sz="0" w:space="0" w:color="auto"/>
              </w:divBdr>
            </w:div>
            <w:div w:id="642320941">
              <w:marLeft w:val="0"/>
              <w:marRight w:val="0"/>
              <w:marTop w:val="0"/>
              <w:marBottom w:val="0"/>
              <w:divBdr>
                <w:top w:val="none" w:sz="0" w:space="0" w:color="auto"/>
                <w:left w:val="none" w:sz="0" w:space="0" w:color="auto"/>
                <w:bottom w:val="none" w:sz="0" w:space="0" w:color="auto"/>
                <w:right w:val="none" w:sz="0" w:space="0" w:color="auto"/>
              </w:divBdr>
            </w:div>
            <w:div w:id="1724987522">
              <w:marLeft w:val="0"/>
              <w:marRight w:val="0"/>
              <w:marTop w:val="0"/>
              <w:marBottom w:val="0"/>
              <w:divBdr>
                <w:top w:val="none" w:sz="0" w:space="0" w:color="auto"/>
                <w:left w:val="none" w:sz="0" w:space="0" w:color="auto"/>
                <w:bottom w:val="none" w:sz="0" w:space="0" w:color="auto"/>
                <w:right w:val="none" w:sz="0" w:space="0" w:color="auto"/>
              </w:divBdr>
            </w:div>
            <w:div w:id="1762485851">
              <w:marLeft w:val="0"/>
              <w:marRight w:val="0"/>
              <w:marTop w:val="0"/>
              <w:marBottom w:val="0"/>
              <w:divBdr>
                <w:top w:val="none" w:sz="0" w:space="0" w:color="auto"/>
                <w:left w:val="none" w:sz="0" w:space="0" w:color="auto"/>
                <w:bottom w:val="none" w:sz="0" w:space="0" w:color="auto"/>
                <w:right w:val="none" w:sz="0" w:space="0" w:color="auto"/>
              </w:divBdr>
            </w:div>
            <w:div w:id="1388794120">
              <w:marLeft w:val="0"/>
              <w:marRight w:val="0"/>
              <w:marTop w:val="0"/>
              <w:marBottom w:val="0"/>
              <w:divBdr>
                <w:top w:val="none" w:sz="0" w:space="0" w:color="auto"/>
                <w:left w:val="none" w:sz="0" w:space="0" w:color="auto"/>
                <w:bottom w:val="none" w:sz="0" w:space="0" w:color="auto"/>
                <w:right w:val="none" w:sz="0" w:space="0" w:color="auto"/>
              </w:divBdr>
            </w:div>
            <w:div w:id="1267880428">
              <w:marLeft w:val="0"/>
              <w:marRight w:val="0"/>
              <w:marTop w:val="0"/>
              <w:marBottom w:val="0"/>
              <w:divBdr>
                <w:top w:val="none" w:sz="0" w:space="0" w:color="auto"/>
                <w:left w:val="none" w:sz="0" w:space="0" w:color="auto"/>
                <w:bottom w:val="none" w:sz="0" w:space="0" w:color="auto"/>
                <w:right w:val="none" w:sz="0" w:space="0" w:color="auto"/>
              </w:divBdr>
            </w:div>
            <w:div w:id="1661033399">
              <w:marLeft w:val="0"/>
              <w:marRight w:val="0"/>
              <w:marTop w:val="0"/>
              <w:marBottom w:val="0"/>
              <w:divBdr>
                <w:top w:val="none" w:sz="0" w:space="0" w:color="auto"/>
                <w:left w:val="none" w:sz="0" w:space="0" w:color="auto"/>
                <w:bottom w:val="none" w:sz="0" w:space="0" w:color="auto"/>
                <w:right w:val="none" w:sz="0" w:space="0" w:color="auto"/>
              </w:divBdr>
            </w:div>
            <w:div w:id="817693607">
              <w:marLeft w:val="0"/>
              <w:marRight w:val="0"/>
              <w:marTop w:val="0"/>
              <w:marBottom w:val="0"/>
              <w:divBdr>
                <w:top w:val="none" w:sz="0" w:space="0" w:color="auto"/>
                <w:left w:val="none" w:sz="0" w:space="0" w:color="auto"/>
                <w:bottom w:val="none" w:sz="0" w:space="0" w:color="auto"/>
                <w:right w:val="none" w:sz="0" w:space="0" w:color="auto"/>
              </w:divBdr>
            </w:div>
            <w:div w:id="760639619">
              <w:marLeft w:val="0"/>
              <w:marRight w:val="0"/>
              <w:marTop w:val="0"/>
              <w:marBottom w:val="0"/>
              <w:divBdr>
                <w:top w:val="none" w:sz="0" w:space="0" w:color="auto"/>
                <w:left w:val="none" w:sz="0" w:space="0" w:color="auto"/>
                <w:bottom w:val="none" w:sz="0" w:space="0" w:color="auto"/>
                <w:right w:val="none" w:sz="0" w:space="0" w:color="auto"/>
              </w:divBdr>
            </w:div>
            <w:div w:id="2001955801">
              <w:marLeft w:val="0"/>
              <w:marRight w:val="0"/>
              <w:marTop w:val="0"/>
              <w:marBottom w:val="0"/>
              <w:divBdr>
                <w:top w:val="none" w:sz="0" w:space="0" w:color="auto"/>
                <w:left w:val="none" w:sz="0" w:space="0" w:color="auto"/>
                <w:bottom w:val="none" w:sz="0" w:space="0" w:color="auto"/>
                <w:right w:val="none" w:sz="0" w:space="0" w:color="auto"/>
              </w:divBdr>
            </w:div>
            <w:div w:id="188682320">
              <w:marLeft w:val="0"/>
              <w:marRight w:val="0"/>
              <w:marTop w:val="0"/>
              <w:marBottom w:val="0"/>
              <w:divBdr>
                <w:top w:val="none" w:sz="0" w:space="0" w:color="auto"/>
                <w:left w:val="none" w:sz="0" w:space="0" w:color="auto"/>
                <w:bottom w:val="none" w:sz="0" w:space="0" w:color="auto"/>
                <w:right w:val="none" w:sz="0" w:space="0" w:color="auto"/>
              </w:divBdr>
            </w:div>
            <w:div w:id="1486817036">
              <w:marLeft w:val="0"/>
              <w:marRight w:val="0"/>
              <w:marTop w:val="0"/>
              <w:marBottom w:val="0"/>
              <w:divBdr>
                <w:top w:val="none" w:sz="0" w:space="0" w:color="auto"/>
                <w:left w:val="none" w:sz="0" w:space="0" w:color="auto"/>
                <w:bottom w:val="none" w:sz="0" w:space="0" w:color="auto"/>
                <w:right w:val="none" w:sz="0" w:space="0" w:color="auto"/>
              </w:divBdr>
            </w:div>
            <w:div w:id="1652371548">
              <w:marLeft w:val="0"/>
              <w:marRight w:val="0"/>
              <w:marTop w:val="0"/>
              <w:marBottom w:val="0"/>
              <w:divBdr>
                <w:top w:val="none" w:sz="0" w:space="0" w:color="auto"/>
                <w:left w:val="none" w:sz="0" w:space="0" w:color="auto"/>
                <w:bottom w:val="none" w:sz="0" w:space="0" w:color="auto"/>
                <w:right w:val="none" w:sz="0" w:space="0" w:color="auto"/>
              </w:divBdr>
            </w:div>
            <w:div w:id="12691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3661">
      <w:bodyDiv w:val="1"/>
      <w:marLeft w:val="0"/>
      <w:marRight w:val="0"/>
      <w:marTop w:val="0"/>
      <w:marBottom w:val="0"/>
      <w:divBdr>
        <w:top w:val="none" w:sz="0" w:space="0" w:color="auto"/>
        <w:left w:val="none" w:sz="0" w:space="0" w:color="auto"/>
        <w:bottom w:val="none" w:sz="0" w:space="0" w:color="auto"/>
        <w:right w:val="none" w:sz="0" w:space="0" w:color="auto"/>
      </w:divBdr>
      <w:divsChild>
        <w:div w:id="2026516230">
          <w:marLeft w:val="0"/>
          <w:marRight w:val="1"/>
          <w:marTop w:val="0"/>
          <w:marBottom w:val="0"/>
          <w:divBdr>
            <w:top w:val="none" w:sz="0" w:space="0" w:color="auto"/>
            <w:left w:val="none" w:sz="0" w:space="0" w:color="auto"/>
            <w:bottom w:val="none" w:sz="0" w:space="0" w:color="auto"/>
            <w:right w:val="none" w:sz="0" w:space="0" w:color="auto"/>
          </w:divBdr>
          <w:divsChild>
            <w:div w:id="413166769">
              <w:marLeft w:val="0"/>
              <w:marRight w:val="0"/>
              <w:marTop w:val="0"/>
              <w:marBottom w:val="0"/>
              <w:divBdr>
                <w:top w:val="none" w:sz="0" w:space="0" w:color="auto"/>
                <w:left w:val="none" w:sz="0" w:space="0" w:color="auto"/>
                <w:bottom w:val="none" w:sz="0" w:space="0" w:color="auto"/>
                <w:right w:val="none" w:sz="0" w:space="0" w:color="auto"/>
              </w:divBdr>
              <w:divsChild>
                <w:div w:id="1206479310">
                  <w:marLeft w:val="0"/>
                  <w:marRight w:val="1"/>
                  <w:marTop w:val="0"/>
                  <w:marBottom w:val="0"/>
                  <w:divBdr>
                    <w:top w:val="none" w:sz="0" w:space="0" w:color="auto"/>
                    <w:left w:val="none" w:sz="0" w:space="0" w:color="auto"/>
                    <w:bottom w:val="none" w:sz="0" w:space="0" w:color="auto"/>
                    <w:right w:val="none" w:sz="0" w:space="0" w:color="auto"/>
                  </w:divBdr>
                  <w:divsChild>
                    <w:div w:id="1951082257">
                      <w:marLeft w:val="0"/>
                      <w:marRight w:val="0"/>
                      <w:marTop w:val="0"/>
                      <w:marBottom w:val="0"/>
                      <w:divBdr>
                        <w:top w:val="none" w:sz="0" w:space="0" w:color="auto"/>
                        <w:left w:val="none" w:sz="0" w:space="0" w:color="auto"/>
                        <w:bottom w:val="none" w:sz="0" w:space="0" w:color="auto"/>
                        <w:right w:val="none" w:sz="0" w:space="0" w:color="auto"/>
                      </w:divBdr>
                      <w:divsChild>
                        <w:div w:id="40790489">
                          <w:marLeft w:val="0"/>
                          <w:marRight w:val="0"/>
                          <w:marTop w:val="0"/>
                          <w:marBottom w:val="0"/>
                          <w:divBdr>
                            <w:top w:val="none" w:sz="0" w:space="0" w:color="auto"/>
                            <w:left w:val="none" w:sz="0" w:space="0" w:color="auto"/>
                            <w:bottom w:val="none" w:sz="0" w:space="0" w:color="auto"/>
                            <w:right w:val="none" w:sz="0" w:space="0" w:color="auto"/>
                          </w:divBdr>
                          <w:divsChild>
                            <w:div w:id="1083651269">
                              <w:marLeft w:val="0"/>
                              <w:marRight w:val="0"/>
                              <w:marTop w:val="0"/>
                              <w:marBottom w:val="0"/>
                              <w:divBdr>
                                <w:top w:val="none" w:sz="0" w:space="0" w:color="auto"/>
                                <w:left w:val="none" w:sz="0" w:space="0" w:color="auto"/>
                                <w:bottom w:val="none" w:sz="0" w:space="0" w:color="auto"/>
                                <w:right w:val="none" w:sz="0" w:space="0" w:color="auto"/>
                              </w:divBdr>
                            </w:div>
                          </w:divsChild>
                        </w:div>
                        <w:div w:id="1323465856">
                          <w:marLeft w:val="0"/>
                          <w:marRight w:val="0"/>
                          <w:marTop w:val="0"/>
                          <w:marBottom w:val="0"/>
                          <w:divBdr>
                            <w:top w:val="none" w:sz="0" w:space="0" w:color="auto"/>
                            <w:left w:val="none" w:sz="0" w:space="0" w:color="auto"/>
                            <w:bottom w:val="none" w:sz="0" w:space="0" w:color="auto"/>
                            <w:right w:val="none" w:sz="0" w:space="0" w:color="auto"/>
                          </w:divBdr>
                          <w:divsChild>
                            <w:div w:id="463471051">
                              <w:marLeft w:val="0"/>
                              <w:marRight w:val="0"/>
                              <w:marTop w:val="120"/>
                              <w:marBottom w:val="360"/>
                              <w:divBdr>
                                <w:top w:val="none" w:sz="0" w:space="0" w:color="auto"/>
                                <w:left w:val="none" w:sz="0" w:space="0" w:color="auto"/>
                                <w:bottom w:val="none" w:sz="0" w:space="0" w:color="auto"/>
                                <w:right w:val="none" w:sz="0" w:space="0" w:color="auto"/>
                              </w:divBdr>
                              <w:divsChild>
                                <w:div w:id="11092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9374">
      <w:bodyDiv w:val="1"/>
      <w:marLeft w:val="0"/>
      <w:marRight w:val="0"/>
      <w:marTop w:val="0"/>
      <w:marBottom w:val="0"/>
      <w:divBdr>
        <w:top w:val="none" w:sz="0" w:space="0" w:color="auto"/>
        <w:left w:val="none" w:sz="0" w:space="0" w:color="auto"/>
        <w:bottom w:val="none" w:sz="0" w:space="0" w:color="auto"/>
        <w:right w:val="none" w:sz="0" w:space="0" w:color="auto"/>
      </w:divBdr>
    </w:div>
    <w:div w:id="1937706280">
      <w:bodyDiv w:val="1"/>
      <w:marLeft w:val="0"/>
      <w:marRight w:val="0"/>
      <w:marTop w:val="0"/>
      <w:marBottom w:val="0"/>
      <w:divBdr>
        <w:top w:val="none" w:sz="0" w:space="0" w:color="auto"/>
        <w:left w:val="none" w:sz="0" w:space="0" w:color="auto"/>
        <w:bottom w:val="none" w:sz="0" w:space="0" w:color="auto"/>
        <w:right w:val="none" w:sz="0" w:space="0" w:color="auto"/>
      </w:divBdr>
    </w:div>
    <w:div w:id="2095348379">
      <w:bodyDiv w:val="1"/>
      <w:marLeft w:val="0"/>
      <w:marRight w:val="0"/>
      <w:marTop w:val="0"/>
      <w:marBottom w:val="0"/>
      <w:divBdr>
        <w:top w:val="none" w:sz="0" w:space="0" w:color="auto"/>
        <w:left w:val="none" w:sz="0" w:space="0" w:color="auto"/>
        <w:bottom w:val="none" w:sz="0" w:space="0" w:color="auto"/>
        <w:right w:val="none" w:sz="0" w:space="0" w:color="auto"/>
      </w:divBdr>
      <w:divsChild>
        <w:div w:id="1837719382">
          <w:marLeft w:val="0"/>
          <w:marRight w:val="1"/>
          <w:marTop w:val="0"/>
          <w:marBottom w:val="0"/>
          <w:divBdr>
            <w:top w:val="none" w:sz="0" w:space="0" w:color="auto"/>
            <w:left w:val="none" w:sz="0" w:space="0" w:color="auto"/>
            <w:bottom w:val="none" w:sz="0" w:space="0" w:color="auto"/>
            <w:right w:val="none" w:sz="0" w:space="0" w:color="auto"/>
          </w:divBdr>
          <w:divsChild>
            <w:div w:id="1021205183">
              <w:marLeft w:val="0"/>
              <w:marRight w:val="0"/>
              <w:marTop w:val="0"/>
              <w:marBottom w:val="0"/>
              <w:divBdr>
                <w:top w:val="none" w:sz="0" w:space="0" w:color="auto"/>
                <w:left w:val="none" w:sz="0" w:space="0" w:color="auto"/>
                <w:bottom w:val="none" w:sz="0" w:space="0" w:color="auto"/>
                <w:right w:val="none" w:sz="0" w:space="0" w:color="auto"/>
              </w:divBdr>
              <w:divsChild>
                <w:div w:id="709719740">
                  <w:marLeft w:val="0"/>
                  <w:marRight w:val="1"/>
                  <w:marTop w:val="0"/>
                  <w:marBottom w:val="0"/>
                  <w:divBdr>
                    <w:top w:val="none" w:sz="0" w:space="0" w:color="auto"/>
                    <w:left w:val="none" w:sz="0" w:space="0" w:color="auto"/>
                    <w:bottom w:val="none" w:sz="0" w:space="0" w:color="auto"/>
                    <w:right w:val="none" w:sz="0" w:space="0" w:color="auto"/>
                  </w:divBdr>
                  <w:divsChild>
                    <w:div w:id="1887569805">
                      <w:marLeft w:val="0"/>
                      <w:marRight w:val="0"/>
                      <w:marTop w:val="0"/>
                      <w:marBottom w:val="0"/>
                      <w:divBdr>
                        <w:top w:val="none" w:sz="0" w:space="0" w:color="auto"/>
                        <w:left w:val="none" w:sz="0" w:space="0" w:color="auto"/>
                        <w:bottom w:val="none" w:sz="0" w:space="0" w:color="auto"/>
                        <w:right w:val="none" w:sz="0" w:space="0" w:color="auto"/>
                      </w:divBdr>
                      <w:divsChild>
                        <w:div w:id="1407342604">
                          <w:marLeft w:val="0"/>
                          <w:marRight w:val="0"/>
                          <w:marTop w:val="0"/>
                          <w:marBottom w:val="0"/>
                          <w:divBdr>
                            <w:top w:val="none" w:sz="0" w:space="0" w:color="auto"/>
                            <w:left w:val="none" w:sz="0" w:space="0" w:color="auto"/>
                            <w:bottom w:val="none" w:sz="0" w:space="0" w:color="auto"/>
                            <w:right w:val="none" w:sz="0" w:space="0" w:color="auto"/>
                          </w:divBdr>
                          <w:divsChild>
                            <w:div w:id="729809966">
                              <w:marLeft w:val="0"/>
                              <w:marRight w:val="0"/>
                              <w:marTop w:val="120"/>
                              <w:marBottom w:val="360"/>
                              <w:divBdr>
                                <w:top w:val="none" w:sz="0" w:space="0" w:color="auto"/>
                                <w:left w:val="none" w:sz="0" w:space="0" w:color="auto"/>
                                <w:bottom w:val="none" w:sz="0" w:space="0" w:color="auto"/>
                                <w:right w:val="none" w:sz="0" w:space="0" w:color="auto"/>
                              </w:divBdr>
                              <w:divsChild>
                                <w:div w:id="5771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3087">
                          <w:marLeft w:val="0"/>
                          <w:marRight w:val="0"/>
                          <w:marTop w:val="0"/>
                          <w:marBottom w:val="0"/>
                          <w:divBdr>
                            <w:top w:val="none" w:sz="0" w:space="0" w:color="auto"/>
                            <w:left w:val="none" w:sz="0" w:space="0" w:color="auto"/>
                            <w:bottom w:val="none" w:sz="0" w:space="0" w:color="auto"/>
                            <w:right w:val="none" w:sz="0" w:space="0" w:color="auto"/>
                          </w:divBdr>
                          <w:divsChild>
                            <w:div w:id="19242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16FF3-9C05-4F21-84FA-38FDB63D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6099</Words>
  <Characters>34767</Characters>
  <Application>Microsoft Office Word</Application>
  <DocSecurity>0</DocSecurity>
  <Lines>289</Lines>
  <Paragraphs>81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Σταύρος</dc:creator>
  <cp:lastModifiedBy>Windows 用户</cp:lastModifiedBy>
  <cp:revision>3</cp:revision>
  <dcterms:created xsi:type="dcterms:W3CDTF">2017-01-03T00:25:00Z</dcterms:created>
  <dcterms:modified xsi:type="dcterms:W3CDTF">2017-01-03T06:33:00Z</dcterms:modified>
</cp:coreProperties>
</file>