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AE039" w14:textId="72D351A1" w:rsidR="00DC618A" w:rsidRPr="008D0A08" w:rsidRDefault="00DC618A" w:rsidP="008D0A08">
      <w:pPr>
        <w:adjustRightInd w:val="0"/>
        <w:snapToGrid w:val="0"/>
        <w:spacing w:line="360" w:lineRule="auto"/>
        <w:jc w:val="both"/>
        <w:rPr>
          <w:rFonts w:ascii="Book Antiqua" w:eastAsia="Times New Roman" w:hAnsi="Book Antiqua" w:cs="宋体"/>
          <w:b/>
          <w:i/>
          <w:color w:val="000000"/>
        </w:rPr>
      </w:pPr>
      <w:bookmarkStart w:id="0" w:name="OLE_LINK545"/>
      <w:bookmarkStart w:id="1" w:name="OLE_LINK546"/>
      <w:bookmarkStart w:id="2" w:name="OLE_LINK592"/>
      <w:r w:rsidRPr="008D0A08">
        <w:rPr>
          <w:rFonts w:ascii="Book Antiqua" w:eastAsia="Times New Roman" w:hAnsi="Book Antiqua" w:cs="宋体"/>
          <w:b/>
          <w:color w:val="000000"/>
        </w:rPr>
        <w:t xml:space="preserve">Name of </w:t>
      </w:r>
      <w:r w:rsidR="00452FA2">
        <w:rPr>
          <w:rFonts w:ascii="Book Antiqua" w:eastAsia="宋体" w:hAnsi="Book Antiqua" w:cs="宋体" w:hint="eastAsia"/>
          <w:b/>
          <w:color w:val="000000"/>
          <w:lang w:eastAsia="zh-CN"/>
        </w:rPr>
        <w:t>J</w:t>
      </w:r>
      <w:r w:rsidRPr="008D0A08">
        <w:rPr>
          <w:rFonts w:ascii="Book Antiqua" w:eastAsia="Times New Roman" w:hAnsi="Book Antiqua" w:cs="宋体"/>
          <w:b/>
          <w:color w:val="000000"/>
        </w:rPr>
        <w:t xml:space="preserve">ournal: </w:t>
      </w:r>
      <w:r w:rsidRPr="008D0A08">
        <w:rPr>
          <w:rFonts w:ascii="Book Antiqua" w:eastAsia="Times New Roman" w:hAnsi="Book Antiqua" w:cs="宋体"/>
          <w:b/>
          <w:i/>
          <w:color w:val="000000"/>
        </w:rPr>
        <w:t xml:space="preserve">World Journal of </w:t>
      </w:r>
      <w:proofErr w:type="spellStart"/>
      <w:r w:rsidRPr="008D0A08">
        <w:rPr>
          <w:rFonts w:ascii="Book Antiqua" w:eastAsia="Times New Roman" w:hAnsi="Book Antiqua" w:cs="宋体"/>
          <w:b/>
          <w:i/>
          <w:color w:val="000000"/>
        </w:rPr>
        <w:t>Hepatology</w:t>
      </w:r>
      <w:proofErr w:type="spellEnd"/>
    </w:p>
    <w:p w14:paraId="1158B87C" w14:textId="77777777" w:rsidR="00DC618A" w:rsidRPr="008D0A08" w:rsidRDefault="00DC618A" w:rsidP="008D0A08">
      <w:pPr>
        <w:adjustRightInd w:val="0"/>
        <w:snapToGrid w:val="0"/>
        <w:spacing w:line="360" w:lineRule="auto"/>
        <w:jc w:val="both"/>
        <w:rPr>
          <w:rFonts w:ascii="Book Antiqua" w:eastAsia="宋体" w:hAnsi="Book Antiqua" w:cs="Arial"/>
          <w:b/>
          <w:color w:val="000000"/>
          <w:lang w:eastAsia="zh-CN"/>
        </w:rPr>
      </w:pPr>
      <w:r w:rsidRPr="008D0A08">
        <w:rPr>
          <w:rFonts w:ascii="Book Antiqua" w:hAnsi="Book Antiqua" w:cs="Arial"/>
          <w:b/>
          <w:color w:val="000000"/>
        </w:rPr>
        <w:t xml:space="preserve">ESPS Manuscript NO: </w:t>
      </w:r>
      <w:r w:rsidRPr="008D0A08">
        <w:rPr>
          <w:rFonts w:ascii="Book Antiqua" w:eastAsia="宋体" w:hAnsi="Book Antiqua" w:cs="Arial"/>
          <w:b/>
          <w:color w:val="000000"/>
          <w:lang w:eastAsia="zh-CN"/>
        </w:rPr>
        <w:t>31012</w:t>
      </w:r>
    </w:p>
    <w:p w14:paraId="62D2E4DA" w14:textId="77777777" w:rsidR="008D0A08" w:rsidRDefault="008D0A08" w:rsidP="008D0A08">
      <w:pPr>
        <w:spacing w:line="360" w:lineRule="auto"/>
        <w:rPr>
          <w:rFonts w:ascii="Book Antiqua" w:hAnsi="Book Antiqua"/>
          <w:b/>
        </w:rPr>
      </w:pPr>
      <w:r w:rsidRPr="00753939">
        <w:rPr>
          <w:rFonts w:ascii="Book Antiqua" w:hAnsi="Book Antiqua"/>
          <w:b/>
        </w:rPr>
        <w:t>Manuscript Type</w:t>
      </w:r>
      <w:r w:rsidRPr="00753939">
        <w:rPr>
          <w:rFonts w:ascii="Book Antiqua" w:hAnsi="Book Antiqua" w:hint="eastAsia"/>
          <w:b/>
        </w:rPr>
        <w:t xml:space="preserve">: </w:t>
      </w:r>
      <w:r>
        <w:rPr>
          <w:rFonts w:ascii="Book Antiqua" w:hAnsi="Book Antiqua"/>
          <w:b/>
        </w:rPr>
        <w:t>Original Article</w:t>
      </w:r>
    </w:p>
    <w:p w14:paraId="288F7C16" w14:textId="77777777" w:rsidR="008D0A08" w:rsidRPr="008D0A08" w:rsidRDefault="008D0A08" w:rsidP="008D0A08">
      <w:pPr>
        <w:spacing w:line="360" w:lineRule="auto"/>
        <w:jc w:val="both"/>
        <w:rPr>
          <w:rFonts w:ascii="Book Antiqua" w:eastAsia="宋体" w:hAnsi="Book Antiqua"/>
          <w:b/>
          <w:lang w:eastAsia="zh-CN"/>
        </w:rPr>
      </w:pPr>
    </w:p>
    <w:p w14:paraId="4D39A696" w14:textId="213C7CE1" w:rsidR="00DC618A" w:rsidRDefault="008D0A08" w:rsidP="008D0A08">
      <w:pPr>
        <w:spacing w:line="360" w:lineRule="auto"/>
        <w:jc w:val="both"/>
        <w:rPr>
          <w:rFonts w:ascii="Book Antiqua" w:eastAsia="宋体" w:hAnsi="Book Antiqua"/>
          <w:b/>
          <w:i/>
          <w:lang w:eastAsia="zh-CN"/>
        </w:rPr>
      </w:pPr>
      <w:r w:rsidRPr="008D0A08">
        <w:rPr>
          <w:rFonts w:ascii="Book Antiqua" w:eastAsia="宋体" w:hAnsi="Book Antiqua"/>
          <w:b/>
          <w:i/>
          <w:lang w:eastAsia="zh-CN"/>
        </w:rPr>
        <w:t>Retrospective Study</w:t>
      </w:r>
    </w:p>
    <w:p w14:paraId="4FA27296" w14:textId="77777777" w:rsidR="008D0A08" w:rsidRPr="008D0A08" w:rsidRDefault="008D0A08" w:rsidP="008D0A08">
      <w:pPr>
        <w:spacing w:line="360" w:lineRule="auto"/>
        <w:jc w:val="both"/>
        <w:rPr>
          <w:rFonts w:ascii="Book Antiqua" w:eastAsia="宋体" w:hAnsi="Book Antiqua"/>
          <w:b/>
          <w:i/>
          <w:lang w:eastAsia="zh-CN"/>
        </w:rPr>
      </w:pPr>
    </w:p>
    <w:p w14:paraId="41DF380E" w14:textId="16F5B24E" w:rsidR="00E90E16" w:rsidRPr="008D0A08" w:rsidRDefault="00BB4AC0" w:rsidP="008D0A08">
      <w:pPr>
        <w:pStyle w:val="Body"/>
        <w:widowControl w:val="0"/>
        <w:spacing w:after="240" w:line="360" w:lineRule="auto"/>
        <w:jc w:val="both"/>
        <w:rPr>
          <w:rFonts w:ascii="Book Antiqua" w:hAnsi="Book Antiqua" w:cs="Arial"/>
          <w:b/>
        </w:rPr>
      </w:pPr>
      <w:bookmarkStart w:id="3" w:name="OLE_LINK98"/>
      <w:bookmarkStart w:id="4" w:name="OLE_LINK99"/>
      <w:bookmarkStart w:id="5" w:name="OLE_LINK131"/>
      <w:bookmarkStart w:id="6" w:name="OLE_LINK140"/>
      <w:bookmarkStart w:id="7" w:name="OLE_LINK35"/>
      <w:bookmarkStart w:id="8" w:name="OLE_LINK181"/>
      <w:bookmarkStart w:id="9" w:name="OLE_LINK153"/>
      <w:bookmarkStart w:id="10" w:name="OLE_LINK154"/>
      <w:bookmarkStart w:id="11" w:name="OLE_LINK340"/>
      <w:bookmarkStart w:id="12" w:name="OLE_LINK341"/>
      <w:bookmarkStart w:id="13" w:name="OLE_LINK92"/>
      <w:bookmarkStart w:id="14" w:name="OLE_LINK93"/>
      <w:bookmarkStart w:id="15" w:name="OLE_LINK141"/>
      <w:bookmarkStart w:id="16" w:name="OLE_LINK171"/>
      <w:bookmarkStart w:id="17" w:name="OLE_LINK59"/>
      <w:bookmarkStart w:id="18" w:name="OLE_LINK82"/>
      <w:bookmarkEnd w:id="3"/>
      <w:bookmarkEnd w:id="4"/>
      <w:bookmarkEnd w:id="5"/>
      <w:bookmarkEnd w:id="6"/>
      <w:bookmarkEnd w:id="7"/>
      <w:bookmarkEnd w:id="8"/>
      <w:bookmarkEnd w:id="9"/>
      <w:bookmarkEnd w:id="10"/>
      <w:r w:rsidRPr="008D0A08">
        <w:rPr>
          <w:rStyle w:val="apple-converted-space"/>
          <w:rFonts w:ascii="Book Antiqua" w:hAnsi="Book Antiqua" w:cs="Arial"/>
          <w:b/>
        </w:rPr>
        <w:t xml:space="preserve">Passive expansion of sub-maximally dilated </w:t>
      </w:r>
      <w:proofErr w:type="spellStart"/>
      <w:r w:rsidR="008D0A08" w:rsidRPr="008D0A08">
        <w:rPr>
          <w:rStyle w:val="apple-converted-space"/>
          <w:rFonts w:ascii="Book Antiqua" w:hAnsi="Book Antiqua" w:cs="Arial"/>
          <w:b/>
        </w:rPr>
        <w:t>transjugular</w:t>
      </w:r>
      <w:proofErr w:type="spellEnd"/>
      <w:r w:rsidR="008D0A08" w:rsidRPr="008D0A08">
        <w:rPr>
          <w:rStyle w:val="apple-converted-space"/>
          <w:rFonts w:ascii="Book Antiqua" w:hAnsi="Book Antiqua" w:cs="Arial"/>
          <w:b/>
        </w:rPr>
        <w:t xml:space="preserve"> intrahepatic </w:t>
      </w:r>
      <w:proofErr w:type="spellStart"/>
      <w:r w:rsidR="008D0A08" w:rsidRPr="008D0A08">
        <w:rPr>
          <w:rStyle w:val="apple-converted-space"/>
          <w:rFonts w:ascii="Book Antiqua" w:hAnsi="Book Antiqua" w:cs="Arial"/>
          <w:b/>
        </w:rPr>
        <w:t>portosystemic</w:t>
      </w:r>
      <w:proofErr w:type="spellEnd"/>
      <w:r w:rsidR="008D0A08" w:rsidRPr="008D0A08">
        <w:rPr>
          <w:rStyle w:val="apple-converted-space"/>
          <w:rFonts w:ascii="Book Antiqua" w:hAnsi="Book Antiqua" w:cs="Arial"/>
          <w:b/>
        </w:rPr>
        <w:t xml:space="preserve"> shunts </w:t>
      </w:r>
      <w:r w:rsidRPr="008D0A08">
        <w:rPr>
          <w:rStyle w:val="apple-converted-space"/>
          <w:rFonts w:ascii="Book Antiqua" w:hAnsi="Book Antiqua" w:cs="Arial"/>
          <w:b/>
        </w:rPr>
        <w:t>and assessment of clinical outcomes</w:t>
      </w:r>
      <w:bookmarkEnd w:id="11"/>
      <w:bookmarkEnd w:id="12"/>
    </w:p>
    <w:p w14:paraId="2B763892" w14:textId="77777777" w:rsidR="00DC618A" w:rsidRPr="008D0A08" w:rsidRDefault="00DC618A" w:rsidP="008D0A08">
      <w:pPr>
        <w:spacing w:line="360" w:lineRule="auto"/>
        <w:jc w:val="both"/>
        <w:rPr>
          <w:rFonts w:ascii="Book Antiqua" w:eastAsia="宋体" w:hAnsi="Book Antiqua" w:cs="Arial Unicode MS"/>
          <w:b/>
          <w:lang w:eastAsia="zh-CN"/>
        </w:rPr>
      </w:pPr>
      <w:bookmarkStart w:id="19" w:name="OLE_LINK108"/>
      <w:bookmarkStart w:id="20" w:name="OLE_LINK109"/>
      <w:bookmarkStart w:id="21" w:name="OLE_LINK110"/>
      <w:bookmarkStart w:id="22" w:name="OLE_LINK143"/>
      <w:bookmarkStart w:id="23" w:name="OLE_LINK257"/>
      <w:bookmarkStart w:id="24" w:name="OLE_LINK258"/>
      <w:bookmarkStart w:id="25" w:name="OLE_LINK276"/>
      <w:bookmarkEnd w:id="13"/>
      <w:bookmarkEnd w:id="14"/>
      <w:bookmarkEnd w:id="15"/>
      <w:bookmarkEnd w:id="16"/>
      <w:bookmarkEnd w:id="17"/>
      <w:bookmarkEnd w:id="18"/>
    </w:p>
    <w:p w14:paraId="497602BE" w14:textId="7D20371D" w:rsidR="00240EA5" w:rsidRDefault="00722C87" w:rsidP="008D0A08">
      <w:pPr>
        <w:spacing w:line="360" w:lineRule="auto"/>
        <w:jc w:val="both"/>
        <w:rPr>
          <w:rFonts w:ascii="Book Antiqua" w:eastAsia="宋体" w:hAnsi="Book Antiqua" w:cs="Arial Unicode MS"/>
          <w:lang w:eastAsia="zh-CN"/>
        </w:rPr>
      </w:pPr>
      <w:r w:rsidRPr="008D0A08">
        <w:rPr>
          <w:rFonts w:ascii="Book Antiqua" w:eastAsia="Times New Roman" w:hAnsi="Book Antiqua" w:cs="Arial Unicode MS"/>
        </w:rPr>
        <w:t>Hsu MC</w:t>
      </w:r>
      <w:r w:rsidR="00B86DB0" w:rsidRPr="00B86DB0">
        <w:rPr>
          <w:rFonts w:ascii="Book Antiqua" w:eastAsia="宋体" w:hAnsi="Book Antiqua" w:cs="Arial Unicode MS" w:hint="eastAsia"/>
          <w:i/>
          <w:lang w:eastAsia="zh-CN"/>
        </w:rPr>
        <w:t xml:space="preserve"> </w:t>
      </w:r>
      <w:r w:rsidRPr="00B86DB0">
        <w:rPr>
          <w:rFonts w:ascii="Book Antiqua" w:eastAsia="Times New Roman" w:hAnsi="Book Antiqua" w:cs="Arial Unicode MS"/>
          <w:i/>
        </w:rPr>
        <w:t xml:space="preserve">et al. </w:t>
      </w:r>
      <w:bookmarkEnd w:id="19"/>
      <w:bookmarkEnd w:id="20"/>
      <w:bookmarkEnd w:id="21"/>
      <w:bookmarkEnd w:id="22"/>
      <w:bookmarkEnd w:id="23"/>
      <w:bookmarkEnd w:id="24"/>
      <w:bookmarkEnd w:id="25"/>
      <w:r w:rsidR="001D6283" w:rsidRPr="008D0A08">
        <w:rPr>
          <w:rFonts w:ascii="Book Antiqua" w:eastAsia="Times New Roman" w:hAnsi="Book Antiqua" w:cs="Arial Unicode MS"/>
        </w:rPr>
        <w:t xml:space="preserve">Passive </w:t>
      </w:r>
      <w:r w:rsidR="008D0A08" w:rsidRPr="008D0A08">
        <w:rPr>
          <w:rFonts w:ascii="Book Antiqua" w:eastAsia="Times New Roman" w:hAnsi="Book Antiqua" w:cs="Arial Unicode MS"/>
        </w:rPr>
        <w:t>expansion of sub-maximally di</w:t>
      </w:r>
      <w:r w:rsidR="001D6283" w:rsidRPr="008D0A08">
        <w:rPr>
          <w:rFonts w:ascii="Book Antiqua" w:eastAsia="Times New Roman" w:hAnsi="Book Antiqua" w:cs="Arial Unicode MS"/>
        </w:rPr>
        <w:t>lated TIPS</w:t>
      </w:r>
    </w:p>
    <w:p w14:paraId="4F54188D" w14:textId="77777777" w:rsidR="00DC618A" w:rsidRPr="008D0A08" w:rsidRDefault="00DC618A" w:rsidP="008D0A08">
      <w:pPr>
        <w:spacing w:line="360" w:lineRule="auto"/>
        <w:jc w:val="both"/>
        <w:rPr>
          <w:rFonts w:ascii="Book Antiqua" w:eastAsia="宋体" w:hAnsi="Book Antiqua" w:cs="Arial Unicode MS"/>
          <w:b/>
          <w:lang w:eastAsia="zh-CN"/>
        </w:rPr>
      </w:pPr>
    </w:p>
    <w:p w14:paraId="2FC1C52E" w14:textId="0EB0D510" w:rsidR="00E90E16" w:rsidRPr="008D0A08" w:rsidRDefault="008D0A08" w:rsidP="008D0A08">
      <w:pPr>
        <w:pStyle w:val="Body"/>
        <w:spacing w:line="360" w:lineRule="auto"/>
        <w:jc w:val="both"/>
        <w:rPr>
          <w:rStyle w:val="apple-converted-space"/>
          <w:rFonts w:ascii="Book Antiqua" w:eastAsiaTheme="minorEastAsia" w:hAnsi="Book Antiqua" w:cstheme="minorBidi"/>
          <w:b/>
          <w:color w:val="1A1A1A"/>
          <w:u w:color="1A1A1A"/>
          <w:bdr w:val="none" w:sz="0" w:space="0" w:color="auto"/>
        </w:rPr>
      </w:pPr>
      <w:proofErr w:type="gramStart"/>
      <w:r>
        <w:rPr>
          <w:rStyle w:val="apple-converted-space"/>
          <w:rFonts w:ascii="Book Antiqua" w:hAnsi="Book Antiqua"/>
          <w:b/>
          <w:color w:val="1A1A1A"/>
          <w:u w:color="1A1A1A"/>
          <w:lang w:val="it-IT"/>
        </w:rPr>
        <w:t>Michael C</w:t>
      </w:r>
      <w:r w:rsidR="00BB4AC0" w:rsidRPr="008D0A08">
        <w:rPr>
          <w:rStyle w:val="apple-converted-space"/>
          <w:rFonts w:ascii="Book Antiqua" w:hAnsi="Book Antiqua"/>
          <w:b/>
          <w:color w:val="1A1A1A"/>
          <w:u w:color="1A1A1A"/>
          <w:lang w:val="it-IT"/>
        </w:rPr>
        <w:t xml:space="preserve"> </w:t>
      </w:r>
      <w:proofErr w:type="spellStart"/>
      <w:r w:rsidR="00BB4AC0" w:rsidRPr="008D0A08">
        <w:rPr>
          <w:rStyle w:val="apple-converted-space"/>
          <w:rFonts w:ascii="Book Antiqua" w:hAnsi="Book Antiqua"/>
          <w:b/>
          <w:color w:val="1A1A1A"/>
          <w:u w:color="1A1A1A"/>
          <w:lang w:val="it-IT"/>
        </w:rPr>
        <w:t>Hsu</w:t>
      </w:r>
      <w:proofErr w:type="spellEnd"/>
      <w:r w:rsidR="00BB4AC0" w:rsidRPr="008D0A08">
        <w:rPr>
          <w:rStyle w:val="apple-converted-space"/>
          <w:rFonts w:ascii="Book Antiqua" w:hAnsi="Book Antiqua"/>
          <w:b/>
          <w:color w:val="1A1A1A"/>
          <w:u w:color="1A1A1A"/>
          <w:lang w:val="it-IT"/>
        </w:rPr>
        <w:t>,</w:t>
      </w:r>
      <w:r w:rsidR="00722C87" w:rsidRPr="008D0A08">
        <w:rPr>
          <w:rStyle w:val="apple-converted-space"/>
          <w:rFonts w:ascii="Book Antiqua" w:hAnsi="Book Antiqua"/>
          <w:b/>
          <w:color w:val="1A1A1A"/>
          <w:u w:color="1A1A1A"/>
          <w:lang w:val="it-IT"/>
        </w:rPr>
        <w:t xml:space="preserve"> </w:t>
      </w:r>
      <w:r>
        <w:rPr>
          <w:rStyle w:val="apple-converted-space"/>
          <w:rFonts w:ascii="Book Antiqua" w:hAnsi="Book Antiqua"/>
          <w:b/>
          <w:color w:val="1A1A1A"/>
          <w:u w:color="1A1A1A"/>
          <w:lang w:val="de-DE"/>
        </w:rPr>
        <w:t>Charles N</w:t>
      </w:r>
      <w:r w:rsidR="00BB4AC0" w:rsidRPr="008D0A08">
        <w:rPr>
          <w:rStyle w:val="apple-converted-space"/>
          <w:rFonts w:ascii="Book Antiqua" w:hAnsi="Book Antiqua"/>
          <w:b/>
          <w:color w:val="1A1A1A"/>
          <w:u w:color="1A1A1A"/>
          <w:lang w:val="de-DE"/>
        </w:rPr>
        <w:t xml:space="preserve"> Weber, </w:t>
      </w:r>
      <w:r>
        <w:rPr>
          <w:rStyle w:val="apple-converted-space"/>
          <w:rFonts w:ascii="Book Antiqua" w:hAnsi="Book Antiqua"/>
          <w:b/>
          <w:color w:val="1A1A1A"/>
          <w:u w:color="1A1A1A"/>
        </w:rPr>
        <w:t>S</w:t>
      </w:r>
      <w:r w:rsidR="00BB4AC0" w:rsidRPr="008D0A08">
        <w:rPr>
          <w:rStyle w:val="apple-converted-space"/>
          <w:rFonts w:ascii="Book Antiqua" w:hAnsi="Book Antiqua"/>
          <w:b/>
          <w:color w:val="1A1A1A"/>
          <w:u w:color="1A1A1A"/>
        </w:rPr>
        <w:t xml:space="preserve"> </w:t>
      </w:r>
      <w:r>
        <w:rPr>
          <w:rStyle w:val="apple-converted-space"/>
          <w:rFonts w:ascii="Book Antiqua" w:hAnsi="Book Antiqua"/>
          <w:b/>
          <w:color w:val="1A1A1A"/>
          <w:u w:color="1A1A1A"/>
        </w:rPr>
        <w:t>William Stavropoulos, Timothy WI</w:t>
      </w:r>
      <w:r>
        <w:rPr>
          <w:rStyle w:val="apple-converted-space"/>
          <w:rFonts w:ascii="Book Antiqua" w:hAnsi="Book Antiqua" w:hint="eastAsia"/>
          <w:b/>
          <w:color w:val="1A1A1A"/>
          <w:u w:color="1A1A1A"/>
          <w:lang w:eastAsia="zh-CN"/>
        </w:rPr>
        <w:t xml:space="preserve"> </w:t>
      </w:r>
      <w:r w:rsidR="00BB4AC0" w:rsidRPr="008D0A08">
        <w:rPr>
          <w:rStyle w:val="apple-converted-space"/>
          <w:rFonts w:ascii="Book Antiqua" w:hAnsi="Book Antiqua"/>
          <w:b/>
          <w:color w:val="1A1A1A"/>
          <w:u w:color="1A1A1A"/>
        </w:rPr>
        <w:t>Clark,</w:t>
      </w:r>
      <w:r w:rsidR="00722C87" w:rsidRPr="008D0A08">
        <w:rPr>
          <w:rStyle w:val="apple-converted-space"/>
          <w:rFonts w:ascii="Book Antiqua" w:hAnsi="Book Antiqua"/>
          <w:b/>
          <w:color w:val="1A1A1A"/>
          <w:u w:color="1A1A1A"/>
        </w:rPr>
        <w:t xml:space="preserve"> </w:t>
      </w:r>
      <w:r>
        <w:rPr>
          <w:rStyle w:val="apple-converted-space"/>
          <w:rFonts w:ascii="Book Antiqua" w:hAnsi="Book Antiqua"/>
          <w:b/>
          <w:color w:val="1A1A1A"/>
          <w:u w:color="1A1A1A"/>
          <w:lang w:val="it-IT"/>
        </w:rPr>
        <w:t>Scott O</w:t>
      </w:r>
      <w:r w:rsidR="00BB4AC0" w:rsidRPr="008D0A08">
        <w:rPr>
          <w:rStyle w:val="apple-converted-space"/>
          <w:rFonts w:ascii="Book Antiqua" w:hAnsi="Book Antiqua"/>
          <w:b/>
          <w:color w:val="1A1A1A"/>
          <w:u w:color="1A1A1A"/>
          <w:lang w:val="it-IT"/>
        </w:rPr>
        <w:t xml:space="preserve"> </w:t>
      </w:r>
      <w:proofErr w:type="spellStart"/>
      <w:r w:rsidR="00BB4AC0" w:rsidRPr="008D0A08">
        <w:rPr>
          <w:rStyle w:val="apple-converted-space"/>
          <w:rFonts w:ascii="Book Antiqua" w:hAnsi="Book Antiqua"/>
          <w:b/>
          <w:color w:val="1A1A1A"/>
          <w:u w:color="1A1A1A"/>
          <w:lang w:val="it-IT"/>
        </w:rPr>
        <w:t>Trerotola</w:t>
      </w:r>
      <w:proofErr w:type="spellEnd"/>
      <w:r w:rsidR="00BB4AC0" w:rsidRPr="008D0A08">
        <w:rPr>
          <w:rStyle w:val="apple-converted-space"/>
          <w:rFonts w:ascii="Book Antiqua" w:hAnsi="Book Antiqua"/>
          <w:b/>
          <w:color w:val="1A1A1A"/>
          <w:u w:color="1A1A1A"/>
          <w:lang w:val="it-IT"/>
        </w:rPr>
        <w:t>,</w:t>
      </w:r>
      <w:r w:rsidR="00722C87" w:rsidRPr="008D0A08">
        <w:rPr>
          <w:rStyle w:val="apple-converted-space"/>
          <w:rFonts w:ascii="Book Antiqua" w:hAnsi="Book Antiqua"/>
          <w:b/>
          <w:color w:val="1A1A1A"/>
          <w:u w:color="1A1A1A"/>
          <w:lang w:val="it-IT"/>
        </w:rPr>
        <w:t xml:space="preserve"> </w:t>
      </w:r>
      <w:r>
        <w:rPr>
          <w:rStyle w:val="apple-converted-space"/>
          <w:rFonts w:ascii="Book Antiqua" w:hAnsi="Book Antiqua"/>
          <w:b/>
          <w:color w:val="1A1A1A"/>
          <w:u w:color="1A1A1A"/>
          <w:lang w:val="de-DE"/>
        </w:rPr>
        <w:t>Richard D</w:t>
      </w:r>
      <w:r>
        <w:rPr>
          <w:rStyle w:val="apple-converted-space"/>
          <w:rFonts w:ascii="Book Antiqua" w:hAnsi="Book Antiqua" w:hint="eastAsia"/>
          <w:b/>
          <w:color w:val="1A1A1A"/>
          <w:u w:color="1A1A1A"/>
          <w:lang w:val="de-DE" w:eastAsia="zh-CN"/>
        </w:rPr>
        <w:t xml:space="preserve"> </w:t>
      </w:r>
      <w:proofErr w:type="spellStart"/>
      <w:r w:rsidR="00BB4AC0" w:rsidRPr="008D0A08">
        <w:rPr>
          <w:rStyle w:val="apple-converted-space"/>
          <w:rFonts w:ascii="Book Antiqua" w:hAnsi="Book Antiqua"/>
          <w:b/>
          <w:color w:val="1A1A1A"/>
          <w:u w:color="1A1A1A"/>
          <w:lang w:val="de-DE"/>
        </w:rPr>
        <w:t>Shlansky</w:t>
      </w:r>
      <w:proofErr w:type="spellEnd"/>
      <w:r w:rsidR="00BB4AC0" w:rsidRPr="008D0A08">
        <w:rPr>
          <w:rStyle w:val="apple-converted-space"/>
          <w:rFonts w:ascii="Book Antiqua" w:hAnsi="Book Antiqua"/>
          <w:b/>
          <w:color w:val="1A1A1A"/>
          <w:u w:color="1A1A1A"/>
          <w:lang w:val="de-DE"/>
        </w:rPr>
        <w:t>-Goldberg,</w:t>
      </w:r>
      <w:r w:rsidR="00722C87" w:rsidRPr="008D0A08">
        <w:rPr>
          <w:rStyle w:val="apple-converted-space"/>
          <w:rFonts w:ascii="Book Antiqua" w:hAnsi="Book Antiqua"/>
          <w:b/>
          <w:color w:val="1A1A1A"/>
          <w:u w:color="1A1A1A"/>
          <w:lang w:val="de-DE"/>
        </w:rPr>
        <w:t xml:space="preserve"> </w:t>
      </w:r>
      <w:r>
        <w:rPr>
          <w:rStyle w:val="apple-converted-space"/>
          <w:rFonts w:ascii="Book Antiqua" w:hAnsi="Book Antiqua"/>
          <w:b/>
          <w:color w:val="1A1A1A"/>
          <w:u w:color="1A1A1A"/>
          <w:lang w:val="de-DE"/>
        </w:rPr>
        <w:t>Michael C</w:t>
      </w:r>
      <w:r w:rsidR="00BB4AC0" w:rsidRPr="008D0A08">
        <w:rPr>
          <w:rStyle w:val="apple-converted-space"/>
          <w:rFonts w:ascii="Book Antiqua" w:hAnsi="Book Antiqua"/>
          <w:b/>
          <w:color w:val="1A1A1A"/>
          <w:u w:color="1A1A1A"/>
          <w:lang w:val="de-DE"/>
        </w:rPr>
        <w:t xml:space="preserve"> </w:t>
      </w:r>
      <w:proofErr w:type="spellStart"/>
      <w:r w:rsidR="00BB4AC0" w:rsidRPr="008D0A08">
        <w:rPr>
          <w:rStyle w:val="apple-converted-space"/>
          <w:rFonts w:ascii="Book Antiqua" w:hAnsi="Book Antiqua"/>
          <w:b/>
          <w:color w:val="1A1A1A"/>
          <w:u w:color="1A1A1A"/>
          <w:lang w:val="de-DE"/>
        </w:rPr>
        <w:t>Soulen</w:t>
      </w:r>
      <w:proofErr w:type="spellEnd"/>
      <w:r w:rsidR="00BB4AC0" w:rsidRPr="008D0A08">
        <w:rPr>
          <w:rStyle w:val="apple-converted-space"/>
          <w:rFonts w:ascii="Book Antiqua" w:hAnsi="Book Antiqua"/>
          <w:b/>
          <w:color w:val="1A1A1A"/>
          <w:u w:color="1A1A1A"/>
          <w:lang w:val="de-DE"/>
        </w:rPr>
        <w:t>,</w:t>
      </w:r>
      <w:r w:rsidR="00722C87" w:rsidRPr="008D0A08">
        <w:rPr>
          <w:rStyle w:val="apple-converted-space"/>
          <w:rFonts w:ascii="Book Antiqua" w:hAnsi="Book Antiqua"/>
          <w:b/>
          <w:color w:val="1A1A1A"/>
          <w:u w:color="1A1A1A"/>
          <w:lang w:val="de-DE"/>
        </w:rPr>
        <w:t xml:space="preserve"> </w:t>
      </w:r>
      <w:proofErr w:type="gramEnd"/>
      <w:r>
        <w:rPr>
          <w:rStyle w:val="apple-converted-space"/>
          <w:rFonts w:ascii="Book Antiqua" w:hAnsi="Book Antiqua"/>
          <w:b/>
          <w:color w:val="1A1A1A"/>
          <w:u w:color="1A1A1A"/>
        </w:rPr>
        <w:t>Gregory J</w:t>
      </w:r>
      <w:r w:rsidR="00BB4AC0" w:rsidRPr="008D0A08">
        <w:rPr>
          <w:rStyle w:val="apple-converted-space"/>
          <w:rFonts w:ascii="Book Antiqua" w:hAnsi="Book Antiqua"/>
          <w:b/>
          <w:color w:val="1A1A1A"/>
          <w:u w:color="1A1A1A"/>
        </w:rPr>
        <w:t xml:space="preserve"> </w:t>
      </w:r>
      <w:proofErr w:type="spellStart"/>
      <w:r w:rsidR="00BB4AC0" w:rsidRPr="008D0A08">
        <w:rPr>
          <w:rStyle w:val="apple-converted-space"/>
          <w:rFonts w:ascii="Book Antiqua" w:hAnsi="Book Antiqua"/>
          <w:b/>
          <w:color w:val="1A1A1A"/>
          <w:u w:color="1A1A1A"/>
        </w:rPr>
        <w:t>Nadolski</w:t>
      </w:r>
      <w:proofErr w:type="spellEnd"/>
    </w:p>
    <w:p w14:paraId="063B8A2C" w14:textId="77777777" w:rsidR="00722C87" w:rsidRPr="008D0A08" w:rsidRDefault="00722C87" w:rsidP="008D0A08">
      <w:pPr>
        <w:pStyle w:val="Body"/>
        <w:spacing w:line="360" w:lineRule="auto"/>
        <w:jc w:val="both"/>
        <w:rPr>
          <w:rStyle w:val="apple-converted-space"/>
          <w:rFonts w:ascii="Book Antiqua" w:hAnsi="Book Antiqua"/>
          <w:color w:val="1A1A1A"/>
          <w:u w:color="1A1A1A"/>
        </w:rPr>
      </w:pPr>
    </w:p>
    <w:p w14:paraId="1F14CBD5" w14:textId="6B1CFC06" w:rsidR="00722C87" w:rsidRPr="008D0A08" w:rsidRDefault="008D0A08" w:rsidP="008D0A08">
      <w:pPr>
        <w:pStyle w:val="Body"/>
        <w:spacing w:line="360" w:lineRule="auto"/>
        <w:jc w:val="both"/>
        <w:rPr>
          <w:rFonts w:ascii="Book Antiqua" w:eastAsiaTheme="minorEastAsia" w:hAnsi="Book Antiqua" w:cstheme="minorBidi"/>
          <w:color w:val="1A1A1A"/>
          <w:u w:color="1A1A1A"/>
          <w:bdr w:val="none" w:sz="0" w:space="0" w:color="auto"/>
          <w:lang w:val="it-IT"/>
        </w:rPr>
      </w:pPr>
      <w:proofErr w:type="gramStart"/>
      <w:r>
        <w:rPr>
          <w:rStyle w:val="apple-converted-space"/>
          <w:rFonts w:ascii="Book Antiqua" w:hAnsi="Book Antiqua"/>
          <w:b/>
          <w:color w:val="1A1A1A"/>
          <w:u w:color="1A1A1A"/>
          <w:lang w:val="it-IT"/>
        </w:rPr>
        <w:t>Michael C</w:t>
      </w:r>
      <w:r w:rsidR="00722C87" w:rsidRPr="008D0A08">
        <w:rPr>
          <w:rStyle w:val="apple-converted-space"/>
          <w:rFonts w:ascii="Book Antiqua" w:hAnsi="Book Antiqua"/>
          <w:b/>
          <w:color w:val="1A1A1A"/>
          <w:u w:color="1A1A1A"/>
          <w:lang w:val="it-IT"/>
        </w:rPr>
        <w:t xml:space="preserve"> </w:t>
      </w:r>
      <w:proofErr w:type="spellStart"/>
      <w:r w:rsidR="00722C87" w:rsidRPr="008D0A08">
        <w:rPr>
          <w:rStyle w:val="apple-converted-space"/>
          <w:rFonts w:ascii="Book Antiqua" w:hAnsi="Book Antiqua"/>
          <w:b/>
          <w:color w:val="1A1A1A"/>
          <w:u w:color="1A1A1A"/>
          <w:lang w:val="it-IT"/>
        </w:rPr>
        <w:t>Hsu</w:t>
      </w:r>
      <w:proofErr w:type="spellEnd"/>
      <w:r w:rsidR="00722C87" w:rsidRPr="008D0A08">
        <w:rPr>
          <w:rStyle w:val="apple-converted-space"/>
          <w:rFonts w:ascii="Book Antiqua" w:hAnsi="Book Antiqua"/>
          <w:b/>
          <w:color w:val="1A1A1A"/>
          <w:u w:color="1A1A1A"/>
          <w:lang w:val="it-IT"/>
        </w:rPr>
        <w:t xml:space="preserve">, </w:t>
      </w:r>
      <w:r>
        <w:rPr>
          <w:rStyle w:val="apple-converted-space"/>
          <w:rFonts w:ascii="Book Antiqua" w:hAnsi="Book Antiqua"/>
          <w:b/>
          <w:color w:val="1A1A1A"/>
          <w:u w:color="1A1A1A"/>
          <w:lang w:val="de-DE"/>
        </w:rPr>
        <w:t>Charles N</w:t>
      </w:r>
      <w:r w:rsidR="00722C87" w:rsidRPr="008D0A08">
        <w:rPr>
          <w:rStyle w:val="apple-converted-space"/>
          <w:rFonts w:ascii="Book Antiqua" w:hAnsi="Book Antiqua"/>
          <w:b/>
          <w:color w:val="1A1A1A"/>
          <w:u w:color="1A1A1A"/>
          <w:lang w:val="de-DE"/>
        </w:rPr>
        <w:t xml:space="preserve"> Weber, </w:t>
      </w:r>
      <w:r>
        <w:rPr>
          <w:rStyle w:val="apple-converted-space"/>
          <w:rFonts w:ascii="Book Antiqua" w:hAnsi="Book Antiqua"/>
          <w:b/>
          <w:color w:val="1A1A1A"/>
          <w:u w:color="1A1A1A"/>
        </w:rPr>
        <w:t>S</w:t>
      </w:r>
      <w:r w:rsidR="00722C87" w:rsidRPr="008D0A08">
        <w:rPr>
          <w:rStyle w:val="apple-converted-space"/>
          <w:rFonts w:ascii="Book Antiqua" w:hAnsi="Book Antiqua"/>
          <w:b/>
          <w:color w:val="1A1A1A"/>
          <w:u w:color="1A1A1A"/>
        </w:rPr>
        <w:t xml:space="preserve"> W</w:t>
      </w:r>
      <w:r>
        <w:rPr>
          <w:rStyle w:val="apple-converted-space"/>
          <w:rFonts w:ascii="Book Antiqua" w:hAnsi="Book Antiqua"/>
          <w:b/>
          <w:color w:val="1A1A1A"/>
          <w:u w:color="1A1A1A"/>
        </w:rPr>
        <w:t>illiam Stavropoulos, Timothy WI</w:t>
      </w:r>
      <w:r>
        <w:rPr>
          <w:rStyle w:val="apple-converted-space"/>
          <w:rFonts w:ascii="Book Antiqua" w:hAnsi="Book Antiqua" w:hint="eastAsia"/>
          <w:b/>
          <w:color w:val="1A1A1A"/>
          <w:u w:color="1A1A1A"/>
          <w:lang w:eastAsia="zh-CN"/>
        </w:rPr>
        <w:t xml:space="preserve"> </w:t>
      </w:r>
      <w:r w:rsidR="00722C87" w:rsidRPr="008D0A08">
        <w:rPr>
          <w:rStyle w:val="apple-converted-space"/>
          <w:rFonts w:ascii="Book Antiqua" w:hAnsi="Book Antiqua"/>
          <w:b/>
          <w:color w:val="1A1A1A"/>
          <w:u w:color="1A1A1A"/>
        </w:rPr>
        <w:t xml:space="preserve">Clark, </w:t>
      </w:r>
      <w:r>
        <w:rPr>
          <w:rStyle w:val="apple-converted-space"/>
          <w:rFonts w:ascii="Book Antiqua" w:hAnsi="Book Antiqua"/>
          <w:b/>
          <w:color w:val="1A1A1A"/>
          <w:u w:color="1A1A1A"/>
          <w:lang w:val="it-IT"/>
        </w:rPr>
        <w:t>Scott O</w:t>
      </w:r>
      <w:r w:rsidR="00722C87" w:rsidRPr="008D0A08">
        <w:rPr>
          <w:rStyle w:val="apple-converted-space"/>
          <w:rFonts w:ascii="Book Antiqua" w:hAnsi="Book Antiqua"/>
          <w:b/>
          <w:color w:val="1A1A1A"/>
          <w:u w:color="1A1A1A"/>
          <w:lang w:val="it-IT"/>
        </w:rPr>
        <w:t xml:space="preserve"> </w:t>
      </w:r>
      <w:proofErr w:type="spellStart"/>
      <w:r w:rsidR="00722C87" w:rsidRPr="008D0A08">
        <w:rPr>
          <w:rStyle w:val="apple-converted-space"/>
          <w:rFonts w:ascii="Book Antiqua" w:hAnsi="Book Antiqua"/>
          <w:b/>
          <w:color w:val="1A1A1A"/>
          <w:u w:color="1A1A1A"/>
          <w:lang w:val="it-IT"/>
        </w:rPr>
        <w:t>Trerotola</w:t>
      </w:r>
      <w:proofErr w:type="spellEnd"/>
      <w:r w:rsidR="00722C87" w:rsidRPr="008D0A08">
        <w:rPr>
          <w:rStyle w:val="apple-converted-space"/>
          <w:rFonts w:ascii="Book Antiqua" w:hAnsi="Book Antiqua"/>
          <w:b/>
          <w:color w:val="1A1A1A"/>
          <w:u w:color="1A1A1A"/>
          <w:lang w:val="it-IT"/>
        </w:rPr>
        <w:t xml:space="preserve">, </w:t>
      </w:r>
      <w:r>
        <w:rPr>
          <w:rStyle w:val="apple-converted-space"/>
          <w:rFonts w:ascii="Book Antiqua" w:hAnsi="Book Antiqua"/>
          <w:b/>
          <w:color w:val="1A1A1A"/>
          <w:u w:color="1A1A1A"/>
          <w:lang w:val="de-DE"/>
        </w:rPr>
        <w:t>Richard D</w:t>
      </w:r>
      <w:r w:rsidR="00722C87" w:rsidRPr="008D0A08">
        <w:rPr>
          <w:rStyle w:val="apple-converted-space"/>
          <w:rFonts w:ascii="Book Antiqua" w:hAnsi="Book Antiqua"/>
          <w:b/>
          <w:color w:val="1A1A1A"/>
          <w:u w:color="1A1A1A"/>
          <w:lang w:val="de-DE"/>
        </w:rPr>
        <w:t xml:space="preserve"> </w:t>
      </w:r>
      <w:proofErr w:type="spellStart"/>
      <w:r w:rsidR="00722C87" w:rsidRPr="008D0A08">
        <w:rPr>
          <w:rStyle w:val="apple-converted-space"/>
          <w:rFonts w:ascii="Book Antiqua" w:hAnsi="Book Antiqua"/>
          <w:b/>
          <w:color w:val="1A1A1A"/>
          <w:u w:color="1A1A1A"/>
          <w:lang w:val="de-DE"/>
        </w:rPr>
        <w:t>Shlansky</w:t>
      </w:r>
      <w:proofErr w:type="spellEnd"/>
      <w:r w:rsidR="00722C87" w:rsidRPr="008D0A08">
        <w:rPr>
          <w:rStyle w:val="apple-converted-space"/>
          <w:rFonts w:ascii="Book Antiqua" w:hAnsi="Book Antiqua"/>
          <w:b/>
          <w:color w:val="1A1A1A"/>
          <w:u w:color="1A1A1A"/>
          <w:lang w:val="de-DE"/>
        </w:rPr>
        <w:t xml:space="preserve">-Goldberg, </w:t>
      </w:r>
      <w:r>
        <w:rPr>
          <w:rStyle w:val="apple-converted-space"/>
          <w:rFonts w:ascii="Book Antiqua" w:hAnsi="Book Antiqua"/>
          <w:b/>
          <w:color w:val="1A1A1A"/>
          <w:u w:color="1A1A1A"/>
          <w:lang w:val="de-DE"/>
        </w:rPr>
        <w:t>Michael C</w:t>
      </w:r>
      <w:r w:rsidR="00722C87" w:rsidRPr="008D0A08">
        <w:rPr>
          <w:rStyle w:val="apple-converted-space"/>
          <w:rFonts w:ascii="Book Antiqua" w:hAnsi="Book Antiqua"/>
          <w:b/>
          <w:color w:val="1A1A1A"/>
          <w:u w:color="1A1A1A"/>
          <w:lang w:val="de-DE"/>
        </w:rPr>
        <w:t xml:space="preserve"> </w:t>
      </w:r>
      <w:proofErr w:type="spellStart"/>
      <w:r w:rsidR="00722C87" w:rsidRPr="008D0A08">
        <w:rPr>
          <w:rStyle w:val="apple-converted-space"/>
          <w:rFonts w:ascii="Book Antiqua" w:hAnsi="Book Antiqua"/>
          <w:b/>
          <w:color w:val="1A1A1A"/>
          <w:u w:color="1A1A1A"/>
          <w:lang w:val="de-DE"/>
        </w:rPr>
        <w:t>Soulen</w:t>
      </w:r>
      <w:proofErr w:type="spellEnd"/>
      <w:r w:rsidR="00722C87" w:rsidRPr="008D0A08">
        <w:rPr>
          <w:rStyle w:val="apple-converted-space"/>
          <w:rFonts w:ascii="Book Antiqua" w:hAnsi="Book Antiqua"/>
          <w:b/>
          <w:color w:val="1A1A1A"/>
          <w:u w:color="1A1A1A"/>
          <w:lang w:val="de-DE"/>
        </w:rPr>
        <w:t xml:space="preserve">, </w:t>
      </w:r>
      <w:proofErr w:type="gramEnd"/>
      <w:r>
        <w:rPr>
          <w:rStyle w:val="apple-converted-space"/>
          <w:rFonts w:ascii="Book Antiqua" w:hAnsi="Book Antiqua"/>
          <w:b/>
          <w:color w:val="1A1A1A"/>
          <w:u w:color="1A1A1A"/>
        </w:rPr>
        <w:t>Gregory J</w:t>
      </w:r>
      <w:r w:rsidR="00722C87" w:rsidRPr="008D0A08">
        <w:rPr>
          <w:rStyle w:val="apple-converted-space"/>
          <w:rFonts w:ascii="Book Antiqua" w:hAnsi="Book Antiqua"/>
          <w:b/>
          <w:color w:val="1A1A1A"/>
          <w:u w:color="1A1A1A"/>
        </w:rPr>
        <w:t xml:space="preserve"> </w:t>
      </w:r>
      <w:proofErr w:type="spellStart"/>
      <w:r w:rsidR="00722C87" w:rsidRPr="008D0A08">
        <w:rPr>
          <w:rStyle w:val="apple-converted-space"/>
          <w:rFonts w:ascii="Book Antiqua" w:hAnsi="Book Antiqua"/>
          <w:b/>
          <w:color w:val="1A1A1A"/>
          <w:u w:color="1A1A1A"/>
        </w:rPr>
        <w:t>Nadolski</w:t>
      </w:r>
      <w:proofErr w:type="spellEnd"/>
      <w:r w:rsidR="00722C87" w:rsidRPr="008D0A08">
        <w:rPr>
          <w:rStyle w:val="apple-converted-space"/>
          <w:rFonts w:ascii="Book Antiqua" w:hAnsi="Book Antiqua"/>
          <w:b/>
          <w:color w:val="1A1A1A"/>
          <w:u w:color="1A1A1A"/>
        </w:rPr>
        <w:t xml:space="preserve">, </w:t>
      </w:r>
      <w:r w:rsidR="00722C87" w:rsidRPr="008D0A08">
        <w:rPr>
          <w:rStyle w:val="apple-converted-space"/>
          <w:rFonts w:ascii="Book Antiqua" w:hAnsi="Book Antiqua"/>
          <w:color w:val="1A1A1A"/>
          <w:u w:color="1A1A1A"/>
        </w:rPr>
        <w:t>Department of Radiology, Division of Interventional Radiology, Hospital of the University of Pennsylvania</w:t>
      </w:r>
      <w:r w:rsidR="00EF64C6" w:rsidRPr="008D0A08">
        <w:rPr>
          <w:rStyle w:val="apple-converted-space"/>
          <w:rFonts w:ascii="Book Antiqua" w:hAnsi="Book Antiqua"/>
          <w:color w:val="1A1A1A"/>
          <w:u w:color="1A1A1A"/>
        </w:rPr>
        <w:t>, Philadelphia, PA</w:t>
      </w:r>
      <w:r>
        <w:rPr>
          <w:rStyle w:val="apple-converted-space"/>
          <w:rFonts w:ascii="Book Antiqua" w:hAnsi="Book Antiqua" w:hint="eastAsia"/>
          <w:color w:val="1A1A1A"/>
          <w:u w:color="1A1A1A"/>
          <w:lang w:eastAsia="zh-CN"/>
        </w:rPr>
        <w:t xml:space="preserve"> </w:t>
      </w:r>
      <w:r w:rsidR="00EF64C6" w:rsidRPr="008D0A08">
        <w:rPr>
          <w:rStyle w:val="apple-converted-space"/>
          <w:rFonts w:ascii="Book Antiqua" w:hAnsi="Book Antiqua"/>
          <w:color w:val="1A1A1A"/>
          <w:u w:color="1A1A1A"/>
        </w:rPr>
        <w:t xml:space="preserve">19104, </w:t>
      </w:r>
      <w:bookmarkStart w:id="26" w:name="OLE_LINK188"/>
      <w:bookmarkStart w:id="27" w:name="OLE_LINK189"/>
      <w:r w:rsidRPr="008D0A08">
        <w:rPr>
          <w:rStyle w:val="apple-converted-space"/>
          <w:rFonts w:ascii="Book Antiqua" w:hAnsi="Book Antiqua"/>
          <w:color w:val="1A1A1A"/>
          <w:u w:color="1A1A1A"/>
        </w:rPr>
        <w:t>United States</w:t>
      </w:r>
    </w:p>
    <w:bookmarkEnd w:id="26"/>
    <w:bookmarkEnd w:id="27"/>
    <w:p w14:paraId="35307567" w14:textId="77777777" w:rsidR="00722C87" w:rsidRPr="008D0A08" w:rsidRDefault="00722C87" w:rsidP="008D0A08">
      <w:pPr>
        <w:pStyle w:val="Body"/>
        <w:spacing w:line="360" w:lineRule="auto"/>
        <w:jc w:val="both"/>
        <w:rPr>
          <w:rFonts w:ascii="Book Antiqua" w:eastAsiaTheme="minorEastAsia" w:hAnsi="Book Antiqua" w:cstheme="minorBidi"/>
          <w:color w:val="1A1A1A"/>
          <w:u w:color="1A1A1A"/>
          <w:bdr w:val="none" w:sz="0" w:space="0" w:color="auto"/>
          <w:lang w:val="it-IT"/>
        </w:rPr>
      </w:pPr>
    </w:p>
    <w:p w14:paraId="1B01FF59" w14:textId="23CC2233" w:rsidR="00EF64C6" w:rsidRPr="008D0A08" w:rsidRDefault="00EF64C6" w:rsidP="008D0A08">
      <w:pPr>
        <w:spacing w:line="360" w:lineRule="auto"/>
        <w:jc w:val="both"/>
        <w:rPr>
          <w:rFonts w:ascii="Book Antiqua" w:eastAsia="MS Mincho" w:hAnsi="Book Antiqua"/>
          <w:lang w:eastAsia="ja-JP"/>
        </w:rPr>
      </w:pPr>
      <w:r w:rsidRPr="008D0A08">
        <w:rPr>
          <w:rFonts w:ascii="Book Antiqua" w:eastAsia="MS Mincho" w:hAnsi="Book Antiqua"/>
          <w:b/>
          <w:lang w:eastAsia="ja-JP"/>
        </w:rPr>
        <w:t xml:space="preserve">Author contributions: </w:t>
      </w:r>
      <w:r w:rsidRPr="008D0A08">
        <w:rPr>
          <w:rFonts w:ascii="Book Antiqua" w:eastAsia="MS Mincho" w:hAnsi="Book Antiqua"/>
          <w:lang w:eastAsia="ja-JP"/>
        </w:rPr>
        <w:t>Hsu MC, Weber CN</w:t>
      </w:r>
      <w:r w:rsidR="008D0A08">
        <w:rPr>
          <w:rFonts w:ascii="Book Antiqua" w:eastAsia="宋体" w:hAnsi="Book Antiqua" w:hint="eastAsia"/>
          <w:lang w:eastAsia="zh-CN"/>
        </w:rPr>
        <w:t xml:space="preserve"> </w:t>
      </w:r>
      <w:r w:rsidRPr="008D0A08">
        <w:rPr>
          <w:rFonts w:ascii="Book Antiqua" w:eastAsia="MS Mincho" w:hAnsi="Book Antiqua"/>
          <w:lang w:eastAsia="ja-JP"/>
        </w:rPr>
        <w:t xml:space="preserve">and </w:t>
      </w:r>
      <w:proofErr w:type="spellStart"/>
      <w:r w:rsidRPr="008D0A08">
        <w:rPr>
          <w:rFonts w:ascii="Book Antiqua" w:eastAsia="MS Mincho" w:hAnsi="Book Antiqua"/>
          <w:lang w:eastAsia="ja-JP"/>
        </w:rPr>
        <w:t>Nadolski</w:t>
      </w:r>
      <w:proofErr w:type="spellEnd"/>
      <w:r w:rsidRPr="008D0A08">
        <w:rPr>
          <w:rFonts w:ascii="Book Antiqua" w:eastAsia="MS Mincho" w:hAnsi="Book Antiqua"/>
          <w:lang w:eastAsia="ja-JP"/>
        </w:rPr>
        <w:t xml:space="preserve"> GJ designed the study, performed the data analysis, and wrote the manuscript</w:t>
      </w:r>
      <w:r w:rsidR="008D0A08">
        <w:rPr>
          <w:rFonts w:ascii="Book Antiqua" w:eastAsia="宋体" w:hAnsi="Book Antiqua" w:hint="eastAsia"/>
          <w:lang w:eastAsia="zh-CN"/>
        </w:rPr>
        <w:t>;</w:t>
      </w:r>
      <w:r w:rsidR="008D0A08">
        <w:rPr>
          <w:rFonts w:ascii="Book Antiqua" w:eastAsia="MS Mincho" w:hAnsi="Book Antiqua"/>
          <w:lang w:eastAsia="ja-JP"/>
        </w:rPr>
        <w:t xml:space="preserve"> </w:t>
      </w:r>
      <w:r w:rsidRPr="008D0A08">
        <w:rPr>
          <w:rFonts w:ascii="Book Antiqua" w:eastAsia="MS Mincho" w:hAnsi="Book Antiqua"/>
          <w:lang w:eastAsia="ja-JP"/>
        </w:rPr>
        <w:t xml:space="preserve">Stavropoulos SW, Clark TW, </w:t>
      </w:r>
      <w:proofErr w:type="spellStart"/>
      <w:r w:rsidRPr="008D0A08">
        <w:rPr>
          <w:rFonts w:ascii="Book Antiqua" w:eastAsia="MS Mincho" w:hAnsi="Book Antiqua"/>
          <w:lang w:eastAsia="ja-JP"/>
        </w:rPr>
        <w:t>Trerotola</w:t>
      </w:r>
      <w:proofErr w:type="spellEnd"/>
      <w:r w:rsidRPr="008D0A08">
        <w:rPr>
          <w:rFonts w:ascii="Book Antiqua" w:eastAsia="MS Mincho" w:hAnsi="Book Antiqua"/>
          <w:lang w:eastAsia="ja-JP"/>
        </w:rPr>
        <w:t xml:space="preserve"> SO, </w:t>
      </w:r>
      <w:proofErr w:type="spellStart"/>
      <w:r w:rsidRPr="008D0A08">
        <w:rPr>
          <w:rFonts w:ascii="Book Antiqua" w:eastAsia="MS Mincho" w:hAnsi="Book Antiqua"/>
          <w:lang w:eastAsia="ja-JP"/>
        </w:rPr>
        <w:t>Shlansky</w:t>
      </w:r>
      <w:proofErr w:type="spellEnd"/>
      <w:r w:rsidRPr="008D0A08">
        <w:rPr>
          <w:rFonts w:ascii="Book Antiqua" w:eastAsia="MS Mincho" w:hAnsi="Book Antiqua"/>
          <w:lang w:eastAsia="ja-JP"/>
        </w:rPr>
        <w:t>-Goldberg RD</w:t>
      </w:r>
      <w:r w:rsidR="008D0A08">
        <w:rPr>
          <w:rFonts w:ascii="Book Antiqua" w:eastAsia="宋体" w:hAnsi="Book Antiqua" w:hint="eastAsia"/>
          <w:lang w:eastAsia="zh-CN"/>
        </w:rPr>
        <w:t xml:space="preserve"> </w:t>
      </w:r>
      <w:r w:rsidRPr="008D0A08">
        <w:rPr>
          <w:rFonts w:ascii="Book Antiqua" w:eastAsia="MS Mincho" w:hAnsi="Book Antiqua"/>
          <w:lang w:eastAsia="ja-JP"/>
        </w:rPr>
        <w:t xml:space="preserve">and </w:t>
      </w:r>
      <w:proofErr w:type="spellStart"/>
      <w:r w:rsidRPr="008D0A08">
        <w:rPr>
          <w:rFonts w:ascii="Book Antiqua" w:eastAsia="MS Mincho" w:hAnsi="Book Antiqua"/>
          <w:lang w:eastAsia="ja-JP"/>
        </w:rPr>
        <w:t>Soulen</w:t>
      </w:r>
      <w:proofErr w:type="spellEnd"/>
      <w:r w:rsidRPr="008D0A08">
        <w:rPr>
          <w:rFonts w:ascii="Book Antiqua" w:eastAsia="MS Mincho" w:hAnsi="Book Antiqua"/>
          <w:lang w:eastAsia="ja-JP"/>
        </w:rPr>
        <w:t xml:space="preserve"> MC performed the majority of the procedures and were involved in editing the manuscript.</w:t>
      </w:r>
    </w:p>
    <w:p w14:paraId="7F75708F" w14:textId="57BEA102" w:rsidR="00182DEE" w:rsidRPr="008D0A08" w:rsidRDefault="00182DEE" w:rsidP="008D0A08">
      <w:pPr>
        <w:spacing w:line="360" w:lineRule="auto"/>
        <w:jc w:val="both"/>
        <w:rPr>
          <w:rFonts w:ascii="Book Antiqua" w:eastAsia="宋体" w:hAnsi="Book Antiqua"/>
          <w:b/>
          <w:bCs/>
          <w:lang w:eastAsia="zh-CN"/>
        </w:rPr>
      </w:pPr>
      <w:bookmarkStart w:id="28" w:name="OLE_LINK231"/>
      <w:bookmarkStart w:id="29" w:name="OLE_LINK234"/>
      <w:bookmarkStart w:id="30" w:name="OLE_LINK342"/>
      <w:bookmarkStart w:id="31" w:name="OLE_LINK473"/>
    </w:p>
    <w:p w14:paraId="576C147C" w14:textId="2F894CD9" w:rsidR="00DC618A" w:rsidRPr="008D0A08" w:rsidRDefault="00DC618A" w:rsidP="008D0A08">
      <w:pPr>
        <w:autoSpaceDE w:val="0"/>
        <w:autoSpaceDN w:val="0"/>
        <w:adjustRightInd w:val="0"/>
        <w:spacing w:line="360" w:lineRule="auto"/>
        <w:jc w:val="both"/>
        <w:rPr>
          <w:rFonts w:ascii="Book Antiqua" w:hAnsi="Book Antiqua"/>
          <w:bCs/>
          <w:iCs/>
          <w:color w:val="000000"/>
        </w:rPr>
      </w:pPr>
      <w:bookmarkStart w:id="32" w:name="OLE_LINK4"/>
      <w:bookmarkStart w:id="33" w:name="OLE_LINK5"/>
      <w:bookmarkStart w:id="34" w:name="OLE_LINK379"/>
      <w:bookmarkStart w:id="35" w:name="OLE_LINK380"/>
      <w:bookmarkStart w:id="36" w:name="OLE_LINK534"/>
      <w:bookmarkStart w:id="37" w:name="OLE_LINK498"/>
      <w:bookmarkStart w:id="38" w:name="OLE_LINK499"/>
      <w:bookmarkStart w:id="39" w:name="OLE_LINK513"/>
      <w:bookmarkStart w:id="40" w:name="OLE_LINK521"/>
      <w:bookmarkStart w:id="41" w:name="OLE_LINK20"/>
      <w:bookmarkStart w:id="42" w:name="OLE_LINK21"/>
      <w:bookmarkStart w:id="43" w:name="OLE_LINK208"/>
      <w:bookmarkStart w:id="44" w:name="OLE_LINK209"/>
      <w:bookmarkEnd w:id="28"/>
      <w:bookmarkEnd w:id="29"/>
      <w:bookmarkEnd w:id="30"/>
      <w:bookmarkEnd w:id="31"/>
      <w:r w:rsidRPr="008D0A08">
        <w:rPr>
          <w:rFonts w:ascii="Book Antiqua" w:hAnsi="Book Antiqua"/>
          <w:b/>
          <w:bCs/>
          <w:iCs/>
          <w:color w:val="000000"/>
        </w:rPr>
        <w:t>Institutional review board</w:t>
      </w:r>
      <w:r w:rsidRPr="008D0A08">
        <w:rPr>
          <w:rFonts w:ascii="Book Antiqua" w:hAnsi="Book Antiqua"/>
          <w:b/>
          <w:bCs/>
          <w:iCs/>
        </w:rPr>
        <w:t xml:space="preserve"> statement</w:t>
      </w:r>
      <w:r w:rsidRPr="008D0A08">
        <w:rPr>
          <w:rFonts w:ascii="Book Antiqua" w:hAnsi="Book Antiqua"/>
          <w:b/>
          <w:bCs/>
          <w:iCs/>
          <w:color w:val="000000"/>
        </w:rPr>
        <w:t>:</w:t>
      </w:r>
      <w:r w:rsidR="00182DEE" w:rsidRPr="008D0A08">
        <w:rPr>
          <w:rFonts w:ascii="Book Antiqua" w:hAnsi="Book Antiqua"/>
          <w:b/>
          <w:bCs/>
          <w:iCs/>
          <w:color w:val="000000"/>
        </w:rPr>
        <w:t xml:space="preserve"> </w:t>
      </w:r>
      <w:r w:rsidR="00182DEE" w:rsidRPr="008D0A08">
        <w:rPr>
          <w:rFonts w:ascii="Book Antiqua" w:hAnsi="Book Antiqua"/>
          <w:bCs/>
          <w:iCs/>
          <w:color w:val="000000"/>
        </w:rPr>
        <w:t>Institutional review board approv</w:t>
      </w:r>
      <w:r w:rsidR="008D0A08">
        <w:rPr>
          <w:rFonts w:ascii="Book Antiqua" w:hAnsi="Book Antiqua"/>
          <w:bCs/>
          <w:iCs/>
          <w:color w:val="000000"/>
        </w:rPr>
        <w:t>al was obtained for this study.</w:t>
      </w:r>
      <w:r w:rsidR="008D0A08">
        <w:rPr>
          <w:rFonts w:ascii="Book Antiqua" w:eastAsia="宋体" w:hAnsi="Book Antiqua" w:hint="eastAsia"/>
          <w:bCs/>
          <w:iCs/>
          <w:color w:val="000000"/>
          <w:lang w:eastAsia="zh-CN"/>
        </w:rPr>
        <w:t xml:space="preserve"> </w:t>
      </w:r>
      <w:r w:rsidR="00182DEE" w:rsidRPr="008D0A08">
        <w:rPr>
          <w:rFonts w:ascii="Book Antiqua" w:hAnsi="Book Antiqua"/>
          <w:bCs/>
          <w:iCs/>
          <w:color w:val="000000"/>
        </w:rPr>
        <w:t xml:space="preserve">Given the design involves retrospective review of </w:t>
      </w:r>
      <w:r w:rsidR="00182DEE" w:rsidRPr="008D0A08">
        <w:rPr>
          <w:rFonts w:ascii="Book Antiqua" w:hAnsi="Book Antiqua"/>
          <w:bCs/>
          <w:iCs/>
          <w:color w:val="000000"/>
        </w:rPr>
        <w:lastRenderedPageBreak/>
        <w:t>previously collected data obtained during clinical care of the patients, IRB approval was granted using an expedited review process.</w:t>
      </w:r>
    </w:p>
    <w:bookmarkEnd w:id="32"/>
    <w:bookmarkEnd w:id="33"/>
    <w:p w14:paraId="685AC0AC" w14:textId="77777777" w:rsidR="00DC618A" w:rsidRPr="008D0A08" w:rsidRDefault="00DC618A" w:rsidP="008D0A08">
      <w:pPr>
        <w:autoSpaceDE w:val="0"/>
        <w:autoSpaceDN w:val="0"/>
        <w:adjustRightInd w:val="0"/>
        <w:spacing w:line="360" w:lineRule="auto"/>
        <w:jc w:val="both"/>
        <w:rPr>
          <w:rFonts w:ascii="Book Antiqua" w:eastAsia="宋体" w:hAnsi="Book Antiqua"/>
          <w:b/>
          <w:bCs/>
          <w:iCs/>
          <w:color w:val="000000"/>
          <w:lang w:eastAsia="zh-CN"/>
        </w:rPr>
      </w:pPr>
    </w:p>
    <w:p w14:paraId="7C9E6856" w14:textId="77777777" w:rsidR="00DC618A" w:rsidRPr="008D0A08" w:rsidRDefault="00DC618A" w:rsidP="008D0A08">
      <w:pPr>
        <w:autoSpaceDE w:val="0"/>
        <w:autoSpaceDN w:val="0"/>
        <w:adjustRightInd w:val="0"/>
        <w:spacing w:line="360" w:lineRule="auto"/>
        <w:jc w:val="both"/>
        <w:rPr>
          <w:rFonts w:ascii="Book Antiqua" w:hAnsi="Book Antiqua"/>
          <w:bCs/>
          <w:iCs/>
          <w:color w:val="000000"/>
        </w:rPr>
      </w:pPr>
      <w:r w:rsidRPr="008D0A08">
        <w:rPr>
          <w:rFonts w:ascii="Book Antiqua" w:hAnsi="Book Antiqua"/>
          <w:b/>
          <w:bCs/>
          <w:iCs/>
          <w:color w:val="000000"/>
        </w:rPr>
        <w:t>Informed consent</w:t>
      </w:r>
      <w:r w:rsidRPr="008D0A08">
        <w:rPr>
          <w:rFonts w:ascii="Book Antiqua" w:hAnsi="Book Antiqua"/>
          <w:b/>
          <w:bCs/>
          <w:iCs/>
        </w:rPr>
        <w:t xml:space="preserve"> statement</w:t>
      </w:r>
      <w:r w:rsidRPr="008D0A08">
        <w:rPr>
          <w:rFonts w:ascii="Book Antiqua" w:hAnsi="Book Antiqua"/>
          <w:b/>
          <w:bCs/>
          <w:iCs/>
          <w:color w:val="000000"/>
        </w:rPr>
        <w:t xml:space="preserve">: </w:t>
      </w:r>
      <w:r w:rsidR="00182DEE" w:rsidRPr="008D0A08">
        <w:rPr>
          <w:rFonts w:ascii="Book Antiqua" w:hAnsi="Book Antiqua"/>
          <w:bCs/>
          <w:iCs/>
          <w:color w:val="000000"/>
        </w:rPr>
        <w:t>Waiver of consent was granted by the IRB given the retrospective design and reporting of results in aggregate without inclusion of individual patient identifiers.</w:t>
      </w:r>
    </w:p>
    <w:p w14:paraId="6415B3FC" w14:textId="77777777" w:rsidR="00DC618A" w:rsidRPr="008D0A08" w:rsidRDefault="00DC618A" w:rsidP="008D0A08">
      <w:pPr>
        <w:autoSpaceDE w:val="0"/>
        <w:autoSpaceDN w:val="0"/>
        <w:adjustRightInd w:val="0"/>
        <w:spacing w:line="360" w:lineRule="auto"/>
        <w:jc w:val="both"/>
        <w:rPr>
          <w:rFonts w:ascii="Book Antiqua" w:hAnsi="Book Antiqua" w:cs="TimesNewRomanPS-BoldItalicMT"/>
          <w:b/>
          <w:bCs/>
          <w:iCs/>
          <w:color w:val="000000"/>
        </w:rPr>
      </w:pPr>
    </w:p>
    <w:p w14:paraId="2FA6B76B" w14:textId="77777777" w:rsidR="00DC618A" w:rsidRPr="008D0A08" w:rsidRDefault="00DC618A" w:rsidP="008D0A08">
      <w:pPr>
        <w:autoSpaceDE w:val="0"/>
        <w:autoSpaceDN w:val="0"/>
        <w:adjustRightInd w:val="0"/>
        <w:spacing w:line="360" w:lineRule="auto"/>
        <w:jc w:val="both"/>
        <w:rPr>
          <w:rFonts w:ascii="Book Antiqua" w:hAnsi="Book Antiqua" w:cs="TimesNewRomanPS-BoldItalicMT"/>
          <w:bCs/>
          <w:iCs/>
          <w:color w:val="000000"/>
        </w:rPr>
      </w:pPr>
      <w:bookmarkStart w:id="45" w:name="OLE_LINK526"/>
      <w:bookmarkStart w:id="46" w:name="OLE_LINK527"/>
      <w:r w:rsidRPr="008D0A08">
        <w:rPr>
          <w:rFonts w:ascii="Book Antiqua" w:hAnsi="Book Antiqua" w:cs="TimesNewRomanPS-BoldItalicMT"/>
          <w:b/>
          <w:bCs/>
          <w:iCs/>
          <w:color w:val="000000"/>
        </w:rPr>
        <w:t>Conflict-of-interest</w:t>
      </w:r>
      <w:r w:rsidRPr="008D0A08">
        <w:rPr>
          <w:rFonts w:ascii="Book Antiqua" w:hAnsi="Book Antiqua"/>
          <w:b/>
          <w:bCs/>
          <w:iCs/>
        </w:rPr>
        <w:t xml:space="preserve"> statement</w:t>
      </w:r>
      <w:r w:rsidRPr="008D0A08">
        <w:rPr>
          <w:rFonts w:ascii="Book Antiqua" w:hAnsi="Book Antiqua" w:cs="TimesNewRomanPS-BoldItalicMT"/>
          <w:b/>
          <w:bCs/>
          <w:iCs/>
          <w:color w:val="000000"/>
        </w:rPr>
        <w:t>:</w:t>
      </w:r>
      <w:r w:rsidR="00182DEE" w:rsidRPr="008D0A08">
        <w:rPr>
          <w:rFonts w:ascii="Book Antiqua" w:hAnsi="Book Antiqua" w:cs="TimesNewRomanPS-BoldItalicMT"/>
          <w:b/>
          <w:bCs/>
          <w:iCs/>
          <w:color w:val="000000"/>
        </w:rPr>
        <w:t xml:space="preserve"> </w:t>
      </w:r>
      <w:r w:rsidR="00182DEE" w:rsidRPr="008D0A08">
        <w:rPr>
          <w:rFonts w:ascii="Book Antiqua" w:hAnsi="Book Antiqua" w:cs="TimesNewRomanPS-BoldItalicMT"/>
          <w:bCs/>
          <w:iCs/>
          <w:color w:val="000000"/>
        </w:rPr>
        <w:t>None of the authors has any conflict of interest to report.</w:t>
      </w:r>
    </w:p>
    <w:bookmarkEnd w:id="34"/>
    <w:bookmarkEnd w:id="35"/>
    <w:bookmarkEnd w:id="36"/>
    <w:bookmarkEnd w:id="45"/>
    <w:bookmarkEnd w:id="46"/>
    <w:p w14:paraId="29D75ACA" w14:textId="77777777" w:rsidR="00DC618A" w:rsidRPr="008D0A08" w:rsidRDefault="00DC618A" w:rsidP="008D0A08">
      <w:pPr>
        <w:autoSpaceDE w:val="0"/>
        <w:autoSpaceDN w:val="0"/>
        <w:adjustRightInd w:val="0"/>
        <w:spacing w:line="360" w:lineRule="auto"/>
        <w:jc w:val="both"/>
        <w:rPr>
          <w:rFonts w:ascii="Book Antiqua" w:hAnsi="Book Antiqua" w:cs="TimesNewRomanPS-BoldItalicMT"/>
          <w:b/>
          <w:bCs/>
          <w:iCs/>
          <w:color w:val="000000"/>
        </w:rPr>
      </w:pPr>
    </w:p>
    <w:p w14:paraId="45C2C5D5" w14:textId="77777777" w:rsidR="00DC618A" w:rsidRPr="008D0A08" w:rsidRDefault="00DC618A" w:rsidP="008D0A08">
      <w:pPr>
        <w:autoSpaceDE w:val="0"/>
        <w:autoSpaceDN w:val="0"/>
        <w:adjustRightInd w:val="0"/>
        <w:spacing w:line="360" w:lineRule="auto"/>
        <w:jc w:val="both"/>
        <w:rPr>
          <w:rFonts w:ascii="Book Antiqua" w:hAnsi="Book Antiqua" w:cs="TimesNewRomanPS-BoldItalicMT"/>
          <w:bCs/>
          <w:iCs/>
          <w:color w:val="000000"/>
        </w:rPr>
      </w:pPr>
      <w:r w:rsidRPr="008D0A08">
        <w:rPr>
          <w:rFonts w:ascii="Book Antiqua" w:hAnsi="Book Antiqua" w:cs="TimesNewRomanPS-BoldItalicMT"/>
          <w:b/>
          <w:bCs/>
          <w:iCs/>
          <w:color w:val="000000"/>
        </w:rPr>
        <w:t>Data sharing</w:t>
      </w:r>
      <w:r w:rsidRPr="008D0A08">
        <w:rPr>
          <w:rFonts w:ascii="Book Antiqua" w:hAnsi="Book Antiqua"/>
          <w:b/>
          <w:bCs/>
          <w:iCs/>
        </w:rPr>
        <w:t xml:space="preserve"> statement</w:t>
      </w:r>
      <w:r w:rsidRPr="008D0A08">
        <w:rPr>
          <w:rFonts w:ascii="Book Antiqua" w:hAnsi="Book Antiqua" w:cs="TimesNewRomanPS-BoldItalicMT"/>
          <w:b/>
          <w:bCs/>
          <w:iCs/>
          <w:color w:val="000000"/>
        </w:rPr>
        <w:t>:</w:t>
      </w:r>
      <w:r w:rsidR="007754D8" w:rsidRPr="008D0A08">
        <w:rPr>
          <w:rFonts w:ascii="Book Antiqua" w:hAnsi="Book Antiqua" w:cs="TimesNewRomanPS-BoldItalicMT"/>
          <w:b/>
          <w:bCs/>
          <w:iCs/>
          <w:color w:val="000000"/>
        </w:rPr>
        <w:t xml:space="preserve"> </w:t>
      </w:r>
      <w:r w:rsidR="00BB4AC0" w:rsidRPr="008D0A08">
        <w:rPr>
          <w:rFonts w:ascii="Book Antiqua" w:hAnsi="Book Antiqua" w:cs="TimesNewRomanPS-BoldItalicMT"/>
          <w:bCs/>
          <w:iCs/>
          <w:color w:val="000000"/>
        </w:rPr>
        <w:t>No additional data are available.</w:t>
      </w:r>
    </w:p>
    <w:bookmarkEnd w:id="37"/>
    <w:bookmarkEnd w:id="38"/>
    <w:bookmarkEnd w:id="39"/>
    <w:bookmarkEnd w:id="40"/>
    <w:p w14:paraId="5C2C5D09" w14:textId="77777777" w:rsidR="00DC618A" w:rsidRPr="008D0A08" w:rsidRDefault="00DC618A" w:rsidP="008D0A08">
      <w:pPr>
        <w:spacing w:line="360" w:lineRule="auto"/>
        <w:jc w:val="both"/>
        <w:rPr>
          <w:rFonts w:ascii="Book Antiqua" w:eastAsia="宋体" w:hAnsi="Book Antiqua"/>
          <w:lang w:eastAsia="zh-CN"/>
        </w:rPr>
      </w:pPr>
      <w:r w:rsidRPr="008D0A08">
        <w:rPr>
          <w:rFonts w:ascii="Book Antiqua" w:eastAsia="宋体" w:hAnsi="Book Antiqua"/>
          <w:color w:val="000000"/>
          <w:lang w:eastAsia="zh-CN"/>
        </w:rPr>
        <w:t xml:space="preserve"> </w:t>
      </w:r>
    </w:p>
    <w:p w14:paraId="2CFA0840" w14:textId="77777777" w:rsidR="00DC618A" w:rsidRPr="008D0A08" w:rsidRDefault="00DC618A" w:rsidP="008D0A08">
      <w:pPr>
        <w:spacing w:line="360" w:lineRule="auto"/>
        <w:jc w:val="both"/>
        <w:rPr>
          <w:rFonts w:ascii="Book Antiqua" w:hAnsi="Book Antiqua"/>
          <w:b/>
          <w:color w:val="000000"/>
        </w:rPr>
      </w:pPr>
      <w:bookmarkStart w:id="47" w:name="OLE_LINK155"/>
      <w:bookmarkStart w:id="48" w:name="OLE_LINK183"/>
      <w:bookmarkStart w:id="49" w:name="OLE_LINK441"/>
      <w:bookmarkEnd w:id="41"/>
      <w:bookmarkEnd w:id="42"/>
      <w:bookmarkEnd w:id="43"/>
      <w:bookmarkEnd w:id="44"/>
      <w:r w:rsidRPr="008D0A08">
        <w:rPr>
          <w:rFonts w:ascii="Book Antiqua" w:hAnsi="Book Antiqua"/>
          <w:b/>
          <w:color w:val="000000"/>
        </w:rPr>
        <w:t xml:space="preserve">Open-Access: </w:t>
      </w:r>
      <w:r w:rsidRPr="008D0A08">
        <w:rPr>
          <w:rFonts w:ascii="Book Antiqua" w:hAnsi="Book Antiqua"/>
          <w:color w:val="000000"/>
        </w:rPr>
        <w:t xml:space="preserve">This article is an open-access </w:t>
      </w:r>
      <w:proofErr w:type="gramStart"/>
      <w:r w:rsidRPr="008D0A08">
        <w:rPr>
          <w:rFonts w:ascii="Book Antiqua" w:hAnsi="Book Antiqua"/>
          <w:color w:val="000000"/>
        </w:rPr>
        <w:t>article which</w:t>
      </w:r>
      <w:proofErr w:type="gramEnd"/>
      <w:r w:rsidRPr="008D0A08">
        <w:rPr>
          <w:rFonts w:ascii="Book Antiqua" w:hAnsi="Book Antiqua"/>
          <w:color w:val="000000"/>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7"/>
    <w:bookmarkEnd w:id="48"/>
    <w:bookmarkEnd w:id="49"/>
    <w:p w14:paraId="0F1B3AE5" w14:textId="77777777" w:rsidR="00DC618A" w:rsidRPr="008D0A08" w:rsidRDefault="00DC618A" w:rsidP="008D0A08">
      <w:pPr>
        <w:spacing w:line="360" w:lineRule="auto"/>
        <w:jc w:val="both"/>
        <w:rPr>
          <w:rFonts w:ascii="Book Antiqua" w:hAnsi="Book Antiqua" w:cs="Arial Unicode MS"/>
          <w:color w:val="000000"/>
        </w:rPr>
      </w:pPr>
    </w:p>
    <w:p w14:paraId="22AF2D26" w14:textId="77777777" w:rsidR="00DC618A" w:rsidRPr="008D0A08" w:rsidRDefault="00DC618A" w:rsidP="008D0A08">
      <w:pPr>
        <w:spacing w:line="360" w:lineRule="auto"/>
        <w:jc w:val="both"/>
        <w:rPr>
          <w:rFonts w:ascii="Book Antiqua" w:eastAsia="宋体" w:hAnsi="Book Antiqua" w:cs="Arial Unicode MS"/>
          <w:color w:val="000000"/>
          <w:lang w:eastAsia="zh-CN"/>
        </w:rPr>
      </w:pPr>
      <w:r w:rsidRPr="008D0A08">
        <w:rPr>
          <w:rFonts w:ascii="Book Antiqua" w:hAnsi="Book Antiqua" w:cs="Arial Unicode MS"/>
          <w:b/>
          <w:color w:val="000000"/>
        </w:rPr>
        <w:t xml:space="preserve">Manuscript source: </w:t>
      </w:r>
      <w:r w:rsidRPr="008D0A08">
        <w:rPr>
          <w:rFonts w:ascii="Book Antiqua" w:hAnsi="Book Antiqua" w:cs="Arial Unicode MS"/>
          <w:color w:val="000000"/>
        </w:rPr>
        <w:t>Unsolicited manuscript</w:t>
      </w:r>
    </w:p>
    <w:p w14:paraId="3563C8FF" w14:textId="77777777" w:rsidR="00DC618A" w:rsidRPr="008D0A08" w:rsidRDefault="00DC618A" w:rsidP="008D0A08">
      <w:pPr>
        <w:spacing w:line="360" w:lineRule="auto"/>
        <w:jc w:val="both"/>
        <w:rPr>
          <w:rFonts w:ascii="Book Antiqua" w:eastAsia="宋体" w:hAnsi="Book Antiqua" w:cs="Arial Unicode MS"/>
          <w:color w:val="000000"/>
          <w:lang w:eastAsia="zh-CN"/>
        </w:rPr>
      </w:pPr>
    </w:p>
    <w:p w14:paraId="1C989951" w14:textId="5D643B5C" w:rsidR="00B8743E" w:rsidRPr="008D0A08" w:rsidRDefault="00DC618A" w:rsidP="008D0A08">
      <w:pPr>
        <w:spacing w:line="360" w:lineRule="auto"/>
        <w:jc w:val="both"/>
        <w:rPr>
          <w:rFonts w:ascii="Book Antiqua" w:eastAsia="宋体" w:hAnsi="Book Antiqua"/>
          <w:color w:val="000000"/>
          <w:lang w:eastAsia="zh-CN"/>
        </w:rPr>
      </w:pPr>
      <w:r w:rsidRPr="008D0A08">
        <w:rPr>
          <w:rFonts w:ascii="Book Antiqua" w:hAnsi="Book Antiqua"/>
          <w:b/>
          <w:color w:val="000000"/>
        </w:rPr>
        <w:t>Correspondence to:</w:t>
      </w:r>
      <w:r w:rsidR="00EF64C6" w:rsidRPr="008D0A08">
        <w:rPr>
          <w:rFonts w:ascii="Book Antiqua" w:hAnsi="Book Antiqua"/>
          <w:b/>
          <w:color w:val="000000"/>
        </w:rPr>
        <w:t xml:space="preserve"> </w:t>
      </w:r>
      <w:bookmarkStart w:id="50" w:name="OLE_LINK7"/>
      <w:bookmarkStart w:id="51" w:name="OLE_LINK8"/>
      <w:r w:rsidR="00BB4AC0" w:rsidRPr="008D0A08">
        <w:rPr>
          <w:rFonts w:ascii="Book Antiqua" w:hAnsi="Book Antiqua"/>
          <w:b/>
          <w:color w:val="000000"/>
        </w:rPr>
        <w:t>Michael Hsu, M</w:t>
      </w:r>
      <w:r w:rsidR="00EF64C6" w:rsidRPr="008D0A08">
        <w:rPr>
          <w:rFonts w:ascii="Book Antiqua" w:hAnsi="Book Antiqua"/>
          <w:b/>
          <w:color w:val="000000"/>
        </w:rPr>
        <w:t xml:space="preserve">D, </w:t>
      </w:r>
      <w:r w:rsidR="00B8743E" w:rsidRPr="008D0A08">
        <w:rPr>
          <w:rFonts w:ascii="Book Antiqua" w:hAnsi="Book Antiqua"/>
          <w:color w:val="000000"/>
        </w:rPr>
        <w:t>Department of Radiology, Division of Interventional Radiology</w:t>
      </w:r>
      <w:r w:rsidR="00EF64C6" w:rsidRPr="008D0A08">
        <w:rPr>
          <w:rFonts w:ascii="Book Antiqua" w:hAnsi="Book Antiqua"/>
          <w:b/>
          <w:color w:val="000000"/>
        </w:rPr>
        <w:t xml:space="preserve">, </w:t>
      </w:r>
      <w:r w:rsidR="00B8743E" w:rsidRPr="008D0A08">
        <w:rPr>
          <w:rFonts w:ascii="Book Antiqua" w:hAnsi="Book Antiqua"/>
          <w:color w:val="000000"/>
        </w:rPr>
        <w:t>Mount Sinai Hospital</w:t>
      </w:r>
      <w:r w:rsidR="00EF64C6" w:rsidRPr="008D0A08">
        <w:rPr>
          <w:rFonts w:ascii="Book Antiqua" w:hAnsi="Book Antiqua"/>
          <w:color w:val="000000"/>
        </w:rPr>
        <w:t>,</w:t>
      </w:r>
      <w:r w:rsidR="00EF64C6" w:rsidRPr="008D0A08">
        <w:rPr>
          <w:rFonts w:ascii="Book Antiqua" w:hAnsi="Book Antiqua"/>
          <w:b/>
          <w:color w:val="000000"/>
        </w:rPr>
        <w:t xml:space="preserve"> </w:t>
      </w:r>
      <w:r w:rsidR="00B8743E" w:rsidRPr="008D0A08">
        <w:rPr>
          <w:rFonts w:ascii="Book Antiqua" w:hAnsi="Book Antiqua"/>
          <w:color w:val="000000"/>
        </w:rPr>
        <w:t>215 East 95</w:t>
      </w:r>
      <w:r w:rsidR="00BB4AC0" w:rsidRPr="008D0A08">
        <w:rPr>
          <w:rFonts w:ascii="Book Antiqua" w:hAnsi="Book Antiqua"/>
          <w:color w:val="000000"/>
          <w:vertAlign w:val="superscript"/>
        </w:rPr>
        <w:t>th</w:t>
      </w:r>
      <w:r w:rsidR="00B8743E" w:rsidRPr="008D0A08">
        <w:rPr>
          <w:rFonts w:ascii="Book Antiqua" w:hAnsi="Book Antiqua"/>
          <w:color w:val="000000"/>
        </w:rPr>
        <w:t xml:space="preserve"> St. Apt. </w:t>
      </w:r>
      <w:proofErr w:type="gramStart"/>
      <w:r w:rsidR="00B8743E" w:rsidRPr="008D0A08">
        <w:rPr>
          <w:rFonts w:ascii="Book Antiqua" w:hAnsi="Book Antiqua"/>
          <w:color w:val="000000"/>
        </w:rPr>
        <w:t>5L</w:t>
      </w:r>
      <w:r w:rsidR="00EF64C6" w:rsidRPr="006D232F">
        <w:rPr>
          <w:rFonts w:ascii="Book Antiqua" w:hAnsi="Book Antiqua"/>
          <w:color w:val="000000"/>
        </w:rPr>
        <w:t>,</w:t>
      </w:r>
      <w:r w:rsidR="00EF64C6" w:rsidRPr="008D0A08">
        <w:rPr>
          <w:rFonts w:ascii="Book Antiqua" w:hAnsi="Book Antiqua"/>
          <w:b/>
          <w:color w:val="000000"/>
        </w:rPr>
        <w:t xml:space="preserve"> </w:t>
      </w:r>
      <w:r w:rsidR="00B8743E" w:rsidRPr="008D0A08">
        <w:rPr>
          <w:rFonts w:ascii="Book Antiqua" w:hAnsi="Book Antiqua"/>
          <w:color w:val="000000"/>
        </w:rPr>
        <w:t>New York, NY</w:t>
      </w:r>
      <w:r w:rsidR="008D0A08">
        <w:rPr>
          <w:rFonts w:ascii="Book Antiqua" w:eastAsia="宋体" w:hAnsi="Book Antiqua" w:hint="eastAsia"/>
          <w:color w:val="000000"/>
          <w:lang w:eastAsia="zh-CN"/>
        </w:rPr>
        <w:t xml:space="preserve"> </w:t>
      </w:r>
      <w:r w:rsidR="00B8743E" w:rsidRPr="008D0A08">
        <w:rPr>
          <w:rFonts w:ascii="Book Antiqua" w:hAnsi="Book Antiqua"/>
          <w:color w:val="000000"/>
        </w:rPr>
        <w:t xml:space="preserve">10128, </w:t>
      </w:r>
      <w:r w:rsidR="008D0A08" w:rsidRPr="008D0A08">
        <w:rPr>
          <w:rFonts w:ascii="Book Antiqua" w:hAnsi="Book Antiqua"/>
          <w:color w:val="000000"/>
        </w:rPr>
        <w:t>United States</w:t>
      </w:r>
      <w:r w:rsidR="00EF64C6" w:rsidRPr="008D0A08">
        <w:rPr>
          <w:rFonts w:ascii="Book Antiqua" w:hAnsi="Book Antiqua"/>
          <w:color w:val="000000"/>
        </w:rPr>
        <w:t>.</w:t>
      </w:r>
      <w:proofErr w:type="gramEnd"/>
      <w:r w:rsidR="008D0A08">
        <w:rPr>
          <w:rFonts w:ascii="Book Antiqua" w:eastAsia="宋体" w:hAnsi="Book Antiqua" w:hint="eastAsia"/>
          <w:color w:val="000000"/>
          <w:lang w:eastAsia="zh-CN"/>
        </w:rPr>
        <w:t xml:space="preserve"> </w:t>
      </w:r>
      <w:proofErr w:type="gramStart"/>
      <w:r w:rsidR="008D0A08" w:rsidRPr="008D0A08">
        <w:rPr>
          <w:rFonts w:ascii="Book Antiqua" w:hAnsi="Book Antiqua"/>
          <w:color w:val="000000"/>
        </w:rPr>
        <w:t>hsu</w:t>
      </w:r>
      <w:r w:rsidR="00B8743E" w:rsidRPr="008D0A08">
        <w:rPr>
          <w:rFonts w:ascii="Book Antiqua" w:hAnsi="Book Antiqua"/>
          <w:color w:val="000000"/>
        </w:rPr>
        <w:t>.mike.c@gmail.com</w:t>
      </w:r>
      <w:proofErr w:type="gramEnd"/>
    </w:p>
    <w:bookmarkEnd w:id="50"/>
    <w:bookmarkEnd w:id="51"/>
    <w:p w14:paraId="6D3220B3" w14:textId="3F2E5EF3" w:rsidR="00EF64C6" w:rsidRPr="008D0A08" w:rsidRDefault="00DC618A" w:rsidP="008D0A08">
      <w:pPr>
        <w:spacing w:line="360" w:lineRule="auto"/>
        <w:jc w:val="both"/>
        <w:rPr>
          <w:rFonts w:ascii="Book Antiqua" w:hAnsi="Book Antiqua"/>
          <w:b/>
          <w:color w:val="000000"/>
        </w:rPr>
      </w:pPr>
      <w:r w:rsidRPr="008D0A08">
        <w:rPr>
          <w:rFonts w:ascii="Book Antiqua" w:hAnsi="Book Antiqua"/>
          <w:b/>
          <w:color w:val="000000"/>
        </w:rPr>
        <w:t>Telephone:</w:t>
      </w:r>
      <w:r w:rsidR="00EF64C6" w:rsidRPr="008D0A08">
        <w:rPr>
          <w:rFonts w:ascii="Book Antiqua" w:hAnsi="Book Antiqua"/>
          <w:b/>
          <w:color w:val="000000"/>
        </w:rPr>
        <w:t xml:space="preserve"> </w:t>
      </w:r>
      <w:r w:rsidR="008D0A08">
        <w:rPr>
          <w:rFonts w:ascii="Book Antiqua" w:eastAsia="宋体" w:hAnsi="Book Antiqua" w:hint="eastAsia"/>
          <w:color w:val="000000"/>
          <w:lang w:eastAsia="zh-CN"/>
        </w:rPr>
        <w:t>+</w:t>
      </w:r>
      <w:r w:rsidR="00BB4AC0" w:rsidRPr="008D0A08">
        <w:rPr>
          <w:rFonts w:ascii="Book Antiqua" w:hAnsi="Book Antiqua"/>
          <w:color w:val="000000"/>
        </w:rPr>
        <w:t>1</w:t>
      </w:r>
      <w:r w:rsidR="00825F1A" w:rsidRPr="008D0A08">
        <w:rPr>
          <w:rFonts w:ascii="Book Antiqua" w:hAnsi="Book Antiqua"/>
          <w:b/>
          <w:color w:val="000000"/>
        </w:rPr>
        <w:t>-</w:t>
      </w:r>
      <w:r w:rsidR="008D0A08">
        <w:rPr>
          <w:rFonts w:ascii="Book Antiqua" w:hAnsi="Book Antiqua"/>
          <w:color w:val="000000"/>
        </w:rPr>
        <w:t>804-852</w:t>
      </w:r>
      <w:r w:rsidR="00BB4AC0" w:rsidRPr="008D0A08">
        <w:rPr>
          <w:rFonts w:ascii="Book Antiqua" w:hAnsi="Book Antiqua"/>
          <w:color w:val="000000"/>
        </w:rPr>
        <w:t>3428</w:t>
      </w:r>
    </w:p>
    <w:p w14:paraId="6BAC35D0" w14:textId="17994538" w:rsidR="00DC618A" w:rsidRPr="008D0A08" w:rsidRDefault="00DC618A" w:rsidP="008D0A08">
      <w:pPr>
        <w:spacing w:line="360" w:lineRule="auto"/>
        <w:jc w:val="both"/>
        <w:rPr>
          <w:rFonts w:ascii="Book Antiqua" w:hAnsi="Book Antiqua"/>
          <w:b/>
          <w:color w:val="000000"/>
        </w:rPr>
      </w:pPr>
      <w:r w:rsidRPr="008D0A08">
        <w:rPr>
          <w:rFonts w:ascii="Book Antiqua" w:hAnsi="Book Antiqua"/>
          <w:b/>
          <w:color w:val="000000"/>
        </w:rPr>
        <w:t xml:space="preserve">Fax: </w:t>
      </w:r>
      <w:r w:rsidR="008D0A08">
        <w:rPr>
          <w:rFonts w:ascii="Book Antiqua" w:eastAsia="宋体" w:hAnsi="Book Antiqua" w:hint="eastAsia"/>
          <w:color w:val="000000"/>
          <w:lang w:eastAsia="zh-CN"/>
        </w:rPr>
        <w:t>+</w:t>
      </w:r>
      <w:r w:rsidR="00BB4AC0" w:rsidRPr="008D0A08">
        <w:rPr>
          <w:rFonts w:ascii="Book Antiqua" w:hAnsi="Book Antiqua"/>
          <w:color w:val="000000"/>
        </w:rPr>
        <w:t>1-</w:t>
      </w:r>
      <w:r w:rsidR="008D0A08">
        <w:rPr>
          <w:rFonts w:ascii="Book Antiqua" w:hAnsi="Book Antiqua"/>
          <w:color w:val="000000"/>
        </w:rPr>
        <w:t>212-426</w:t>
      </w:r>
      <w:r w:rsidR="00BB4AC0" w:rsidRPr="008D0A08">
        <w:rPr>
          <w:rFonts w:ascii="Book Antiqua" w:hAnsi="Book Antiqua"/>
          <w:color w:val="000000"/>
        </w:rPr>
        <w:t>7745</w:t>
      </w:r>
    </w:p>
    <w:p w14:paraId="4899663F" w14:textId="77777777" w:rsidR="00DC618A" w:rsidRPr="008D0A08" w:rsidRDefault="00DC618A" w:rsidP="008D0A08">
      <w:pPr>
        <w:spacing w:line="360" w:lineRule="auto"/>
        <w:jc w:val="both"/>
        <w:rPr>
          <w:rFonts w:ascii="Book Antiqua" w:hAnsi="Book Antiqua"/>
          <w:b/>
          <w:color w:val="000000"/>
        </w:rPr>
      </w:pPr>
    </w:p>
    <w:p w14:paraId="3FF45820" w14:textId="7C3D0160" w:rsidR="00DC618A" w:rsidRPr="00653E7C" w:rsidRDefault="00DC618A" w:rsidP="008D0A08">
      <w:pPr>
        <w:spacing w:line="360" w:lineRule="auto"/>
        <w:jc w:val="both"/>
        <w:rPr>
          <w:rFonts w:ascii="Book Antiqua" w:eastAsia="宋体" w:hAnsi="Book Antiqua"/>
          <w:lang w:eastAsia="zh-CN"/>
        </w:rPr>
      </w:pPr>
      <w:bookmarkStart w:id="52" w:name="OLE_LINK476"/>
      <w:bookmarkStart w:id="53" w:name="OLE_LINK477"/>
      <w:bookmarkStart w:id="54" w:name="OLE_LINK117"/>
      <w:bookmarkStart w:id="55" w:name="OLE_LINK528"/>
      <w:bookmarkStart w:id="56" w:name="OLE_LINK557"/>
      <w:r w:rsidRPr="008D0A08">
        <w:rPr>
          <w:rFonts w:ascii="Book Antiqua" w:hAnsi="Book Antiqua"/>
          <w:b/>
        </w:rPr>
        <w:t>Received:</w:t>
      </w:r>
      <w:r w:rsidR="00653E7C">
        <w:rPr>
          <w:rFonts w:ascii="Book Antiqua" w:eastAsia="宋体" w:hAnsi="Book Antiqua" w:hint="eastAsia"/>
          <w:b/>
          <w:lang w:eastAsia="zh-CN"/>
        </w:rPr>
        <w:t xml:space="preserve"> </w:t>
      </w:r>
      <w:r w:rsidR="00653E7C" w:rsidRPr="00653E7C">
        <w:rPr>
          <w:rFonts w:ascii="Book Antiqua" w:eastAsia="宋体" w:hAnsi="Book Antiqua" w:hint="eastAsia"/>
          <w:lang w:eastAsia="zh-CN"/>
        </w:rPr>
        <w:t>October 26, 2016</w:t>
      </w:r>
    </w:p>
    <w:p w14:paraId="1BE5AA47" w14:textId="0BC91EC6" w:rsidR="00DC618A" w:rsidRPr="00653E7C" w:rsidRDefault="00DC618A" w:rsidP="008D0A08">
      <w:pPr>
        <w:spacing w:line="360" w:lineRule="auto"/>
        <w:jc w:val="both"/>
        <w:rPr>
          <w:rFonts w:ascii="Book Antiqua" w:eastAsia="宋体" w:hAnsi="Book Antiqua"/>
          <w:lang w:eastAsia="zh-CN"/>
        </w:rPr>
      </w:pPr>
      <w:r w:rsidRPr="008D0A08">
        <w:rPr>
          <w:rFonts w:ascii="Book Antiqua" w:hAnsi="Book Antiqua"/>
          <w:b/>
        </w:rPr>
        <w:t>Peer-review started:</w:t>
      </w:r>
      <w:r w:rsidR="00653E7C" w:rsidRPr="00653E7C">
        <w:rPr>
          <w:rFonts w:ascii="Book Antiqua" w:eastAsia="宋体" w:hAnsi="Book Antiqua" w:hint="eastAsia"/>
          <w:lang w:eastAsia="zh-CN"/>
        </w:rPr>
        <w:t xml:space="preserve"> October </w:t>
      </w:r>
      <w:r w:rsidR="00653E7C">
        <w:rPr>
          <w:rFonts w:ascii="Book Antiqua" w:eastAsia="宋体" w:hAnsi="Book Antiqua" w:hint="eastAsia"/>
          <w:lang w:eastAsia="zh-CN"/>
        </w:rPr>
        <w:t>27</w:t>
      </w:r>
      <w:r w:rsidR="00653E7C" w:rsidRPr="00653E7C">
        <w:rPr>
          <w:rFonts w:ascii="Book Antiqua" w:eastAsia="宋体" w:hAnsi="Book Antiqua" w:hint="eastAsia"/>
          <w:lang w:eastAsia="zh-CN"/>
        </w:rPr>
        <w:t>, 2016</w:t>
      </w:r>
    </w:p>
    <w:p w14:paraId="54C239C9" w14:textId="5F64D293" w:rsidR="00DC618A" w:rsidRPr="00653E7C" w:rsidRDefault="00DC618A" w:rsidP="008D0A08">
      <w:pPr>
        <w:spacing w:line="360" w:lineRule="auto"/>
        <w:jc w:val="both"/>
        <w:rPr>
          <w:rFonts w:ascii="Book Antiqua" w:eastAsia="宋体" w:hAnsi="Book Antiqua"/>
          <w:lang w:eastAsia="zh-CN"/>
        </w:rPr>
      </w:pPr>
      <w:r w:rsidRPr="008D0A08">
        <w:rPr>
          <w:rFonts w:ascii="Book Antiqua" w:hAnsi="Book Antiqua"/>
          <w:b/>
        </w:rPr>
        <w:lastRenderedPageBreak/>
        <w:t>First decision:</w:t>
      </w:r>
      <w:r w:rsidR="00653E7C">
        <w:rPr>
          <w:rFonts w:ascii="Book Antiqua" w:eastAsia="宋体" w:hAnsi="Book Antiqua" w:hint="eastAsia"/>
          <w:b/>
          <w:lang w:eastAsia="zh-CN"/>
        </w:rPr>
        <w:t xml:space="preserve"> </w:t>
      </w:r>
      <w:r w:rsidR="00653E7C" w:rsidRPr="00653E7C">
        <w:rPr>
          <w:rFonts w:ascii="Book Antiqua" w:eastAsia="宋体" w:hAnsi="Book Antiqua" w:hint="eastAsia"/>
          <w:lang w:eastAsia="zh-CN"/>
        </w:rPr>
        <w:t>December 29, 2016</w:t>
      </w:r>
    </w:p>
    <w:p w14:paraId="3A2FC59D" w14:textId="66A9CB2F" w:rsidR="00DC618A" w:rsidRPr="00653E7C" w:rsidRDefault="00DC618A" w:rsidP="008D0A08">
      <w:pPr>
        <w:spacing w:line="360" w:lineRule="auto"/>
        <w:jc w:val="both"/>
        <w:rPr>
          <w:rFonts w:ascii="Book Antiqua" w:eastAsia="宋体" w:hAnsi="Book Antiqua"/>
          <w:lang w:eastAsia="zh-CN"/>
        </w:rPr>
      </w:pPr>
      <w:r w:rsidRPr="008D0A08">
        <w:rPr>
          <w:rFonts w:ascii="Book Antiqua" w:hAnsi="Book Antiqua"/>
          <w:b/>
        </w:rPr>
        <w:t>Revised:</w:t>
      </w:r>
      <w:r w:rsidR="00653E7C" w:rsidRPr="00653E7C">
        <w:rPr>
          <w:rFonts w:ascii="Book Antiqua" w:eastAsia="宋体" w:hAnsi="Book Antiqua" w:hint="eastAsia"/>
          <w:lang w:eastAsia="zh-CN"/>
        </w:rPr>
        <w:t xml:space="preserve"> January 26, 2017</w:t>
      </w:r>
    </w:p>
    <w:p w14:paraId="55BCD999" w14:textId="502F6510" w:rsidR="00DC618A" w:rsidRPr="001A0AD7" w:rsidRDefault="00DC618A" w:rsidP="001A0AD7">
      <w:pPr>
        <w:rPr>
          <w:rFonts w:ascii="Book Antiqua" w:hAnsi="Book Antiqua"/>
          <w:iCs/>
        </w:rPr>
      </w:pPr>
      <w:r w:rsidRPr="008D0A08">
        <w:rPr>
          <w:rFonts w:ascii="Book Antiqua" w:hAnsi="Book Antiqua"/>
          <w:b/>
        </w:rPr>
        <w:t>Accepted:</w:t>
      </w:r>
      <w:r w:rsidR="006D232F">
        <w:rPr>
          <w:rFonts w:ascii="Book Antiqua" w:hAnsi="Book Antiqua"/>
          <w:b/>
        </w:rPr>
        <w:t xml:space="preserve"> </w:t>
      </w:r>
      <w:r w:rsidR="001A0AD7">
        <w:rPr>
          <w:rStyle w:val="Emphasis"/>
        </w:rPr>
        <w:t>March 12</w:t>
      </w:r>
      <w:r w:rsidR="001A0AD7">
        <w:rPr>
          <w:rStyle w:val="Emphasis"/>
          <w:rFonts w:cs="宋体"/>
        </w:rPr>
        <w:t>,</w:t>
      </w:r>
      <w:r w:rsidR="001A0AD7">
        <w:rPr>
          <w:rStyle w:val="Emphasis"/>
        </w:rPr>
        <w:t xml:space="preserve"> 2017</w:t>
      </w:r>
    </w:p>
    <w:p w14:paraId="48F499F3" w14:textId="77777777" w:rsidR="00DC618A" w:rsidRPr="008D0A08" w:rsidRDefault="00DC618A" w:rsidP="008D0A08">
      <w:pPr>
        <w:spacing w:line="360" w:lineRule="auto"/>
        <w:jc w:val="both"/>
        <w:rPr>
          <w:rFonts w:ascii="Book Antiqua" w:hAnsi="Book Antiqua"/>
          <w:b/>
        </w:rPr>
      </w:pPr>
      <w:r w:rsidRPr="008D0A08">
        <w:rPr>
          <w:rFonts w:ascii="Book Antiqua" w:hAnsi="Book Antiqua"/>
          <w:b/>
        </w:rPr>
        <w:t>Article in press:</w:t>
      </w:r>
    </w:p>
    <w:p w14:paraId="6AC2D12C" w14:textId="77777777" w:rsidR="00DC618A" w:rsidRPr="008D0A08" w:rsidRDefault="00DC618A" w:rsidP="008D0A08">
      <w:pPr>
        <w:spacing w:line="360" w:lineRule="auto"/>
        <w:jc w:val="both"/>
        <w:rPr>
          <w:rFonts w:ascii="Book Antiqua" w:hAnsi="Book Antiqua"/>
          <w:b/>
        </w:rPr>
      </w:pPr>
      <w:r w:rsidRPr="008D0A08">
        <w:rPr>
          <w:rFonts w:ascii="Book Antiqua" w:hAnsi="Book Antiqua"/>
          <w:b/>
        </w:rPr>
        <w:t>Published online:</w:t>
      </w:r>
    </w:p>
    <w:bookmarkEnd w:id="52"/>
    <w:bookmarkEnd w:id="53"/>
    <w:bookmarkEnd w:id="54"/>
    <w:bookmarkEnd w:id="55"/>
    <w:bookmarkEnd w:id="56"/>
    <w:p w14:paraId="4EDF7347" w14:textId="77777777" w:rsidR="00DC618A" w:rsidRPr="008D0A08" w:rsidRDefault="00DC618A" w:rsidP="008D0A08">
      <w:pPr>
        <w:spacing w:line="360" w:lineRule="auto"/>
        <w:jc w:val="both"/>
        <w:rPr>
          <w:rFonts w:ascii="Book Antiqua" w:eastAsia="宋体" w:hAnsi="Book Antiqua"/>
          <w:b/>
          <w:lang w:eastAsia="zh-CN"/>
        </w:rPr>
      </w:pPr>
    </w:p>
    <w:bookmarkEnd w:id="0"/>
    <w:bookmarkEnd w:id="1"/>
    <w:bookmarkEnd w:id="2"/>
    <w:p w14:paraId="4121F655" w14:textId="77777777" w:rsidR="00C1630D" w:rsidRPr="008D0A08" w:rsidRDefault="00C1630D" w:rsidP="008D0A08">
      <w:pPr>
        <w:spacing w:line="360" w:lineRule="auto"/>
        <w:jc w:val="both"/>
        <w:rPr>
          <w:rFonts w:ascii="Book Antiqua" w:hAnsi="Book Antiqua"/>
          <w:b/>
          <w:color w:val="000000"/>
        </w:rPr>
      </w:pPr>
      <w:r w:rsidRPr="008D0A08">
        <w:rPr>
          <w:rFonts w:ascii="Book Antiqua" w:hAnsi="Book Antiqua"/>
          <w:b/>
          <w:color w:val="000000"/>
        </w:rPr>
        <w:br w:type="page"/>
      </w:r>
    </w:p>
    <w:p w14:paraId="21D40DC6" w14:textId="1AE4B034" w:rsidR="00CD6591" w:rsidRPr="00653E7C" w:rsidRDefault="00DC618A" w:rsidP="008D0A08">
      <w:pPr>
        <w:spacing w:line="360" w:lineRule="auto"/>
        <w:jc w:val="both"/>
        <w:rPr>
          <w:rFonts w:ascii="Book Antiqua" w:eastAsia="宋体" w:hAnsi="Book Antiqua"/>
          <w:b/>
          <w:color w:val="000000"/>
          <w:lang w:eastAsia="zh-CN"/>
        </w:rPr>
      </w:pPr>
      <w:r w:rsidRPr="00653E7C">
        <w:rPr>
          <w:rFonts w:ascii="Book Antiqua" w:hAnsi="Book Antiqua"/>
          <w:b/>
          <w:color w:val="000000"/>
        </w:rPr>
        <w:lastRenderedPageBreak/>
        <w:t>Abstract</w:t>
      </w:r>
    </w:p>
    <w:p w14:paraId="5FF6694B" w14:textId="77777777" w:rsidR="00653E7C" w:rsidRPr="00653E7C" w:rsidRDefault="00653E7C" w:rsidP="008D0A08">
      <w:pPr>
        <w:pStyle w:val="Body"/>
        <w:spacing w:line="360" w:lineRule="auto"/>
        <w:jc w:val="both"/>
        <w:rPr>
          <w:rStyle w:val="apple-converted-space"/>
          <w:rFonts w:ascii="Book Antiqua" w:hAnsi="Book Antiqua"/>
          <w:b/>
          <w:i/>
          <w:lang w:eastAsia="zh-CN"/>
        </w:rPr>
      </w:pPr>
      <w:r w:rsidRPr="00653E7C">
        <w:rPr>
          <w:rStyle w:val="apple-converted-space"/>
          <w:rFonts w:ascii="Book Antiqua" w:hAnsi="Book Antiqua"/>
          <w:b/>
          <w:i/>
        </w:rPr>
        <w:t>AIM</w:t>
      </w:r>
    </w:p>
    <w:p w14:paraId="7DCB0ADA" w14:textId="0B32436E" w:rsidR="00797BF5" w:rsidRPr="008D0A08" w:rsidRDefault="00797BF5" w:rsidP="008D0A08">
      <w:pPr>
        <w:pStyle w:val="Body"/>
        <w:spacing w:line="360" w:lineRule="auto"/>
        <w:jc w:val="both"/>
        <w:rPr>
          <w:rFonts w:ascii="Book Antiqua" w:hAnsi="Book Antiqua"/>
        </w:rPr>
      </w:pPr>
      <w:r w:rsidRPr="008D0A08">
        <w:rPr>
          <w:rStyle w:val="apple-converted-space"/>
          <w:rFonts w:ascii="Book Antiqua" w:hAnsi="Book Antiqua"/>
        </w:rPr>
        <w:t xml:space="preserve">To assess for passive expansion of sub-maximally dilated </w:t>
      </w:r>
      <w:proofErr w:type="spellStart"/>
      <w:r w:rsidRPr="008D0A08">
        <w:rPr>
          <w:rStyle w:val="apple-converted-space"/>
          <w:rFonts w:ascii="Book Antiqua" w:hAnsi="Book Antiqua"/>
        </w:rPr>
        <w:t>transjugular</w:t>
      </w:r>
      <w:proofErr w:type="spellEnd"/>
      <w:r w:rsidRPr="008D0A08">
        <w:rPr>
          <w:rStyle w:val="apple-converted-space"/>
          <w:rFonts w:ascii="Book Antiqua" w:hAnsi="Book Antiqua"/>
        </w:rPr>
        <w:t xml:space="preserve"> intrahepatic </w:t>
      </w:r>
      <w:proofErr w:type="spellStart"/>
      <w:r w:rsidRPr="008D0A08">
        <w:rPr>
          <w:rStyle w:val="apple-converted-space"/>
          <w:rFonts w:ascii="Book Antiqua" w:hAnsi="Book Antiqua"/>
        </w:rPr>
        <w:t>portosystemic</w:t>
      </w:r>
      <w:proofErr w:type="spellEnd"/>
      <w:r w:rsidRPr="008D0A08">
        <w:rPr>
          <w:rStyle w:val="apple-converted-space"/>
          <w:rFonts w:ascii="Book Antiqua" w:hAnsi="Book Antiqua"/>
        </w:rPr>
        <w:t xml:space="preserve"> shunts (TIPS) and compare outcomes with maximally dilated TIPS.</w:t>
      </w:r>
    </w:p>
    <w:p w14:paraId="716C5723" w14:textId="77777777" w:rsidR="00797BF5" w:rsidRPr="008D0A08" w:rsidRDefault="00797BF5" w:rsidP="008D0A08">
      <w:pPr>
        <w:pStyle w:val="Body"/>
        <w:spacing w:line="360" w:lineRule="auto"/>
        <w:jc w:val="both"/>
        <w:rPr>
          <w:rFonts w:ascii="Book Antiqua" w:hAnsi="Book Antiqua"/>
        </w:rPr>
      </w:pPr>
    </w:p>
    <w:p w14:paraId="3000816F" w14:textId="77777777" w:rsidR="00653E7C" w:rsidRPr="00653E7C" w:rsidRDefault="00797BF5" w:rsidP="008D0A08">
      <w:pPr>
        <w:pStyle w:val="Body"/>
        <w:spacing w:line="360" w:lineRule="auto"/>
        <w:jc w:val="both"/>
        <w:rPr>
          <w:rStyle w:val="apple-converted-space"/>
          <w:rFonts w:ascii="Book Antiqua" w:hAnsi="Book Antiqua"/>
          <w:b/>
          <w:i/>
          <w:lang w:eastAsia="zh-CN"/>
        </w:rPr>
      </w:pPr>
      <w:r w:rsidRPr="00653E7C">
        <w:rPr>
          <w:rStyle w:val="apple-converted-space"/>
          <w:rFonts w:ascii="Book Antiqua" w:hAnsi="Book Antiqua"/>
          <w:b/>
          <w:i/>
        </w:rPr>
        <w:t>METHODS</w:t>
      </w:r>
    </w:p>
    <w:p w14:paraId="6457C2FD" w14:textId="31740610" w:rsidR="00797BF5" w:rsidRPr="008D0A08" w:rsidRDefault="00797BF5" w:rsidP="008D0A08">
      <w:pPr>
        <w:pStyle w:val="Body"/>
        <w:spacing w:line="360" w:lineRule="auto"/>
        <w:jc w:val="both"/>
        <w:rPr>
          <w:rFonts w:ascii="Book Antiqua" w:hAnsi="Book Antiqua"/>
        </w:rPr>
      </w:pPr>
      <w:proofErr w:type="spellStart"/>
      <w:r w:rsidRPr="008D0A08">
        <w:rPr>
          <w:rStyle w:val="apple-converted-space"/>
          <w:rFonts w:ascii="Book Antiqua" w:hAnsi="Book Antiqua"/>
        </w:rPr>
        <w:t>Polytetrafluoroethylene</w:t>
      </w:r>
      <w:proofErr w:type="spellEnd"/>
      <w:r w:rsidRPr="008D0A08">
        <w:rPr>
          <w:rStyle w:val="apple-converted-space"/>
          <w:rFonts w:ascii="Book Antiqua" w:hAnsi="Book Antiqua"/>
        </w:rPr>
        <w:t xml:space="preserve"> covered TIPS (</w:t>
      </w:r>
      <w:proofErr w:type="spellStart"/>
      <w:r w:rsidRPr="008D0A08">
        <w:rPr>
          <w:rStyle w:val="apple-converted-space"/>
          <w:rFonts w:ascii="Book Antiqua" w:hAnsi="Book Antiqua"/>
        </w:rPr>
        <w:t>Viatorr</w:t>
      </w:r>
      <w:proofErr w:type="spellEnd"/>
      <w:r w:rsidRPr="008D0A08">
        <w:rPr>
          <w:rStyle w:val="apple-converted-space"/>
          <w:rFonts w:ascii="Book Antiqua" w:hAnsi="Book Antiqua"/>
        </w:rPr>
        <w:t>) from July 2002 to December 2013 were retrospectively reviewed at two hospitals in a single institution.</w:t>
      </w:r>
      <w:r w:rsidR="006D232F">
        <w:rPr>
          <w:rStyle w:val="apple-converted-space"/>
          <w:rFonts w:ascii="Book Antiqua" w:hAnsi="Book Antiqua"/>
        </w:rPr>
        <w:t xml:space="preserve"> </w:t>
      </w:r>
      <w:r w:rsidRPr="008D0A08">
        <w:rPr>
          <w:rStyle w:val="apple-converted-space"/>
          <w:rFonts w:ascii="Book Antiqua" w:hAnsi="Book Antiqua"/>
        </w:rPr>
        <w:t>Two hundred and thirty patients had TIPS maximally dilated to 10 mm (</w:t>
      </w:r>
      <w:proofErr w:type="spellStart"/>
      <w:r w:rsidRPr="008D0A08">
        <w:rPr>
          <w:rStyle w:val="apple-converted-space"/>
          <w:rFonts w:ascii="Book Antiqua" w:hAnsi="Book Antiqua"/>
        </w:rPr>
        <w:t>mTIPS</w:t>
      </w:r>
      <w:proofErr w:type="spellEnd"/>
      <w:r w:rsidRPr="008D0A08">
        <w:rPr>
          <w:rStyle w:val="apple-converted-space"/>
          <w:rFonts w:ascii="Book Antiqua" w:hAnsi="Book Antiqua"/>
        </w:rPr>
        <w:t xml:space="preserve">), while 43 patients who were at increased risk for hepatic encephalopathy (HE), based on clinical evaluation or low pre-TIPS </w:t>
      </w:r>
      <w:proofErr w:type="spellStart"/>
      <w:r w:rsidRPr="008D0A08">
        <w:rPr>
          <w:rStyle w:val="apple-converted-space"/>
          <w:rFonts w:ascii="Book Antiqua" w:hAnsi="Book Antiqua"/>
        </w:rPr>
        <w:t>portosystemic</w:t>
      </w:r>
      <w:proofErr w:type="spellEnd"/>
      <w:r w:rsidRPr="008D0A08">
        <w:rPr>
          <w:rStyle w:val="apple-converted-space"/>
          <w:rFonts w:ascii="Book Antiqua" w:hAnsi="Book Antiqua"/>
        </w:rPr>
        <w:t xml:space="preserve"> gradient (PSG), had 10 mm TIPS sub-maximally dilated to 8 mm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w:t>
      </w:r>
      <w:r w:rsidR="006D232F">
        <w:rPr>
          <w:rStyle w:val="apple-converted-space"/>
          <w:rFonts w:ascii="Book Antiqua" w:hAnsi="Book Antiqua"/>
        </w:rPr>
        <w:t xml:space="preserve"> </w:t>
      </w:r>
      <w:r w:rsidRPr="008D0A08">
        <w:rPr>
          <w:rStyle w:val="apple-converted-space"/>
          <w:rFonts w:ascii="Book Antiqua" w:hAnsi="Book Antiqua"/>
        </w:rPr>
        <w:t xml:space="preserve">Group characteristics (age, gender, MELD score, post-TIPS PSG and clinical outcomes were compared between groups, including clinical success (ascites or </w:t>
      </w:r>
      <w:proofErr w:type="spellStart"/>
      <w:r w:rsidRPr="008D0A08">
        <w:rPr>
          <w:rStyle w:val="apple-converted-space"/>
          <w:rFonts w:ascii="Book Antiqua" w:hAnsi="Book Antiqua"/>
        </w:rPr>
        <w:t>varices</w:t>
      </w:r>
      <w:proofErr w:type="spellEnd"/>
      <w:r w:rsidRPr="008D0A08">
        <w:rPr>
          <w:rStyle w:val="apple-converted-space"/>
          <w:rFonts w:ascii="Book Antiqua" w:hAnsi="Book Antiqua"/>
        </w:rPr>
        <w:t>), primary patency, primary assisted pa</w:t>
      </w:r>
      <w:r w:rsidR="00653E7C">
        <w:rPr>
          <w:rStyle w:val="apple-converted-space"/>
          <w:rFonts w:ascii="Book Antiqua" w:hAnsi="Book Antiqua"/>
        </w:rPr>
        <w:t>tency, and severe post-TIPS HE.</w:t>
      </w:r>
      <w:r w:rsidRPr="008D0A08">
        <w:rPr>
          <w:rStyle w:val="apple-converted-space"/>
          <w:rFonts w:ascii="Book Antiqua" w:hAnsi="Book Antiqua"/>
        </w:rPr>
        <w:t xml:space="preserve"> A subset of fourteen patients with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 xml:space="preserve"> underwent follow-up computed tomography imaging after TIPS creation, and were grouped based on time of imaging (&lt; 6 </w:t>
      </w:r>
      <w:proofErr w:type="spellStart"/>
      <w:r w:rsidR="00653E7C">
        <w:rPr>
          <w:rStyle w:val="apple-converted-space"/>
          <w:rFonts w:ascii="Book Antiqua" w:hAnsi="Book Antiqua" w:hint="eastAsia"/>
          <w:lang w:eastAsia="zh-CN"/>
        </w:rPr>
        <w:t>mo</w:t>
      </w:r>
      <w:proofErr w:type="spellEnd"/>
      <w:r w:rsidRPr="008D0A08">
        <w:rPr>
          <w:rStyle w:val="apple-converted-space"/>
          <w:rFonts w:ascii="Book Antiqua" w:hAnsi="Book Antiqua"/>
        </w:rPr>
        <w:t xml:space="preserve"> and &gt; 6 </w:t>
      </w:r>
      <w:proofErr w:type="spellStart"/>
      <w:r w:rsidR="00653E7C">
        <w:rPr>
          <w:rStyle w:val="apple-converted-space"/>
          <w:rFonts w:ascii="Book Antiqua" w:hAnsi="Book Antiqua" w:hint="eastAsia"/>
          <w:lang w:eastAsia="zh-CN"/>
        </w:rPr>
        <w:t>mo</w:t>
      </w:r>
      <w:proofErr w:type="spellEnd"/>
      <w:r w:rsidRPr="008D0A08">
        <w:rPr>
          <w:rStyle w:val="apple-converted-space"/>
          <w:rFonts w:ascii="Book Antiqua" w:hAnsi="Book Antiqua"/>
        </w:rPr>
        <w:t>).</w:t>
      </w:r>
      <w:r w:rsidR="006D232F">
        <w:rPr>
          <w:rStyle w:val="apple-converted-space"/>
          <w:rFonts w:ascii="Book Antiqua" w:hAnsi="Book Antiqua"/>
        </w:rPr>
        <w:t xml:space="preserve"> </w:t>
      </w:r>
      <w:r w:rsidRPr="008D0A08">
        <w:rPr>
          <w:rStyle w:val="apple-converted-space"/>
          <w:rFonts w:ascii="Book Antiqua" w:hAnsi="Book Antiqua"/>
        </w:rPr>
        <w:t>Change in diameter and cross-sectional area were measured with 3D imaging software to evaluate for passive expansion.</w:t>
      </w:r>
    </w:p>
    <w:p w14:paraId="15E045B2" w14:textId="77777777" w:rsidR="00797BF5" w:rsidRPr="008D0A08" w:rsidRDefault="00797BF5" w:rsidP="008D0A08">
      <w:pPr>
        <w:pStyle w:val="Body"/>
        <w:spacing w:line="360" w:lineRule="auto"/>
        <w:jc w:val="both"/>
        <w:rPr>
          <w:rFonts w:ascii="Book Antiqua" w:hAnsi="Book Antiqua"/>
        </w:rPr>
      </w:pPr>
    </w:p>
    <w:p w14:paraId="3C8B1673" w14:textId="77777777" w:rsidR="00653E7C" w:rsidRPr="00653E7C" w:rsidRDefault="00653E7C" w:rsidP="008D0A08">
      <w:pPr>
        <w:pStyle w:val="Body"/>
        <w:spacing w:line="360" w:lineRule="auto"/>
        <w:jc w:val="both"/>
        <w:rPr>
          <w:rStyle w:val="apple-converted-space"/>
          <w:rFonts w:ascii="Book Antiqua" w:hAnsi="Book Antiqua"/>
          <w:b/>
          <w:i/>
          <w:lang w:eastAsia="zh-CN"/>
        </w:rPr>
      </w:pPr>
      <w:r w:rsidRPr="00653E7C">
        <w:rPr>
          <w:rStyle w:val="apple-converted-space"/>
          <w:rFonts w:ascii="Book Antiqua" w:hAnsi="Book Antiqua"/>
          <w:b/>
          <w:i/>
        </w:rPr>
        <w:t>RESULTS</w:t>
      </w:r>
    </w:p>
    <w:p w14:paraId="57DE72B6" w14:textId="51BDB6D3" w:rsidR="00797BF5" w:rsidRPr="008D0A08" w:rsidRDefault="00797BF5" w:rsidP="008D0A08">
      <w:pPr>
        <w:pStyle w:val="Body"/>
        <w:spacing w:line="360" w:lineRule="auto"/>
        <w:jc w:val="both"/>
        <w:rPr>
          <w:rFonts w:ascii="Book Antiqua" w:hAnsi="Book Antiqua"/>
        </w:rPr>
      </w:pPr>
      <w:r w:rsidRPr="008D0A08">
        <w:rPr>
          <w:rStyle w:val="apple-converted-space"/>
          <w:rFonts w:ascii="Book Antiqua" w:hAnsi="Book Antiqua"/>
        </w:rPr>
        <w:t xml:space="preserve">Patient characteristics were similar between the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 xml:space="preserve"> and </w:t>
      </w:r>
      <w:proofErr w:type="spellStart"/>
      <w:r w:rsidRPr="008D0A08">
        <w:rPr>
          <w:rStyle w:val="apple-converted-space"/>
          <w:rFonts w:ascii="Book Antiqua" w:hAnsi="Book Antiqua"/>
        </w:rPr>
        <w:t>mTIPS</w:t>
      </w:r>
      <w:proofErr w:type="spellEnd"/>
      <w:r w:rsidRPr="008D0A08">
        <w:rPr>
          <w:rStyle w:val="apple-converted-space"/>
          <w:rFonts w:ascii="Book Antiqua" w:hAnsi="Book Antiqua"/>
        </w:rPr>
        <w:t xml:space="preserve"> groups, except for pre-TIPS </w:t>
      </w:r>
      <w:proofErr w:type="spellStart"/>
      <w:r w:rsidRPr="008D0A08">
        <w:rPr>
          <w:rStyle w:val="apple-converted-space"/>
          <w:rFonts w:ascii="Book Antiqua" w:hAnsi="Book Antiqua"/>
        </w:rPr>
        <w:t>portosystemic</w:t>
      </w:r>
      <w:proofErr w:type="spellEnd"/>
      <w:r w:rsidRPr="008D0A08">
        <w:rPr>
          <w:rStyle w:val="apple-converted-space"/>
          <w:rFonts w:ascii="Book Antiqua" w:hAnsi="Book Antiqua"/>
        </w:rPr>
        <w:t xml:space="preserve"> gradient, which was lower in the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 xml:space="preserve"> group (19.4 mmHg ± 6.8 </w:t>
      </w:r>
      <w:proofErr w:type="spellStart"/>
      <w:r w:rsidR="00653E7C" w:rsidRPr="00653E7C">
        <w:rPr>
          <w:rStyle w:val="apple-converted-space"/>
          <w:rFonts w:ascii="Book Antiqua" w:hAnsi="Book Antiqua" w:hint="eastAsia"/>
          <w:i/>
          <w:lang w:eastAsia="zh-CN"/>
        </w:rPr>
        <w:t>vs</w:t>
      </w:r>
      <w:proofErr w:type="spellEnd"/>
      <w:r w:rsidRPr="008D0A08">
        <w:rPr>
          <w:rStyle w:val="apple-converted-space"/>
          <w:rFonts w:ascii="Book Antiqua" w:hAnsi="Book Antiqua"/>
        </w:rPr>
        <w:t xml:space="preserve"> 22.4 mmHg ± 7.1</w:t>
      </w:r>
      <w:r w:rsidR="00653E7C">
        <w:rPr>
          <w:rStyle w:val="apple-converted-space"/>
          <w:rFonts w:ascii="Book Antiqua" w:hAnsi="Book Antiqua" w:hint="eastAsia"/>
          <w:lang w:eastAsia="zh-CN"/>
        </w:rPr>
        <w:t>,</w:t>
      </w:r>
      <w:r w:rsidRPr="008D0A08">
        <w:rPr>
          <w:rStyle w:val="apple-converted-space"/>
          <w:rFonts w:ascii="Book Antiqua" w:hAnsi="Book Antiqua"/>
        </w:rPr>
        <w:t xml:space="preserve"> </w:t>
      </w:r>
      <w:r w:rsidRPr="00653E7C">
        <w:rPr>
          <w:rStyle w:val="apple-converted-space"/>
          <w:rFonts w:ascii="Book Antiqua" w:hAnsi="Book Antiqua"/>
          <w:i/>
        </w:rPr>
        <w:t>P</w:t>
      </w:r>
      <w:r w:rsidRPr="008D0A08">
        <w:rPr>
          <w:rStyle w:val="apple-converted-space"/>
          <w:rFonts w:ascii="Book Antiqua" w:hAnsi="Book Antiqua"/>
        </w:rPr>
        <w:t xml:space="preserve"> = 0.01).</w:t>
      </w:r>
      <w:r w:rsidR="006D232F">
        <w:rPr>
          <w:rStyle w:val="apple-converted-space"/>
          <w:rFonts w:ascii="Book Antiqua" w:hAnsi="Book Antiqua"/>
        </w:rPr>
        <w:t xml:space="preserve"> </w:t>
      </w:r>
      <w:r w:rsidRPr="008D0A08">
        <w:rPr>
          <w:rStyle w:val="apple-converted-space"/>
          <w:rFonts w:ascii="Book Antiqua" w:hAnsi="Book Antiqua"/>
        </w:rPr>
        <w:t xml:space="preserve">Primary patency and primary assisted patency between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 xml:space="preserve"> and </w:t>
      </w:r>
      <w:proofErr w:type="spellStart"/>
      <w:r w:rsidRPr="008D0A08">
        <w:rPr>
          <w:rStyle w:val="apple-converted-space"/>
          <w:rFonts w:ascii="Book Antiqua" w:hAnsi="Book Antiqua"/>
        </w:rPr>
        <w:t>mTIPS</w:t>
      </w:r>
      <w:proofErr w:type="spellEnd"/>
      <w:r w:rsidRPr="008D0A08">
        <w:rPr>
          <w:rStyle w:val="apple-converted-space"/>
          <w:rFonts w:ascii="Book Antiqua" w:hAnsi="Book Antiqua"/>
        </w:rPr>
        <w:t xml:space="preserve"> was not significantly different (</w:t>
      </w:r>
      <w:r w:rsidR="00653E7C" w:rsidRPr="00653E7C">
        <w:rPr>
          <w:rStyle w:val="apple-converted-space"/>
          <w:rFonts w:ascii="Book Antiqua" w:hAnsi="Book Antiqua"/>
          <w:i/>
        </w:rPr>
        <w:t>P</w:t>
      </w:r>
      <w:r w:rsidR="00653E7C" w:rsidRPr="008D0A08">
        <w:rPr>
          <w:rStyle w:val="apple-converted-space"/>
          <w:rFonts w:ascii="Book Antiqua" w:hAnsi="Book Antiqua"/>
        </w:rPr>
        <w:t xml:space="preserve"> </w:t>
      </w:r>
      <w:r w:rsidRPr="008D0A08">
        <w:rPr>
          <w:rStyle w:val="apple-converted-space"/>
          <w:rFonts w:ascii="Book Antiqua" w:hAnsi="Book Antiqua"/>
        </w:rPr>
        <w:t>= 0.64 and 0.55, respectively</w:t>
      </w:r>
      <w:r w:rsidRPr="008D0A08">
        <w:rPr>
          <w:rStyle w:val="apple-converted-space"/>
          <w:rFonts w:ascii="Book Antiqua" w:hAnsi="Book Antiqua" w:cs="Arial"/>
        </w:rPr>
        <w:t>).</w:t>
      </w:r>
      <w:r w:rsidR="006D232F">
        <w:rPr>
          <w:rStyle w:val="apple-converted-space"/>
          <w:rFonts w:ascii="Book Antiqua" w:hAnsi="Book Antiqua" w:cs="Arial"/>
        </w:rPr>
        <w:t xml:space="preserve"> </w:t>
      </w:r>
      <w:r w:rsidRPr="008D0A08">
        <w:rPr>
          <w:rStyle w:val="apple-converted-space"/>
          <w:rFonts w:ascii="Book Antiqua" w:hAnsi="Book Antiqua" w:cs="Arial"/>
        </w:rPr>
        <w:t xml:space="preserve">Four of the 55 patients (7%) with </w:t>
      </w:r>
      <w:proofErr w:type="spellStart"/>
      <w:r w:rsidRPr="008D0A08">
        <w:rPr>
          <w:rStyle w:val="apple-converted-space"/>
          <w:rFonts w:ascii="Book Antiqua" w:hAnsi="Book Antiqua" w:cs="Arial"/>
        </w:rPr>
        <w:t>smTIPS</w:t>
      </w:r>
      <w:proofErr w:type="spellEnd"/>
      <w:r w:rsidRPr="008D0A08">
        <w:rPr>
          <w:rStyle w:val="apple-converted-space"/>
          <w:rFonts w:ascii="Book Antiqua" w:hAnsi="Book Antiqua" w:cs="Arial"/>
        </w:rPr>
        <w:t xml:space="preserve"> required TIPS reduction for severe refractory HE, while this occurred in 6 of the 218 patients (3%) with </w:t>
      </w:r>
      <w:proofErr w:type="spellStart"/>
      <w:r w:rsidRPr="008D0A08">
        <w:rPr>
          <w:rStyle w:val="apple-converted-space"/>
          <w:rFonts w:ascii="Book Antiqua" w:hAnsi="Book Antiqua" w:cs="Arial"/>
        </w:rPr>
        <w:t>mTIPS</w:t>
      </w:r>
      <w:proofErr w:type="spellEnd"/>
      <w:r w:rsidRPr="008D0A08">
        <w:rPr>
          <w:rStyle w:val="apple-converted-space"/>
          <w:rFonts w:ascii="Book Antiqua" w:hAnsi="Book Antiqua" w:cs="Arial"/>
        </w:rPr>
        <w:t xml:space="preserve"> (</w:t>
      </w:r>
      <w:r w:rsidR="00653E7C" w:rsidRPr="00653E7C">
        <w:rPr>
          <w:rStyle w:val="apple-converted-space"/>
          <w:rFonts w:ascii="Book Antiqua" w:hAnsi="Book Antiqua"/>
          <w:i/>
        </w:rPr>
        <w:t>P</w:t>
      </w:r>
      <w:r w:rsidR="00653E7C" w:rsidRPr="008D0A08">
        <w:rPr>
          <w:rStyle w:val="apple-converted-space"/>
          <w:rFonts w:ascii="Book Antiqua" w:hAnsi="Book Antiqua" w:cs="Arial"/>
        </w:rPr>
        <w:t xml:space="preserve"> </w:t>
      </w:r>
      <w:r w:rsidRPr="008D0A08">
        <w:rPr>
          <w:rStyle w:val="apple-converted-space"/>
          <w:rFonts w:ascii="Book Antiqua" w:hAnsi="Book Antiqua" w:cs="Arial"/>
        </w:rPr>
        <w:t>= 0.12).</w:t>
      </w:r>
      <w:r w:rsidR="006D232F">
        <w:rPr>
          <w:rStyle w:val="apple-converted-space"/>
          <w:rFonts w:ascii="Book Antiqua" w:hAnsi="Book Antiqua"/>
        </w:rPr>
        <w:t xml:space="preserve"> </w:t>
      </w:r>
      <w:r w:rsidRPr="008D0A08">
        <w:rPr>
          <w:rFonts w:ascii="Book Antiqua" w:hAnsi="Book Antiqua" w:cs="Arial"/>
        </w:rPr>
        <w:t xml:space="preserve">For the 14 patients with follow-up CT imaging, the median imaging follow-up was 373 days. There was an </w:t>
      </w:r>
      <w:r w:rsidRPr="008D0A08">
        <w:rPr>
          <w:rFonts w:ascii="Book Antiqua" w:hAnsi="Book Antiqua" w:cs="Arial"/>
        </w:rPr>
        <w:lastRenderedPageBreak/>
        <w:t xml:space="preserve">increase in median TIPS diameter, median percent diameter change, median area, and median percent area change in patients with CT follow-up greater than 6 </w:t>
      </w:r>
      <w:proofErr w:type="spellStart"/>
      <w:proofErr w:type="gramStart"/>
      <w:r w:rsidR="00653E7C">
        <w:rPr>
          <w:rFonts w:ascii="Book Antiqua" w:hAnsi="Book Antiqua" w:cs="Arial" w:hint="eastAsia"/>
          <w:lang w:eastAsia="zh-CN"/>
        </w:rPr>
        <w:t>mo</w:t>
      </w:r>
      <w:proofErr w:type="spellEnd"/>
      <w:proofErr w:type="gramEnd"/>
      <w:r w:rsidRPr="008D0A08">
        <w:rPr>
          <w:rFonts w:ascii="Book Antiqua" w:hAnsi="Book Antiqua" w:cs="Arial"/>
        </w:rPr>
        <w:t xml:space="preserve"> after TIPS placement</w:t>
      </w:r>
      <w:r w:rsidR="003F32FD" w:rsidRPr="008D0A08">
        <w:rPr>
          <w:rFonts w:ascii="Book Antiqua" w:hAnsi="Book Antiqua" w:cs="Arial"/>
        </w:rPr>
        <w:t xml:space="preserve"> compared to follow-up within 6</w:t>
      </w:r>
      <w:r w:rsidR="003F32FD" w:rsidRPr="008D0A08">
        <w:rPr>
          <w:rStyle w:val="apple-converted-space"/>
          <w:rFonts w:ascii="Book Antiqua" w:hAnsi="Book Antiqua"/>
          <w:color w:val="1A1A1A"/>
          <w:u w:color="1A1A1A"/>
        </w:rPr>
        <w:t xml:space="preserve"> months (8.45 mm, 5.58%, 56.04 mm</w:t>
      </w:r>
      <w:r w:rsidR="003F32FD" w:rsidRPr="008D0A08">
        <w:rPr>
          <w:rStyle w:val="apple-converted-space"/>
          <w:rFonts w:ascii="Book Antiqua" w:hAnsi="Book Antiqua"/>
          <w:color w:val="1A1A1A"/>
          <w:u w:color="1A1A1A"/>
          <w:vertAlign w:val="superscript"/>
        </w:rPr>
        <w:t>2</w:t>
      </w:r>
      <w:r w:rsidR="003F32FD" w:rsidRPr="008D0A08">
        <w:rPr>
          <w:rStyle w:val="apple-converted-space"/>
          <w:rFonts w:ascii="Book Antiqua" w:hAnsi="Book Antiqua"/>
          <w:color w:val="1A1A1A"/>
          <w:u w:color="1A1A1A"/>
        </w:rPr>
        <w:t>, and 11.48%, respectively</w:t>
      </w:r>
      <w:r w:rsidR="00653E7C">
        <w:rPr>
          <w:rStyle w:val="apple-converted-space"/>
          <w:rFonts w:ascii="Book Antiqua" w:hAnsi="Book Antiqua" w:hint="eastAsia"/>
          <w:color w:val="1A1A1A"/>
          <w:u w:color="1A1A1A"/>
          <w:lang w:eastAsia="zh-CN"/>
        </w:rPr>
        <w:t>,</w:t>
      </w:r>
      <w:r w:rsidR="003F32FD" w:rsidRPr="008D0A08">
        <w:rPr>
          <w:rStyle w:val="apple-converted-space"/>
          <w:rFonts w:ascii="Book Antiqua" w:hAnsi="Book Antiqua"/>
          <w:color w:val="1A1A1A"/>
          <w:u w:color="1A1A1A"/>
        </w:rPr>
        <w:t xml:space="preserve"> </w:t>
      </w:r>
      <w:r w:rsidR="00653E7C" w:rsidRPr="00653E7C">
        <w:rPr>
          <w:rStyle w:val="apple-converted-space"/>
          <w:rFonts w:ascii="Book Antiqua" w:hAnsi="Book Antiqua"/>
          <w:i/>
        </w:rPr>
        <w:t>P</w:t>
      </w:r>
      <w:r w:rsidR="00653E7C" w:rsidRPr="008D0A08">
        <w:rPr>
          <w:rStyle w:val="apple-converted-space"/>
          <w:rFonts w:ascii="Book Antiqua" w:hAnsi="Book Antiqua"/>
          <w:color w:val="1A1A1A"/>
          <w:u w:color="1A1A1A"/>
        </w:rPr>
        <w:t xml:space="preserve"> </w:t>
      </w:r>
      <w:r w:rsidR="003F32FD" w:rsidRPr="008D0A08">
        <w:rPr>
          <w:rStyle w:val="apple-converted-space"/>
          <w:rFonts w:ascii="Book Antiqua" w:hAnsi="Book Antiqua"/>
          <w:color w:val="1A1A1A"/>
          <w:u w:color="1A1A1A"/>
        </w:rPr>
        <w:t>= 0.01).</w:t>
      </w:r>
    </w:p>
    <w:p w14:paraId="0BE3A10A" w14:textId="77777777" w:rsidR="00797BF5" w:rsidRPr="008D0A08" w:rsidRDefault="00797BF5" w:rsidP="008D0A08">
      <w:pPr>
        <w:pStyle w:val="Body"/>
        <w:spacing w:line="360" w:lineRule="auto"/>
        <w:jc w:val="both"/>
        <w:rPr>
          <w:rFonts w:ascii="Book Antiqua" w:hAnsi="Book Antiqua"/>
        </w:rPr>
      </w:pPr>
    </w:p>
    <w:p w14:paraId="2050B97B" w14:textId="77777777" w:rsidR="00653E7C" w:rsidRPr="00653E7C" w:rsidRDefault="00653E7C" w:rsidP="008D0A08">
      <w:pPr>
        <w:pStyle w:val="Body"/>
        <w:spacing w:line="360" w:lineRule="auto"/>
        <w:jc w:val="both"/>
        <w:rPr>
          <w:rStyle w:val="apple-converted-space"/>
          <w:rFonts w:ascii="Book Antiqua" w:hAnsi="Book Antiqua"/>
          <w:b/>
          <w:i/>
          <w:lang w:val="it-IT" w:eastAsia="zh-CN"/>
        </w:rPr>
      </w:pPr>
      <w:r w:rsidRPr="00653E7C">
        <w:rPr>
          <w:rStyle w:val="apple-converted-space"/>
          <w:rFonts w:ascii="Book Antiqua" w:hAnsi="Book Antiqua"/>
          <w:b/>
          <w:i/>
          <w:lang w:val="it-IT"/>
        </w:rPr>
        <w:t>CONCLUSION</w:t>
      </w:r>
    </w:p>
    <w:p w14:paraId="36A5A5D8" w14:textId="1E90ED1B" w:rsidR="00797BF5" w:rsidRPr="008D0A08" w:rsidRDefault="00797BF5" w:rsidP="008D0A08">
      <w:pPr>
        <w:pStyle w:val="Body"/>
        <w:spacing w:line="360" w:lineRule="auto"/>
        <w:jc w:val="both"/>
        <w:rPr>
          <w:rFonts w:ascii="Book Antiqua" w:hAnsi="Book Antiqua"/>
        </w:rPr>
      </w:pPr>
      <w:proofErr w:type="gramStart"/>
      <w:r w:rsidRPr="008D0A08">
        <w:rPr>
          <w:rStyle w:val="apple-converted-space"/>
          <w:rFonts w:ascii="Book Antiqua" w:hAnsi="Book Antiqua"/>
          <w:lang w:val="it-IT"/>
        </w:rPr>
        <w:t>P</w:t>
      </w:r>
      <w:proofErr w:type="spellStart"/>
      <w:r w:rsidRPr="008D0A08">
        <w:rPr>
          <w:rStyle w:val="apple-converted-space"/>
          <w:rFonts w:ascii="Book Antiqua" w:hAnsi="Book Antiqua"/>
        </w:rPr>
        <w:t>assive</w:t>
      </w:r>
      <w:proofErr w:type="spellEnd"/>
      <w:r w:rsidRPr="008D0A08">
        <w:rPr>
          <w:rStyle w:val="apple-converted-space"/>
          <w:rFonts w:ascii="Book Antiqua" w:hAnsi="Book Antiqua"/>
        </w:rPr>
        <w:t xml:space="preserve"> expansion of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 xml:space="preserve"> does occur but clinical outcomes of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 xml:space="preserve"> and </w:t>
      </w:r>
      <w:proofErr w:type="spellStart"/>
      <w:r w:rsidRPr="008D0A08">
        <w:rPr>
          <w:rStyle w:val="apple-converted-space"/>
          <w:rFonts w:ascii="Book Antiqua" w:hAnsi="Book Antiqua"/>
        </w:rPr>
        <w:t>mTIPS</w:t>
      </w:r>
      <w:proofErr w:type="spellEnd"/>
      <w:r w:rsidRPr="008D0A08">
        <w:rPr>
          <w:rStyle w:val="apple-converted-space"/>
          <w:rFonts w:ascii="Book Antiqua" w:hAnsi="Book Antiqua"/>
        </w:rPr>
        <w:t xml:space="preserve"> were similar</w:t>
      </w:r>
      <w:proofErr w:type="gramEnd"/>
      <w:r w:rsidRPr="008D0A08">
        <w:rPr>
          <w:rStyle w:val="apple-converted-space"/>
          <w:rFonts w:ascii="Book Antiqua" w:hAnsi="Book Antiqua"/>
        </w:rPr>
        <w:t>.</w:t>
      </w:r>
      <w:r w:rsidR="006D232F">
        <w:rPr>
          <w:rStyle w:val="apple-converted-space"/>
          <w:rFonts w:ascii="Book Antiqua" w:hAnsi="Book Antiqua"/>
        </w:rPr>
        <w:t xml:space="preserve"> </w:t>
      </w:r>
      <w:r w:rsidRPr="008D0A08">
        <w:rPr>
          <w:rStyle w:val="apple-converted-space"/>
          <w:rFonts w:ascii="Book Antiqua" w:hAnsi="Book Antiqua"/>
        </w:rPr>
        <w:t>Sub-maximal dilation can prevent complications related to over-shunting in select patients.</w:t>
      </w:r>
    </w:p>
    <w:p w14:paraId="72E97539" w14:textId="77777777" w:rsidR="00DC618A" w:rsidRPr="008D0A08" w:rsidRDefault="00DC618A" w:rsidP="008D0A08">
      <w:pPr>
        <w:spacing w:line="360" w:lineRule="auto"/>
        <w:jc w:val="both"/>
        <w:rPr>
          <w:rFonts w:ascii="Book Antiqua" w:hAnsi="Book Antiqua" w:cs="Arial Unicode MS"/>
          <w:b/>
        </w:rPr>
      </w:pPr>
    </w:p>
    <w:p w14:paraId="01430971" w14:textId="3AF757C0" w:rsidR="00DC618A" w:rsidRPr="008D0A08" w:rsidRDefault="00DC618A" w:rsidP="008D0A08">
      <w:pPr>
        <w:spacing w:line="360" w:lineRule="auto"/>
        <w:jc w:val="both"/>
        <w:rPr>
          <w:rFonts w:ascii="Book Antiqua" w:hAnsi="Book Antiqua" w:cs="Arial Unicode MS"/>
          <w:b/>
        </w:rPr>
      </w:pPr>
      <w:bookmarkStart w:id="57" w:name="OLE_LINK363"/>
      <w:bookmarkStart w:id="58" w:name="OLE_LINK364"/>
      <w:bookmarkStart w:id="59" w:name="OLE_LINK254"/>
      <w:r w:rsidRPr="008D0A08">
        <w:rPr>
          <w:rFonts w:ascii="Book Antiqua" w:eastAsia="Times New Roman" w:hAnsi="Book Antiqua" w:cs="Arial Unicode MS"/>
          <w:b/>
        </w:rPr>
        <w:t>Key</w:t>
      </w:r>
      <w:r w:rsidR="00653E7C">
        <w:rPr>
          <w:rFonts w:ascii="Book Antiqua" w:eastAsia="宋体" w:hAnsi="Book Antiqua" w:cs="Arial Unicode MS" w:hint="eastAsia"/>
          <w:b/>
          <w:lang w:eastAsia="zh-CN"/>
        </w:rPr>
        <w:t xml:space="preserve"> </w:t>
      </w:r>
      <w:r w:rsidRPr="008D0A08">
        <w:rPr>
          <w:rFonts w:ascii="Book Antiqua" w:eastAsia="Times New Roman" w:hAnsi="Book Antiqua" w:cs="Arial Unicode MS"/>
          <w:b/>
        </w:rPr>
        <w:t>words</w:t>
      </w:r>
      <w:r w:rsidR="0008399A">
        <w:rPr>
          <w:rFonts w:ascii="Book Antiqua" w:eastAsia="宋体" w:hAnsi="Book Antiqua" w:cs="Arial Unicode MS" w:hint="eastAsia"/>
          <w:b/>
          <w:lang w:eastAsia="zh-CN"/>
        </w:rPr>
        <w:t>:</w:t>
      </w:r>
      <w:r w:rsidR="00AC1C30" w:rsidRPr="008D0A08">
        <w:rPr>
          <w:rFonts w:ascii="Book Antiqua" w:eastAsia="Times New Roman" w:hAnsi="Book Antiqua" w:cs="Arial Unicode MS"/>
          <w:b/>
        </w:rPr>
        <w:t xml:space="preserve"> </w:t>
      </w:r>
      <w:bookmarkStart w:id="60" w:name="OLE_LINK9"/>
      <w:bookmarkStart w:id="61" w:name="OLE_LINK10"/>
      <w:r w:rsidR="00AC1C30" w:rsidRPr="008D0A08">
        <w:rPr>
          <w:rFonts w:ascii="Book Antiqua" w:eastAsia="Times New Roman" w:hAnsi="Book Antiqua" w:cs="Arial Unicode MS"/>
        </w:rPr>
        <w:t xml:space="preserve">TIPS; Hepatic </w:t>
      </w:r>
      <w:r w:rsidR="00726638" w:rsidRPr="008D0A08">
        <w:rPr>
          <w:rFonts w:ascii="Book Antiqua" w:eastAsia="Times New Roman" w:hAnsi="Book Antiqua" w:cs="Arial Unicode MS"/>
        </w:rPr>
        <w:t>E</w:t>
      </w:r>
      <w:r w:rsidR="00AC1C30" w:rsidRPr="008D0A08">
        <w:rPr>
          <w:rFonts w:ascii="Book Antiqua" w:eastAsia="Times New Roman" w:hAnsi="Book Antiqua" w:cs="Arial Unicode MS"/>
        </w:rPr>
        <w:t>ncephalopathy;</w:t>
      </w:r>
      <w:r w:rsidR="00E03265" w:rsidRPr="008D0A08">
        <w:rPr>
          <w:rFonts w:ascii="Book Antiqua" w:eastAsia="Times New Roman" w:hAnsi="Book Antiqua" w:cs="Arial Unicode MS"/>
        </w:rPr>
        <w:t xml:space="preserve"> Portal Hypertension</w:t>
      </w:r>
      <w:r w:rsidR="00726638" w:rsidRPr="008D0A08">
        <w:rPr>
          <w:rFonts w:ascii="Book Antiqua" w:eastAsia="Times New Roman" w:hAnsi="Book Antiqua" w:cs="Arial Unicode MS"/>
        </w:rPr>
        <w:t xml:space="preserve">; Ascites; </w:t>
      </w:r>
      <w:proofErr w:type="spellStart"/>
      <w:r w:rsidR="00726638" w:rsidRPr="008D0A08">
        <w:rPr>
          <w:rFonts w:ascii="Book Antiqua" w:eastAsia="Times New Roman" w:hAnsi="Book Antiqua" w:cs="Arial Unicode MS"/>
        </w:rPr>
        <w:t>Variceal</w:t>
      </w:r>
      <w:proofErr w:type="spellEnd"/>
      <w:r w:rsidR="00726638" w:rsidRPr="008D0A08">
        <w:rPr>
          <w:rFonts w:ascii="Book Antiqua" w:eastAsia="Times New Roman" w:hAnsi="Book Antiqua" w:cs="Arial Unicode MS"/>
        </w:rPr>
        <w:t xml:space="preserve"> Hemorrhage</w:t>
      </w:r>
      <w:r w:rsidR="00BB4273" w:rsidRPr="008D0A08">
        <w:rPr>
          <w:rFonts w:ascii="Book Antiqua" w:eastAsia="Times New Roman" w:hAnsi="Book Antiqua" w:cs="Arial Unicode MS"/>
        </w:rPr>
        <w:t xml:space="preserve">; Sub-maximal Dilation; </w:t>
      </w:r>
      <w:proofErr w:type="spellStart"/>
      <w:r w:rsidR="00BB4273" w:rsidRPr="008D0A08">
        <w:rPr>
          <w:rFonts w:ascii="Book Antiqua" w:eastAsia="Times New Roman" w:hAnsi="Book Antiqua" w:cs="Arial Unicode MS"/>
        </w:rPr>
        <w:t>Underdilated</w:t>
      </w:r>
      <w:proofErr w:type="spellEnd"/>
      <w:r w:rsidR="00BB4273" w:rsidRPr="008D0A08">
        <w:rPr>
          <w:rFonts w:ascii="Book Antiqua" w:eastAsia="Times New Roman" w:hAnsi="Book Antiqua" w:cs="Arial Unicode MS"/>
        </w:rPr>
        <w:t>; Passive Expansion</w:t>
      </w:r>
      <w:bookmarkEnd w:id="60"/>
      <w:bookmarkEnd w:id="61"/>
    </w:p>
    <w:p w14:paraId="03CDDFBD" w14:textId="77777777" w:rsidR="00DC618A" w:rsidRPr="008D0A08" w:rsidRDefault="00DC618A" w:rsidP="008D0A08">
      <w:pPr>
        <w:spacing w:line="360" w:lineRule="auto"/>
        <w:jc w:val="both"/>
        <w:rPr>
          <w:rFonts w:ascii="Book Antiqua" w:hAnsi="Book Antiqua" w:cs="Arial Unicode MS"/>
          <w:b/>
        </w:rPr>
      </w:pPr>
    </w:p>
    <w:p w14:paraId="0C0D052B" w14:textId="190634F8" w:rsidR="00DC618A" w:rsidRPr="008D0A08" w:rsidRDefault="00DC618A" w:rsidP="008D0A08">
      <w:pPr>
        <w:spacing w:line="360" w:lineRule="auto"/>
        <w:jc w:val="both"/>
        <w:rPr>
          <w:rFonts w:ascii="Book Antiqua" w:hAnsi="Book Antiqua" w:cs="Arial"/>
        </w:rPr>
      </w:pPr>
      <w:bookmarkStart w:id="62" w:name="OLE_LINK55"/>
      <w:bookmarkStart w:id="63" w:name="OLE_LINK56"/>
      <w:bookmarkStart w:id="64" w:name="OLE_LINK105"/>
      <w:bookmarkStart w:id="65" w:name="OLE_LINK116"/>
      <w:bookmarkStart w:id="66" w:name="OLE_LINK89"/>
      <w:bookmarkStart w:id="67" w:name="OLE_LINK489"/>
      <w:bookmarkStart w:id="68" w:name="OLE_LINK490"/>
      <w:bookmarkStart w:id="69" w:name="OLE_LINK101"/>
      <w:bookmarkStart w:id="70" w:name="OLE_LINK107"/>
      <w:bookmarkStart w:id="71" w:name="OLE_LINK412"/>
      <w:bookmarkStart w:id="72" w:name="OLE_LINK413"/>
      <w:bookmarkStart w:id="73" w:name="OLE_LINK434"/>
      <w:bookmarkStart w:id="74" w:name="OLE_LINK442"/>
      <w:bookmarkStart w:id="75" w:name="OLE_LINK504"/>
      <w:bookmarkStart w:id="76" w:name="OLE_LINK350"/>
      <w:bookmarkStart w:id="77" w:name="OLE_LINK351"/>
      <w:bookmarkStart w:id="78" w:name="OLE_LINK408"/>
      <w:bookmarkStart w:id="79" w:name="OLE_LINK481"/>
      <w:bookmarkStart w:id="80" w:name="OLE_LINK482"/>
      <w:bookmarkStart w:id="81" w:name="OLE_LINK509"/>
      <w:bookmarkStart w:id="82" w:name="OLE_LINK575"/>
      <w:bookmarkEnd w:id="57"/>
      <w:bookmarkEnd w:id="58"/>
      <w:proofErr w:type="gramStart"/>
      <w:r w:rsidRPr="008D0A08">
        <w:rPr>
          <w:rFonts w:ascii="Book Antiqua" w:hAnsi="Book Antiqua"/>
          <w:b/>
        </w:rPr>
        <w:t>©</w:t>
      </w:r>
      <w:bookmarkEnd w:id="62"/>
      <w:bookmarkEnd w:id="63"/>
      <w:r w:rsidRPr="008D0A08">
        <w:rPr>
          <w:rFonts w:ascii="Book Antiqua" w:hAnsi="Book Antiqua"/>
          <w:b/>
        </w:rPr>
        <w:t xml:space="preserve"> </w:t>
      </w:r>
      <w:r w:rsidRPr="008D0A08">
        <w:rPr>
          <w:rFonts w:ascii="Book Antiqua" w:hAnsi="Book Antiqua" w:cs="Arial"/>
          <w:b/>
        </w:rPr>
        <w:t>The Author(s) 201</w:t>
      </w:r>
      <w:r w:rsidR="00653E7C">
        <w:rPr>
          <w:rFonts w:ascii="Book Antiqua" w:eastAsia="宋体" w:hAnsi="Book Antiqua" w:cs="Arial" w:hint="eastAsia"/>
          <w:b/>
          <w:lang w:eastAsia="zh-CN"/>
        </w:rPr>
        <w:t>7</w:t>
      </w:r>
      <w:r w:rsidRPr="008D0A08">
        <w:rPr>
          <w:rFonts w:ascii="Book Antiqua" w:hAnsi="Book Antiqua" w:cs="Arial"/>
          <w:b/>
        </w:rPr>
        <w:t>.</w:t>
      </w:r>
      <w:proofErr w:type="gramEnd"/>
      <w:r w:rsidRPr="008D0A08">
        <w:rPr>
          <w:rFonts w:ascii="Book Antiqua" w:hAnsi="Book Antiqua" w:cs="Arial"/>
          <w:b/>
        </w:rPr>
        <w:t xml:space="preserve"> </w:t>
      </w:r>
      <w:r w:rsidRPr="008D0A08">
        <w:rPr>
          <w:rFonts w:ascii="Book Antiqua" w:hAnsi="Book Antiqua" w:cs="Arial"/>
        </w:rPr>
        <w:t xml:space="preserve">Published by </w:t>
      </w:r>
      <w:proofErr w:type="spellStart"/>
      <w:r w:rsidRPr="008D0A08">
        <w:rPr>
          <w:rFonts w:ascii="Book Antiqua" w:hAnsi="Book Antiqua" w:cs="Arial"/>
        </w:rPr>
        <w:t>Baishideng</w:t>
      </w:r>
      <w:proofErr w:type="spellEnd"/>
      <w:r w:rsidRPr="008D0A08">
        <w:rPr>
          <w:rFonts w:ascii="Book Antiqua" w:hAnsi="Book Antiqua" w:cs="Arial"/>
        </w:rPr>
        <w:t xml:space="preserve"> Publishing Group Inc. All rights reserved.</w:t>
      </w:r>
    </w:p>
    <w:bookmarkEnd w:id="64"/>
    <w:bookmarkEnd w:id="65"/>
    <w:bookmarkEnd w:id="66"/>
    <w:p w14:paraId="6A8C07BC" w14:textId="77777777" w:rsidR="00DC618A" w:rsidRPr="008D0A08" w:rsidRDefault="00DC618A" w:rsidP="008D0A08">
      <w:pPr>
        <w:spacing w:line="360" w:lineRule="auto"/>
        <w:jc w:val="both"/>
        <w:rPr>
          <w:rFonts w:ascii="Book Antiqua" w:hAnsi="Book Antiqua" w:cs="Arial"/>
        </w:rPr>
      </w:pPr>
    </w:p>
    <w:bookmarkEnd w:id="67"/>
    <w:bookmarkEnd w:id="68"/>
    <w:p w14:paraId="1911B250" w14:textId="3A9A9091" w:rsidR="004B4BAF" w:rsidRPr="008D0A08" w:rsidRDefault="00DC618A" w:rsidP="008D0A08">
      <w:pPr>
        <w:spacing w:line="360" w:lineRule="auto"/>
        <w:jc w:val="both"/>
        <w:rPr>
          <w:rFonts w:ascii="Book Antiqua" w:hAnsi="Book Antiqua"/>
        </w:rPr>
      </w:pPr>
      <w:r w:rsidRPr="008D0A08">
        <w:rPr>
          <w:rFonts w:ascii="Book Antiqua" w:eastAsia="Times New Roman" w:hAnsi="Book Antiqua" w:cs="Arial Unicode MS"/>
          <w:b/>
        </w:rPr>
        <w:t>Core tip:</w:t>
      </w:r>
      <w:bookmarkEnd w:id="69"/>
      <w:bookmarkEnd w:id="70"/>
      <w:r w:rsidR="006D232F">
        <w:rPr>
          <w:rFonts w:ascii="Book Antiqua" w:eastAsia="Times New Roman" w:hAnsi="Book Antiqua" w:cs="Arial Unicode MS"/>
          <w:b/>
        </w:rPr>
        <w:t xml:space="preserve"> </w:t>
      </w:r>
      <w:bookmarkStart w:id="83" w:name="OLE_LINK11"/>
      <w:bookmarkStart w:id="84" w:name="OLE_LINK12"/>
      <w:r w:rsidR="00BB4AC0" w:rsidRPr="008D0A08">
        <w:rPr>
          <w:rFonts w:ascii="Book Antiqua" w:hAnsi="Book Antiqua"/>
        </w:rPr>
        <w:t xml:space="preserve">Sub-maximal dilation of </w:t>
      </w:r>
      <w:proofErr w:type="spellStart"/>
      <w:r w:rsidR="006D232F" w:rsidRPr="008D0A08">
        <w:rPr>
          <w:rStyle w:val="apple-converted-space"/>
          <w:rFonts w:ascii="Book Antiqua" w:hAnsi="Book Antiqua"/>
        </w:rPr>
        <w:t>transjugular</w:t>
      </w:r>
      <w:proofErr w:type="spellEnd"/>
      <w:r w:rsidR="006D232F" w:rsidRPr="008D0A08">
        <w:rPr>
          <w:rStyle w:val="apple-converted-space"/>
          <w:rFonts w:ascii="Book Antiqua" w:hAnsi="Book Antiqua"/>
        </w:rPr>
        <w:t xml:space="preserve"> intrahepatic </w:t>
      </w:r>
      <w:proofErr w:type="spellStart"/>
      <w:r w:rsidR="006D232F" w:rsidRPr="008D0A08">
        <w:rPr>
          <w:rStyle w:val="apple-converted-space"/>
          <w:rFonts w:ascii="Book Antiqua" w:hAnsi="Book Antiqua"/>
        </w:rPr>
        <w:t>portosystemic</w:t>
      </w:r>
      <w:proofErr w:type="spellEnd"/>
      <w:r w:rsidR="006D232F" w:rsidRPr="008D0A08">
        <w:rPr>
          <w:rStyle w:val="apple-converted-space"/>
          <w:rFonts w:ascii="Book Antiqua" w:hAnsi="Book Antiqua"/>
        </w:rPr>
        <w:t xml:space="preserve"> shunts (TIPS)</w:t>
      </w:r>
      <w:r w:rsidR="006D232F">
        <w:rPr>
          <w:rStyle w:val="apple-converted-space"/>
          <w:rFonts w:ascii="Book Antiqua" w:eastAsia="宋体" w:hAnsi="Book Antiqua" w:hint="eastAsia"/>
          <w:lang w:eastAsia="zh-CN"/>
        </w:rPr>
        <w:t xml:space="preserve"> </w:t>
      </w:r>
      <w:r w:rsidR="00BB4AC0" w:rsidRPr="008D0A08">
        <w:rPr>
          <w:rFonts w:ascii="Book Antiqua" w:hAnsi="Book Antiqua"/>
        </w:rPr>
        <w:t>is a method to reduce the risk of over-shunting and hepatic encephalopathy.</w:t>
      </w:r>
      <w:r w:rsidR="006D232F">
        <w:rPr>
          <w:rFonts w:ascii="Book Antiqua" w:hAnsi="Book Antiqua"/>
        </w:rPr>
        <w:t xml:space="preserve"> </w:t>
      </w:r>
      <w:r w:rsidR="00BB4AC0" w:rsidRPr="008D0A08">
        <w:rPr>
          <w:rFonts w:ascii="Book Antiqua" w:hAnsi="Book Antiqua"/>
        </w:rPr>
        <w:t>The current study is a retrospective review to compare clinical outcomes of sub-maximally dilated TIPS (</w:t>
      </w:r>
      <w:proofErr w:type="spellStart"/>
      <w:r w:rsidR="00BB4AC0" w:rsidRPr="008D0A08">
        <w:rPr>
          <w:rFonts w:ascii="Book Antiqua" w:hAnsi="Book Antiqua"/>
        </w:rPr>
        <w:t>smTIPS</w:t>
      </w:r>
      <w:proofErr w:type="spellEnd"/>
      <w:r w:rsidR="00BB4AC0" w:rsidRPr="008D0A08">
        <w:rPr>
          <w:rFonts w:ascii="Book Antiqua" w:hAnsi="Book Antiqua"/>
        </w:rPr>
        <w:t>) with maximally dilated TIPS (</w:t>
      </w:r>
      <w:proofErr w:type="spellStart"/>
      <w:r w:rsidR="00BB4AC0" w:rsidRPr="008D0A08">
        <w:rPr>
          <w:rFonts w:ascii="Book Antiqua" w:hAnsi="Book Antiqua"/>
        </w:rPr>
        <w:t>mTIPS</w:t>
      </w:r>
      <w:proofErr w:type="spellEnd"/>
      <w:r w:rsidR="00BB4AC0" w:rsidRPr="008D0A08">
        <w:rPr>
          <w:rFonts w:ascii="Book Antiqua" w:hAnsi="Book Antiqua"/>
        </w:rPr>
        <w:t>) and assess fo</w:t>
      </w:r>
      <w:r w:rsidR="006D232F">
        <w:rPr>
          <w:rFonts w:ascii="Book Antiqua" w:hAnsi="Book Antiqua"/>
        </w:rPr>
        <w:t xml:space="preserve">r passive expansion of </w:t>
      </w:r>
      <w:proofErr w:type="spellStart"/>
      <w:r w:rsidR="006D232F">
        <w:rPr>
          <w:rFonts w:ascii="Book Antiqua" w:hAnsi="Book Antiqua"/>
        </w:rPr>
        <w:t>smTIPS</w:t>
      </w:r>
      <w:proofErr w:type="spellEnd"/>
      <w:r w:rsidR="006D232F">
        <w:rPr>
          <w:rFonts w:ascii="Book Antiqua" w:hAnsi="Book Antiqua"/>
        </w:rPr>
        <w:t xml:space="preserve">. </w:t>
      </w:r>
      <w:r w:rsidR="00BB4AC0" w:rsidRPr="008D0A08">
        <w:rPr>
          <w:rFonts w:ascii="Book Antiqua" w:hAnsi="Book Antiqua"/>
        </w:rPr>
        <w:t xml:space="preserve">The study demonstrated that passive expansion of </w:t>
      </w:r>
      <w:proofErr w:type="spellStart"/>
      <w:r w:rsidR="00BB4AC0" w:rsidRPr="008D0A08">
        <w:rPr>
          <w:rFonts w:ascii="Book Antiqua" w:hAnsi="Book Antiqua"/>
        </w:rPr>
        <w:t>smTIPS</w:t>
      </w:r>
      <w:proofErr w:type="spellEnd"/>
      <w:r w:rsidR="00BB4AC0" w:rsidRPr="008D0A08">
        <w:rPr>
          <w:rFonts w:ascii="Book Antiqua" w:hAnsi="Book Antiqua"/>
        </w:rPr>
        <w:t xml:space="preserve"> does occur, however shunts may not fully expand and expansion</w:t>
      </w:r>
      <w:r w:rsidR="006D232F">
        <w:rPr>
          <w:rFonts w:ascii="Book Antiqua" w:hAnsi="Book Antiqua"/>
        </w:rPr>
        <w:t xml:space="preserve"> may occur even after 6 </w:t>
      </w:r>
      <w:r w:rsidR="006D232F">
        <w:rPr>
          <w:rFonts w:ascii="Book Antiqua" w:eastAsia="宋体" w:hAnsi="Book Antiqua" w:hint="eastAsia"/>
          <w:lang w:eastAsia="zh-CN"/>
        </w:rPr>
        <w:t>mo</w:t>
      </w:r>
      <w:r w:rsidR="006D232F">
        <w:rPr>
          <w:rFonts w:ascii="Book Antiqua" w:hAnsi="Book Antiqua"/>
        </w:rPr>
        <w:t>.</w:t>
      </w:r>
      <w:r w:rsidR="00BB4AC0" w:rsidRPr="008D0A08">
        <w:rPr>
          <w:rFonts w:ascii="Book Antiqua" w:hAnsi="Book Antiqua"/>
        </w:rPr>
        <w:t xml:space="preserve"> Clinical outcomes of </w:t>
      </w:r>
      <w:proofErr w:type="spellStart"/>
      <w:r w:rsidR="00BB4AC0" w:rsidRPr="008D0A08">
        <w:rPr>
          <w:rFonts w:ascii="Book Antiqua" w:hAnsi="Book Antiqua"/>
        </w:rPr>
        <w:t>smTIPS</w:t>
      </w:r>
      <w:proofErr w:type="spellEnd"/>
      <w:r w:rsidR="00BB4AC0" w:rsidRPr="008D0A08">
        <w:rPr>
          <w:rFonts w:ascii="Book Antiqua" w:hAnsi="Book Antiqua"/>
        </w:rPr>
        <w:t xml:space="preserve"> and </w:t>
      </w:r>
      <w:proofErr w:type="spellStart"/>
      <w:r w:rsidR="00BB4AC0" w:rsidRPr="008D0A08">
        <w:rPr>
          <w:rFonts w:ascii="Book Antiqua" w:hAnsi="Book Antiqua"/>
        </w:rPr>
        <w:t>mTIPS</w:t>
      </w:r>
      <w:proofErr w:type="spellEnd"/>
      <w:r w:rsidR="00BB4AC0" w:rsidRPr="008D0A08">
        <w:rPr>
          <w:rFonts w:ascii="Book Antiqua" w:hAnsi="Book Antiqua"/>
        </w:rPr>
        <w:t xml:space="preserve"> were similar, suggesting sub-maximal dilation may be an acceptable method to prevent complications related to over-shunting in select patients.</w:t>
      </w:r>
    </w:p>
    <w:bookmarkEnd w:id="71"/>
    <w:bookmarkEnd w:id="72"/>
    <w:bookmarkEnd w:id="73"/>
    <w:bookmarkEnd w:id="74"/>
    <w:bookmarkEnd w:id="75"/>
    <w:p w14:paraId="4526EF84" w14:textId="33C099CF" w:rsidR="004032A7" w:rsidRPr="008D0A08" w:rsidRDefault="004032A7" w:rsidP="008D0A08">
      <w:pPr>
        <w:spacing w:line="360" w:lineRule="auto"/>
        <w:jc w:val="both"/>
        <w:rPr>
          <w:rFonts w:ascii="Book Antiqua" w:hAnsi="Book Antiqua" w:cs="Arial Unicode MS"/>
          <w:b/>
        </w:rPr>
      </w:pPr>
    </w:p>
    <w:p w14:paraId="3A837314" w14:textId="273F7A0B" w:rsidR="00DC618A" w:rsidRPr="008D0A08" w:rsidRDefault="00D05932" w:rsidP="008D0A08">
      <w:pPr>
        <w:pStyle w:val="Body"/>
        <w:widowControl w:val="0"/>
        <w:spacing w:after="240" w:line="360" w:lineRule="auto"/>
        <w:jc w:val="both"/>
        <w:rPr>
          <w:rFonts w:ascii="Book Antiqua" w:hAnsi="Book Antiqua" w:cs="Arial"/>
        </w:rPr>
      </w:pPr>
      <w:bookmarkStart w:id="85" w:name="OLE_LINK130"/>
      <w:bookmarkStart w:id="86" w:name="OLE_LINK134"/>
      <w:bookmarkStart w:id="87" w:name="OLE_LINK455"/>
      <w:bookmarkStart w:id="88" w:name="OLE_LINK464"/>
      <w:bookmarkStart w:id="89" w:name="OLE_LINK73"/>
      <w:bookmarkStart w:id="90" w:name="OLE_LINK74"/>
      <w:bookmarkStart w:id="91" w:name="OLE_LINK14"/>
      <w:bookmarkEnd w:id="83"/>
      <w:bookmarkEnd w:id="84"/>
      <w:proofErr w:type="gramStart"/>
      <w:r w:rsidRPr="008D0A08">
        <w:rPr>
          <w:rFonts w:ascii="Book Antiqua" w:hAnsi="Book Antiqua" w:cs="Tahoma"/>
        </w:rPr>
        <w:t xml:space="preserve">Hsu </w:t>
      </w:r>
      <w:r w:rsidR="000549B5" w:rsidRPr="008D0A08">
        <w:rPr>
          <w:rFonts w:ascii="Book Antiqua" w:hAnsi="Book Antiqua" w:cs="Tahoma"/>
        </w:rPr>
        <w:t xml:space="preserve">MC, Weber CN, Stavropoulos SW, Clark TWI, </w:t>
      </w:r>
      <w:proofErr w:type="spellStart"/>
      <w:r w:rsidR="000549B5" w:rsidRPr="008D0A08">
        <w:rPr>
          <w:rFonts w:ascii="Book Antiqua" w:hAnsi="Book Antiqua" w:cs="Tahoma"/>
        </w:rPr>
        <w:t>Trerotola</w:t>
      </w:r>
      <w:proofErr w:type="spellEnd"/>
      <w:r w:rsidR="000549B5" w:rsidRPr="008D0A08">
        <w:rPr>
          <w:rFonts w:ascii="Book Antiqua" w:hAnsi="Book Antiqua" w:cs="Tahoma"/>
        </w:rPr>
        <w:t xml:space="preserve"> SO, </w:t>
      </w:r>
      <w:proofErr w:type="spellStart"/>
      <w:r w:rsidR="000549B5" w:rsidRPr="008D0A08">
        <w:rPr>
          <w:rFonts w:ascii="Book Antiqua" w:hAnsi="Book Antiqua" w:cs="Tahoma"/>
        </w:rPr>
        <w:t>Shlansky</w:t>
      </w:r>
      <w:proofErr w:type="spellEnd"/>
      <w:r w:rsidR="000549B5" w:rsidRPr="008D0A08">
        <w:rPr>
          <w:rFonts w:ascii="Book Antiqua" w:hAnsi="Book Antiqua" w:cs="Tahoma"/>
        </w:rPr>
        <w:t xml:space="preserve">-Goldberg RD, </w:t>
      </w:r>
      <w:proofErr w:type="spellStart"/>
      <w:r w:rsidR="000549B5" w:rsidRPr="008D0A08">
        <w:rPr>
          <w:rFonts w:ascii="Book Antiqua" w:hAnsi="Book Antiqua" w:cs="Tahoma"/>
        </w:rPr>
        <w:t>Soulen</w:t>
      </w:r>
      <w:proofErr w:type="spellEnd"/>
      <w:r w:rsidR="000549B5" w:rsidRPr="008D0A08">
        <w:rPr>
          <w:rFonts w:ascii="Book Antiqua" w:hAnsi="Book Antiqua" w:cs="Tahoma"/>
        </w:rPr>
        <w:t xml:space="preserve"> MC, and </w:t>
      </w:r>
      <w:proofErr w:type="spellStart"/>
      <w:r w:rsidR="000549B5" w:rsidRPr="008D0A08">
        <w:rPr>
          <w:rFonts w:ascii="Book Antiqua" w:hAnsi="Book Antiqua" w:cs="Tahoma"/>
        </w:rPr>
        <w:t>Nadolski</w:t>
      </w:r>
      <w:proofErr w:type="spellEnd"/>
      <w:r w:rsidR="000549B5" w:rsidRPr="008D0A08">
        <w:rPr>
          <w:rFonts w:ascii="Book Antiqua" w:hAnsi="Book Antiqua" w:cs="Tahoma"/>
        </w:rPr>
        <w:t xml:space="preserve"> GJ</w:t>
      </w:r>
      <w:r w:rsidRPr="008D0A08">
        <w:rPr>
          <w:rFonts w:ascii="Book Antiqua" w:hAnsi="Book Antiqua" w:cs="Tahoma"/>
        </w:rPr>
        <w:t>.</w:t>
      </w:r>
      <w:proofErr w:type="gramEnd"/>
      <w:r w:rsidR="006D232F">
        <w:rPr>
          <w:rFonts w:ascii="Book Antiqua" w:hAnsi="Book Antiqua" w:cs="Tahoma"/>
        </w:rPr>
        <w:t xml:space="preserve"> </w:t>
      </w:r>
      <w:proofErr w:type="gramStart"/>
      <w:r w:rsidRPr="008D0A08">
        <w:rPr>
          <w:rStyle w:val="apple-converted-space"/>
          <w:rFonts w:ascii="Book Antiqua" w:hAnsi="Book Antiqua" w:cs="Arial"/>
        </w:rPr>
        <w:t xml:space="preserve">Passive expansion of sub-maximally dilated </w:t>
      </w:r>
      <w:proofErr w:type="spellStart"/>
      <w:r w:rsidRPr="008D0A08">
        <w:rPr>
          <w:rStyle w:val="apple-converted-space"/>
          <w:rFonts w:ascii="Book Antiqua" w:hAnsi="Book Antiqua" w:cs="Arial"/>
        </w:rPr>
        <w:t>transjugular</w:t>
      </w:r>
      <w:proofErr w:type="spellEnd"/>
      <w:r w:rsidRPr="008D0A08">
        <w:rPr>
          <w:rStyle w:val="apple-converted-space"/>
          <w:rFonts w:ascii="Book Antiqua" w:hAnsi="Book Antiqua" w:cs="Arial"/>
        </w:rPr>
        <w:t xml:space="preserve"> intrahepatic </w:t>
      </w:r>
      <w:proofErr w:type="spellStart"/>
      <w:r w:rsidRPr="008D0A08">
        <w:rPr>
          <w:rStyle w:val="apple-converted-space"/>
          <w:rFonts w:ascii="Book Antiqua" w:hAnsi="Book Antiqua" w:cs="Arial"/>
        </w:rPr>
        <w:t>portosystemic</w:t>
      </w:r>
      <w:proofErr w:type="spellEnd"/>
      <w:r w:rsidRPr="008D0A08">
        <w:rPr>
          <w:rStyle w:val="apple-converted-space"/>
          <w:rFonts w:ascii="Book Antiqua" w:hAnsi="Book Antiqua" w:cs="Arial"/>
        </w:rPr>
        <w:t xml:space="preserve"> shunts and assessment of clinical outcomes</w:t>
      </w:r>
      <w:r w:rsidR="00C1630D" w:rsidRPr="008D0A08">
        <w:rPr>
          <w:rStyle w:val="apple-converted-space"/>
          <w:rFonts w:ascii="Book Antiqua" w:hAnsi="Book Antiqua" w:cs="Arial"/>
        </w:rPr>
        <w:t>.</w:t>
      </w:r>
      <w:bookmarkStart w:id="92" w:name="OLE_LINK424"/>
      <w:bookmarkStart w:id="93" w:name="OLE_LINK425"/>
      <w:proofErr w:type="gramEnd"/>
      <w:r w:rsidR="00C1630D" w:rsidRPr="008D0A08">
        <w:rPr>
          <w:rStyle w:val="apple-converted-space"/>
          <w:rFonts w:ascii="Book Antiqua" w:hAnsi="Book Antiqua" w:cs="Arial"/>
        </w:rPr>
        <w:t xml:space="preserve"> </w:t>
      </w:r>
      <w:r w:rsidR="00B96EC1">
        <w:rPr>
          <w:rFonts w:ascii="Book Antiqua" w:hAnsi="Book Antiqua"/>
          <w:i/>
          <w:iCs/>
        </w:rPr>
        <w:t xml:space="preserve">World J </w:t>
      </w:r>
      <w:proofErr w:type="spellStart"/>
      <w:r w:rsidR="00B96EC1">
        <w:rPr>
          <w:rFonts w:ascii="Book Antiqua" w:hAnsi="Book Antiqua"/>
          <w:i/>
          <w:iCs/>
        </w:rPr>
        <w:t>Hepatol</w:t>
      </w:r>
      <w:proofErr w:type="spellEnd"/>
      <w:r w:rsidR="00B96EC1">
        <w:rPr>
          <w:rFonts w:ascii="Book Antiqua" w:hAnsi="Book Antiqua" w:hint="eastAsia"/>
          <w:i/>
          <w:iCs/>
          <w:lang w:eastAsia="zh-CN"/>
        </w:rPr>
        <w:t xml:space="preserve"> </w:t>
      </w:r>
      <w:r w:rsidR="00DC618A" w:rsidRPr="008D0A08">
        <w:rPr>
          <w:rFonts w:ascii="Book Antiqua" w:hAnsi="Book Antiqua"/>
        </w:rPr>
        <w:t>201</w:t>
      </w:r>
      <w:r w:rsidR="00653E7C">
        <w:rPr>
          <w:rFonts w:ascii="Book Antiqua" w:hAnsi="Book Antiqua" w:hint="eastAsia"/>
          <w:lang w:eastAsia="zh-CN"/>
        </w:rPr>
        <w:t>7</w:t>
      </w:r>
      <w:r w:rsidR="00DC618A" w:rsidRPr="008D0A08">
        <w:rPr>
          <w:rFonts w:ascii="Book Antiqua" w:hAnsi="Book Antiqua"/>
        </w:rPr>
        <w:t xml:space="preserve">; </w:t>
      </w:r>
      <w:bookmarkStart w:id="94" w:name="OLE_LINK1689"/>
      <w:bookmarkStart w:id="95" w:name="OLE_LINK1298"/>
      <w:bookmarkStart w:id="96" w:name="OLE_LINK1297"/>
      <w:proofErr w:type="gramStart"/>
      <w:r w:rsidR="00DC618A" w:rsidRPr="008D0A08">
        <w:rPr>
          <w:rFonts w:ascii="Book Antiqua" w:hAnsi="Book Antiqua"/>
        </w:rPr>
        <w:t>In</w:t>
      </w:r>
      <w:proofErr w:type="gramEnd"/>
      <w:r w:rsidR="00DC618A" w:rsidRPr="008D0A08">
        <w:rPr>
          <w:rFonts w:ascii="Book Antiqua" w:hAnsi="Book Antiqua"/>
        </w:rPr>
        <w:t xml:space="preserve"> press</w:t>
      </w:r>
      <w:bookmarkEnd w:id="94"/>
      <w:bookmarkEnd w:id="95"/>
      <w:bookmarkEnd w:id="96"/>
    </w:p>
    <w:bookmarkEnd w:id="59"/>
    <w:bookmarkEnd w:id="76"/>
    <w:bookmarkEnd w:id="77"/>
    <w:bookmarkEnd w:id="78"/>
    <w:bookmarkEnd w:id="79"/>
    <w:bookmarkEnd w:id="80"/>
    <w:bookmarkEnd w:id="81"/>
    <w:bookmarkEnd w:id="82"/>
    <w:bookmarkEnd w:id="85"/>
    <w:bookmarkEnd w:id="86"/>
    <w:bookmarkEnd w:id="87"/>
    <w:bookmarkEnd w:id="88"/>
    <w:bookmarkEnd w:id="89"/>
    <w:bookmarkEnd w:id="90"/>
    <w:bookmarkEnd w:id="91"/>
    <w:bookmarkEnd w:id="92"/>
    <w:bookmarkEnd w:id="93"/>
    <w:p w14:paraId="5FE29550" w14:textId="77777777" w:rsidR="00DC618A" w:rsidRPr="008D0A08" w:rsidRDefault="00DC618A" w:rsidP="008D0A08">
      <w:pPr>
        <w:spacing w:line="360" w:lineRule="auto"/>
        <w:jc w:val="both"/>
        <w:rPr>
          <w:rStyle w:val="apple-converted-space"/>
          <w:rFonts w:ascii="Book Antiqua" w:eastAsia="Arial Unicode MS" w:hAnsi="Book Antiqua" w:cs="Arial Unicode MS"/>
          <w:b/>
          <w:bCs/>
          <w:color w:val="1A1A1A"/>
          <w:u w:color="1A1A1A"/>
          <w:bdr w:val="nil"/>
          <w:lang w:val="fr-FR"/>
        </w:rPr>
      </w:pPr>
      <w:r w:rsidRPr="008D0A08">
        <w:rPr>
          <w:rStyle w:val="apple-converted-space"/>
          <w:rFonts w:ascii="Book Antiqua" w:hAnsi="Book Antiqua"/>
          <w:b/>
          <w:bCs/>
          <w:color w:val="1A1A1A"/>
          <w:u w:color="1A1A1A"/>
          <w:lang w:val="fr-FR"/>
        </w:rPr>
        <w:lastRenderedPageBreak/>
        <w:br w:type="page"/>
      </w:r>
    </w:p>
    <w:p w14:paraId="2B1225B8" w14:textId="4F2A206F" w:rsidR="00797BF5" w:rsidRPr="00653E7C" w:rsidRDefault="00653E7C" w:rsidP="008D0A08">
      <w:pPr>
        <w:pStyle w:val="Body"/>
        <w:spacing w:line="360" w:lineRule="auto"/>
        <w:jc w:val="both"/>
        <w:rPr>
          <w:rFonts w:ascii="Book Antiqua" w:hAnsi="Book Antiqua"/>
          <w:b/>
          <w:bCs/>
          <w:color w:val="1A1A1A"/>
          <w:u w:color="1A1A1A"/>
          <w:lang w:val="fr-FR" w:eastAsia="zh-CN"/>
        </w:rPr>
      </w:pPr>
      <w:r w:rsidRPr="008D0A08">
        <w:rPr>
          <w:rStyle w:val="apple-converted-space"/>
          <w:rFonts w:ascii="Book Antiqua" w:hAnsi="Book Antiqua"/>
          <w:b/>
          <w:bCs/>
          <w:color w:val="1A1A1A"/>
          <w:u w:color="1A1A1A"/>
          <w:lang w:val="fr-FR"/>
        </w:rPr>
        <w:lastRenderedPageBreak/>
        <w:t>INTRODUCTION</w:t>
      </w:r>
    </w:p>
    <w:p w14:paraId="6281A0D1" w14:textId="546ECF9D" w:rsidR="00863E51" w:rsidRPr="008D0A08" w:rsidRDefault="00863E51" w:rsidP="008D0A08">
      <w:pPr>
        <w:pStyle w:val="Body"/>
        <w:spacing w:line="360" w:lineRule="auto"/>
        <w:jc w:val="both"/>
        <w:rPr>
          <w:rFonts w:ascii="Book Antiqua" w:hAnsi="Book Antiqua"/>
        </w:rPr>
      </w:pPr>
      <w:proofErr w:type="spellStart"/>
      <w:r w:rsidRPr="008D0A08">
        <w:rPr>
          <w:rStyle w:val="apple-converted-space"/>
          <w:rFonts w:ascii="Book Antiqua" w:hAnsi="Book Antiqua"/>
          <w:color w:val="1A1A1A"/>
          <w:u w:color="1A1A1A"/>
        </w:rPr>
        <w:t>Transjugular</w:t>
      </w:r>
      <w:proofErr w:type="spellEnd"/>
      <w:r w:rsidRPr="008D0A08">
        <w:rPr>
          <w:rStyle w:val="apple-converted-space"/>
          <w:rFonts w:ascii="Book Antiqua" w:hAnsi="Book Antiqua"/>
          <w:color w:val="1A1A1A"/>
          <w:u w:color="1A1A1A"/>
        </w:rPr>
        <w:t xml:space="preserve"> intrahepatic </w:t>
      </w:r>
      <w:proofErr w:type="spellStart"/>
      <w:r w:rsidRPr="008D0A08">
        <w:rPr>
          <w:rStyle w:val="apple-converted-space"/>
          <w:rFonts w:ascii="Book Antiqua" w:hAnsi="Book Antiqua"/>
          <w:color w:val="1A1A1A"/>
          <w:u w:color="1A1A1A"/>
        </w:rPr>
        <w:t>portosystemic</w:t>
      </w:r>
      <w:proofErr w:type="spellEnd"/>
      <w:r w:rsidRPr="008D0A08">
        <w:rPr>
          <w:rStyle w:val="apple-converted-space"/>
          <w:rFonts w:ascii="Book Antiqua" w:hAnsi="Book Antiqua"/>
          <w:color w:val="1A1A1A"/>
          <w:u w:color="1A1A1A"/>
        </w:rPr>
        <w:t xml:space="preserve"> shunt (TIPS) is an established treatment for the </w:t>
      </w:r>
      <w:proofErr w:type="spellStart"/>
      <w:r w:rsidRPr="008D0A08">
        <w:rPr>
          <w:rStyle w:val="apple-converted-space"/>
          <w:rFonts w:ascii="Book Antiqua" w:hAnsi="Book Antiqua"/>
          <w:color w:val="1A1A1A"/>
          <w:u w:color="1A1A1A"/>
          <w:lang w:val="pt-PT"/>
        </w:rPr>
        <w:t>sequelae</w:t>
      </w:r>
      <w:proofErr w:type="spellEnd"/>
      <w:r w:rsidRPr="008D0A08">
        <w:rPr>
          <w:rStyle w:val="apple-converted-space"/>
          <w:rFonts w:ascii="Book Antiqua" w:hAnsi="Book Antiqua"/>
          <w:color w:val="1A1A1A"/>
          <w:u w:color="1A1A1A"/>
        </w:rPr>
        <w:t xml:space="preserve"> of portal hypertension, particularly </w:t>
      </w:r>
      <w:proofErr w:type="spellStart"/>
      <w:r w:rsidRPr="008D0A08">
        <w:rPr>
          <w:rStyle w:val="apple-converted-space"/>
          <w:rFonts w:ascii="Book Antiqua" w:hAnsi="Book Antiqua"/>
          <w:color w:val="1A1A1A"/>
          <w:u w:color="1A1A1A"/>
        </w:rPr>
        <w:t>variceal</w:t>
      </w:r>
      <w:proofErr w:type="spellEnd"/>
      <w:r w:rsidRPr="008D0A08">
        <w:rPr>
          <w:rStyle w:val="apple-converted-space"/>
          <w:rFonts w:ascii="Book Antiqua" w:hAnsi="Book Antiqua"/>
          <w:color w:val="1A1A1A"/>
          <w:u w:color="1A1A1A"/>
        </w:rPr>
        <w:t xml:space="preserve"> hemorrhage and refractory ascites.</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Two major complications can arise following TIPS placement: shunt dysfunction and hepatic encephalopathy (HE)</w:t>
      </w:r>
      <w:r w:rsidR="00BB4AC0" w:rsidRPr="008D0A08">
        <w:rPr>
          <w:rStyle w:val="apple-converted-space"/>
          <w:rFonts w:ascii="Book Antiqua" w:hAnsi="Book Antiqua"/>
          <w:color w:val="1A1A1A"/>
          <w:u w:color="1A1A1A"/>
          <w:vertAlign w:val="superscript"/>
        </w:rPr>
        <w:t>[1-3]</w:t>
      </w:r>
      <w:r w:rsidR="00BB4AC0" w:rsidRPr="008D0A08">
        <w:rPr>
          <w:rStyle w:val="apple-converted-space"/>
          <w:rFonts w:ascii="Book Antiqua" w:hAnsi="Book Antiqua"/>
          <w:color w:val="1A1A1A"/>
          <w:u w:color="1A1A1A"/>
        </w:rPr>
        <w:t>.</w:t>
      </w:r>
      <w:r w:rsidR="00653E7C">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Shunt dysfunction occurs from stenosis and the consequent rise in </w:t>
      </w:r>
      <w:proofErr w:type="spellStart"/>
      <w:r w:rsidRPr="008D0A08">
        <w:rPr>
          <w:rStyle w:val="apple-converted-space"/>
          <w:rFonts w:ascii="Book Antiqua" w:hAnsi="Book Antiqua"/>
          <w:color w:val="1A1A1A"/>
          <w:u w:color="1A1A1A"/>
        </w:rPr>
        <w:t>portosystemic</w:t>
      </w:r>
      <w:proofErr w:type="spellEnd"/>
      <w:r w:rsidRPr="008D0A08">
        <w:rPr>
          <w:rStyle w:val="apple-converted-space"/>
          <w:rFonts w:ascii="Book Antiqua" w:hAnsi="Book Antiqua"/>
          <w:color w:val="1A1A1A"/>
          <w:u w:color="1A1A1A"/>
        </w:rPr>
        <w:t xml:space="preserve"> gradient (PSG) resulting in relapse of clinical manifestations of portal </w:t>
      </w:r>
      <w:proofErr w:type="gramStart"/>
      <w:r w:rsidRPr="008D0A08">
        <w:rPr>
          <w:rStyle w:val="apple-converted-space"/>
          <w:rFonts w:ascii="Book Antiqua" w:hAnsi="Book Antiqua"/>
          <w:color w:val="1A1A1A"/>
          <w:u w:color="1A1A1A"/>
        </w:rPr>
        <w:t>hypertension</w:t>
      </w:r>
      <w:r w:rsidR="00BB4AC0" w:rsidRPr="008D0A08">
        <w:rPr>
          <w:rStyle w:val="apple-converted-space"/>
          <w:rFonts w:ascii="Book Antiqua" w:hAnsi="Book Antiqua"/>
          <w:color w:val="1A1A1A"/>
          <w:u w:color="1A1A1A"/>
          <w:vertAlign w:val="superscript"/>
        </w:rPr>
        <w:t>[</w:t>
      </w:r>
      <w:proofErr w:type="gramEnd"/>
      <w:r w:rsidR="00BB4AC0" w:rsidRPr="008D0A08">
        <w:rPr>
          <w:rStyle w:val="apple-converted-space"/>
          <w:rFonts w:ascii="Book Antiqua" w:hAnsi="Book Antiqua"/>
          <w:color w:val="1A1A1A"/>
          <w:u w:color="1A1A1A"/>
          <w:vertAlign w:val="superscript"/>
        </w:rPr>
        <w:t>1,4-6]</w:t>
      </w:r>
      <w:r w:rsidR="00653E7C">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In the era of bare metal stents, TIPS dysfunction was a major problem that led to relatively low primary patency rates, typically less than 50% at one </w:t>
      </w:r>
      <w:proofErr w:type="gramStart"/>
      <w:r w:rsidRPr="008D0A08">
        <w:rPr>
          <w:rStyle w:val="apple-converted-space"/>
          <w:rFonts w:ascii="Book Antiqua" w:hAnsi="Book Antiqua"/>
          <w:color w:val="1A1A1A"/>
          <w:u w:color="1A1A1A"/>
        </w:rPr>
        <w:t>year</w:t>
      </w:r>
      <w:r w:rsidR="00BB4AC0" w:rsidRPr="008D0A08">
        <w:rPr>
          <w:rStyle w:val="apple-converted-space"/>
          <w:rFonts w:ascii="Book Antiqua" w:hAnsi="Book Antiqua"/>
          <w:color w:val="1A1A1A"/>
          <w:u w:color="1A1A1A"/>
          <w:vertAlign w:val="superscript"/>
        </w:rPr>
        <w:t>[</w:t>
      </w:r>
      <w:proofErr w:type="gramEnd"/>
      <w:r w:rsidR="00BB4AC0" w:rsidRPr="008D0A08">
        <w:rPr>
          <w:rStyle w:val="apple-converted-space"/>
          <w:rFonts w:ascii="Book Antiqua" w:hAnsi="Book Antiqua"/>
          <w:color w:val="1A1A1A"/>
          <w:u w:color="1A1A1A"/>
          <w:vertAlign w:val="superscript"/>
        </w:rPr>
        <w:t>1,5,7]</w:t>
      </w:r>
      <w:r w:rsidRPr="008D0A08">
        <w:rPr>
          <w:rStyle w:val="apple-converted-space"/>
          <w:rFonts w:ascii="Book Antiqua" w:hAnsi="Book Antiqua"/>
          <w:color w:val="1A1A1A"/>
          <w:u w:color="1A1A1A"/>
        </w:rPr>
        <w:t>.</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However, expanded </w:t>
      </w:r>
      <w:proofErr w:type="spellStart"/>
      <w:r w:rsidRPr="008D0A08">
        <w:rPr>
          <w:rStyle w:val="apple-converted-space"/>
          <w:rFonts w:ascii="Book Antiqua" w:hAnsi="Book Antiqua"/>
          <w:color w:val="1A1A1A"/>
          <w:u w:color="1A1A1A"/>
        </w:rPr>
        <w:t>polytetrafluoroethylene</w:t>
      </w:r>
      <w:proofErr w:type="spellEnd"/>
      <w:r w:rsidRPr="008D0A08">
        <w:rPr>
          <w:rStyle w:val="apple-converted-space"/>
          <w:rFonts w:ascii="Book Antiqua" w:hAnsi="Book Antiqua"/>
          <w:color w:val="1A1A1A"/>
          <w:u w:color="1A1A1A"/>
        </w:rPr>
        <w:t xml:space="preserve"> (PTFE) covered TIPS have improved patency rates and clinical outcomes compared to bare metal </w:t>
      </w:r>
      <w:proofErr w:type="gramStart"/>
      <w:r w:rsidRPr="008D0A08">
        <w:rPr>
          <w:rStyle w:val="apple-converted-space"/>
          <w:rFonts w:ascii="Book Antiqua" w:hAnsi="Book Antiqua"/>
          <w:color w:val="1A1A1A"/>
          <w:u w:color="1A1A1A"/>
        </w:rPr>
        <w:t>TIPS</w:t>
      </w:r>
      <w:r w:rsidR="00BB4AC0" w:rsidRPr="008D0A08">
        <w:rPr>
          <w:rStyle w:val="apple-converted-space"/>
          <w:rFonts w:ascii="Book Antiqua" w:hAnsi="Book Antiqua"/>
          <w:color w:val="1A1A1A"/>
          <w:u w:color="1A1A1A"/>
          <w:vertAlign w:val="superscript"/>
        </w:rPr>
        <w:t>[</w:t>
      </w:r>
      <w:proofErr w:type="gramEnd"/>
      <w:r w:rsidR="00BB4AC0" w:rsidRPr="008D0A08">
        <w:rPr>
          <w:rStyle w:val="apple-converted-space"/>
          <w:rFonts w:ascii="Book Antiqua" w:hAnsi="Book Antiqua"/>
          <w:color w:val="1A1A1A"/>
          <w:u w:color="1A1A1A"/>
          <w:vertAlign w:val="superscript"/>
        </w:rPr>
        <w:t>1-4,8-10]</w:t>
      </w:r>
      <w:r w:rsidRPr="008D0A08">
        <w:rPr>
          <w:rStyle w:val="apple-converted-space"/>
          <w:rFonts w:ascii="Book Antiqua" w:hAnsi="Book Antiqua"/>
          <w:color w:val="1A1A1A"/>
          <w:u w:color="1A1A1A"/>
        </w:rPr>
        <w:t>.</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Primary patency rates at two years have now been shown to range from 62</w:t>
      </w:r>
      <w:r w:rsidR="00653E7C">
        <w:rPr>
          <w:rStyle w:val="apple-converted-space"/>
          <w:rFonts w:ascii="Book Antiqua" w:hAnsi="Book Antiqua" w:hint="eastAsia"/>
          <w:color w:val="1A1A1A"/>
          <w:u w:color="1A1A1A"/>
          <w:lang w:eastAsia="zh-CN"/>
        </w:rPr>
        <w:t>%</w:t>
      </w:r>
      <w:r w:rsidRPr="008D0A08">
        <w:rPr>
          <w:rStyle w:val="apple-converted-space"/>
          <w:rFonts w:ascii="Book Antiqua" w:hAnsi="Book Antiqua"/>
          <w:color w:val="1A1A1A"/>
          <w:u w:color="1A1A1A"/>
        </w:rPr>
        <w:t>-89%</w:t>
      </w:r>
      <w:r w:rsidR="00BB4AC0" w:rsidRPr="008D0A08">
        <w:rPr>
          <w:rStyle w:val="apple-converted-space"/>
          <w:rFonts w:ascii="Book Antiqua" w:hAnsi="Book Antiqua"/>
          <w:color w:val="1A1A1A"/>
          <w:u w:color="1A1A1A"/>
          <w:vertAlign w:val="superscript"/>
        </w:rPr>
        <w:t>[7,10-14]</w:t>
      </w:r>
      <w:r w:rsidRPr="008D0A08">
        <w:rPr>
          <w:rStyle w:val="apple-converted-space"/>
          <w:rFonts w:ascii="Book Antiqua" w:hAnsi="Book Antiqua"/>
          <w:color w:val="1A1A1A"/>
          <w:u w:color="1A1A1A"/>
        </w:rPr>
        <w:t>.</w:t>
      </w:r>
    </w:p>
    <w:p w14:paraId="220356EE" w14:textId="2F9C8F26" w:rsidR="00863E51" w:rsidRPr="008D0A08" w:rsidRDefault="00863E51" w:rsidP="008D0A08">
      <w:pPr>
        <w:pStyle w:val="Body"/>
        <w:spacing w:line="360" w:lineRule="auto"/>
        <w:ind w:firstLineChars="100" w:firstLine="240"/>
        <w:jc w:val="both"/>
        <w:rPr>
          <w:rFonts w:ascii="Book Antiqua" w:hAnsi="Book Antiqua"/>
        </w:rPr>
      </w:pPr>
      <w:r w:rsidRPr="008D0A08">
        <w:rPr>
          <w:rStyle w:val="apple-converted-space"/>
          <w:rFonts w:ascii="Book Antiqua" w:hAnsi="Book Antiqua"/>
          <w:color w:val="1A1A1A"/>
          <w:u w:color="1A1A1A"/>
        </w:rPr>
        <w:t xml:space="preserve">Despite these advances, HE remains a pertinent post-procedural complication as </w:t>
      </w:r>
      <w:proofErr w:type="spellStart"/>
      <w:r w:rsidRPr="008D0A08">
        <w:rPr>
          <w:rStyle w:val="apple-converted-space"/>
          <w:rFonts w:ascii="Book Antiqua" w:hAnsi="Book Antiqua"/>
          <w:color w:val="1A1A1A"/>
          <w:u w:color="1A1A1A"/>
        </w:rPr>
        <w:t>portosystemic</w:t>
      </w:r>
      <w:proofErr w:type="spellEnd"/>
      <w:r w:rsidRPr="008D0A08">
        <w:rPr>
          <w:rStyle w:val="apple-converted-space"/>
          <w:rFonts w:ascii="Book Antiqua" w:hAnsi="Book Antiqua"/>
          <w:color w:val="1A1A1A"/>
          <w:u w:color="1A1A1A"/>
        </w:rPr>
        <w:t xml:space="preserve"> shunt physiology can trigger or worsen </w:t>
      </w:r>
      <w:proofErr w:type="gramStart"/>
      <w:r w:rsidRPr="008D0A08">
        <w:rPr>
          <w:rStyle w:val="apple-converted-space"/>
          <w:rFonts w:ascii="Book Antiqua" w:hAnsi="Book Antiqua"/>
          <w:color w:val="1A1A1A"/>
          <w:u w:color="1A1A1A"/>
        </w:rPr>
        <w:t>HE</w:t>
      </w:r>
      <w:r w:rsidR="00BB4AC0" w:rsidRPr="008D0A08">
        <w:rPr>
          <w:rStyle w:val="apple-converted-space"/>
          <w:rFonts w:ascii="Book Antiqua" w:hAnsi="Book Antiqua"/>
          <w:color w:val="1A1A1A"/>
          <w:u w:color="1A1A1A"/>
          <w:vertAlign w:val="superscript"/>
        </w:rPr>
        <w:t>[</w:t>
      </w:r>
      <w:proofErr w:type="gramEnd"/>
      <w:r w:rsidR="00BB4AC0" w:rsidRPr="008D0A08">
        <w:rPr>
          <w:rStyle w:val="apple-converted-space"/>
          <w:rFonts w:ascii="Book Antiqua" w:hAnsi="Book Antiqua"/>
          <w:color w:val="1A1A1A"/>
          <w:u w:color="1A1A1A"/>
          <w:vertAlign w:val="superscript"/>
        </w:rPr>
        <w:t>1-2,8]</w:t>
      </w:r>
      <w:r w:rsidR="00653E7C">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New or progressive post-TIPS HE of any severity has been shown to occur in 5</w:t>
      </w:r>
      <w:r w:rsidR="00653E7C">
        <w:rPr>
          <w:rStyle w:val="apple-converted-space"/>
          <w:rFonts w:ascii="Book Antiqua" w:hAnsi="Book Antiqua" w:hint="eastAsia"/>
          <w:color w:val="1A1A1A"/>
          <w:u w:color="1A1A1A"/>
          <w:lang w:eastAsia="zh-CN"/>
        </w:rPr>
        <w:t>%</w:t>
      </w:r>
      <w:r w:rsidRPr="008D0A08">
        <w:rPr>
          <w:rStyle w:val="apple-converted-space"/>
          <w:rFonts w:ascii="Book Antiqua" w:hAnsi="Book Antiqua"/>
          <w:color w:val="1A1A1A"/>
          <w:u w:color="1A1A1A"/>
        </w:rPr>
        <w:t>-35% of patients, while severe post-TIPS HE that does not respond to medical</w:t>
      </w:r>
      <w:r w:rsidRPr="008D0A08">
        <w:rPr>
          <w:rStyle w:val="apple-converted-space"/>
          <w:rFonts w:ascii="Book Antiqua" w:hAnsi="Book Antiqua"/>
          <w:color w:val="1A1A1A"/>
          <w:u w:color="1A1A1A"/>
          <w:lang w:val="fr-FR"/>
        </w:rPr>
        <w:t xml:space="preserve"> management</w:t>
      </w:r>
      <w:r w:rsidRPr="008D0A08">
        <w:rPr>
          <w:rStyle w:val="apple-converted-space"/>
          <w:rFonts w:ascii="Book Antiqua" w:hAnsi="Book Antiqua"/>
          <w:color w:val="1A1A1A"/>
          <w:u w:color="1A1A1A"/>
        </w:rPr>
        <w:t xml:space="preserve"> and requires TIPS reduction or occlusion, occurs in up to 7% of </w:t>
      </w:r>
      <w:proofErr w:type="gramStart"/>
      <w:r w:rsidRPr="008D0A08">
        <w:rPr>
          <w:rStyle w:val="apple-converted-space"/>
          <w:rFonts w:ascii="Book Antiqua" w:hAnsi="Book Antiqua"/>
          <w:color w:val="1A1A1A"/>
          <w:u w:color="1A1A1A"/>
        </w:rPr>
        <w:t>patients</w:t>
      </w:r>
      <w:r w:rsidR="00BB4AC0" w:rsidRPr="008D0A08">
        <w:rPr>
          <w:rStyle w:val="apple-converted-space"/>
          <w:rFonts w:ascii="Book Antiqua" w:hAnsi="Book Antiqua"/>
          <w:color w:val="1A1A1A"/>
          <w:u w:color="1A1A1A"/>
          <w:vertAlign w:val="superscript"/>
        </w:rPr>
        <w:t>[</w:t>
      </w:r>
      <w:proofErr w:type="gramEnd"/>
      <w:r w:rsidR="00BB4AC0" w:rsidRPr="008D0A08">
        <w:rPr>
          <w:rStyle w:val="apple-converted-space"/>
          <w:rFonts w:ascii="Book Antiqua" w:hAnsi="Book Antiqua"/>
          <w:color w:val="1A1A1A"/>
          <w:u w:color="1A1A1A"/>
          <w:vertAlign w:val="superscript"/>
        </w:rPr>
        <w:t>3,10,15-16]</w:t>
      </w:r>
      <w:r w:rsidRPr="008D0A08">
        <w:rPr>
          <w:rStyle w:val="apple-converted-space"/>
          <w:rFonts w:ascii="Book Antiqua" w:hAnsi="Book Antiqua"/>
          <w:color w:val="1A1A1A"/>
          <w:u w:color="1A1A1A"/>
        </w:rPr>
        <w:t xml:space="preserve">. </w:t>
      </w:r>
    </w:p>
    <w:p w14:paraId="216584CB" w14:textId="2942E80C" w:rsidR="00863E51" w:rsidRPr="00653E7C" w:rsidRDefault="00863E51" w:rsidP="00653E7C">
      <w:pPr>
        <w:pStyle w:val="Body"/>
        <w:spacing w:line="360" w:lineRule="auto"/>
        <w:ind w:firstLineChars="150" w:firstLine="360"/>
        <w:jc w:val="both"/>
        <w:rPr>
          <w:rFonts w:ascii="Book Antiqua" w:hAnsi="Book Antiqua"/>
          <w:lang w:eastAsia="zh-CN"/>
        </w:rPr>
      </w:pPr>
      <w:r w:rsidRPr="008D0A08">
        <w:rPr>
          <w:rStyle w:val="apple-converted-space"/>
          <w:rFonts w:ascii="Book Antiqua" w:hAnsi="Book Antiqua"/>
          <w:color w:val="1A1A1A"/>
          <w:u w:color="1A1A1A"/>
        </w:rPr>
        <w:t>Given the potential conflicting relationship between portal decompression and HE, efforts have been made to develop techniques to balance the desired therapeutic effect while minimizing over-</w:t>
      </w:r>
      <w:proofErr w:type="gramStart"/>
      <w:r w:rsidRPr="008D0A08">
        <w:rPr>
          <w:rStyle w:val="apple-converted-space"/>
          <w:rFonts w:ascii="Book Antiqua" w:hAnsi="Book Antiqua"/>
          <w:color w:val="1A1A1A"/>
          <w:u w:color="1A1A1A"/>
        </w:rPr>
        <w:t>shunting</w:t>
      </w:r>
      <w:r w:rsidR="00BB4AC0" w:rsidRPr="008D0A08">
        <w:rPr>
          <w:rStyle w:val="apple-converted-space"/>
          <w:rFonts w:ascii="Book Antiqua" w:hAnsi="Book Antiqua"/>
          <w:color w:val="1A1A1A"/>
          <w:u w:color="1A1A1A"/>
          <w:vertAlign w:val="superscript"/>
        </w:rPr>
        <w:t>[</w:t>
      </w:r>
      <w:proofErr w:type="gramEnd"/>
      <w:r w:rsidR="00BB4AC0" w:rsidRPr="008D0A08">
        <w:rPr>
          <w:rStyle w:val="apple-converted-space"/>
          <w:rFonts w:ascii="Book Antiqua" w:hAnsi="Book Antiqua"/>
          <w:color w:val="1A1A1A"/>
          <w:u w:color="1A1A1A"/>
          <w:vertAlign w:val="superscript"/>
        </w:rPr>
        <w:t>3,17]</w:t>
      </w:r>
      <w:r w:rsidR="00653E7C">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One such technique is to sub-maximally dilate a 10 mm </w:t>
      </w:r>
      <w:proofErr w:type="gramStart"/>
      <w:r w:rsidRPr="008D0A08">
        <w:rPr>
          <w:rStyle w:val="apple-converted-space"/>
          <w:rFonts w:ascii="Book Antiqua" w:hAnsi="Book Antiqua"/>
          <w:color w:val="1A1A1A"/>
          <w:u w:color="1A1A1A"/>
        </w:rPr>
        <w:t>TIPS</w:t>
      </w:r>
      <w:r w:rsidR="00BB4AC0" w:rsidRPr="008D0A08">
        <w:rPr>
          <w:rStyle w:val="apple-converted-space"/>
          <w:rFonts w:ascii="Book Antiqua" w:hAnsi="Book Antiqua"/>
          <w:color w:val="1A1A1A"/>
          <w:u w:color="1A1A1A"/>
          <w:vertAlign w:val="superscript"/>
        </w:rPr>
        <w:t>[</w:t>
      </w:r>
      <w:proofErr w:type="gramEnd"/>
      <w:r w:rsidR="00BB4AC0" w:rsidRPr="008D0A08">
        <w:rPr>
          <w:rStyle w:val="apple-converted-space"/>
          <w:rFonts w:ascii="Book Antiqua" w:hAnsi="Book Antiqua"/>
          <w:color w:val="1A1A1A"/>
          <w:u w:color="1A1A1A"/>
          <w:vertAlign w:val="superscript"/>
        </w:rPr>
        <w:t>18-19]</w:t>
      </w:r>
      <w:r w:rsidR="00653E7C">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Sub-maximal dilation theoretically allows for further dilation of the TIPS in the event that the initial portal decompression is insufficient while avoiding over-</w:t>
      </w:r>
      <w:proofErr w:type="gramStart"/>
      <w:r w:rsidRPr="008D0A08">
        <w:rPr>
          <w:rStyle w:val="apple-converted-space"/>
          <w:rFonts w:ascii="Book Antiqua" w:hAnsi="Book Antiqua"/>
          <w:color w:val="1A1A1A"/>
          <w:u w:color="1A1A1A"/>
        </w:rPr>
        <w:t>shunting</w:t>
      </w:r>
      <w:r w:rsidR="00BB4AC0" w:rsidRPr="008D0A08">
        <w:rPr>
          <w:rStyle w:val="apple-converted-space"/>
          <w:rFonts w:ascii="Book Antiqua" w:hAnsi="Book Antiqua"/>
          <w:color w:val="1A1A1A"/>
          <w:u w:color="1A1A1A"/>
          <w:vertAlign w:val="superscript"/>
        </w:rPr>
        <w:t>[</w:t>
      </w:r>
      <w:proofErr w:type="gramEnd"/>
      <w:r w:rsidR="00BB4AC0" w:rsidRPr="008D0A08">
        <w:rPr>
          <w:rStyle w:val="apple-converted-space"/>
          <w:rFonts w:ascii="Book Antiqua" w:hAnsi="Book Antiqua"/>
          <w:color w:val="1A1A1A"/>
          <w:u w:color="1A1A1A"/>
          <w:vertAlign w:val="superscript"/>
        </w:rPr>
        <w:t>6,16,18]</w:t>
      </w:r>
      <w:r w:rsidRPr="008D0A08">
        <w:rPr>
          <w:rStyle w:val="apple-converted-space"/>
          <w:rFonts w:ascii="Book Antiqua" w:hAnsi="Book Antiqua"/>
          <w:color w:val="1A1A1A"/>
          <w:u w:color="1A1A1A"/>
        </w:rPr>
        <w:t>.</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However, this technique would only be effective if the sub-maximally dilated TIPS do not expand significantly over time.</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Published d</w:t>
      </w:r>
      <w:proofErr w:type="spellStart"/>
      <w:r w:rsidRPr="008D0A08">
        <w:rPr>
          <w:rStyle w:val="apple-converted-space"/>
          <w:rFonts w:ascii="Book Antiqua" w:hAnsi="Book Antiqua"/>
          <w:color w:val="1A1A1A"/>
          <w:u w:color="1A1A1A"/>
          <w:lang w:val="it-IT"/>
        </w:rPr>
        <w:t>ata</w:t>
      </w:r>
      <w:proofErr w:type="spellEnd"/>
      <w:r w:rsidRPr="008D0A08">
        <w:rPr>
          <w:rStyle w:val="apple-converted-space"/>
          <w:rFonts w:ascii="Book Antiqua" w:hAnsi="Book Antiqua"/>
          <w:color w:val="1A1A1A"/>
          <w:u w:color="1A1A1A"/>
          <w:lang w:val="it-IT"/>
        </w:rPr>
        <w:t xml:space="preserve"> </w:t>
      </w:r>
      <w:proofErr w:type="spellStart"/>
      <w:r w:rsidRPr="008D0A08">
        <w:rPr>
          <w:rStyle w:val="apple-converted-space"/>
          <w:rFonts w:ascii="Book Antiqua" w:hAnsi="Book Antiqua"/>
          <w:color w:val="1A1A1A"/>
          <w:u w:color="1A1A1A"/>
          <w:lang w:val="it-IT"/>
        </w:rPr>
        <w:t>suggest</w:t>
      </w:r>
      <w:proofErr w:type="spellEnd"/>
      <w:r w:rsidRPr="008D0A08">
        <w:rPr>
          <w:rStyle w:val="apple-converted-space"/>
          <w:rFonts w:ascii="Book Antiqua" w:hAnsi="Book Antiqua"/>
          <w:color w:val="1A1A1A"/>
          <w:u w:color="1A1A1A"/>
        </w:rPr>
        <w:t xml:space="preserve"> the continued outward radial force of the TIPS stent may lead to passive expansion to its nominal diameter, limiting the value of initial gradient </w:t>
      </w:r>
      <w:proofErr w:type="gramStart"/>
      <w:r w:rsidRPr="008D0A08">
        <w:rPr>
          <w:rStyle w:val="apple-converted-space"/>
          <w:rFonts w:ascii="Book Antiqua" w:hAnsi="Book Antiqua"/>
          <w:color w:val="1A1A1A"/>
          <w:u w:color="1A1A1A"/>
        </w:rPr>
        <w:t>calibration</w:t>
      </w:r>
      <w:r w:rsidR="00BB4AC0" w:rsidRPr="008D0A08">
        <w:rPr>
          <w:rStyle w:val="apple-converted-space"/>
          <w:rFonts w:ascii="Book Antiqua" w:hAnsi="Book Antiqua"/>
          <w:color w:val="1A1A1A"/>
          <w:u w:color="1A1A1A"/>
          <w:vertAlign w:val="superscript"/>
        </w:rPr>
        <w:t>[</w:t>
      </w:r>
      <w:proofErr w:type="gramEnd"/>
      <w:r w:rsidR="00BB4AC0" w:rsidRPr="008D0A08">
        <w:rPr>
          <w:rStyle w:val="apple-converted-space"/>
          <w:rFonts w:ascii="Book Antiqua" w:hAnsi="Book Antiqua"/>
          <w:color w:val="1A1A1A"/>
          <w:u w:color="1A1A1A"/>
          <w:vertAlign w:val="superscript"/>
        </w:rPr>
        <w:t>6,19,20]</w:t>
      </w:r>
      <w:r w:rsidR="00653E7C">
        <w:rPr>
          <w:rStyle w:val="apple-converted-space"/>
          <w:rFonts w:ascii="Book Antiqua" w:hAnsi="Book Antiqua"/>
          <w:color w:val="1A1A1A"/>
          <w:u w:color="1A1A1A"/>
        </w:rPr>
        <w:t>.</w:t>
      </w:r>
      <w:r w:rsidR="00653E7C">
        <w:rPr>
          <w:rStyle w:val="apple-converted-space"/>
          <w:rFonts w:ascii="Book Antiqua" w:hAnsi="Book Antiqua" w:hint="eastAsia"/>
          <w:color w:val="1A1A1A"/>
          <w:u w:color="1A1A1A"/>
          <w:lang w:eastAsia="zh-CN"/>
        </w:rPr>
        <w:t xml:space="preserve"> </w:t>
      </w:r>
      <w:r w:rsidRPr="008D0A08">
        <w:rPr>
          <w:rStyle w:val="apple-converted-space"/>
          <w:rFonts w:ascii="Book Antiqua" w:hAnsi="Book Antiqua"/>
          <w:color w:val="1A1A1A"/>
          <w:u w:color="1A1A1A"/>
        </w:rPr>
        <w:t xml:space="preserve">The current study is a retrospective review to compare clinical outcomes of sub-maximally </w:t>
      </w:r>
      <w:r w:rsidRPr="008D0A08">
        <w:rPr>
          <w:rStyle w:val="apple-converted-space"/>
          <w:rFonts w:ascii="Book Antiqua" w:hAnsi="Book Antiqua"/>
          <w:color w:val="1A1A1A"/>
          <w:u w:color="1A1A1A"/>
        </w:rPr>
        <w:lastRenderedPageBreak/>
        <w:t>dilated TIPS (</w:t>
      </w:r>
      <w:proofErr w:type="spellStart"/>
      <w:r w:rsidRPr="008D0A08">
        <w:rPr>
          <w:rStyle w:val="apple-converted-space"/>
          <w:rFonts w:ascii="Book Antiqua" w:hAnsi="Book Antiqua"/>
          <w:color w:val="1A1A1A"/>
          <w:u w:color="1A1A1A"/>
        </w:rPr>
        <w:t>smTIPS</w:t>
      </w:r>
      <w:proofErr w:type="spellEnd"/>
      <w:r w:rsidRPr="008D0A08">
        <w:rPr>
          <w:rStyle w:val="apple-converted-space"/>
          <w:rFonts w:ascii="Book Antiqua" w:hAnsi="Book Antiqua"/>
          <w:color w:val="1A1A1A"/>
          <w:u w:color="1A1A1A"/>
        </w:rPr>
        <w:t>) with maximally dilated TIPS (</w:t>
      </w:r>
      <w:proofErr w:type="spellStart"/>
      <w:r w:rsidRPr="008D0A08">
        <w:rPr>
          <w:rStyle w:val="apple-converted-space"/>
          <w:rFonts w:ascii="Book Antiqua" w:hAnsi="Book Antiqua"/>
          <w:color w:val="1A1A1A"/>
          <w:u w:color="1A1A1A"/>
        </w:rPr>
        <w:t>mTIPS</w:t>
      </w:r>
      <w:proofErr w:type="spellEnd"/>
      <w:r w:rsidRPr="008D0A08">
        <w:rPr>
          <w:rStyle w:val="apple-converted-space"/>
          <w:rFonts w:ascii="Book Antiqua" w:hAnsi="Book Antiqua"/>
          <w:color w:val="1A1A1A"/>
          <w:u w:color="1A1A1A"/>
        </w:rPr>
        <w:t xml:space="preserve">) at a single large academic institution and assess for passive expansion of </w:t>
      </w:r>
      <w:proofErr w:type="spellStart"/>
      <w:r w:rsidRPr="008D0A08">
        <w:rPr>
          <w:rStyle w:val="apple-converted-space"/>
          <w:rFonts w:ascii="Book Antiqua" w:hAnsi="Book Antiqua"/>
          <w:color w:val="1A1A1A"/>
          <w:u w:color="1A1A1A"/>
        </w:rPr>
        <w:t>smTIPS</w:t>
      </w:r>
      <w:proofErr w:type="spellEnd"/>
      <w:r w:rsidRPr="008D0A08">
        <w:rPr>
          <w:rStyle w:val="apple-converted-space"/>
          <w:rFonts w:ascii="Book Antiqua" w:hAnsi="Book Antiqua"/>
          <w:color w:val="1A1A1A"/>
          <w:u w:color="1A1A1A"/>
        </w:rPr>
        <w:t xml:space="preserve"> in a sub-set of patients with follow-up cross-sectional imaging.</w:t>
      </w:r>
    </w:p>
    <w:p w14:paraId="5DF67326" w14:textId="77777777" w:rsidR="00653E7C" w:rsidRDefault="00653E7C" w:rsidP="008D0A08">
      <w:pPr>
        <w:pStyle w:val="Body"/>
        <w:widowControl w:val="0"/>
        <w:spacing w:line="360" w:lineRule="auto"/>
        <w:jc w:val="both"/>
        <w:rPr>
          <w:rStyle w:val="apple-converted-space"/>
          <w:rFonts w:ascii="Book Antiqua" w:hAnsi="Book Antiqua"/>
          <w:color w:val="1A1A1A"/>
          <w:u w:color="1A1A1A"/>
          <w:lang w:eastAsia="zh-CN"/>
        </w:rPr>
      </w:pPr>
    </w:p>
    <w:p w14:paraId="623525CE" w14:textId="4930533F" w:rsidR="00863E51" w:rsidRPr="008D0A08" w:rsidRDefault="00653E7C" w:rsidP="008D0A08">
      <w:pPr>
        <w:pStyle w:val="Body"/>
        <w:widowControl w:val="0"/>
        <w:spacing w:line="360" w:lineRule="auto"/>
        <w:jc w:val="both"/>
        <w:rPr>
          <w:rFonts w:ascii="Book Antiqua" w:hAnsi="Book Antiqua"/>
        </w:rPr>
      </w:pPr>
      <w:r w:rsidRPr="008D0A08">
        <w:rPr>
          <w:rStyle w:val="apple-converted-space"/>
          <w:rFonts w:ascii="Book Antiqua" w:hAnsi="Book Antiqua"/>
          <w:b/>
          <w:bCs/>
          <w:color w:val="1A1A1A"/>
          <w:u w:color="1A1A1A"/>
        </w:rPr>
        <w:t>MATERIALS AND METHODS</w:t>
      </w:r>
    </w:p>
    <w:p w14:paraId="2BF834C4" w14:textId="1EA16DDC" w:rsidR="00863E51" w:rsidRPr="008D0A08" w:rsidRDefault="00863E51" w:rsidP="008D0A08">
      <w:pPr>
        <w:pStyle w:val="Body"/>
        <w:widowControl w:val="0"/>
        <w:spacing w:line="360" w:lineRule="auto"/>
        <w:jc w:val="both"/>
        <w:rPr>
          <w:rFonts w:ascii="Book Antiqua" w:hAnsi="Book Antiqua"/>
        </w:rPr>
      </w:pPr>
      <w:r w:rsidRPr="008D0A08">
        <w:rPr>
          <w:rStyle w:val="apple-converted-space"/>
          <w:rFonts w:ascii="Book Antiqua" w:hAnsi="Book Antiqua"/>
        </w:rPr>
        <w:t>Approval from the Institutional Review Board was obtained for this retrospective study, which was carried out in full compliance with the Health Information Portability and Accountability Act</w:t>
      </w:r>
      <w:r w:rsidR="00797BF5" w:rsidRPr="008D0A08">
        <w:rPr>
          <w:rStyle w:val="apple-converted-space"/>
          <w:rFonts w:ascii="Book Antiqua" w:hAnsi="Book Antiqua"/>
        </w:rPr>
        <w:t>.</w:t>
      </w:r>
      <w:r w:rsidR="006D232F">
        <w:rPr>
          <w:rStyle w:val="apple-converted-space"/>
          <w:rFonts w:ascii="Book Antiqua" w:hAnsi="Book Antiqua"/>
        </w:rPr>
        <w:t xml:space="preserve"> </w:t>
      </w:r>
      <w:r w:rsidRPr="008D0A08">
        <w:rPr>
          <w:rStyle w:val="apple-converted-space"/>
          <w:rFonts w:ascii="Book Antiqua" w:hAnsi="Book Antiqua"/>
        </w:rPr>
        <w:t xml:space="preserve">An interventional radiology database (Hi-IQ, </w:t>
      </w:r>
      <w:proofErr w:type="spellStart"/>
      <w:r w:rsidRPr="008D0A08">
        <w:rPr>
          <w:rStyle w:val="apple-converted-space"/>
          <w:rFonts w:ascii="Book Antiqua" w:hAnsi="Book Antiqua"/>
        </w:rPr>
        <w:t>Conexsys</w:t>
      </w:r>
      <w:proofErr w:type="spellEnd"/>
      <w:r w:rsidRPr="008D0A08">
        <w:rPr>
          <w:rStyle w:val="apple-converted-space"/>
          <w:rFonts w:ascii="Book Antiqua" w:hAnsi="Book Antiqua"/>
        </w:rPr>
        <w:t xml:space="preserve">, Lincoln, RI) was used to identify all TIPS placed using an expanded PTFE-covered stent graft </w:t>
      </w:r>
      <w:r w:rsidRPr="008D0A08">
        <w:rPr>
          <w:rStyle w:val="apple-converted-space"/>
          <w:rFonts w:ascii="Book Antiqua" w:hAnsi="Book Antiqua"/>
          <w:lang w:val="it-IT"/>
        </w:rPr>
        <w:t>(</w:t>
      </w:r>
      <w:proofErr w:type="spellStart"/>
      <w:r w:rsidRPr="008D0A08">
        <w:rPr>
          <w:rStyle w:val="apple-converted-space"/>
          <w:rFonts w:ascii="Book Antiqua" w:hAnsi="Book Antiqua"/>
          <w:lang w:val="it-IT"/>
        </w:rPr>
        <w:t>Viatorr</w:t>
      </w:r>
      <w:proofErr w:type="spellEnd"/>
      <w:r w:rsidRPr="008D0A08">
        <w:rPr>
          <w:rStyle w:val="apple-converted-space"/>
          <w:rFonts w:ascii="Book Antiqua" w:hAnsi="Book Antiqua"/>
        </w:rPr>
        <w:t>) between July 2002 and December 2013 at two hospitals in a single institution (</w:t>
      </w:r>
      <w:r w:rsidRPr="00653E7C">
        <w:rPr>
          <w:rStyle w:val="apple-converted-space"/>
          <w:rFonts w:ascii="Book Antiqua" w:hAnsi="Book Antiqua"/>
          <w:i/>
        </w:rPr>
        <w:t xml:space="preserve">n </w:t>
      </w:r>
      <w:r w:rsidRPr="008D0A08">
        <w:rPr>
          <w:rStyle w:val="apple-converted-space"/>
          <w:rFonts w:ascii="Book Antiqua" w:hAnsi="Book Antiqua"/>
        </w:rPr>
        <w:t>= 313).</w:t>
      </w:r>
      <w:r w:rsidR="006D232F">
        <w:rPr>
          <w:rStyle w:val="apple-converted-space"/>
          <w:rFonts w:ascii="Book Antiqua" w:hAnsi="Book Antiqua"/>
        </w:rPr>
        <w:t xml:space="preserve"> </w:t>
      </w:r>
      <w:r w:rsidRPr="008D0A08">
        <w:rPr>
          <w:rStyle w:val="apple-converted-space"/>
          <w:rFonts w:ascii="Book Antiqua" w:hAnsi="Book Antiqua"/>
        </w:rPr>
        <w:t>The electronic medical record was used to obtain patient characteristics, including age, gender, pre-TIPS Model for End-Stage Liver Disease (MELD) score, and pre-TIPS PSG, and retrospectively reviewed to assess for measurements of clinical outcomes, including post-TIPS PSG, clinical success, primary patency, primary assisted patency, and severe post-TIPS HE.</w:t>
      </w:r>
      <w:r w:rsidR="006D232F">
        <w:rPr>
          <w:rStyle w:val="apple-converted-space"/>
          <w:rFonts w:ascii="Book Antiqua" w:hAnsi="Book Antiqua"/>
        </w:rPr>
        <w:t xml:space="preserve"> </w:t>
      </w:r>
    </w:p>
    <w:p w14:paraId="6C0D1060" w14:textId="77777777" w:rsidR="00863E51" w:rsidRPr="008D0A08" w:rsidRDefault="00863E51" w:rsidP="008D0A08">
      <w:pPr>
        <w:pStyle w:val="Body"/>
        <w:widowControl w:val="0"/>
        <w:spacing w:line="360" w:lineRule="auto"/>
        <w:jc w:val="both"/>
        <w:rPr>
          <w:rFonts w:ascii="Book Antiqua" w:hAnsi="Book Antiqua"/>
        </w:rPr>
      </w:pPr>
    </w:p>
    <w:p w14:paraId="4C3A3686" w14:textId="77777777" w:rsidR="00863E51" w:rsidRPr="00653E7C" w:rsidRDefault="00863E51" w:rsidP="008D0A08">
      <w:pPr>
        <w:pStyle w:val="Body"/>
        <w:widowControl w:val="0"/>
        <w:spacing w:line="360" w:lineRule="auto"/>
        <w:jc w:val="both"/>
        <w:rPr>
          <w:rFonts w:ascii="Book Antiqua" w:hAnsi="Book Antiqua"/>
          <w:b/>
          <w:i/>
        </w:rPr>
      </w:pPr>
      <w:r w:rsidRPr="00653E7C">
        <w:rPr>
          <w:rStyle w:val="apple-converted-space"/>
          <w:rFonts w:ascii="Book Antiqua" w:hAnsi="Book Antiqua"/>
          <w:b/>
          <w:i/>
          <w:lang w:val="it-IT"/>
        </w:rPr>
        <w:t>Procedure</w:t>
      </w:r>
    </w:p>
    <w:p w14:paraId="704A9210" w14:textId="06CCE549" w:rsidR="00863E51" w:rsidRPr="008D0A08" w:rsidRDefault="00863E51" w:rsidP="008D0A08">
      <w:pPr>
        <w:pStyle w:val="Body"/>
        <w:widowControl w:val="0"/>
        <w:spacing w:line="360" w:lineRule="auto"/>
        <w:jc w:val="both"/>
        <w:rPr>
          <w:rFonts w:ascii="Book Antiqua" w:hAnsi="Book Antiqua"/>
        </w:rPr>
      </w:pPr>
      <w:r w:rsidRPr="008D0A08">
        <w:rPr>
          <w:rStyle w:val="apple-converted-space"/>
          <w:rFonts w:ascii="Book Antiqua" w:hAnsi="Book Antiqua"/>
          <w:lang w:val="de-DE"/>
        </w:rPr>
        <w:t xml:space="preserve">All TIPS </w:t>
      </w:r>
      <w:proofErr w:type="spellStart"/>
      <w:r w:rsidRPr="008D0A08">
        <w:rPr>
          <w:rStyle w:val="apple-converted-space"/>
          <w:rFonts w:ascii="Book Antiqua" w:hAnsi="Book Antiqua"/>
          <w:lang w:val="de-DE"/>
        </w:rPr>
        <w:t>creation</w:t>
      </w:r>
      <w:proofErr w:type="spellEnd"/>
      <w:r w:rsidRPr="008D0A08">
        <w:rPr>
          <w:rStyle w:val="apple-converted-space"/>
          <w:rFonts w:ascii="Book Antiqua" w:hAnsi="Book Antiqua"/>
          <w:lang w:val="de-DE"/>
        </w:rPr>
        <w:t xml:space="preserve"> </w:t>
      </w:r>
      <w:r w:rsidRPr="008D0A08">
        <w:rPr>
          <w:rStyle w:val="apple-converted-space"/>
          <w:rFonts w:ascii="Book Antiqua" w:hAnsi="Book Antiqua"/>
        </w:rPr>
        <w:t>was performed as previously described</w:t>
      </w:r>
      <w:r w:rsidR="00BB4AC0" w:rsidRPr="008D0A08">
        <w:rPr>
          <w:rStyle w:val="apple-converted-space"/>
          <w:rFonts w:ascii="Book Antiqua" w:hAnsi="Book Antiqua"/>
          <w:vertAlign w:val="superscript"/>
        </w:rPr>
        <w:t>[12]</w:t>
      </w:r>
      <w:r w:rsidRPr="008D0A08">
        <w:rPr>
          <w:rStyle w:val="apple-converted-space"/>
          <w:rFonts w:ascii="Book Antiqua" w:hAnsi="Book Antiqua"/>
        </w:rPr>
        <w:t>.</w:t>
      </w:r>
      <w:r w:rsidR="006D232F">
        <w:rPr>
          <w:rStyle w:val="apple-converted-space"/>
          <w:rFonts w:ascii="Book Antiqua" w:hAnsi="Book Antiqua"/>
        </w:rPr>
        <w:t xml:space="preserve"> </w:t>
      </w:r>
      <w:r w:rsidRPr="008D0A08">
        <w:rPr>
          <w:rStyle w:val="apple-converted-space"/>
          <w:rFonts w:ascii="Book Antiqua" w:hAnsi="Book Antiqua"/>
        </w:rPr>
        <w:t>In patients who were considered vulnerable to post-TIPS HE based on (</w:t>
      </w:r>
      <w:r w:rsidR="00653E7C">
        <w:rPr>
          <w:rStyle w:val="apple-converted-space"/>
          <w:rFonts w:ascii="Book Antiqua" w:hAnsi="Book Antiqua" w:hint="eastAsia"/>
          <w:lang w:eastAsia="zh-CN"/>
        </w:rPr>
        <w:t>1</w:t>
      </w:r>
      <w:r w:rsidRPr="008D0A08">
        <w:rPr>
          <w:rStyle w:val="apple-converted-space"/>
          <w:rFonts w:ascii="Book Antiqua" w:hAnsi="Book Antiqua"/>
        </w:rPr>
        <w:t xml:space="preserve">) past medical history of HE on clinical evaluation by the referring </w:t>
      </w:r>
      <w:proofErr w:type="spellStart"/>
      <w:r w:rsidRPr="008D0A08">
        <w:rPr>
          <w:rStyle w:val="apple-converted-space"/>
          <w:rFonts w:ascii="Book Antiqua" w:hAnsi="Book Antiqua"/>
        </w:rPr>
        <w:t>hepatologist</w:t>
      </w:r>
      <w:proofErr w:type="spellEnd"/>
      <w:r w:rsidRPr="008D0A08">
        <w:rPr>
          <w:rStyle w:val="apple-converted-space"/>
          <w:rFonts w:ascii="Book Antiqua" w:hAnsi="Book Antiqua"/>
        </w:rPr>
        <w:t xml:space="preserve"> or interventional radiology service</w:t>
      </w:r>
      <w:r w:rsidR="006D232F">
        <w:rPr>
          <w:rStyle w:val="apple-converted-space"/>
          <w:rFonts w:ascii="Book Antiqua" w:hAnsi="Book Antiqua" w:hint="eastAsia"/>
          <w:lang w:eastAsia="zh-CN"/>
        </w:rPr>
        <w:t>;</w:t>
      </w:r>
      <w:r w:rsidRPr="008D0A08">
        <w:rPr>
          <w:rStyle w:val="apple-converted-space"/>
          <w:rFonts w:ascii="Book Antiqua" w:hAnsi="Book Antiqua"/>
        </w:rPr>
        <w:t xml:space="preserve"> or (</w:t>
      </w:r>
      <w:r w:rsidR="00653E7C">
        <w:rPr>
          <w:rStyle w:val="apple-converted-space"/>
          <w:rFonts w:ascii="Book Antiqua" w:hAnsi="Book Antiqua" w:hint="eastAsia"/>
          <w:lang w:eastAsia="zh-CN"/>
        </w:rPr>
        <w:t>2</w:t>
      </w:r>
      <w:r w:rsidRPr="008D0A08">
        <w:rPr>
          <w:rStyle w:val="apple-converted-space"/>
          <w:rFonts w:ascii="Book Antiqua" w:hAnsi="Book Antiqua"/>
        </w:rPr>
        <w:t xml:space="preserve">) low pre-TIPS PSG that could result in over-shunting post-TIPS as determined by the performing </w:t>
      </w:r>
      <w:proofErr w:type="spellStart"/>
      <w:r w:rsidRPr="008D0A08">
        <w:rPr>
          <w:rStyle w:val="apple-converted-space"/>
          <w:rFonts w:ascii="Book Antiqua" w:hAnsi="Book Antiqua"/>
          <w:lang w:val="fr-FR"/>
        </w:rPr>
        <w:t>interventional</w:t>
      </w:r>
      <w:proofErr w:type="spellEnd"/>
      <w:r w:rsidRPr="008D0A08">
        <w:rPr>
          <w:rStyle w:val="apple-converted-space"/>
          <w:rFonts w:ascii="Book Antiqua" w:hAnsi="Book Antiqua"/>
          <w:lang w:val="fr-FR"/>
        </w:rPr>
        <w:t xml:space="preserve"> </w:t>
      </w:r>
      <w:r w:rsidRPr="008D0A08">
        <w:rPr>
          <w:rStyle w:val="apple-converted-space"/>
          <w:rFonts w:ascii="Book Antiqua" w:hAnsi="Book Antiqua"/>
        </w:rPr>
        <w:t>radiologist, a modified TIPS creation procedure was performed.</w:t>
      </w:r>
      <w:r w:rsidR="006D232F">
        <w:rPr>
          <w:rStyle w:val="apple-converted-space"/>
          <w:rFonts w:ascii="Book Antiqua" w:hAnsi="Book Antiqua"/>
        </w:rPr>
        <w:t xml:space="preserve"> </w:t>
      </w:r>
      <w:r w:rsidRPr="008D0A08">
        <w:rPr>
          <w:rStyle w:val="apple-converted-space"/>
          <w:rFonts w:ascii="Book Antiqua" w:hAnsi="Book Antiqua"/>
        </w:rPr>
        <w:t>The modified TIPS creation involved initial placement of a nominal 10 mm TIPS stent that was sub-maximally dilated to 8 mm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w:t>
      </w:r>
      <w:r w:rsidR="006D232F">
        <w:rPr>
          <w:rStyle w:val="apple-converted-space"/>
          <w:rFonts w:ascii="Book Antiqua" w:hAnsi="Book Antiqua"/>
        </w:rPr>
        <w:t xml:space="preserve"> </w:t>
      </w:r>
      <w:r w:rsidRPr="008D0A08">
        <w:rPr>
          <w:rStyle w:val="apple-converted-space"/>
          <w:rFonts w:ascii="Book Antiqua" w:hAnsi="Book Antiqua"/>
        </w:rPr>
        <w:t xml:space="preserve">Following initial dilation with the 8 mm balloon, the PSG was measured and post-TIPS </w:t>
      </w:r>
      <w:proofErr w:type="spellStart"/>
      <w:r w:rsidRPr="008D0A08">
        <w:rPr>
          <w:rStyle w:val="apple-converted-space"/>
          <w:rFonts w:ascii="Book Antiqua" w:hAnsi="Book Antiqua"/>
        </w:rPr>
        <w:t>portography</w:t>
      </w:r>
      <w:proofErr w:type="spellEnd"/>
      <w:r w:rsidRPr="008D0A08">
        <w:rPr>
          <w:rStyle w:val="apple-converted-space"/>
          <w:rFonts w:ascii="Book Antiqua" w:hAnsi="Book Antiqua"/>
        </w:rPr>
        <w:t xml:space="preserve"> was repeated at the same injection rate as the initial </w:t>
      </w:r>
      <w:proofErr w:type="spellStart"/>
      <w:r w:rsidRPr="008D0A08">
        <w:rPr>
          <w:rStyle w:val="apple-converted-space"/>
          <w:rFonts w:ascii="Book Antiqua" w:hAnsi="Book Antiqua"/>
        </w:rPr>
        <w:t>portogram</w:t>
      </w:r>
      <w:proofErr w:type="spellEnd"/>
      <w:r w:rsidRPr="008D0A08">
        <w:rPr>
          <w:rStyle w:val="apple-converted-space"/>
          <w:rFonts w:ascii="Book Antiqua" w:hAnsi="Book Antiqua"/>
        </w:rPr>
        <w:t xml:space="preserve"> (8-10 mL/s for 2 s for all cases).</w:t>
      </w:r>
      <w:r w:rsidR="006D232F">
        <w:rPr>
          <w:rStyle w:val="apple-converted-space"/>
          <w:rFonts w:ascii="Book Antiqua" w:hAnsi="Book Antiqua"/>
        </w:rPr>
        <w:t xml:space="preserve"> </w:t>
      </w:r>
      <w:r w:rsidRPr="008D0A08">
        <w:rPr>
          <w:rStyle w:val="apple-converted-space"/>
          <w:rFonts w:ascii="Book Antiqua" w:hAnsi="Book Antiqua"/>
        </w:rPr>
        <w:t xml:space="preserve">If the PSG normalized (≤ 12 mmHg) and there was no </w:t>
      </w:r>
      <w:proofErr w:type="spellStart"/>
      <w:r w:rsidRPr="008D0A08">
        <w:rPr>
          <w:rStyle w:val="apple-converted-space"/>
          <w:rFonts w:ascii="Book Antiqua" w:hAnsi="Book Antiqua"/>
        </w:rPr>
        <w:t>venographic</w:t>
      </w:r>
      <w:proofErr w:type="spellEnd"/>
      <w:r w:rsidRPr="008D0A08">
        <w:rPr>
          <w:rStyle w:val="apple-converted-space"/>
          <w:rFonts w:ascii="Book Antiqua" w:hAnsi="Book Antiqua"/>
        </w:rPr>
        <w:t xml:space="preserve"> evidence of elevated gradient (</w:t>
      </w:r>
      <w:r w:rsidRPr="00653E7C">
        <w:rPr>
          <w:rStyle w:val="apple-converted-space"/>
          <w:rFonts w:ascii="Book Antiqua" w:hAnsi="Book Antiqua"/>
          <w:i/>
        </w:rPr>
        <w:t>i.e.,</w:t>
      </w:r>
      <w:r w:rsidRPr="008D0A08">
        <w:rPr>
          <w:rStyle w:val="apple-converted-space"/>
          <w:rFonts w:ascii="Book Antiqua" w:hAnsi="Book Antiqua"/>
        </w:rPr>
        <w:t xml:space="preserve"> persistently filling </w:t>
      </w:r>
      <w:proofErr w:type="spellStart"/>
      <w:r w:rsidRPr="008D0A08">
        <w:rPr>
          <w:rStyle w:val="apple-converted-space"/>
          <w:rFonts w:ascii="Book Antiqua" w:hAnsi="Book Antiqua"/>
        </w:rPr>
        <w:t>varices</w:t>
      </w:r>
      <w:proofErr w:type="spellEnd"/>
      <w:r w:rsidRPr="008D0A08">
        <w:rPr>
          <w:rStyle w:val="apple-converted-space"/>
          <w:rFonts w:ascii="Book Antiqua" w:hAnsi="Book Antiqua"/>
        </w:rPr>
        <w:t>), then the procedure was ended.</w:t>
      </w:r>
      <w:r w:rsidR="006D232F">
        <w:rPr>
          <w:rStyle w:val="apple-converted-space"/>
          <w:rFonts w:ascii="Book Antiqua" w:hAnsi="Book Antiqua"/>
        </w:rPr>
        <w:t xml:space="preserve"> </w:t>
      </w:r>
      <w:r w:rsidRPr="008D0A08">
        <w:rPr>
          <w:rStyle w:val="apple-converted-space"/>
          <w:rFonts w:ascii="Book Antiqua" w:hAnsi="Book Antiqua"/>
        </w:rPr>
        <w:t xml:space="preserve">Otherwise, the </w:t>
      </w:r>
      <w:proofErr w:type="spellStart"/>
      <w:r w:rsidRPr="008D0A08">
        <w:rPr>
          <w:rStyle w:val="apple-converted-space"/>
          <w:rFonts w:ascii="Book Antiqua" w:hAnsi="Book Antiqua"/>
        </w:rPr>
        <w:lastRenderedPageBreak/>
        <w:t>smTIPS</w:t>
      </w:r>
      <w:proofErr w:type="spellEnd"/>
      <w:r w:rsidRPr="008D0A08">
        <w:rPr>
          <w:rStyle w:val="apple-converted-space"/>
          <w:rFonts w:ascii="Book Antiqua" w:hAnsi="Book Antiqua"/>
        </w:rPr>
        <w:t xml:space="preserve"> stent was further dilated with a 10 mm balloon, PSG measured, and </w:t>
      </w:r>
      <w:proofErr w:type="spellStart"/>
      <w:r w:rsidRPr="008D0A08">
        <w:rPr>
          <w:rStyle w:val="apple-converted-space"/>
          <w:rFonts w:ascii="Book Antiqua" w:hAnsi="Book Antiqua"/>
        </w:rPr>
        <w:t>portography</w:t>
      </w:r>
      <w:proofErr w:type="spellEnd"/>
      <w:r w:rsidRPr="008D0A08">
        <w:rPr>
          <w:rStyle w:val="apple-converted-space"/>
          <w:rFonts w:ascii="Book Antiqua" w:hAnsi="Book Antiqua"/>
        </w:rPr>
        <w:t xml:space="preserve"> repeated (</w:t>
      </w:r>
      <w:proofErr w:type="spellStart"/>
      <w:r w:rsidRPr="008D0A08">
        <w:rPr>
          <w:rStyle w:val="apple-converted-space"/>
          <w:rFonts w:ascii="Book Antiqua" w:hAnsi="Book Antiqua"/>
        </w:rPr>
        <w:t>mTIPS</w:t>
      </w:r>
      <w:proofErr w:type="spellEnd"/>
      <w:r w:rsidRPr="008D0A08">
        <w:rPr>
          <w:rStyle w:val="apple-converted-space"/>
          <w:rFonts w:ascii="Book Antiqua" w:hAnsi="Book Antiqua"/>
        </w:rPr>
        <w:t>).</w:t>
      </w:r>
      <w:r w:rsidR="006D232F">
        <w:rPr>
          <w:rStyle w:val="apple-converted-space"/>
          <w:rFonts w:ascii="Book Antiqua" w:hAnsi="Book Antiqua"/>
        </w:rPr>
        <w:t xml:space="preserve"> </w:t>
      </w:r>
      <w:r w:rsidRPr="008D0A08">
        <w:rPr>
          <w:rStyle w:val="apple-converted-space"/>
          <w:rFonts w:ascii="Book Antiqua" w:hAnsi="Book Antiqua"/>
        </w:rPr>
        <w:t xml:space="preserve">Coil embolization of persistently filling </w:t>
      </w:r>
      <w:proofErr w:type="spellStart"/>
      <w:r w:rsidRPr="008D0A08">
        <w:rPr>
          <w:rStyle w:val="apple-converted-space"/>
          <w:rFonts w:ascii="Book Antiqua" w:hAnsi="Book Antiqua"/>
        </w:rPr>
        <w:t>varices</w:t>
      </w:r>
      <w:proofErr w:type="spellEnd"/>
      <w:r w:rsidRPr="008D0A08">
        <w:rPr>
          <w:rStyle w:val="apple-converted-space"/>
          <w:rFonts w:ascii="Book Antiqua" w:hAnsi="Book Antiqua"/>
        </w:rPr>
        <w:t xml:space="preserve"> following TIPS creation with normalized PSG was performed in patients who initially presented with </w:t>
      </w:r>
      <w:proofErr w:type="spellStart"/>
      <w:r w:rsidRPr="008D0A08">
        <w:rPr>
          <w:rStyle w:val="apple-converted-space"/>
          <w:rFonts w:ascii="Book Antiqua" w:hAnsi="Book Antiqua"/>
        </w:rPr>
        <w:t>variceal</w:t>
      </w:r>
      <w:proofErr w:type="spellEnd"/>
      <w:r w:rsidRPr="008D0A08">
        <w:rPr>
          <w:rStyle w:val="apple-converted-space"/>
          <w:rFonts w:ascii="Book Antiqua" w:hAnsi="Book Antiqua"/>
        </w:rPr>
        <w:t xml:space="preserve"> hemorrhage.</w:t>
      </w:r>
      <w:r w:rsidR="006D232F">
        <w:rPr>
          <w:rStyle w:val="apple-converted-space"/>
          <w:rFonts w:ascii="Book Antiqua" w:hAnsi="Book Antiqua"/>
        </w:rPr>
        <w:t xml:space="preserve"> </w:t>
      </w:r>
    </w:p>
    <w:p w14:paraId="5AB0AE35" w14:textId="6D72A3DA" w:rsidR="00863E51" w:rsidRPr="008D0A08" w:rsidRDefault="00863E51" w:rsidP="00653E7C">
      <w:pPr>
        <w:pStyle w:val="Body"/>
        <w:widowControl w:val="0"/>
        <w:spacing w:line="360" w:lineRule="auto"/>
        <w:ind w:firstLineChars="100" w:firstLine="240"/>
        <w:jc w:val="both"/>
        <w:rPr>
          <w:rFonts w:ascii="Book Antiqua" w:hAnsi="Book Antiqua"/>
        </w:rPr>
      </w:pPr>
      <w:r w:rsidRPr="008D0A08">
        <w:rPr>
          <w:rStyle w:val="apple-converted-space"/>
          <w:rFonts w:ascii="Book Antiqua" w:hAnsi="Book Antiqua"/>
        </w:rPr>
        <w:t xml:space="preserve">Decision for angioplasty, </w:t>
      </w:r>
      <w:proofErr w:type="spellStart"/>
      <w:r w:rsidRPr="008D0A08">
        <w:rPr>
          <w:rStyle w:val="apple-converted-space"/>
          <w:rFonts w:ascii="Book Antiqua" w:hAnsi="Book Antiqua"/>
        </w:rPr>
        <w:t>thrombectomy</w:t>
      </w:r>
      <w:proofErr w:type="spellEnd"/>
      <w:r w:rsidRPr="008D0A08">
        <w:rPr>
          <w:rStyle w:val="apple-converted-space"/>
          <w:rFonts w:ascii="Book Antiqua" w:hAnsi="Book Antiqua"/>
        </w:rPr>
        <w:t xml:space="preserve">, or stent placement during TIPS revision was based on </w:t>
      </w:r>
      <w:proofErr w:type="spellStart"/>
      <w:r w:rsidRPr="008D0A08">
        <w:rPr>
          <w:rStyle w:val="apple-converted-space"/>
          <w:rFonts w:ascii="Book Antiqua" w:hAnsi="Book Antiqua"/>
        </w:rPr>
        <w:t>venographic</w:t>
      </w:r>
      <w:proofErr w:type="spellEnd"/>
      <w:r w:rsidR="00653E7C">
        <w:rPr>
          <w:rStyle w:val="apple-converted-space"/>
          <w:rFonts w:ascii="Book Antiqua" w:hAnsi="Book Antiqua"/>
        </w:rPr>
        <w:t xml:space="preserve"> findings and PSG measurements.</w:t>
      </w:r>
      <w:r w:rsidRPr="008D0A08">
        <w:rPr>
          <w:rStyle w:val="apple-converted-space"/>
          <w:rFonts w:ascii="Book Antiqua" w:hAnsi="Book Antiqua"/>
        </w:rPr>
        <w:t xml:space="preserve"> All patients received HE prophylaxis with </w:t>
      </w:r>
      <w:proofErr w:type="gramStart"/>
      <w:r w:rsidRPr="008D0A08">
        <w:rPr>
          <w:rStyle w:val="apple-converted-space"/>
          <w:rFonts w:ascii="Book Antiqua" w:hAnsi="Book Antiqua"/>
        </w:rPr>
        <w:t>lactulose</w:t>
      </w:r>
      <w:r w:rsidR="00BB4AC0" w:rsidRPr="008D0A08">
        <w:rPr>
          <w:rStyle w:val="apple-converted-space"/>
          <w:rFonts w:ascii="Book Antiqua" w:hAnsi="Book Antiqua"/>
          <w:vertAlign w:val="superscript"/>
        </w:rPr>
        <w:t>[</w:t>
      </w:r>
      <w:proofErr w:type="gramEnd"/>
      <w:r w:rsidR="00BB4AC0" w:rsidRPr="008D0A08">
        <w:rPr>
          <w:rStyle w:val="apple-converted-space"/>
          <w:rFonts w:ascii="Book Antiqua" w:hAnsi="Book Antiqua"/>
          <w:vertAlign w:val="superscript"/>
        </w:rPr>
        <w:t>21]</w:t>
      </w:r>
      <w:r w:rsidRPr="008D0A08">
        <w:rPr>
          <w:rStyle w:val="apple-converted-space"/>
          <w:rFonts w:ascii="Book Antiqua" w:hAnsi="Book Antiqua"/>
        </w:rPr>
        <w:t>.</w:t>
      </w:r>
      <w:r w:rsidR="006D232F">
        <w:rPr>
          <w:rStyle w:val="apple-converted-space"/>
          <w:rFonts w:ascii="Book Antiqua" w:hAnsi="Book Antiqua"/>
        </w:rPr>
        <w:t xml:space="preserve"> </w:t>
      </w:r>
      <w:r w:rsidRPr="008D0A08">
        <w:rPr>
          <w:rStyle w:val="apple-converted-space"/>
          <w:rFonts w:ascii="Book Antiqua" w:hAnsi="Book Antiqua"/>
        </w:rPr>
        <w:t xml:space="preserve">In cases of severe post-TIPS HE refractory to medical management (protein restriction, lactulose, and/or </w:t>
      </w:r>
      <w:proofErr w:type="spellStart"/>
      <w:r w:rsidRPr="008D0A08">
        <w:rPr>
          <w:rStyle w:val="apple-converted-space"/>
          <w:rFonts w:ascii="Book Antiqua" w:hAnsi="Book Antiqua"/>
        </w:rPr>
        <w:t>rifaximin</w:t>
      </w:r>
      <w:proofErr w:type="spellEnd"/>
      <w:r w:rsidRPr="008D0A08">
        <w:rPr>
          <w:rStyle w:val="apple-converted-space"/>
          <w:rFonts w:ascii="Book Antiqua" w:hAnsi="Book Antiqua"/>
        </w:rPr>
        <w:t xml:space="preserve">), TIPS reduction was performed with coaxial deployment of a FLAIR stent within the existing TIPS, or with a stent graft with parallel balloon-expandable stent as previously </w:t>
      </w:r>
      <w:proofErr w:type="spellStart"/>
      <w:proofErr w:type="gramStart"/>
      <w:r w:rsidRPr="008D0A08">
        <w:rPr>
          <w:rStyle w:val="apple-converted-space"/>
          <w:rFonts w:ascii="Book Antiqua" w:hAnsi="Book Antiqua"/>
          <w:lang w:val="es-ES_tradnl"/>
        </w:rPr>
        <w:t>described</w:t>
      </w:r>
      <w:proofErr w:type="spellEnd"/>
      <w:r w:rsidR="00BB4AC0" w:rsidRPr="008D0A08">
        <w:rPr>
          <w:rStyle w:val="apple-converted-space"/>
          <w:rFonts w:ascii="Book Antiqua" w:hAnsi="Book Antiqua"/>
          <w:vertAlign w:val="superscript"/>
        </w:rPr>
        <w:t>[</w:t>
      </w:r>
      <w:proofErr w:type="gramEnd"/>
      <w:r w:rsidR="00BB4AC0" w:rsidRPr="008D0A08">
        <w:rPr>
          <w:rStyle w:val="apple-converted-space"/>
          <w:rFonts w:ascii="Book Antiqua" w:hAnsi="Book Antiqua"/>
          <w:vertAlign w:val="superscript"/>
        </w:rPr>
        <w:t>15]</w:t>
      </w:r>
      <w:r w:rsidRPr="008D0A08">
        <w:rPr>
          <w:rStyle w:val="apple-converted-space"/>
          <w:rFonts w:ascii="Book Antiqua" w:hAnsi="Book Antiqua"/>
        </w:rPr>
        <w:t>.</w:t>
      </w:r>
      <w:r w:rsidR="006D232F">
        <w:rPr>
          <w:rStyle w:val="apple-converted-space"/>
          <w:rFonts w:ascii="Book Antiqua" w:hAnsi="Book Antiqua"/>
        </w:rPr>
        <w:t xml:space="preserve"> </w:t>
      </w:r>
      <w:r w:rsidRPr="008D0A08">
        <w:rPr>
          <w:rStyle w:val="apple-converted-space"/>
          <w:rFonts w:ascii="Book Antiqua" w:hAnsi="Book Antiqua"/>
        </w:rPr>
        <w:t>All patients were instructed to maintain a protein-restricted diet.</w:t>
      </w:r>
      <w:r w:rsidR="006D232F">
        <w:rPr>
          <w:rStyle w:val="apple-converted-space"/>
          <w:rFonts w:ascii="Book Antiqua" w:hAnsi="Book Antiqua"/>
        </w:rPr>
        <w:t xml:space="preserve"> </w:t>
      </w:r>
      <w:r w:rsidRPr="008D0A08">
        <w:rPr>
          <w:rStyle w:val="apple-converted-space"/>
          <w:rFonts w:ascii="Book Antiqua" w:hAnsi="Book Antiqua"/>
        </w:rPr>
        <w:t>Patients with ascites were instructed to follow a fluid-restricted, low sodium diet.</w:t>
      </w:r>
    </w:p>
    <w:p w14:paraId="015BAB76" w14:textId="0817C478" w:rsidR="00863E51" w:rsidRPr="008D0A08" w:rsidRDefault="00863E51" w:rsidP="00653E7C">
      <w:pPr>
        <w:pStyle w:val="Body"/>
        <w:widowControl w:val="0"/>
        <w:spacing w:line="360" w:lineRule="auto"/>
        <w:ind w:firstLineChars="150" w:firstLine="360"/>
        <w:jc w:val="both"/>
        <w:rPr>
          <w:rFonts w:ascii="Book Antiqua" w:hAnsi="Book Antiqua"/>
        </w:rPr>
      </w:pPr>
      <w:r w:rsidRPr="008D0A08">
        <w:rPr>
          <w:rStyle w:val="apple-converted-space"/>
          <w:rFonts w:ascii="Book Antiqua" w:hAnsi="Book Antiqua"/>
        </w:rPr>
        <w:t>Inclusion criteria were patients with maximally dilated 10 mm PTFE-covered TIPS or 10 mm PTFE-covered TIPS sub-maximally dilated to 8 mm, as confirmed in the medical record (</w:t>
      </w:r>
      <w:r w:rsidRPr="00653E7C">
        <w:rPr>
          <w:rStyle w:val="apple-converted-space"/>
          <w:rFonts w:ascii="Book Antiqua" w:hAnsi="Book Antiqua"/>
          <w:bCs/>
          <w:lang w:val="it-IT"/>
        </w:rPr>
        <w:t>Figure 1</w:t>
      </w:r>
      <w:r w:rsidRPr="00653E7C">
        <w:rPr>
          <w:rStyle w:val="apple-converted-space"/>
          <w:rFonts w:ascii="Book Antiqua" w:hAnsi="Book Antiqua"/>
        </w:rPr>
        <w:t>)</w:t>
      </w:r>
      <w:r w:rsidRPr="008D0A08">
        <w:rPr>
          <w:rStyle w:val="apple-converted-space"/>
          <w:rFonts w:ascii="Book Antiqua" w:hAnsi="Book Antiqua"/>
        </w:rPr>
        <w:t>.</w:t>
      </w:r>
      <w:r w:rsidR="006D232F">
        <w:rPr>
          <w:rStyle w:val="apple-converted-space"/>
          <w:rFonts w:ascii="Book Antiqua" w:hAnsi="Book Antiqua"/>
        </w:rPr>
        <w:t xml:space="preserve"> </w:t>
      </w:r>
      <w:r w:rsidRPr="008D0A08">
        <w:rPr>
          <w:rStyle w:val="apple-converted-space"/>
          <w:rFonts w:ascii="Book Antiqua" w:hAnsi="Book Antiqua"/>
        </w:rPr>
        <w:t xml:space="preserve">Of the 313 patients who underwent TIPS creation during the study period, </w:t>
      </w:r>
      <w:r w:rsidRPr="008D0A08">
        <w:rPr>
          <w:rStyle w:val="apple-converted-space"/>
          <w:rFonts w:ascii="Book Antiqua" w:hAnsi="Book Antiqua"/>
          <w:color w:val="1A1A1A"/>
          <w:u w:color="1A1A1A"/>
        </w:rPr>
        <w:t xml:space="preserve">forty patients were excluded due to placement of </w:t>
      </w:r>
      <w:r w:rsidRPr="008D0A08">
        <w:rPr>
          <w:rStyle w:val="apple-converted-space"/>
          <w:rFonts w:ascii="Book Antiqua" w:hAnsi="Book Antiqua"/>
        </w:rPr>
        <w:t>PTFE-covered TIPS of other nominal sizes (</w:t>
      </w:r>
      <w:r w:rsidRPr="00653E7C">
        <w:rPr>
          <w:rStyle w:val="apple-converted-space"/>
          <w:rFonts w:ascii="Book Antiqua" w:hAnsi="Book Antiqua"/>
          <w:i/>
        </w:rPr>
        <w:t>n</w:t>
      </w:r>
      <w:r w:rsidRPr="008D0A08">
        <w:rPr>
          <w:rStyle w:val="apple-converted-space"/>
          <w:rFonts w:ascii="Book Antiqua" w:hAnsi="Book Antiqua"/>
        </w:rPr>
        <w:t xml:space="preserve"> = 11) or patients with post-TIPS stent deployment angioplasty diameters that were not confirmed in the medical record (</w:t>
      </w:r>
      <w:r w:rsidR="00653E7C" w:rsidRPr="00653E7C">
        <w:rPr>
          <w:rStyle w:val="apple-converted-space"/>
          <w:rFonts w:ascii="Book Antiqua" w:hAnsi="Book Antiqua"/>
          <w:i/>
        </w:rPr>
        <w:t>n</w:t>
      </w:r>
      <w:r w:rsidRPr="008D0A08">
        <w:rPr>
          <w:rStyle w:val="apple-converted-space"/>
          <w:rFonts w:ascii="Book Antiqua" w:hAnsi="Book Antiqua"/>
        </w:rPr>
        <w:t xml:space="preserve"> = 29).</w:t>
      </w:r>
      <w:r w:rsidR="006D232F">
        <w:rPr>
          <w:rStyle w:val="apple-converted-space"/>
          <w:rFonts w:ascii="Book Antiqua" w:hAnsi="Book Antiqua"/>
        </w:rPr>
        <w:t xml:space="preserve"> </w:t>
      </w:r>
      <w:r w:rsidRPr="008D0A08">
        <w:rPr>
          <w:rStyle w:val="apple-converted-space"/>
          <w:rFonts w:ascii="Book Antiqua" w:hAnsi="Book Antiqua"/>
        </w:rPr>
        <w:t xml:space="preserve">The remaining </w:t>
      </w:r>
      <w:r w:rsidRPr="008D0A08">
        <w:rPr>
          <w:rStyle w:val="apple-converted-space"/>
          <w:rFonts w:ascii="Book Antiqua" w:hAnsi="Book Antiqua"/>
          <w:color w:val="1A1A1A"/>
          <w:u w:color="1A1A1A"/>
        </w:rPr>
        <w:t xml:space="preserve">273 patients had confirmed TIPS created with 10 mm nominal diameter stent, of which 230 patients had </w:t>
      </w:r>
      <w:proofErr w:type="spellStart"/>
      <w:r w:rsidRPr="008D0A08">
        <w:rPr>
          <w:rStyle w:val="apple-converted-space"/>
          <w:rFonts w:ascii="Book Antiqua" w:hAnsi="Book Antiqua"/>
          <w:color w:val="1A1A1A"/>
          <w:u w:color="1A1A1A"/>
        </w:rPr>
        <w:t>mTIPS</w:t>
      </w:r>
      <w:proofErr w:type="spellEnd"/>
      <w:r w:rsidRPr="008D0A08">
        <w:rPr>
          <w:rStyle w:val="apple-converted-space"/>
          <w:rFonts w:ascii="Book Antiqua" w:hAnsi="Book Antiqua"/>
          <w:color w:val="1A1A1A"/>
          <w:u w:color="1A1A1A"/>
        </w:rPr>
        <w:t xml:space="preserve"> created and 43 patients underwent creation of </w:t>
      </w:r>
      <w:proofErr w:type="spellStart"/>
      <w:r w:rsidRPr="008D0A08">
        <w:rPr>
          <w:rStyle w:val="apple-converted-space"/>
          <w:rFonts w:ascii="Book Antiqua" w:hAnsi="Book Antiqua"/>
          <w:color w:val="1A1A1A"/>
          <w:u w:color="1A1A1A"/>
        </w:rPr>
        <w:t>smTIPS</w:t>
      </w:r>
      <w:proofErr w:type="spellEnd"/>
      <w:r w:rsidRPr="008D0A08">
        <w:rPr>
          <w:rStyle w:val="apple-converted-space"/>
          <w:rFonts w:ascii="Book Antiqua" w:hAnsi="Book Antiqua"/>
          <w:color w:val="1A1A1A"/>
          <w:u w:color="1A1A1A"/>
          <w:lang w:val="de-DE"/>
        </w:rPr>
        <w:t>.</w:t>
      </w:r>
      <w:r w:rsidR="006D232F">
        <w:rPr>
          <w:rStyle w:val="apple-converted-space"/>
          <w:rFonts w:ascii="Book Antiqua" w:hAnsi="Book Antiqua"/>
          <w:color w:val="1A1A1A"/>
          <w:u w:color="1A1A1A"/>
          <w:lang w:val="de-DE"/>
        </w:rPr>
        <w:t xml:space="preserve"> </w:t>
      </w:r>
      <w:r w:rsidRPr="008D0A08">
        <w:rPr>
          <w:rStyle w:val="apple-converted-space"/>
          <w:rFonts w:ascii="Book Antiqua" w:hAnsi="Book Antiqua"/>
        </w:rPr>
        <w:t xml:space="preserve">In the group of patients with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 any computed tomography (CT) imaging follow-up was identified from the medical record (</w:t>
      </w:r>
      <w:r w:rsidR="00653E7C" w:rsidRPr="00653E7C">
        <w:rPr>
          <w:rStyle w:val="apple-converted-space"/>
          <w:rFonts w:ascii="Book Antiqua" w:hAnsi="Book Antiqua"/>
          <w:i/>
        </w:rPr>
        <w:t>n</w:t>
      </w:r>
      <w:r w:rsidR="00653E7C" w:rsidRPr="008D0A08">
        <w:rPr>
          <w:rStyle w:val="apple-converted-space"/>
          <w:rFonts w:ascii="Book Antiqua" w:hAnsi="Book Antiqua"/>
        </w:rPr>
        <w:t xml:space="preserve"> </w:t>
      </w:r>
      <w:r w:rsidRPr="008D0A08">
        <w:rPr>
          <w:rStyle w:val="apple-converted-space"/>
          <w:rFonts w:ascii="Book Antiqua" w:hAnsi="Book Antiqua"/>
        </w:rPr>
        <w:t xml:space="preserve">= 14) and reviewed with </w:t>
      </w:r>
      <w:proofErr w:type="spellStart"/>
      <w:r w:rsidRPr="008D0A08">
        <w:rPr>
          <w:rStyle w:val="apple-converted-space"/>
          <w:rFonts w:ascii="Book Antiqua" w:hAnsi="Book Antiqua"/>
        </w:rPr>
        <w:t>TeraRecon</w:t>
      </w:r>
      <w:proofErr w:type="spellEnd"/>
      <w:r w:rsidRPr="008D0A08">
        <w:rPr>
          <w:rStyle w:val="apple-converted-space"/>
          <w:rFonts w:ascii="Book Antiqua" w:hAnsi="Book Antiqua"/>
        </w:rPr>
        <w:t xml:space="preserve"> (</w:t>
      </w:r>
      <w:proofErr w:type="spellStart"/>
      <w:r w:rsidRPr="008D0A08">
        <w:rPr>
          <w:rStyle w:val="apple-converted-space"/>
          <w:rFonts w:ascii="Book Antiqua" w:hAnsi="Book Antiqua"/>
        </w:rPr>
        <w:t>TeraRecon</w:t>
      </w:r>
      <w:proofErr w:type="spellEnd"/>
      <w:r w:rsidRPr="008D0A08">
        <w:rPr>
          <w:rStyle w:val="apple-converted-space"/>
          <w:rFonts w:ascii="Book Antiqua" w:hAnsi="Book Antiqua"/>
        </w:rPr>
        <w:t xml:space="preserve">, Foster City, CA), which is </w:t>
      </w:r>
      <w:proofErr w:type="gramStart"/>
      <w:r w:rsidRPr="008D0A08">
        <w:rPr>
          <w:rStyle w:val="apple-converted-space"/>
          <w:rFonts w:ascii="Book Antiqua" w:hAnsi="Book Antiqua"/>
        </w:rPr>
        <w:t>an advanced</w:t>
      </w:r>
      <w:proofErr w:type="gramEnd"/>
      <w:r w:rsidRPr="008D0A08">
        <w:rPr>
          <w:rStyle w:val="apple-converted-space"/>
          <w:rFonts w:ascii="Book Antiqua" w:hAnsi="Book Antiqua"/>
        </w:rPr>
        <w:t xml:space="preserve"> 3D imaging processing software.</w:t>
      </w:r>
      <w:r w:rsidR="006D232F">
        <w:rPr>
          <w:rStyle w:val="apple-converted-space"/>
          <w:rFonts w:ascii="Book Antiqua" w:hAnsi="Book Antiqua"/>
        </w:rPr>
        <w:t xml:space="preserve"> </w:t>
      </w:r>
      <w:r w:rsidRPr="008D0A08">
        <w:rPr>
          <w:rStyle w:val="apple-converted-space"/>
          <w:rFonts w:ascii="Book Antiqua" w:hAnsi="Book Antiqua"/>
        </w:rPr>
        <w:t xml:space="preserve">Using this imaging software, two orthogonal planes were obtained before measuring the diameter of the TIPS stent at the hepatic venous end, mid-stent, and the portal venous end </w:t>
      </w:r>
      <w:r w:rsidRPr="00653E7C">
        <w:rPr>
          <w:rStyle w:val="apple-converted-space"/>
          <w:rFonts w:ascii="Book Antiqua" w:hAnsi="Book Antiqua"/>
        </w:rPr>
        <w:t>(</w:t>
      </w:r>
      <w:r w:rsidRPr="00653E7C">
        <w:rPr>
          <w:rStyle w:val="apple-converted-space"/>
          <w:rFonts w:ascii="Book Antiqua" w:hAnsi="Book Antiqua"/>
          <w:bCs/>
          <w:lang w:val="it-IT"/>
        </w:rPr>
        <w:t>Figure 2</w:t>
      </w:r>
      <w:r w:rsidRPr="00653E7C">
        <w:rPr>
          <w:rStyle w:val="apple-converted-space"/>
          <w:rFonts w:ascii="Book Antiqua" w:hAnsi="Book Antiqua"/>
        </w:rPr>
        <w:t>)</w:t>
      </w:r>
      <w:r w:rsidRPr="008D0A08">
        <w:rPr>
          <w:rStyle w:val="apple-converted-space"/>
          <w:rFonts w:ascii="Book Antiqua" w:hAnsi="Book Antiqua"/>
        </w:rPr>
        <w:t>.</w:t>
      </w:r>
      <w:r w:rsidR="006D232F">
        <w:rPr>
          <w:rStyle w:val="apple-converted-space"/>
          <w:rFonts w:ascii="Book Antiqua" w:hAnsi="Book Antiqua"/>
        </w:rPr>
        <w:t xml:space="preserve"> </w:t>
      </w:r>
      <w:r w:rsidRPr="008D0A08">
        <w:rPr>
          <w:rStyle w:val="apple-converted-space"/>
          <w:rFonts w:ascii="Book Antiqua" w:hAnsi="Book Antiqua"/>
        </w:rPr>
        <w:t>These values were then averaged to obtain a composite measure of TIPS diameter.</w:t>
      </w:r>
    </w:p>
    <w:p w14:paraId="49ABACDE" w14:textId="231CCC91" w:rsidR="00863E51" w:rsidRPr="008D0A08" w:rsidRDefault="00863E51" w:rsidP="00653E7C">
      <w:pPr>
        <w:pStyle w:val="Body"/>
        <w:widowControl w:val="0"/>
        <w:spacing w:line="360" w:lineRule="auto"/>
        <w:ind w:firstLineChars="150" w:firstLine="360"/>
        <w:jc w:val="both"/>
        <w:rPr>
          <w:rFonts w:ascii="Book Antiqua" w:hAnsi="Book Antiqua"/>
        </w:rPr>
      </w:pPr>
      <w:r w:rsidRPr="008D0A08">
        <w:rPr>
          <w:rStyle w:val="apple-converted-space"/>
          <w:rFonts w:ascii="Book Antiqua" w:hAnsi="Book Antiqua"/>
        </w:rPr>
        <w:t xml:space="preserve">For the purposes of the current study, clinical success was defined based on </w:t>
      </w:r>
      <w:r w:rsidRPr="008D0A08">
        <w:rPr>
          <w:rStyle w:val="apple-converted-space"/>
          <w:rFonts w:ascii="Book Antiqua" w:hAnsi="Book Antiqua"/>
        </w:rPr>
        <w:lastRenderedPageBreak/>
        <w:t xml:space="preserve">the indication for TIPS </w:t>
      </w:r>
      <w:r w:rsidRPr="008D0A08">
        <w:rPr>
          <w:rStyle w:val="apple-converted-space"/>
          <w:rFonts w:ascii="Book Antiqua" w:hAnsi="Book Antiqua"/>
          <w:lang w:val="fr-FR"/>
        </w:rPr>
        <w:t>placement</w:t>
      </w:r>
      <w:r w:rsidRPr="008D0A08">
        <w:rPr>
          <w:rStyle w:val="apple-converted-space"/>
          <w:rFonts w:ascii="Book Antiqua" w:hAnsi="Book Antiqua"/>
        </w:rPr>
        <w:t>.</w:t>
      </w:r>
      <w:r w:rsidR="006D232F">
        <w:rPr>
          <w:rStyle w:val="apple-converted-space"/>
          <w:rFonts w:ascii="Book Antiqua" w:hAnsi="Book Antiqua"/>
        </w:rPr>
        <w:t xml:space="preserve"> </w:t>
      </w:r>
      <w:r w:rsidRPr="008D0A08">
        <w:rPr>
          <w:rStyle w:val="apple-converted-space"/>
          <w:rFonts w:ascii="Book Antiqua" w:hAnsi="Book Antiqua"/>
        </w:rPr>
        <w:t xml:space="preserve">In patients who had TIPS placed for </w:t>
      </w:r>
      <w:proofErr w:type="spellStart"/>
      <w:r w:rsidRPr="008D0A08">
        <w:rPr>
          <w:rStyle w:val="apple-converted-space"/>
          <w:rFonts w:ascii="Book Antiqua" w:hAnsi="Book Antiqua"/>
        </w:rPr>
        <w:t>varices</w:t>
      </w:r>
      <w:proofErr w:type="spellEnd"/>
      <w:r w:rsidRPr="008D0A08">
        <w:rPr>
          <w:rStyle w:val="apple-converted-space"/>
          <w:rFonts w:ascii="Book Antiqua" w:hAnsi="Book Antiqua"/>
        </w:rPr>
        <w:t xml:space="preserve">, clinical success was defined as absence of further episodes of </w:t>
      </w:r>
      <w:proofErr w:type="spellStart"/>
      <w:r w:rsidRPr="008D0A08">
        <w:rPr>
          <w:rStyle w:val="apple-converted-space"/>
          <w:rFonts w:ascii="Book Antiqua" w:hAnsi="Book Antiqua"/>
        </w:rPr>
        <w:t>variceal</w:t>
      </w:r>
      <w:proofErr w:type="spellEnd"/>
      <w:r w:rsidRPr="008D0A08">
        <w:rPr>
          <w:rStyle w:val="apple-converted-space"/>
          <w:rFonts w:ascii="Book Antiqua" w:hAnsi="Book Antiqua"/>
        </w:rPr>
        <w:t xml:space="preserve"> hemorrhage or development of </w:t>
      </w:r>
      <w:proofErr w:type="spellStart"/>
      <w:r w:rsidRPr="008D0A08">
        <w:rPr>
          <w:rStyle w:val="apple-converted-space"/>
          <w:rFonts w:ascii="Book Antiqua" w:hAnsi="Book Antiqua"/>
        </w:rPr>
        <w:t>varices</w:t>
      </w:r>
      <w:proofErr w:type="spellEnd"/>
      <w:r w:rsidRPr="008D0A08">
        <w:rPr>
          <w:rStyle w:val="apple-converted-space"/>
          <w:rFonts w:ascii="Book Antiqua" w:hAnsi="Book Antiqua"/>
        </w:rPr>
        <w:t xml:space="preserve"> requiring intervention.</w:t>
      </w:r>
      <w:r w:rsidR="006D232F">
        <w:rPr>
          <w:rStyle w:val="apple-converted-space"/>
          <w:rFonts w:ascii="Book Antiqua" w:hAnsi="Book Antiqua"/>
        </w:rPr>
        <w:t xml:space="preserve"> </w:t>
      </w:r>
      <w:r w:rsidRPr="008D0A08">
        <w:rPr>
          <w:rStyle w:val="apple-converted-space"/>
          <w:rFonts w:ascii="Book Antiqua" w:hAnsi="Book Antiqua"/>
        </w:rPr>
        <w:t xml:space="preserve">Patients in the </w:t>
      </w:r>
      <w:proofErr w:type="spellStart"/>
      <w:r w:rsidRPr="008D0A08">
        <w:rPr>
          <w:rStyle w:val="apple-converted-space"/>
          <w:rFonts w:ascii="Book Antiqua" w:hAnsi="Book Antiqua"/>
        </w:rPr>
        <w:t>varices</w:t>
      </w:r>
      <w:proofErr w:type="spellEnd"/>
      <w:r w:rsidRPr="008D0A08">
        <w:rPr>
          <w:rStyle w:val="apple-converted-space"/>
          <w:rFonts w:ascii="Book Antiqua" w:hAnsi="Book Antiqua"/>
        </w:rPr>
        <w:t xml:space="preserve"> group with less than one month of follow-up were excluded from the clinical success analysis (</w:t>
      </w:r>
      <w:r w:rsidRPr="00653E7C">
        <w:rPr>
          <w:rStyle w:val="apple-converted-space"/>
          <w:rFonts w:ascii="Book Antiqua" w:hAnsi="Book Antiqua"/>
          <w:i/>
        </w:rPr>
        <w:t>n</w:t>
      </w:r>
      <w:r w:rsidRPr="008D0A08">
        <w:rPr>
          <w:rStyle w:val="apple-converted-space"/>
          <w:rFonts w:ascii="Book Antiqua" w:hAnsi="Book Antiqua"/>
        </w:rPr>
        <w:t xml:space="preserve"> = 6 for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 xml:space="preserve">; </w:t>
      </w:r>
      <w:r w:rsidR="00653E7C" w:rsidRPr="00653E7C">
        <w:rPr>
          <w:rStyle w:val="apple-converted-space"/>
          <w:rFonts w:ascii="Book Antiqua" w:hAnsi="Book Antiqua"/>
          <w:i/>
        </w:rPr>
        <w:t>n</w:t>
      </w:r>
      <w:r w:rsidRPr="008D0A08">
        <w:rPr>
          <w:rStyle w:val="apple-converted-space"/>
          <w:rFonts w:ascii="Book Antiqua" w:hAnsi="Book Antiqua"/>
        </w:rPr>
        <w:t xml:space="preserve"> = 21 for </w:t>
      </w:r>
      <w:proofErr w:type="spellStart"/>
      <w:r w:rsidRPr="008D0A08">
        <w:rPr>
          <w:rStyle w:val="apple-converted-space"/>
          <w:rFonts w:ascii="Book Antiqua" w:hAnsi="Book Antiqua"/>
        </w:rPr>
        <w:t>mTIPS</w:t>
      </w:r>
      <w:proofErr w:type="spellEnd"/>
      <w:r w:rsidRPr="008D0A08">
        <w:rPr>
          <w:rStyle w:val="apple-converted-space"/>
          <w:rFonts w:ascii="Book Antiqua" w:hAnsi="Book Antiqua"/>
        </w:rPr>
        <w:t>).</w:t>
      </w:r>
      <w:r w:rsidR="006D232F">
        <w:rPr>
          <w:rStyle w:val="apple-converted-space"/>
          <w:rFonts w:ascii="Book Antiqua" w:hAnsi="Book Antiqua"/>
        </w:rPr>
        <w:t xml:space="preserve"> </w:t>
      </w:r>
      <w:r w:rsidRPr="008D0A08">
        <w:rPr>
          <w:rStyle w:val="apple-converted-space"/>
          <w:rFonts w:ascii="Book Antiqua" w:hAnsi="Book Antiqua"/>
        </w:rPr>
        <w:t xml:space="preserve">For patients with refractory ascites requiring TIPS placement, clinical success was categorized as complete response (absence of large-volume </w:t>
      </w:r>
      <w:proofErr w:type="spellStart"/>
      <w:r w:rsidRPr="008D0A08">
        <w:rPr>
          <w:rStyle w:val="apple-converted-space"/>
          <w:rFonts w:ascii="Book Antiqua" w:hAnsi="Book Antiqua"/>
        </w:rPr>
        <w:t>paracentesis</w:t>
      </w:r>
      <w:proofErr w:type="spellEnd"/>
      <w:r w:rsidRPr="008D0A08">
        <w:rPr>
          <w:rStyle w:val="apple-converted-space"/>
          <w:rFonts w:ascii="Book Antiqua" w:hAnsi="Book Antiqua"/>
        </w:rPr>
        <w:t xml:space="preserve"> within six months post-TIPS creation) or partial response (greater than 50% decrease in frequency of large-volume </w:t>
      </w:r>
      <w:proofErr w:type="spellStart"/>
      <w:r w:rsidRPr="008D0A08">
        <w:rPr>
          <w:rStyle w:val="apple-converted-space"/>
          <w:rFonts w:ascii="Book Antiqua" w:hAnsi="Book Antiqua"/>
        </w:rPr>
        <w:t>paracentesis</w:t>
      </w:r>
      <w:proofErr w:type="spellEnd"/>
      <w:r w:rsidRPr="008D0A08">
        <w:rPr>
          <w:rStyle w:val="apple-converted-space"/>
          <w:rFonts w:ascii="Book Antiqua" w:hAnsi="Book Antiqua"/>
        </w:rPr>
        <w:t>).</w:t>
      </w:r>
      <w:r w:rsidR="006D232F">
        <w:rPr>
          <w:rStyle w:val="apple-converted-space"/>
          <w:rFonts w:ascii="Book Antiqua" w:hAnsi="Book Antiqua"/>
        </w:rPr>
        <w:t xml:space="preserve"> </w:t>
      </w:r>
      <w:r w:rsidRPr="008D0A08">
        <w:rPr>
          <w:rStyle w:val="apple-converted-space"/>
          <w:rFonts w:ascii="Book Antiqua" w:hAnsi="Book Antiqua"/>
        </w:rPr>
        <w:t xml:space="preserve">Patients in the ascites group with less than six months of follow-up were excluded from the clinical success analysis (n = 17 for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 xml:space="preserve">; </w:t>
      </w:r>
      <w:r w:rsidR="00653E7C" w:rsidRPr="00653E7C">
        <w:rPr>
          <w:rStyle w:val="apple-converted-space"/>
          <w:rFonts w:ascii="Book Antiqua" w:hAnsi="Book Antiqua"/>
          <w:i/>
        </w:rPr>
        <w:t>n</w:t>
      </w:r>
      <w:r w:rsidRPr="008D0A08">
        <w:rPr>
          <w:rStyle w:val="apple-converted-space"/>
          <w:rFonts w:ascii="Book Antiqua" w:hAnsi="Book Antiqua"/>
        </w:rPr>
        <w:t xml:space="preserve"> = 55 for </w:t>
      </w:r>
      <w:proofErr w:type="spellStart"/>
      <w:r w:rsidRPr="008D0A08">
        <w:rPr>
          <w:rStyle w:val="apple-converted-space"/>
          <w:rFonts w:ascii="Book Antiqua" w:hAnsi="Book Antiqua"/>
        </w:rPr>
        <w:t>mTIPS</w:t>
      </w:r>
      <w:proofErr w:type="spellEnd"/>
      <w:r w:rsidRPr="008D0A08">
        <w:rPr>
          <w:rStyle w:val="apple-converted-space"/>
          <w:rFonts w:ascii="Book Antiqua" w:hAnsi="Book Antiqua"/>
        </w:rPr>
        <w:t>).</w:t>
      </w:r>
      <w:r w:rsidR="006D232F">
        <w:rPr>
          <w:rStyle w:val="apple-converted-space"/>
          <w:rFonts w:ascii="Book Antiqua" w:hAnsi="Book Antiqua"/>
        </w:rPr>
        <w:t xml:space="preserve"> </w:t>
      </w:r>
      <w:r w:rsidRPr="008D0A08">
        <w:rPr>
          <w:rStyle w:val="apple-converted-space"/>
          <w:rFonts w:ascii="Book Antiqua" w:hAnsi="Book Antiqua"/>
        </w:rPr>
        <w:t>Primary patency was defined as the time from TIPS creation until revision for identified stenosis, elevated PSG (&gt; 12 mmHg), or recurrent symptoms.</w:t>
      </w:r>
      <w:r w:rsidR="006D232F">
        <w:rPr>
          <w:rStyle w:val="apple-converted-space"/>
          <w:rFonts w:ascii="Book Antiqua" w:hAnsi="Book Antiqua"/>
        </w:rPr>
        <w:t xml:space="preserve"> </w:t>
      </w:r>
      <w:r w:rsidRPr="008D0A08">
        <w:rPr>
          <w:rStyle w:val="apple-converted-space"/>
          <w:rFonts w:ascii="Book Antiqua" w:hAnsi="Book Antiqua"/>
        </w:rPr>
        <w:t>Primary assisted patency was defined as the time from TIPS creation until shunt occlusion requiring recanalization.</w:t>
      </w:r>
      <w:r w:rsidR="006D232F">
        <w:rPr>
          <w:rStyle w:val="apple-converted-space"/>
          <w:rFonts w:ascii="Book Antiqua" w:hAnsi="Book Antiqua"/>
        </w:rPr>
        <w:t xml:space="preserve"> </w:t>
      </w:r>
      <w:r w:rsidRPr="008D0A08">
        <w:rPr>
          <w:rStyle w:val="apple-converted-space"/>
          <w:rFonts w:ascii="Book Antiqua" w:hAnsi="Book Antiqua"/>
        </w:rPr>
        <w:t>Severe post-TIPS HE was defined as encephalopathy refractory to conservative medical management requiring TIPS reduction.</w:t>
      </w:r>
    </w:p>
    <w:p w14:paraId="5A139E7F" w14:textId="77777777" w:rsidR="00863E51" w:rsidRPr="008D0A08" w:rsidRDefault="00863E51" w:rsidP="008D0A08">
      <w:pPr>
        <w:pStyle w:val="Body"/>
        <w:widowControl w:val="0"/>
        <w:spacing w:line="360" w:lineRule="auto"/>
        <w:jc w:val="both"/>
        <w:rPr>
          <w:rFonts w:ascii="Book Antiqua" w:hAnsi="Book Antiqua"/>
        </w:rPr>
      </w:pPr>
    </w:p>
    <w:p w14:paraId="3DB44833" w14:textId="67B7481F" w:rsidR="00863E51" w:rsidRPr="00653E7C" w:rsidRDefault="00863E51" w:rsidP="008D0A08">
      <w:pPr>
        <w:pStyle w:val="Body"/>
        <w:widowControl w:val="0"/>
        <w:spacing w:line="360" w:lineRule="auto"/>
        <w:jc w:val="both"/>
        <w:rPr>
          <w:rFonts w:ascii="Book Antiqua" w:hAnsi="Book Antiqua"/>
          <w:b/>
          <w:i/>
        </w:rPr>
      </w:pPr>
      <w:r w:rsidRPr="00653E7C">
        <w:rPr>
          <w:rStyle w:val="apple-converted-space"/>
          <w:rFonts w:ascii="Book Antiqua" w:hAnsi="Book Antiqua"/>
          <w:b/>
          <w:i/>
        </w:rPr>
        <w:t xml:space="preserve">Statistical </w:t>
      </w:r>
      <w:r w:rsidR="00653E7C" w:rsidRPr="00653E7C">
        <w:rPr>
          <w:rStyle w:val="apple-converted-space"/>
          <w:rFonts w:ascii="Book Antiqua" w:hAnsi="Book Antiqua"/>
          <w:b/>
          <w:i/>
        </w:rPr>
        <w:t>analysis</w:t>
      </w:r>
    </w:p>
    <w:p w14:paraId="25F740AC" w14:textId="5F41A1A9" w:rsidR="00653E7C" w:rsidRDefault="00863E51" w:rsidP="008D0A08">
      <w:pPr>
        <w:pStyle w:val="Body"/>
        <w:widowControl w:val="0"/>
        <w:spacing w:line="360" w:lineRule="auto"/>
        <w:jc w:val="both"/>
        <w:rPr>
          <w:rStyle w:val="apple-converted-space"/>
          <w:rFonts w:ascii="Book Antiqua" w:hAnsi="Book Antiqua"/>
          <w:color w:val="1A1A1A"/>
          <w:u w:color="1A1A1A"/>
          <w:lang w:eastAsia="zh-CN"/>
        </w:rPr>
      </w:pPr>
      <w:r w:rsidRPr="008D0A08">
        <w:rPr>
          <w:rStyle w:val="apple-converted-space"/>
          <w:rFonts w:ascii="Book Antiqua" w:hAnsi="Book Antiqua"/>
          <w:color w:val="1A1A1A"/>
          <w:u w:color="1A1A1A"/>
        </w:rPr>
        <w:t xml:space="preserve">Statistical calculations were performed with </w:t>
      </w:r>
      <w:proofErr w:type="spellStart"/>
      <w:r w:rsidRPr="008D0A08">
        <w:rPr>
          <w:rStyle w:val="apple-converted-space"/>
          <w:rFonts w:ascii="Book Antiqua" w:hAnsi="Book Antiqua"/>
          <w:color w:val="1A1A1A"/>
          <w:u w:color="1A1A1A"/>
        </w:rPr>
        <w:t>GraphPad</w:t>
      </w:r>
      <w:proofErr w:type="spellEnd"/>
      <w:r w:rsidRPr="008D0A08">
        <w:rPr>
          <w:rStyle w:val="apple-converted-space"/>
          <w:rFonts w:ascii="Book Antiqua" w:hAnsi="Book Antiqua"/>
          <w:color w:val="1A1A1A"/>
          <w:u w:color="1A1A1A"/>
        </w:rPr>
        <w:t xml:space="preserve"> Prism software (version 6.05; </w:t>
      </w:r>
      <w:proofErr w:type="spellStart"/>
      <w:r w:rsidRPr="008D0A08">
        <w:rPr>
          <w:rStyle w:val="apple-converted-space"/>
          <w:rFonts w:ascii="Book Antiqua" w:hAnsi="Book Antiqua"/>
          <w:color w:val="1A1A1A"/>
          <w:u w:color="1A1A1A"/>
        </w:rPr>
        <w:t>GraphPad</w:t>
      </w:r>
      <w:proofErr w:type="spellEnd"/>
      <w:r w:rsidRPr="008D0A08">
        <w:rPr>
          <w:rStyle w:val="apple-converted-space"/>
          <w:rFonts w:ascii="Book Antiqua" w:hAnsi="Book Antiqua"/>
          <w:color w:val="1A1A1A"/>
          <w:u w:color="1A1A1A"/>
        </w:rPr>
        <w:t xml:space="preserve"> Software; La Jolla, CA).</w:t>
      </w:r>
      <w:r w:rsidR="006D232F">
        <w:rPr>
          <w:rStyle w:val="apple-converted-space"/>
          <w:rFonts w:ascii="Book Antiqua" w:hAnsi="Book Antiqua"/>
          <w:color w:val="1A1A1A"/>
          <w:u w:color="1A1A1A"/>
        </w:rPr>
        <w:t xml:space="preserve"> </w:t>
      </w:r>
      <w:r w:rsidRPr="008D0A08">
        <w:rPr>
          <w:rStyle w:val="apple-converted-space"/>
          <w:rFonts w:ascii="Book Antiqua" w:hAnsi="Book Antiqua"/>
        </w:rPr>
        <w:t xml:space="preserve">Unless otherwise indicated, all data were reported as mean ± </w:t>
      </w:r>
      <w:r w:rsidR="00653E7C">
        <w:rPr>
          <w:rStyle w:val="apple-converted-space"/>
          <w:rFonts w:ascii="Book Antiqua" w:hAnsi="Book Antiqua" w:hint="eastAsia"/>
          <w:lang w:eastAsia="zh-CN"/>
        </w:rPr>
        <w:t>SD</w:t>
      </w:r>
      <w:r w:rsidRPr="008D0A08">
        <w:rPr>
          <w:rStyle w:val="apple-converted-space"/>
          <w:rFonts w:ascii="Book Antiqua" w:hAnsi="Book Antiqua"/>
        </w:rPr>
        <w:t>.</w:t>
      </w:r>
      <w:r w:rsidR="006D232F">
        <w:rPr>
          <w:rStyle w:val="apple-converted-space"/>
          <w:rFonts w:ascii="Book Antiqua" w:hAnsi="Book Antiqua"/>
        </w:rPr>
        <w:t xml:space="preserve"> </w:t>
      </w:r>
      <w:r w:rsidRPr="008D0A08">
        <w:rPr>
          <w:rStyle w:val="apple-converted-space"/>
          <w:rFonts w:ascii="Book Antiqua" w:hAnsi="Book Antiqua"/>
        </w:rPr>
        <w:t>Categorical variables were compared using Fisher’s exact test.</w:t>
      </w:r>
      <w:r w:rsidR="006D232F">
        <w:rPr>
          <w:rStyle w:val="apple-converted-space"/>
          <w:rFonts w:ascii="Book Antiqua" w:hAnsi="Book Antiqua"/>
        </w:rPr>
        <w:t xml:space="preserve"> </w:t>
      </w:r>
      <w:r w:rsidRPr="008D0A08">
        <w:rPr>
          <w:rStyle w:val="apple-converted-space"/>
          <w:rFonts w:ascii="Book Antiqua" w:hAnsi="Book Antiqua"/>
        </w:rPr>
        <w:t>Continuous variables were compared using unpaired two-tailed Student’s t-test and Mann-Whitney test for data with a parametric and non-parametric distribution, respectively.</w:t>
      </w:r>
      <w:r w:rsidR="006D232F">
        <w:rPr>
          <w:rStyle w:val="apple-converted-space"/>
          <w:rFonts w:ascii="Book Antiqua" w:hAnsi="Book Antiqua"/>
        </w:rPr>
        <w:t xml:space="preserve"> </w:t>
      </w:r>
      <w:r w:rsidRPr="008D0A08">
        <w:rPr>
          <w:rStyle w:val="apple-converted-space"/>
          <w:rFonts w:ascii="Book Antiqua" w:hAnsi="Book Antiqua"/>
        </w:rPr>
        <w:t>Primary and primary assisted patency rates were estimated with the Kaplan-Meier method.</w:t>
      </w:r>
      <w:r w:rsidR="006D232F">
        <w:rPr>
          <w:rStyle w:val="apple-converted-space"/>
          <w:rFonts w:ascii="Book Antiqua" w:hAnsi="Book Antiqua"/>
        </w:rPr>
        <w:t xml:space="preserve"> </w:t>
      </w:r>
      <w:r w:rsidRPr="008D0A08">
        <w:rPr>
          <w:rStyle w:val="apple-converted-space"/>
          <w:rFonts w:ascii="Book Antiqua" w:hAnsi="Book Antiqua"/>
        </w:rPr>
        <w:t xml:space="preserve">Patients were censored at the time of death or </w:t>
      </w:r>
      <w:r w:rsidRPr="008D0A08">
        <w:rPr>
          <w:rStyle w:val="apple-converted-space"/>
          <w:rFonts w:ascii="Book Antiqua" w:hAnsi="Book Antiqua"/>
          <w:lang w:val="da-DK"/>
        </w:rPr>
        <w:t xml:space="preserve">liver </w:t>
      </w:r>
      <w:r w:rsidRPr="008D0A08">
        <w:rPr>
          <w:rStyle w:val="apple-converted-space"/>
          <w:rFonts w:ascii="Book Antiqua" w:hAnsi="Book Antiqua"/>
        </w:rPr>
        <w:t>transplantation.</w:t>
      </w:r>
      <w:r w:rsidR="006D232F">
        <w:rPr>
          <w:rStyle w:val="apple-converted-space"/>
          <w:rFonts w:ascii="Book Antiqua" w:hAnsi="Book Antiqua"/>
        </w:rPr>
        <w:t xml:space="preserve"> </w:t>
      </w:r>
      <w:r w:rsidRPr="008D0A08">
        <w:rPr>
          <w:rStyle w:val="apple-converted-space"/>
          <w:rFonts w:ascii="Book Antiqua" w:hAnsi="Book Antiqua"/>
        </w:rPr>
        <w:t xml:space="preserve">Patency rates between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 xml:space="preserve"> and </w:t>
      </w:r>
      <w:proofErr w:type="spellStart"/>
      <w:r w:rsidRPr="008D0A08">
        <w:rPr>
          <w:rStyle w:val="apple-converted-space"/>
          <w:rFonts w:ascii="Book Antiqua" w:hAnsi="Book Antiqua"/>
        </w:rPr>
        <w:t>mTIPS</w:t>
      </w:r>
      <w:proofErr w:type="spellEnd"/>
      <w:r w:rsidRPr="008D0A08">
        <w:rPr>
          <w:rStyle w:val="apple-converted-space"/>
          <w:rFonts w:ascii="Book Antiqua" w:hAnsi="Book Antiqua"/>
        </w:rPr>
        <w:t xml:space="preserve"> groups were compared with the log-rank test.</w:t>
      </w:r>
      <w:r w:rsidR="006D232F">
        <w:rPr>
          <w:rStyle w:val="apple-converted-space"/>
          <w:rFonts w:ascii="Book Antiqua" w:hAnsi="Book Antiqua"/>
        </w:rPr>
        <w:t xml:space="preserve"> </w:t>
      </w:r>
      <w:r w:rsidRPr="008D0A08">
        <w:rPr>
          <w:rStyle w:val="apple-converted-space"/>
          <w:rFonts w:ascii="Book Antiqua" w:hAnsi="Book Antiqua"/>
        </w:rPr>
        <w:t xml:space="preserve">Severe post-TIPS HE was analyzed on an intention-to-treat basis resulting in 12 patients from the </w:t>
      </w:r>
      <w:proofErr w:type="spellStart"/>
      <w:r w:rsidRPr="008D0A08">
        <w:rPr>
          <w:rStyle w:val="apple-converted-space"/>
          <w:rFonts w:ascii="Book Antiqua" w:hAnsi="Book Antiqua"/>
        </w:rPr>
        <w:t>mTIPS</w:t>
      </w:r>
      <w:proofErr w:type="spellEnd"/>
      <w:r w:rsidRPr="008D0A08">
        <w:rPr>
          <w:rStyle w:val="apple-converted-space"/>
          <w:rFonts w:ascii="Book Antiqua" w:hAnsi="Book Antiqua"/>
        </w:rPr>
        <w:t xml:space="preserve"> group, originally dilated to 8 mm but subsequently maximally dilated to normalize the post-TIPS PSG, being included in the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 xml:space="preserve"> group.</w:t>
      </w:r>
      <w:r w:rsidR="006D232F">
        <w:rPr>
          <w:rStyle w:val="apple-converted-space"/>
          <w:rFonts w:ascii="Book Antiqua" w:hAnsi="Book Antiqua"/>
        </w:rPr>
        <w:t xml:space="preserve"> </w:t>
      </w:r>
      <w:r w:rsidRPr="008D0A08">
        <w:rPr>
          <w:rStyle w:val="apple-converted-space"/>
          <w:rFonts w:ascii="Book Antiqua" w:hAnsi="Book Antiqua"/>
        </w:rPr>
        <w:t xml:space="preserve">A p-value less than 0.05 </w:t>
      </w:r>
      <w:proofErr w:type="gramStart"/>
      <w:r w:rsidRPr="008D0A08">
        <w:rPr>
          <w:rStyle w:val="apple-converted-space"/>
          <w:rFonts w:ascii="Book Antiqua" w:hAnsi="Book Antiqua"/>
        </w:rPr>
        <w:t>was</w:t>
      </w:r>
      <w:proofErr w:type="gramEnd"/>
      <w:r w:rsidRPr="008D0A08">
        <w:rPr>
          <w:rStyle w:val="apple-converted-space"/>
          <w:rFonts w:ascii="Book Antiqua" w:hAnsi="Book Antiqua"/>
        </w:rPr>
        <w:t xml:space="preserve"> </w:t>
      </w:r>
      <w:r w:rsidRPr="008D0A08">
        <w:rPr>
          <w:rStyle w:val="apple-converted-space"/>
          <w:rFonts w:ascii="Book Antiqua" w:hAnsi="Book Antiqua"/>
        </w:rPr>
        <w:lastRenderedPageBreak/>
        <w:t>considered significant for all analyses.</w:t>
      </w:r>
    </w:p>
    <w:p w14:paraId="4A06C712" w14:textId="77777777" w:rsidR="00653E7C" w:rsidRDefault="00653E7C" w:rsidP="008D0A08">
      <w:pPr>
        <w:pStyle w:val="Body"/>
        <w:widowControl w:val="0"/>
        <w:spacing w:line="360" w:lineRule="auto"/>
        <w:jc w:val="both"/>
        <w:rPr>
          <w:rStyle w:val="apple-converted-space"/>
          <w:rFonts w:ascii="Book Antiqua" w:hAnsi="Book Antiqua"/>
          <w:color w:val="1A1A1A"/>
          <w:u w:color="1A1A1A"/>
          <w:lang w:eastAsia="zh-CN"/>
        </w:rPr>
      </w:pPr>
    </w:p>
    <w:p w14:paraId="77E0E417" w14:textId="1978CABF" w:rsidR="00863E51" w:rsidRPr="008D0A08" w:rsidRDefault="00653E7C" w:rsidP="008D0A08">
      <w:pPr>
        <w:pStyle w:val="Body"/>
        <w:widowControl w:val="0"/>
        <w:spacing w:line="360" w:lineRule="auto"/>
        <w:jc w:val="both"/>
        <w:rPr>
          <w:rFonts w:ascii="Book Antiqua" w:hAnsi="Book Antiqua"/>
        </w:rPr>
      </w:pPr>
      <w:r w:rsidRPr="008D0A08">
        <w:rPr>
          <w:rStyle w:val="apple-converted-space"/>
          <w:rFonts w:ascii="Book Antiqua" w:hAnsi="Book Antiqua"/>
          <w:b/>
          <w:bCs/>
          <w:color w:val="1A1A1A"/>
          <w:u w:color="1A1A1A"/>
        </w:rPr>
        <w:t>RESULTS</w:t>
      </w:r>
    </w:p>
    <w:p w14:paraId="099B2DE9" w14:textId="3D3C0AA4" w:rsidR="00863E51" w:rsidRPr="008D0A08" w:rsidRDefault="00863E51" w:rsidP="008D0A08">
      <w:pPr>
        <w:pStyle w:val="Body"/>
        <w:widowControl w:val="0"/>
        <w:spacing w:line="360" w:lineRule="auto"/>
        <w:jc w:val="both"/>
        <w:rPr>
          <w:rFonts w:ascii="Book Antiqua" w:hAnsi="Book Antiqua"/>
        </w:rPr>
      </w:pPr>
      <w:r w:rsidRPr="008D0A08">
        <w:rPr>
          <w:rStyle w:val="apple-converted-space"/>
          <w:rFonts w:ascii="Book Antiqua" w:hAnsi="Book Antiqua"/>
          <w:color w:val="1A1A1A"/>
          <w:u w:color="1A1A1A"/>
        </w:rPr>
        <w:t xml:space="preserve">Patient characteristics and post-TIPS PSG are presented in </w:t>
      </w:r>
      <w:r w:rsidRPr="00653E7C">
        <w:rPr>
          <w:rStyle w:val="apple-converted-space"/>
          <w:rFonts w:ascii="Book Antiqua" w:hAnsi="Book Antiqua"/>
          <w:bCs/>
          <w:color w:val="1A1A1A"/>
          <w:u w:color="1A1A1A"/>
          <w:lang w:val="fr-FR"/>
        </w:rPr>
        <w:t>Table 1</w:t>
      </w:r>
      <w:r w:rsidRPr="00653E7C">
        <w:rPr>
          <w:rStyle w:val="apple-converted-space"/>
          <w:rFonts w:ascii="Book Antiqua" w:hAnsi="Book Antiqua"/>
          <w:color w:val="1A1A1A"/>
          <w:u w:color="1A1A1A"/>
        </w:rPr>
        <w:t>.</w:t>
      </w:r>
      <w:r w:rsidRPr="008D0A08">
        <w:rPr>
          <w:rStyle w:val="apple-converted-space"/>
          <w:rFonts w:ascii="Book Antiqua" w:hAnsi="Book Antiqua"/>
          <w:color w:val="1A1A1A"/>
          <w:u w:color="1A1A1A"/>
        </w:rPr>
        <w:t xml:space="preserve"> There were 150 males and 80 females who underwent </w:t>
      </w:r>
      <w:proofErr w:type="spellStart"/>
      <w:r w:rsidRPr="008D0A08">
        <w:rPr>
          <w:rStyle w:val="apple-converted-space"/>
          <w:rFonts w:ascii="Book Antiqua" w:hAnsi="Book Antiqua"/>
          <w:color w:val="1A1A1A"/>
          <w:u w:color="1A1A1A"/>
        </w:rPr>
        <w:t>mTIPS</w:t>
      </w:r>
      <w:proofErr w:type="spellEnd"/>
      <w:r w:rsidRPr="008D0A08">
        <w:rPr>
          <w:rStyle w:val="apple-converted-space"/>
          <w:rFonts w:ascii="Book Antiqua" w:hAnsi="Book Antiqua"/>
          <w:color w:val="1A1A1A"/>
          <w:u w:color="1A1A1A"/>
        </w:rPr>
        <w:t xml:space="preserve"> creation with a mean age of </w:t>
      </w:r>
      <w:r w:rsidRPr="008D0A08">
        <w:rPr>
          <w:rStyle w:val="apple-converted-space"/>
          <w:rFonts w:ascii="Book Antiqua" w:hAnsi="Book Antiqua"/>
        </w:rPr>
        <w:t>54.5 years ± 0.7 (range, 20-81)</w:t>
      </w:r>
      <w:r w:rsidRPr="008D0A08">
        <w:rPr>
          <w:rStyle w:val="apple-converted-space"/>
          <w:rFonts w:ascii="Book Antiqua" w:hAnsi="Book Antiqua"/>
          <w:color w:val="1A1A1A"/>
          <w:u w:color="1A1A1A"/>
        </w:rPr>
        <w:t>.</w:t>
      </w:r>
      <w:r w:rsidR="006D232F">
        <w:rPr>
          <w:rStyle w:val="apple-converted-space"/>
          <w:rFonts w:ascii="Book Antiqua" w:hAnsi="Book Antiqua"/>
          <w:color w:val="1A1A1A"/>
          <w:u w:color="1A1A1A"/>
        </w:rPr>
        <w:t xml:space="preserve"> </w:t>
      </w:r>
      <w:proofErr w:type="gramStart"/>
      <w:r w:rsidRPr="008D0A08">
        <w:rPr>
          <w:rStyle w:val="apple-converted-space"/>
          <w:rFonts w:ascii="Book Antiqua" w:hAnsi="Book Antiqua"/>
          <w:color w:val="1A1A1A"/>
          <w:u w:color="1A1A1A"/>
        </w:rPr>
        <w:t xml:space="preserve">Of the 43 patients that had </w:t>
      </w:r>
      <w:proofErr w:type="spellStart"/>
      <w:r w:rsidRPr="008D0A08">
        <w:rPr>
          <w:rStyle w:val="apple-converted-space"/>
          <w:rFonts w:ascii="Book Antiqua" w:hAnsi="Book Antiqua"/>
          <w:color w:val="1A1A1A"/>
          <w:u w:color="1A1A1A"/>
        </w:rPr>
        <w:t>smTIPS</w:t>
      </w:r>
      <w:proofErr w:type="spellEnd"/>
      <w:r w:rsidRPr="008D0A08">
        <w:rPr>
          <w:rStyle w:val="apple-converted-space"/>
          <w:rFonts w:ascii="Book Antiqua" w:hAnsi="Book Antiqua"/>
          <w:color w:val="1A1A1A"/>
          <w:u w:color="1A1A1A"/>
        </w:rPr>
        <w:t xml:space="preserve"> created, 23 were male with a mean age of </w:t>
      </w:r>
      <w:r w:rsidRPr="008D0A08">
        <w:rPr>
          <w:rStyle w:val="apple-converted-space"/>
          <w:rFonts w:ascii="Book Antiqua" w:hAnsi="Book Antiqua"/>
        </w:rPr>
        <w:t>56.5 years ± 2.3 (range 10-83)</w:t>
      </w:r>
      <w:r w:rsidRPr="008D0A08">
        <w:rPr>
          <w:rStyle w:val="apple-converted-space"/>
          <w:rFonts w:ascii="Book Antiqua" w:hAnsi="Book Antiqua"/>
          <w:color w:val="1A1A1A"/>
          <w:u w:color="1A1A1A"/>
        </w:rPr>
        <w:t>.</w:t>
      </w:r>
      <w:proofErr w:type="gramEnd"/>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There was no statistically significant difference between the two patient populations based on gender or age (</w:t>
      </w:r>
      <w:r w:rsidRPr="00653E7C">
        <w:rPr>
          <w:rStyle w:val="apple-converted-space"/>
          <w:rFonts w:ascii="Book Antiqua" w:hAnsi="Book Antiqua"/>
          <w:i/>
          <w:color w:val="1A1A1A"/>
          <w:u w:color="1A1A1A"/>
        </w:rPr>
        <w:t>P</w:t>
      </w:r>
      <w:r w:rsidRPr="008D0A08">
        <w:rPr>
          <w:rStyle w:val="apple-converted-space"/>
          <w:rFonts w:ascii="Book Antiqua" w:hAnsi="Book Antiqua"/>
          <w:color w:val="1A1A1A"/>
          <w:u w:color="1A1A1A"/>
        </w:rPr>
        <w:t xml:space="preserve"> = 0.17 and 0.29, respectively).</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The mean pre-TIPS MELD score in patients with </w:t>
      </w:r>
      <w:proofErr w:type="spellStart"/>
      <w:r w:rsidRPr="008D0A08">
        <w:rPr>
          <w:rStyle w:val="apple-converted-space"/>
          <w:rFonts w:ascii="Book Antiqua" w:hAnsi="Book Antiqua"/>
          <w:color w:val="1A1A1A"/>
          <w:u w:color="1A1A1A"/>
        </w:rPr>
        <w:t>mTIPS</w:t>
      </w:r>
      <w:proofErr w:type="spellEnd"/>
      <w:r w:rsidRPr="008D0A08">
        <w:rPr>
          <w:rStyle w:val="apple-converted-space"/>
          <w:rFonts w:ascii="Book Antiqua" w:hAnsi="Book Antiqua"/>
          <w:color w:val="1A1A1A"/>
          <w:u w:color="1A1A1A"/>
        </w:rPr>
        <w:t xml:space="preserve"> was </w:t>
      </w:r>
      <w:r w:rsidRPr="008D0A08">
        <w:rPr>
          <w:rStyle w:val="apple-converted-space"/>
          <w:rFonts w:ascii="Book Antiqua" w:hAnsi="Book Antiqua"/>
        </w:rPr>
        <w:t xml:space="preserve">13.5 ± </w:t>
      </w:r>
      <w:r w:rsidRPr="008D0A08">
        <w:rPr>
          <w:rStyle w:val="apple-converted-space"/>
          <w:rFonts w:ascii="Book Antiqua" w:hAnsi="Book Antiqua"/>
          <w:lang w:val="it-IT"/>
        </w:rPr>
        <w:t>0.3 (</w:t>
      </w:r>
      <w:proofErr w:type="spellStart"/>
      <w:r w:rsidRPr="008D0A08">
        <w:rPr>
          <w:rStyle w:val="apple-converted-space"/>
          <w:rFonts w:ascii="Book Antiqua" w:hAnsi="Book Antiqua"/>
          <w:lang w:val="it-IT"/>
        </w:rPr>
        <w:t>range</w:t>
      </w:r>
      <w:proofErr w:type="spellEnd"/>
      <w:r w:rsidRPr="008D0A08">
        <w:rPr>
          <w:rStyle w:val="apple-converted-space"/>
          <w:rFonts w:ascii="Book Antiqua" w:hAnsi="Book Antiqua"/>
          <w:lang w:val="it-IT"/>
        </w:rPr>
        <w:t>, 6-28)</w:t>
      </w:r>
      <w:r w:rsidRPr="008D0A08">
        <w:rPr>
          <w:rStyle w:val="apple-converted-space"/>
          <w:rFonts w:ascii="Book Antiqua" w:hAnsi="Book Antiqua"/>
          <w:color w:val="1A1A1A"/>
          <w:u w:color="1A1A1A"/>
        </w:rPr>
        <w:t xml:space="preserve"> while it was </w:t>
      </w:r>
      <w:r w:rsidRPr="008D0A08">
        <w:rPr>
          <w:rStyle w:val="apple-converted-space"/>
          <w:rFonts w:ascii="Book Antiqua" w:hAnsi="Book Antiqua"/>
        </w:rPr>
        <w:t xml:space="preserve">13.6 ± 0.6 (range, 6-25) for patients with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 which was not significantly different (</w:t>
      </w:r>
      <w:r w:rsidR="00653E7C" w:rsidRPr="00653E7C">
        <w:rPr>
          <w:rStyle w:val="apple-converted-space"/>
          <w:rFonts w:ascii="Book Antiqua" w:hAnsi="Book Antiqua"/>
          <w:i/>
          <w:color w:val="1A1A1A"/>
          <w:u w:color="1A1A1A"/>
        </w:rPr>
        <w:t>P</w:t>
      </w:r>
      <w:r w:rsidRPr="008D0A08">
        <w:rPr>
          <w:rStyle w:val="apple-converted-space"/>
          <w:rFonts w:ascii="Book Antiqua" w:hAnsi="Book Antiqua"/>
        </w:rPr>
        <w:t xml:space="preserve"> = 0.82).</w:t>
      </w:r>
      <w:r w:rsidR="006D232F">
        <w:rPr>
          <w:rStyle w:val="apple-converted-space"/>
          <w:rFonts w:ascii="Book Antiqua" w:hAnsi="Book Antiqua"/>
        </w:rPr>
        <w:t xml:space="preserve"> </w:t>
      </w:r>
      <w:r w:rsidRPr="008D0A08">
        <w:rPr>
          <w:rStyle w:val="apple-converted-space"/>
          <w:rFonts w:ascii="Book Antiqua" w:hAnsi="Book Antiqua"/>
        </w:rPr>
        <w:t xml:space="preserve">The mean pre-TIPS PSG </w:t>
      </w:r>
      <w:proofErr w:type="gramStart"/>
      <w:r w:rsidRPr="008D0A08">
        <w:rPr>
          <w:rStyle w:val="apple-converted-space"/>
          <w:rFonts w:ascii="Book Antiqua" w:hAnsi="Book Antiqua"/>
        </w:rPr>
        <w:t>was</w:t>
      </w:r>
      <w:proofErr w:type="gramEnd"/>
      <w:r w:rsidRPr="008D0A08">
        <w:rPr>
          <w:rStyle w:val="apple-converted-space"/>
          <w:rFonts w:ascii="Book Antiqua" w:hAnsi="Book Antiqua"/>
        </w:rPr>
        <w:t xml:space="preserve"> higher for patients with </w:t>
      </w:r>
      <w:proofErr w:type="spellStart"/>
      <w:r w:rsidRPr="008D0A08">
        <w:rPr>
          <w:rStyle w:val="apple-converted-space"/>
          <w:rFonts w:ascii="Book Antiqua" w:hAnsi="Book Antiqua"/>
        </w:rPr>
        <w:t>mTIPS</w:t>
      </w:r>
      <w:proofErr w:type="spellEnd"/>
      <w:r w:rsidRPr="008D0A08">
        <w:rPr>
          <w:rStyle w:val="apple-converted-space"/>
          <w:rFonts w:ascii="Book Antiqua" w:hAnsi="Book Antiqua"/>
        </w:rPr>
        <w:t xml:space="preserve"> (22.4 mmHg ± 7.1; range, 9-73) compared to those with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 xml:space="preserve"> (19.4 mmHg ± 6.8; range, 8-45), which was statistically significant (</w:t>
      </w:r>
      <w:r w:rsidR="00653E7C" w:rsidRPr="00653E7C">
        <w:rPr>
          <w:rStyle w:val="apple-converted-space"/>
          <w:rFonts w:ascii="Book Antiqua" w:hAnsi="Book Antiqua"/>
          <w:i/>
          <w:color w:val="1A1A1A"/>
          <w:u w:color="1A1A1A"/>
        </w:rPr>
        <w:t>P</w:t>
      </w:r>
      <w:r w:rsidR="00653E7C" w:rsidRPr="008D0A08">
        <w:rPr>
          <w:rStyle w:val="apple-converted-space"/>
          <w:rFonts w:ascii="Book Antiqua" w:hAnsi="Book Antiqua"/>
        </w:rPr>
        <w:t xml:space="preserve"> </w:t>
      </w:r>
      <w:r w:rsidRPr="008D0A08">
        <w:rPr>
          <w:rStyle w:val="apple-converted-space"/>
          <w:rFonts w:ascii="Book Antiqua" w:hAnsi="Book Antiqua"/>
        </w:rPr>
        <w:t>= 0.01).</w:t>
      </w:r>
      <w:r w:rsidR="006D232F">
        <w:rPr>
          <w:rStyle w:val="apple-converted-space"/>
          <w:rFonts w:ascii="Book Antiqua" w:hAnsi="Book Antiqua"/>
        </w:rPr>
        <w:t xml:space="preserve"> </w:t>
      </w:r>
      <w:r w:rsidRPr="008D0A08">
        <w:rPr>
          <w:rStyle w:val="apple-converted-space"/>
          <w:rFonts w:ascii="Book Antiqua" w:hAnsi="Book Antiqua"/>
        </w:rPr>
        <w:t xml:space="preserve">Following TIPS placement, the median PSG was 8 mmHg for both </w:t>
      </w:r>
      <w:proofErr w:type="spellStart"/>
      <w:r w:rsidRPr="008D0A08">
        <w:rPr>
          <w:rStyle w:val="apple-converted-space"/>
          <w:rFonts w:ascii="Book Antiqua" w:hAnsi="Book Antiqua"/>
        </w:rPr>
        <w:t>mTIPS</w:t>
      </w:r>
      <w:proofErr w:type="spellEnd"/>
      <w:r w:rsidRPr="008D0A08">
        <w:rPr>
          <w:rStyle w:val="apple-converted-space"/>
          <w:rFonts w:ascii="Book Antiqua" w:hAnsi="Book Antiqua"/>
        </w:rPr>
        <w:t xml:space="preserve"> and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 xml:space="preserve"> (range, 2-20 and 1-13, respectively) with a mean percent decrease in PSG of 61.0% ± 12.4 (range, 0-89) and 59.1% ± 15.9 (range, 0-95), respectively.</w:t>
      </w:r>
      <w:r w:rsidR="006D232F">
        <w:rPr>
          <w:rStyle w:val="apple-converted-space"/>
          <w:rFonts w:ascii="Book Antiqua" w:hAnsi="Book Antiqua"/>
        </w:rPr>
        <w:t xml:space="preserve"> </w:t>
      </w:r>
      <w:r w:rsidRPr="008D0A08">
        <w:rPr>
          <w:rStyle w:val="apple-converted-space"/>
          <w:rFonts w:ascii="Book Antiqua" w:hAnsi="Book Antiqua"/>
        </w:rPr>
        <w:t>These were not statistically different (</w:t>
      </w:r>
      <w:r w:rsidR="00653E7C" w:rsidRPr="00653E7C">
        <w:rPr>
          <w:rStyle w:val="apple-converted-space"/>
          <w:rFonts w:ascii="Book Antiqua" w:hAnsi="Book Antiqua"/>
          <w:i/>
          <w:color w:val="1A1A1A"/>
          <w:u w:color="1A1A1A"/>
        </w:rPr>
        <w:t>P</w:t>
      </w:r>
      <w:r w:rsidR="00653E7C" w:rsidRPr="008D0A08">
        <w:rPr>
          <w:rStyle w:val="apple-converted-space"/>
          <w:rFonts w:ascii="Book Antiqua" w:hAnsi="Book Antiqua"/>
        </w:rPr>
        <w:t xml:space="preserve"> </w:t>
      </w:r>
      <w:r w:rsidRPr="008D0A08">
        <w:rPr>
          <w:rStyle w:val="apple-converted-space"/>
          <w:rFonts w:ascii="Book Antiqua" w:hAnsi="Book Antiqua"/>
        </w:rPr>
        <w:t>= 0.13 and 0.53, respectively).</w:t>
      </w:r>
      <w:r w:rsidR="006D232F">
        <w:rPr>
          <w:rStyle w:val="apple-converted-space"/>
          <w:rFonts w:ascii="Book Antiqua" w:hAnsi="Book Antiqua"/>
        </w:rPr>
        <w:t xml:space="preserve"> </w:t>
      </w:r>
      <w:r w:rsidRPr="008D0A08">
        <w:rPr>
          <w:rStyle w:val="apple-converted-space"/>
          <w:rFonts w:ascii="Book Antiqua" w:hAnsi="Book Antiqua"/>
        </w:rPr>
        <w:t>The patients with post-TIPS PSG above the goal of 12 mmHg had a mean pre-TIPS PSG of 33 ± 13.2 (range 20-73) and experienced a mean percent decrease in PSG following TIPS creation of 48.3% ± 13.1 (range, 30.8-82.2) compared to those patients with post-TIPS PSG at or below the goal of 12 mmHg who had a mean pre-TIPS PSG of 21.1 mmHg ± 5.7 (range, 8-53) and mean percent decrease in PSG of 61.6% ± 12.6 (range, 0-95) (</w:t>
      </w:r>
      <w:r w:rsidR="00653E7C" w:rsidRPr="00653E7C">
        <w:rPr>
          <w:rStyle w:val="apple-converted-space"/>
          <w:rFonts w:ascii="Book Antiqua" w:hAnsi="Book Antiqua"/>
          <w:i/>
          <w:color w:val="1A1A1A"/>
          <w:u w:color="1A1A1A"/>
        </w:rPr>
        <w:t>P</w:t>
      </w:r>
      <w:r w:rsidR="00653E7C" w:rsidRPr="008D0A08">
        <w:rPr>
          <w:rStyle w:val="apple-converted-space"/>
          <w:rFonts w:ascii="Book Antiqua" w:hAnsi="Book Antiqua"/>
        </w:rPr>
        <w:t xml:space="preserve"> </w:t>
      </w:r>
      <w:r w:rsidRPr="008D0A08">
        <w:rPr>
          <w:rStyle w:val="apple-converted-space"/>
          <w:rFonts w:ascii="Book Antiqua" w:hAnsi="Book Antiqua"/>
        </w:rPr>
        <w:t xml:space="preserve">&lt; 0.01 and &lt; 0.01) </w:t>
      </w:r>
      <w:r w:rsidRPr="00653E7C">
        <w:rPr>
          <w:rStyle w:val="apple-converted-space"/>
          <w:rFonts w:ascii="Book Antiqua" w:hAnsi="Book Antiqua"/>
        </w:rPr>
        <w:t>(</w:t>
      </w:r>
      <w:r w:rsidRPr="00653E7C">
        <w:rPr>
          <w:rStyle w:val="apple-converted-space"/>
          <w:rFonts w:ascii="Book Antiqua" w:hAnsi="Book Antiqua"/>
          <w:bCs/>
          <w:lang w:val="fr-FR"/>
        </w:rPr>
        <w:t>Table 2</w:t>
      </w:r>
      <w:r w:rsidRPr="00653E7C">
        <w:rPr>
          <w:rStyle w:val="apple-converted-space"/>
          <w:rFonts w:ascii="Book Antiqua" w:hAnsi="Book Antiqua"/>
        </w:rPr>
        <w:t>).</w:t>
      </w:r>
      <w:r w:rsidR="006D232F">
        <w:rPr>
          <w:rStyle w:val="apple-converted-space"/>
          <w:rFonts w:ascii="Book Antiqua" w:hAnsi="Book Antiqua"/>
        </w:rPr>
        <w:t xml:space="preserve"> </w:t>
      </w:r>
    </w:p>
    <w:p w14:paraId="3B0F2FDD" w14:textId="41F25359" w:rsidR="00863E51" w:rsidRPr="008D0A08" w:rsidRDefault="00863E51" w:rsidP="00653E7C">
      <w:pPr>
        <w:pStyle w:val="Body"/>
        <w:widowControl w:val="0"/>
        <w:spacing w:line="360" w:lineRule="auto"/>
        <w:ind w:firstLineChars="150" w:firstLine="360"/>
        <w:jc w:val="both"/>
        <w:rPr>
          <w:rFonts w:ascii="Book Antiqua" w:hAnsi="Book Antiqua"/>
        </w:rPr>
      </w:pPr>
      <w:r w:rsidRPr="008D0A08">
        <w:rPr>
          <w:rStyle w:val="apple-converted-space"/>
          <w:rFonts w:ascii="Book Antiqua" w:hAnsi="Book Antiqua"/>
          <w:color w:val="1A1A1A"/>
          <w:u w:color="1A1A1A"/>
        </w:rPr>
        <w:t xml:space="preserve">Of the 43 patients with </w:t>
      </w:r>
      <w:proofErr w:type="spellStart"/>
      <w:r w:rsidRPr="008D0A08">
        <w:rPr>
          <w:rStyle w:val="apple-converted-space"/>
          <w:rFonts w:ascii="Book Antiqua" w:hAnsi="Book Antiqua"/>
          <w:color w:val="1A1A1A"/>
          <w:u w:color="1A1A1A"/>
        </w:rPr>
        <w:t>smTIPS</w:t>
      </w:r>
      <w:proofErr w:type="spellEnd"/>
      <w:r w:rsidRPr="008D0A08">
        <w:rPr>
          <w:rStyle w:val="apple-converted-space"/>
          <w:rFonts w:ascii="Book Antiqua" w:hAnsi="Book Antiqua"/>
          <w:color w:val="1A1A1A"/>
          <w:u w:color="1A1A1A"/>
        </w:rPr>
        <w:t xml:space="preserve">, there were 14 patients who had CT imaging follow-up </w:t>
      </w:r>
      <w:r w:rsidRPr="00653E7C">
        <w:rPr>
          <w:rStyle w:val="apple-converted-space"/>
          <w:rFonts w:ascii="Book Antiqua" w:hAnsi="Book Antiqua"/>
          <w:color w:val="1A1A1A"/>
          <w:u w:color="1A1A1A"/>
        </w:rPr>
        <w:t>(</w:t>
      </w:r>
      <w:r w:rsidRPr="00653E7C">
        <w:rPr>
          <w:rStyle w:val="apple-converted-space"/>
          <w:rFonts w:ascii="Book Antiqua" w:hAnsi="Book Antiqua"/>
          <w:bCs/>
          <w:color w:val="1A1A1A"/>
          <w:u w:color="1A1A1A"/>
          <w:lang w:val="fr-FR"/>
        </w:rPr>
        <w:t>Table 3</w:t>
      </w:r>
      <w:r w:rsidRPr="00653E7C">
        <w:rPr>
          <w:rStyle w:val="apple-converted-space"/>
          <w:rFonts w:ascii="Book Antiqua" w:hAnsi="Book Antiqua"/>
          <w:color w:val="1A1A1A"/>
          <w:u w:color="1A1A1A"/>
        </w:rPr>
        <w:t>).</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Median time to last imaging follow-up was 373 </w:t>
      </w:r>
      <w:r w:rsidR="00653E7C">
        <w:rPr>
          <w:rStyle w:val="apple-converted-space"/>
          <w:rFonts w:ascii="Book Antiqua" w:hAnsi="Book Antiqua"/>
          <w:color w:val="1A1A1A"/>
          <w:u w:color="1A1A1A"/>
          <w:lang w:eastAsia="zh-CN"/>
        </w:rPr>
        <w:t>d</w:t>
      </w:r>
      <w:r w:rsidRPr="008D0A08">
        <w:rPr>
          <w:rStyle w:val="apple-converted-space"/>
          <w:rFonts w:ascii="Book Antiqua" w:hAnsi="Book Antiqua"/>
          <w:color w:val="1A1A1A"/>
          <w:u w:color="1A1A1A"/>
        </w:rPr>
        <w:t>.</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The diameter and cross-sectional area of initial TIPS placement was assumed to be 8 mm and 50.27 mm</w:t>
      </w:r>
      <w:r w:rsidRPr="008D0A08">
        <w:rPr>
          <w:rStyle w:val="apple-converted-space"/>
          <w:rFonts w:ascii="Book Antiqua" w:hAnsi="Book Antiqua"/>
          <w:color w:val="1A1A1A"/>
          <w:u w:color="1A1A1A"/>
          <w:vertAlign w:val="superscript"/>
        </w:rPr>
        <w:t>2</w:t>
      </w:r>
      <w:r w:rsidRPr="008D0A08">
        <w:rPr>
          <w:rStyle w:val="apple-converted-space"/>
          <w:rFonts w:ascii="Book Antiqua" w:hAnsi="Book Antiqua"/>
          <w:color w:val="1A1A1A"/>
          <w:u w:color="1A1A1A"/>
        </w:rPr>
        <w:t>, corresponding to the diameter and area of the balloon used for dilation.</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Seven patients had last CT imaging follow-up within 6 </w:t>
      </w:r>
      <w:proofErr w:type="spellStart"/>
      <w:r w:rsidR="00653E7C">
        <w:rPr>
          <w:rStyle w:val="apple-converted-space"/>
          <w:rFonts w:ascii="Book Antiqua" w:hAnsi="Book Antiqua" w:hint="eastAsia"/>
          <w:color w:val="1A1A1A"/>
          <w:u w:color="1A1A1A"/>
          <w:lang w:eastAsia="zh-CN"/>
        </w:rPr>
        <w:t>mo</w:t>
      </w:r>
      <w:proofErr w:type="spellEnd"/>
      <w:r w:rsidR="00653E7C" w:rsidRPr="008D0A08">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(range, 4-172 </w:t>
      </w:r>
      <w:r w:rsidR="00653E7C">
        <w:rPr>
          <w:rStyle w:val="apple-converted-space"/>
          <w:rFonts w:ascii="Book Antiqua" w:hAnsi="Book Antiqua"/>
          <w:color w:val="1A1A1A"/>
          <w:u w:color="1A1A1A"/>
          <w:lang w:eastAsia="zh-CN"/>
        </w:rPr>
        <w:t>d</w:t>
      </w:r>
      <w:r w:rsidRPr="008D0A08">
        <w:rPr>
          <w:rStyle w:val="apple-converted-space"/>
          <w:rFonts w:ascii="Book Antiqua" w:hAnsi="Book Antiqua"/>
          <w:color w:val="1A1A1A"/>
          <w:u w:color="1A1A1A"/>
        </w:rPr>
        <w:t xml:space="preserve">) and 7 patients had last CT imaging follow-up after 6 </w:t>
      </w:r>
      <w:proofErr w:type="spellStart"/>
      <w:r w:rsidR="00653E7C">
        <w:rPr>
          <w:rStyle w:val="apple-converted-space"/>
          <w:rFonts w:ascii="Book Antiqua" w:hAnsi="Book Antiqua" w:hint="eastAsia"/>
          <w:color w:val="1A1A1A"/>
          <w:u w:color="1A1A1A"/>
          <w:lang w:eastAsia="zh-CN"/>
        </w:rPr>
        <w:t>mo</w:t>
      </w:r>
      <w:proofErr w:type="spellEnd"/>
      <w:r w:rsidR="00653E7C" w:rsidRPr="008D0A08">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(range, 573-2131 </w:t>
      </w:r>
      <w:r w:rsidR="00653E7C">
        <w:rPr>
          <w:rStyle w:val="apple-converted-space"/>
          <w:rFonts w:ascii="Book Antiqua" w:hAnsi="Book Antiqua"/>
          <w:color w:val="1A1A1A"/>
          <w:u w:color="1A1A1A"/>
          <w:lang w:eastAsia="zh-CN"/>
        </w:rPr>
        <w:lastRenderedPageBreak/>
        <w:t>d</w:t>
      </w:r>
      <w:r w:rsidRPr="008D0A08">
        <w:rPr>
          <w:rStyle w:val="apple-converted-space"/>
          <w:rFonts w:ascii="Book Antiqua" w:hAnsi="Book Antiqua"/>
          <w:color w:val="1A1A1A"/>
          <w:u w:color="1A1A1A"/>
        </w:rPr>
        <w:t>).</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The 7 patients with imaging follow-up within 6 </w:t>
      </w:r>
      <w:proofErr w:type="spellStart"/>
      <w:proofErr w:type="gramStart"/>
      <w:r w:rsidR="00653E7C">
        <w:rPr>
          <w:rStyle w:val="apple-converted-space"/>
          <w:rFonts w:ascii="Book Antiqua" w:hAnsi="Book Antiqua" w:hint="eastAsia"/>
          <w:color w:val="1A1A1A"/>
          <w:u w:color="1A1A1A"/>
          <w:lang w:eastAsia="zh-CN"/>
        </w:rPr>
        <w:t>mo</w:t>
      </w:r>
      <w:proofErr w:type="spellEnd"/>
      <w:proofErr w:type="gramEnd"/>
      <w:r w:rsidRPr="008D0A08">
        <w:rPr>
          <w:rStyle w:val="apple-converted-space"/>
          <w:rFonts w:ascii="Book Antiqua" w:hAnsi="Book Antiqua"/>
          <w:color w:val="1A1A1A"/>
          <w:u w:color="1A1A1A"/>
        </w:rPr>
        <w:t xml:space="preserve"> had a median diameter, percent diameter change, area, and percent area change of 8.05 mm (range, 7.84-8.43 mm), 0.67%, 50.94 mm</w:t>
      </w:r>
      <w:r w:rsidRPr="008D0A08">
        <w:rPr>
          <w:rStyle w:val="apple-converted-space"/>
          <w:rFonts w:ascii="Book Antiqua" w:hAnsi="Book Antiqua"/>
          <w:color w:val="1A1A1A"/>
          <w:u w:color="1A1A1A"/>
          <w:vertAlign w:val="superscript"/>
        </w:rPr>
        <w:t>2</w:t>
      </w:r>
      <w:r w:rsidRPr="008D0A08">
        <w:rPr>
          <w:rStyle w:val="apple-converted-space"/>
          <w:rFonts w:ascii="Book Antiqua" w:hAnsi="Book Antiqua"/>
          <w:color w:val="1A1A1A"/>
          <w:u w:color="1A1A1A"/>
        </w:rPr>
        <w:t>, and 1.34%, respectively.</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The patients that had last imaging follow-up after 6 months had a median diameter, percent diameter change, area, and percent area change of 8.45 mm (range, 8.23-8.72 mm), 5.58%, 56.04 mm</w:t>
      </w:r>
      <w:r w:rsidRPr="008D0A08">
        <w:rPr>
          <w:rStyle w:val="apple-converted-space"/>
          <w:rFonts w:ascii="Book Antiqua" w:hAnsi="Book Antiqua"/>
          <w:color w:val="1A1A1A"/>
          <w:u w:color="1A1A1A"/>
          <w:vertAlign w:val="superscript"/>
        </w:rPr>
        <w:t>2</w:t>
      </w:r>
      <w:r w:rsidRPr="008D0A08">
        <w:rPr>
          <w:rStyle w:val="apple-converted-space"/>
          <w:rFonts w:ascii="Book Antiqua" w:hAnsi="Book Antiqua"/>
          <w:color w:val="1A1A1A"/>
          <w:u w:color="1A1A1A"/>
        </w:rPr>
        <w:t>, and 11.48%, respectively.</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When comparing these two subgroups, there was a statistically significant increase in diameter, percent diameter change, area, and percent area change (</w:t>
      </w:r>
      <w:r w:rsidRPr="00653E7C">
        <w:rPr>
          <w:rStyle w:val="apple-converted-space"/>
          <w:rFonts w:ascii="Book Antiqua" w:hAnsi="Book Antiqua"/>
          <w:i/>
          <w:color w:val="1A1A1A"/>
          <w:u w:color="1A1A1A"/>
        </w:rPr>
        <w:t>P</w:t>
      </w:r>
      <w:r w:rsidRPr="008D0A08">
        <w:rPr>
          <w:rStyle w:val="apple-converted-space"/>
          <w:rFonts w:ascii="Book Antiqua" w:hAnsi="Book Antiqua"/>
          <w:color w:val="1A1A1A"/>
          <w:u w:color="1A1A1A"/>
        </w:rPr>
        <w:t xml:space="preserve"> = 0.01) (</w:t>
      </w:r>
      <w:r w:rsidRPr="00653E7C">
        <w:rPr>
          <w:rStyle w:val="apple-converted-space"/>
          <w:rFonts w:ascii="Book Antiqua" w:hAnsi="Book Antiqua"/>
          <w:bCs/>
          <w:color w:val="1A1A1A"/>
          <w:u w:color="1A1A1A"/>
        </w:rPr>
        <w:t>Figure</w:t>
      </w:r>
      <w:r w:rsidR="00653E7C" w:rsidRPr="00653E7C">
        <w:rPr>
          <w:rStyle w:val="apple-converted-space"/>
          <w:rFonts w:ascii="Book Antiqua" w:hAnsi="Book Antiqua" w:hint="eastAsia"/>
          <w:bCs/>
          <w:color w:val="1A1A1A"/>
          <w:u w:color="1A1A1A"/>
          <w:lang w:eastAsia="zh-CN"/>
        </w:rPr>
        <w:t>s</w:t>
      </w:r>
      <w:r w:rsidRPr="00653E7C">
        <w:rPr>
          <w:rStyle w:val="apple-converted-space"/>
          <w:rFonts w:ascii="Book Antiqua" w:hAnsi="Book Antiqua"/>
          <w:bCs/>
          <w:color w:val="1A1A1A"/>
          <w:u w:color="1A1A1A"/>
        </w:rPr>
        <w:t xml:space="preserve"> 3 and 4</w:t>
      </w:r>
      <w:r w:rsidRPr="008D0A08">
        <w:rPr>
          <w:rStyle w:val="apple-converted-space"/>
          <w:rFonts w:ascii="Book Antiqua" w:hAnsi="Book Antiqua"/>
          <w:color w:val="1A1A1A"/>
          <w:u w:color="1A1A1A"/>
        </w:rPr>
        <w:t>).</w:t>
      </w:r>
      <w:r w:rsidR="006D232F">
        <w:rPr>
          <w:rStyle w:val="apple-converted-space"/>
          <w:rFonts w:ascii="Book Antiqua" w:hAnsi="Book Antiqua"/>
          <w:color w:val="1A1A1A"/>
          <w:u w:color="1A1A1A"/>
          <w:lang w:val="de-DE"/>
        </w:rPr>
        <w:t xml:space="preserve"> </w:t>
      </w:r>
    </w:p>
    <w:p w14:paraId="74C04A72" w14:textId="1CFF0BDF" w:rsidR="00863E51" w:rsidRPr="008D0A08" w:rsidRDefault="00863E51" w:rsidP="00653E7C">
      <w:pPr>
        <w:pStyle w:val="Body"/>
        <w:widowControl w:val="0"/>
        <w:spacing w:line="360" w:lineRule="auto"/>
        <w:ind w:firstLineChars="150" w:firstLine="360"/>
        <w:jc w:val="both"/>
        <w:rPr>
          <w:rFonts w:ascii="Book Antiqua" w:hAnsi="Book Antiqua"/>
        </w:rPr>
      </w:pPr>
      <w:r w:rsidRPr="008D0A08">
        <w:rPr>
          <w:rStyle w:val="apple-converted-space"/>
          <w:rFonts w:ascii="Book Antiqua" w:hAnsi="Book Antiqua"/>
          <w:bCs/>
          <w:lang w:val="fr-FR"/>
        </w:rPr>
        <w:t>Post</w:t>
      </w:r>
      <w:r w:rsidRPr="008D0A08">
        <w:rPr>
          <w:rStyle w:val="apple-converted-space"/>
          <w:rFonts w:ascii="Book Antiqua" w:hAnsi="Book Antiqua"/>
        </w:rPr>
        <w:t xml:space="preserve">-TIPS clinical success is summarized in </w:t>
      </w:r>
      <w:r w:rsidRPr="00653E7C">
        <w:rPr>
          <w:rStyle w:val="apple-converted-space"/>
          <w:rFonts w:ascii="Book Antiqua" w:hAnsi="Book Antiqua"/>
        </w:rPr>
        <w:t>Table 4</w:t>
      </w:r>
      <w:r w:rsidR="00653E7C">
        <w:rPr>
          <w:rStyle w:val="apple-converted-space"/>
          <w:rFonts w:ascii="Book Antiqua" w:hAnsi="Book Antiqua"/>
        </w:rPr>
        <w:t xml:space="preserve">. </w:t>
      </w:r>
      <w:r w:rsidRPr="008D0A08">
        <w:rPr>
          <w:rStyle w:val="apple-converted-space"/>
          <w:rFonts w:ascii="Book Antiqua" w:hAnsi="Book Antiqua"/>
        </w:rPr>
        <w:t xml:space="preserve">Nine of 14 patients (64%) who had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 xml:space="preserve"> placed for refractory ascites experienced complete clinical success and 11 of 14 patients (79%) experienced at least partial clinical success.</w:t>
      </w:r>
      <w:r w:rsidR="006D232F">
        <w:rPr>
          <w:rStyle w:val="apple-converted-space"/>
          <w:rFonts w:ascii="Book Antiqua" w:hAnsi="Book Antiqua"/>
        </w:rPr>
        <w:t xml:space="preserve"> </w:t>
      </w:r>
      <w:r w:rsidRPr="008D0A08">
        <w:rPr>
          <w:rStyle w:val="apple-converted-space"/>
          <w:rFonts w:ascii="Book Antiqua" w:hAnsi="Book Antiqua"/>
        </w:rPr>
        <w:t xml:space="preserve">Similarly, 63 of the 98 patients (64%) who underwent </w:t>
      </w:r>
      <w:proofErr w:type="spellStart"/>
      <w:r w:rsidRPr="008D0A08">
        <w:rPr>
          <w:rStyle w:val="apple-converted-space"/>
          <w:rFonts w:ascii="Book Antiqua" w:hAnsi="Book Antiqua"/>
        </w:rPr>
        <w:t>mTIPS</w:t>
      </w:r>
      <w:proofErr w:type="spellEnd"/>
      <w:r w:rsidRPr="008D0A08">
        <w:rPr>
          <w:rStyle w:val="apple-converted-space"/>
          <w:rFonts w:ascii="Book Antiqua" w:hAnsi="Book Antiqua"/>
        </w:rPr>
        <w:t xml:space="preserve"> placement for refractory ascites experienced complete clinical success and 89 of 98 patients (91%) had at least partial clinical success.</w:t>
      </w:r>
      <w:r w:rsidR="006D232F">
        <w:rPr>
          <w:rStyle w:val="apple-converted-space"/>
          <w:rFonts w:ascii="Book Antiqua" w:hAnsi="Book Antiqua"/>
        </w:rPr>
        <w:t xml:space="preserve"> </w:t>
      </w:r>
      <w:r w:rsidRPr="008D0A08">
        <w:rPr>
          <w:rStyle w:val="apple-converted-space"/>
          <w:rFonts w:ascii="Book Antiqua" w:hAnsi="Book Antiqua"/>
        </w:rPr>
        <w:t xml:space="preserve">There was no statistically significant difference in complete or partial clinical success between patients with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 xml:space="preserve"> or </w:t>
      </w:r>
      <w:proofErr w:type="spellStart"/>
      <w:r w:rsidRPr="008D0A08">
        <w:rPr>
          <w:rStyle w:val="apple-converted-space"/>
          <w:rFonts w:ascii="Book Antiqua" w:hAnsi="Book Antiqua"/>
        </w:rPr>
        <w:t>mTIPS</w:t>
      </w:r>
      <w:proofErr w:type="spellEnd"/>
      <w:r w:rsidRPr="008D0A08">
        <w:rPr>
          <w:rStyle w:val="apple-converted-space"/>
          <w:rFonts w:ascii="Book Antiqua" w:hAnsi="Book Antiqua"/>
        </w:rPr>
        <w:t xml:space="preserve"> (</w:t>
      </w:r>
      <w:r w:rsidRPr="00653E7C">
        <w:rPr>
          <w:rStyle w:val="apple-converted-space"/>
          <w:rFonts w:ascii="Book Antiqua" w:hAnsi="Book Antiqua"/>
          <w:i/>
        </w:rPr>
        <w:t>P</w:t>
      </w:r>
      <w:r w:rsidRPr="008D0A08">
        <w:rPr>
          <w:rStyle w:val="apple-converted-space"/>
          <w:rFonts w:ascii="Book Antiqua" w:hAnsi="Book Antiqua"/>
        </w:rPr>
        <w:t xml:space="preserve"> = 1 and </w:t>
      </w:r>
      <w:r w:rsidR="00653E7C" w:rsidRPr="00653E7C">
        <w:rPr>
          <w:rStyle w:val="apple-converted-space"/>
          <w:rFonts w:ascii="Book Antiqua" w:hAnsi="Book Antiqua"/>
          <w:i/>
        </w:rPr>
        <w:t>P</w:t>
      </w:r>
      <w:r w:rsidRPr="008D0A08">
        <w:rPr>
          <w:rStyle w:val="apple-converted-space"/>
          <w:rFonts w:ascii="Book Antiqua" w:hAnsi="Book Antiqua"/>
        </w:rPr>
        <w:t xml:space="preserve"> = 0.17, respectively).</w:t>
      </w:r>
      <w:r w:rsidR="006D232F">
        <w:rPr>
          <w:rStyle w:val="apple-converted-space"/>
          <w:rFonts w:ascii="Book Antiqua" w:hAnsi="Book Antiqua"/>
        </w:rPr>
        <w:t xml:space="preserve"> </w:t>
      </w:r>
      <w:r w:rsidRPr="008D0A08">
        <w:rPr>
          <w:rStyle w:val="apple-converted-space"/>
          <w:rFonts w:ascii="Book Antiqua" w:hAnsi="Book Antiqua"/>
        </w:rPr>
        <w:t xml:space="preserve">For </w:t>
      </w:r>
      <w:proofErr w:type="spellStart"/>
      <w:r w:rsidRPr="008D0A08">
        <w:rPr>
          <w:rStyle w:val="apple-converted-space"/>
          <w:rFonts w:ascii="Book Antiqua" w:hAnsi="Book Antiqua"/>
        </w:rPr>
        <w:t>variceal</w:t>
      </w:r>
      <w:proofErr w:type="spellEnd"/>
      <w:r w:rsidRPr="008D0A08">
        <w:rPr>
          <w:rStyle w:val="apple-converted-space"/>
          <w:rFonts w:ascii="Book Antiqua" w:hAnsi="Book Antiqua"/>
        </w:rPr>
        <w:t xml:space="preserve"> bleeding, 7 of 9 patients (78%) with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 xml:space="preserve"> and 64 of 75 patients (85%) with </w:t>
      </w:r>
      <w:proofErr w:type="spellStart"/>
      <w:r w:rsidRPr="008D0A08">
        <w:rPr>
          <w:rStyle w:val="apple-converted-space"/>
          <w:rFonts w:ascii="Book Antiqua" w:hAnsi="Book Antiqua"/>
        </w:rPr>
        <w:t>mTIPS</w:t>
      </w:r>
      <w:proofErr w:type="spellEnd"/>
      <w:r w:rsidRPr="008D0A08">
        <w:rPr>
          <w:rStyle w:val="apple-converted-space"/>
          <w:rFonts w:ascii="Book Antiqua" w:hAnsi="Book Antiqua"/>
        </w:rPr>
        <w:t xml:space="preserve"> experienced clinical success, which was not significantly different (</w:t>
      </w:r>
      <w:r w:rsidR="00653E7C" w:rsidRPr="00653E7C">
        <w:rPr>
          <w:rStyle w:val="apple-converted-space"/>
          <w:rFonts w:ascii="Book Antiqua" w:hAnsi="Book Antiqua"/>
          <w:i/>
        </w:rPr>
        <w:t>P</w:t>
      </w:r>
      <w:r w:rsidR="00653E7C" w:rsidRPr="008D0A08">
        <w:rPr>
          <w:rStyle w:val="apple-converted-space"/>
          <w:rFonts w:ascii="Book Antiqua" w:hAnsi="Book Antiqua"/>
        </w:rPr>
        <w:t xml:space="preserve"> </w:t>
      </w:r>
      <w:r w:rsidRPr="008D0A08">
        <w:rPr>
          <w:rStyle w:val="apple-converted-space"/>
          <w:rFonts w:ascii="Book Antiqua" w:hAnsi="Book Antiqua"/>
        </w:rPr>
        <w:t>= 0.62).</w:t>
      </w:r>
      <w:r w:rsidR="006D232F">
        <w:rPr>
          <w:rStyle w:val="apple-converted-space"/>
          <w:rFonts w:ascii="Book Antiqua" w:hAnsi="Book Antiqua"/>
        </w:rPr>
        <w:t xml:space="preserve"> </w:t>
      </w:r>
      <w:r w:rsidRPr="008D0A08">
        <w:rPr>
          <w:rStyle w:val="apple-converted-space"/>
          <w:rFonts w:ascii="Book Antiqua" w:hAnsi="Book Antiqua"/>
        </w:rPr>
        <w:t xml:space="preserve"> </w:t>
      </w:r>
    </w:p>
    <w:p w14:paraId="44BDAF48" w14:textId="0605E09D" w:rsidR="00863E51" w:rsidRPr="008D0A08" w:rsidRDefault="00863E51" w:rsidP="00653E7C">
      <w:pPr>
        <w:pStyle w:val="Body"/>
        <w:widowControl w:val="0"/>
        <w:spacing w:line="360" w:lineRule="auto"/>
        <w:ind w:firstLineChars="150" w:firstLine="360"/>
        <w:jc w:val="both"/>
        <w:rPr>
          <w:rFonts w:ascii="Book Antiqua" w:hAnsi="Book Antiqua"/>
        </w:rPr>
      </w:pPr>
      <w:r w:rsidRPr="008D0A08">
        <w:rPr>
          <w:rStyle w:val="apple-converted-space"/>
          <w:rFonts w:ascii="Book Antiqua" w:hAnsi="Book Antiqua"/>
        </w:rPr>
        <w:t xml:space="preserve">Kaplan-Meier survival curves depicting primary and primary assisted patency rates for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 xml:space="preserve"> and </w:t>
      </w:r>
      <w:proofErr w:type="spellStart"/>
      <w:r w:rsidRPr="008D0A08">
        <w:rPr>
          <w:rStyle w:val="apple-converted-space"/>
          <w:rFonts w:ascii="Book Antiqua" w:hAnsi="Book Antiqua"/>
        </w:rPr>
        <w:t>mTIPS</w:t>
      </w:r>
      <w:proofErr w:type="spellEnd"/>
      <w:r w:rsidRPr="008D0A08">
        <w:rPr>
          <w:rStyle w:val="apple-converted-space"/>
          <w:rFonts w:ascii="Book Antiqua" w:hAnsi="Book Antiqua"/>
        </w:rPr>
        <w:t xml:space="preserve"> are shown in </w:t>
      </w:r>
      <w:r w:rsidRPr="00653E7C">
        <w:rPr>
          <w:rStyle w:val="apple-converted-space"/>
          <w:rFonts w:ascii="Book Antiqua" w:hAnsi="Book Antiqua"/>
          <w:bCs/>
        </w:rPr>
        <w:t>Figure</w:t>
      </w:r>
      <w:r w:rsidR="00653E7C" w:rsidRPr="00653E7C">
        <w:rPr>
          <w:rStyle w:val="apple-converted-space"/>
          <w:rFonts w:ascii="Book Antiqua" w:hAnsi="Book Antiqua" w:hint="eastAsia"/>
          <w:bCs/>
          <w:lang w:eastAsia="zh-CN"/>
        </w:rPr>
        <w:t>s</w:t>
      </w:r>
      <w:r w:rsidRPr="00653E7C">
        <w:rPr>
          <w:rStyle w:val="apple-converted-space"/>
          <w:rFonts w:ascii="Book Antiqua" w:hAnsi="Book Antiqua"/>
          <w:bCs/>
        </w:rPr>
        <w:t xml:space="preserve"> 5 and 6</w:t>
      </w:r>
      <w:r w:rsidRPr="008D0A08">
        <w:rPr>
          <w:rStyle w:val="apple-converted-space"/>
          <w:rFonts w:ascii="Book Antiqua" w:hAnsi="Book Antiqua"/>
        </w:rPr>
        <w:t>, respectively.</w:t>
      </w:r>
      <w:r w:rsidR="006D232F">
        <w:rPr>
          <w:rStyle w:val="apple-converted-space"/>
          <w:rFonts w:ascii="Book Antiqua" w:hAnsi="Book Antiqua"/>
        </w:rPr>
        <w:t xml:space="preserve"> </w:t>
      </w:r>
      <w:r w:rsidRPr="008D0A08">
        <w:rPr>
          <w:rStyle w:val="apple-converted-space"/>
          <w:rFonts w:ascii="Book Antiqua" w:hAnsi="Book Antiqua"/>
        </w:rPr>
        <w:t xml:space="preserve">Primary patency for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 xml:space="preserve"> and </w:t>
      </w:r>
      <w:proofErr w:type="spellStart"/>
      <w:r w:rsidRPr="008D0A08">
        <w:rPr>
          <w:rStyle w:val="apple-converted-space"/>
          <w:rFonts w:ascii="Book Antiqua" w:hAnsi="Book Antiqua"/>
        </w:rPr>
        <w:t>mTIPS</w:t>
      </w:r>
      <w:proofErr w:type="spellEnd"/>
      <w:r w:rsidRPr="008D0A08">
        <w:rPr>
          <w:rStyle w:val="apple-converted-space"/>
          <w:rFonts w:ascii="Book Antiqua" w:hAnsi="Book Antiqua"/>
        </w:rPr>
        <w:t xml:space="preserve"> was 85% ± 9.1 and 76% ± 5.9%, respectively, at one year, and 77% ± 13 and 70% ± 6.9%, respectively, after two years.</w:t>
      </w:r>
      <w:r w:rsidR="006D232F">
        <w:rPr>
          <w:rStyle w:val="apple-converted-space"/>
          <w:rFonts w:ascii="Book Antiqua" w:hAnsi="Book Antiqua"/>
        </w:rPr>
        <w:t xml:space="preserve"> </w:t>
      </w:r>
      <w:r w:rsidRPr="008D0A08">
        <w:rPr>
          <w:rStyle w:val="apple-converted-space"/>
          <w:rFonts w:ascii="Book Antiqua" w:hAnsi="Book Antiqua"/>
        </w:rPr>
        <w:t xml:space="preserve">Primary assisted patency for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 xml:space="preserve"> and </w:t>
      </w:r>
      <w:proofErr w:type="spellStart"/>
      <w:r w:rsidRPr="008D0A08">
        <w:rPr>
          <w:rStyle w:val="apple-converted-space"/>
          <w:rFonts w:ascii="Book Antiqua" w:hAnsi="Book Antiqua"/>
        </w:rPr>
        <w:t>mTIPS</w:t>
      </w:r>
      <w:proofErr w:type="spellEnd"/>
      <w:r w:rsidRPr="008D0A08">
        <w:rPr>
          <w:rStyle w:val="apple-converted-space"/>
          <w:rFonts w:ascii="Book Antiqua" w:hAnsi="Book Antiqua"/>
        </w:rPr>
        <w:t xml:space="preserve"> was 95% ± 5 and 95% ± 3%, respectively, at one year, and 88% ± 13 and 94% ± 4%, respectively, after two years.</w:t>
      </w:r>
      <w:r w:rsidR="006D232F">
        <w:rPr>
          <w:rStyle w:val="apple-converted-space"/>
          <w:rFonts w:ascii="Book Antiqua" w:hAnsi="Book Antiqua"/>
        </w:rPr>
        <w:t xml:space="preserve"> </w:t>
      </w:r>
      <w:r w:rsidRPr="008D0A08">
        <w:rPr>
          <w:rStyle w:val="apple-converted-space"/>
          <w:rFonts w:ascii="Book Antiqua" w:hAnsi="Book Antiqua"/>
        </w:rPr>
        <w:t>There was no statistically significant difference between primary or primary assisted patency between the two groups (</w:t>
      </w:r>
      <w:r w:rsidRPr="00653E7C">
        <w:rPr>
          <w:rStyle w:val="apple-converted-space"/>
          <w:rFonts w:ascii="Book Antiqua" w:hAnsi="Book Antiqua"/>
          <w:i/>
        </w:rPr>
        <w:t>P</w:t>
      </w:r>
      <w:r w:rsidRPr="008D0A08">
        <w:rPr>
          <w:rStyle w:val="apple-converted-space"/>
          <w:rFonts w:ascii="Book Antiqua" w:hAnsi="Book Antiqua"/>
        </w:rPr>
        <w:t xml:space="preserve"> = 0.64 and 0.55, respectively).</w:t>
      </w:r>
      <w:r w:rsidR="006D232F">
        <w:rPr>
          <w:rStyle w:val="apple-converted-space"/>
          <w:rFonts w:ascii="Book Antiqua" w:hAnsi="Book Antiqua"/>
        </w:rPr>
        <w:t xml:space="preserve"> </w:t>
      </w:r>
      <w:r w:rsidRPr="008D0A08">
        <w:rPr>
          <w:rStyle w:val="apple-converted-space"/>
          <w:rFonts w:ascii="Book Antiqua" w:hAnsi="Book Antiqua"/>
        </w:rPr>
        <w:t xml:space="preserve">Four of the 55 patients (7%) with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 xml:space="preserve"> required TIPS reduction for severe refractory HE, while this occurred in 6 of the 218 patients with </w:t>
      </w:r>
      <w:proofErr w:type="spellStart"/>
      <w:r w:rsidRPr="008D0A08">
        <w:rPr>
          <w:rStyle w:val="apple-converted-space"/>
          <w:rFonts w:ascii="Book Antiqua" w:hAnsi="Book Antiqua"/>
        </w:rPr>
        <w:t>mTIPS</w:t>
      </w:r>
      <w:proofErr w:type="spellEnd"/>
      <w:r w:rsidRPr="008D0A08">
        <w:rPr>
          <w:rStyle w:val="apple-converted-space"/>
          <w:rFonts w:ascii="Book Antiqua" w:hAnsi="Book Antiqua"/>
        </w:rPr>
        <w:t xml:space="preserve"> (3%) using an intention-to-treat analysis, although not statistically significant (P = 0.12) (</w:t>
      </w:r>
      <w:r w:rsidRPr="00653E7C">
        <w:rPr>
          <w:rStyle w:val="apple-converted-space"/>
          <w:rFonts w:ascii="Book Antiqua" w:hAnsi="Book Antiqua"/>
          <w:bCs/>
          <w:lang w:val="fr-FR"/>
        </w:rPr>
        <w:t>Table 5</w:t>
      </w:r>
      <w:r w:rsidRPr="008D0A08">
        <w:rPr>
          <w:rStyle w:val="apple-converted-space"/>
          <w:rFonts w:ascii="Book Antiqua" w:hAnsi="Book Antiqua"/>
        </w:rPr>
        <w:t>).</w:t>
      </w:r>
      <w:r w:rsidR="006D232F">
        <w:rPr>
          <w:rStyle w:val="apple-converted-space"/>
          <w:rFonts w:ascii="Book Antiqua" w:hAnsi="Book Antiqua"/>
        </w:rPr>
        <w:t xml:space="preserve"> </w:t>
      </w:r>
      <w:proofErr w:type="gramStart"/>
      <w:r w:rsidRPr="008D0A08">
        <w:rPr>
          <w:rStyle w:val="apple-converted-space"/>
          <w:rFonts w:ascii="Book Antiqua" w:hAnsi="Book Antiqua"/>
        </w:rPr>
        <w:t>In both</w:t>
      </w:r>
      <w:proofErr w:type="gramEnd"/>
      <w:r w:rsidRPr="008D0A08">
        <w:rPr>
          <w:rStyle w:val="apple-converted-space"/>
          <w:rFonts w:ascii="Book Antiqua" w:hAnsi="Book Antiqua"/>
        </w:rPr>
        <w:t xml:space="preserve">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 xml:space="preserve"> and </w:t>
      </w:r>
      <w:proofErr w:type="spellStart"/>
      <w:r w:rsidRPr="008D0A08">
        <w:rPr>
          <w:rStyle w:val="apple-converted-space"/>
          <w:rFonts w:ascii="Book Antiqua" w:hAnsi="Book Antiqua"/>
        </w:rPr>
        <w:t>mTIPS</w:t>
      </w:r>
      <w:proofErr w:type="spellEnd"/>
      <w:r w:rsidRPr="008D0A08">
        <w:rPr>
          <w:rStyle w:val="apple-converted-space"/>
          <w:rFonts w:ascii="Book Antiqua" w:hAnsi="Book Antiqua"/>
        </w:rPr>
        <w:t xml:space="preserve">, the MELD scores and post-TIPS </w:t>
      </w:r>
      <w:r w:rsidRPr="008D0A08">
        <w:rPr>
          <w:rStyle w:val="apple-converted-space"/>
          <w:rFonts w:ascii="Book Antiqua" w:hAnsi="Book Antiqua"/>
        </w:rPr>
        <w:lastRenderedPageBreak/>
        <w:t>PSG were not significantly different between patients who experienced severe post-TIPS HE and those who did not (</w:t>
      </w:r>
      <w:r w:rsidRPr="00653E7C">
        <w:rPr>
          <w:rStyle w:val="apple-converted-space"/>
          <w:rFonts w:ascii="Book Antiqua" w:hAnsi="Book Antiqua"/>
          <w:bCs/>
          <w:lang w:val="fr-FR"/>
        </w:rPr>
        <w:t>Table 6</w:t>
      </w:r>
      <w:r w:rsidRPr="008D0A08">
        <w:rPr>
          <w:rStyle w:val="apple-converted-space"/>
          <w:rFonts w:ascii="Book Antiqua" w:hAnsi="Book Antiqua"/>
        </w:rPr>
        <w:t>).</w:t>
      </w:r>
    </w:p>
    <w:p w14:paraId="62B60F6D" w14:textId="77777777" w:rsidR="00653E7C" w:rsidRDefault="00653E7C" w:rsidP="008D0A08">
      <w:pPr>
        <w:pStyle w:val="Body"/>
        <w:spacing w:line="360" w:lineRule="auto"/>
        <w:jc w:val="both"/>
        <w:rPr>
          <w:rStyle w:val="apple-converted-space"/>
          <w:rFonts w:ascii="Book Antiqua" w:hAnsi="Book Antiqua"/>
          <w:color w:val="1A1A1A"/>
          <w:u w:color="1A1A1A"/>
          <w:lang w:eastAsia="zh-CN"/>
        </w:rPr>
      </w:pPr>
    </w:p>
    <w:p w14:paraId="79C603E3" w14:textId="6F3BC308" w:rsidR="00863E51" w:rsidRPr="008D0A08" w:rsidRDefault="00653E7C" w:rsidP="008D0A08">
      <w:pPr>
        <w:pStyle w:val="Body"/>
        <w:spacing w:line="360" w:lineRule="auto"/>
        <w:jc w:val="both"/>
        <w:rPr>
          <w:rFonts w:ascii="Book Antiqua" w:hAnsi="Book Antiqua"/>
        </w:rPr>
      </w:pPr>
      <w:r w:rsidRPr="008D0A08">
        <w:rPr>
          <w:rStyle w:val="apple-converted-space"/>
          <w:rFonts w:ascii="Book Antiqua" w:hAnsi="Book Antiqua"/>
          <w:b/>
          <w:bCs/>
          <w:color w:val="1A1A1A"/>
          <w:u w:color="1A1A1A"/>
        </w:rPr>
        <w:t>DISCUSSION</w:t>
      </w:r>
    </w:p>
    <w:p w14:paraId="3C9005CA" w14:textId="41685FD9" w:rsidR="00863E51" w:rsidRPr="008D0A08" w:rsidRDefault="00863E51" w:rsidP="008D0A08">
      <w:pPr>
        <w:pStyle w:val="Body"/>
        <w:spacing w:line="360" w:lineRule="auto"/>
        <w:jc w:val="both"/>
        <w:rPr>
          <w:rFonts w:ascii="Book Antiqua" w:hAnsi="Book Antiqua"/>
        </w:rPr>
      </w:pPr>
      <w:r w:rsidRPr="008D0A08">
        <w:rPr>
          <w:rStyle w:val="apple-converted-space"/>
          <w:rFonts w:ascii="Book Antiqua" w:hAnsi="Book Antiqua"/>
          <w:color w:val="1A1A1A"/>
          <w:u w:color="1A1A1A"/>
        </w:rPr>
        <w:t xml:space="preserve">Despite improved patency rates and reduced need for shunt revision with PTFE-covered TIPS, HE remains a problem following TIPS placement with some speculation that improved patency rates may increase the incidence of </w:t>
      </w:r>
      <w:proofErr w:type="gramStart"/>
      <w:r w:rsidRPr="008D0A08">
        <w:rPr>
          <w:rStyle w:val="apple-converted-space"/>
          <w:rFonts w:ascii="Book Antiqua" w:hAnsi="Book Antiqua"/>
          <w:color w:val="1A1A1A"/>
          <w:u w:color="1A1A1A"/>
        </w:rPr>
        <w:t>HE</w:t>
      </w:r>
      <w:r w:rsidR="00BB4AC0" w:rsidRPr="008D0A08">
        <w:rPr>
          <w:rStyle w:val="apple-converted-space"/>
          <w:rFonts w:ascii="Book Antiqua" w:hAnsi="Book Antiqua"/>
          <w:color w:val="1A1A1A"/>
          <w:u w:color="1A1A1A"/>
          <w:vertAlign w:val="superscript"/>
        </w:rPr>
        <w:t>[</w:t>
      </w:r>
      <w:proofErr w:type="gramEnd"/>
      <w:r w:rsidR="00BB4AC0" w:rsidRPr="008D0A08">
        <w:rPr>
          <w:rStyle w:val="apple-converted-space"/>
          <w:rFonts w:ascii="Book Antiqua" w:hAnsi="Book Antiqua"/>
          <w:color w:val="1A1A1A"/>
          <w:u w:color="1A1A1A"/>
          <w:vertAlign w:val="superscript"/>
        </w:rPr>
        <w:t>1-4,8-9]</w:t>
      </w:r>
      <w:r w:rsidRPr="008D0A08">
        <w:rPr>
          <w:rStyle w:val="apple-converted-space"/>
          <w:rFonts w:ascii="Book Antiqua" w:hAnsi="Book Antiqua"/>
          <w:color w:val="1A1A1A"/>
          <w:u w:color="1A1A1A"/>
        </w:rPr>
        <w:t>.</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HE arises when compounds derived from the intestine that require hepatic detoxification bypass the hepatic vascular bed in the setting of a </w:t>
      </w:r>
      <w:proofErr w:type="spellStart"/>
      <w:r w:rsidRPr="008D0A08">
        <w:rPr>
          <w:rStyle w:val="apple-converted-space"/>
          <w:rFonts w:ascii="Book Antiqua" w:hAnsi="Book Antiqua"/>
          <w:color w:val="1A1A1A"/>
          <w:u w:color="1A1A1A"/>
        </w:rPr>
        <w:t>portosystemic</w:t>
      </w:r>
      <w:proofErr w:type="spellEnd"/>
      <w:r w:rsidRPr="008D0A08">
        <w:rPr>
          <w:rStyle w:val="apple-converted-space"/>
          <w:rFonts w:ascii="Book Antiqua" w:hAnsi="Book Antiqua"/>
          <w:color w:val="1A1A1A"/>
          <w:u w:color="1A1A1A"/>
        </w:rPr>
        <w:t xml:space="preserve"> shunt, and subsequently enter systemic circulation.</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These compounds, typically nitrogenous in composition, travel to the central nervous system and disturb neurotransmission, which leads to eventual alterations in consciousness and behavior that manifest as </w:t>
      </w:r>
      <w:proofErr w:type="gramStart"/>
      <w:r w:rsidRPr="008D0A08">
        <w:rPr>
          <w:rStyle w:val="apple-converted-space"/>
          <w:rFonts w:ascii="Book Antiqua" w:hAnsi="Book Antiqua"/>
          <w:color w:val="1A1A1A"/>
          <w:u w:color="1A1A1A"/>
        </w:rPr>
        <w:t>HE</w:t>
      </w:r>
      <w:r w:rsidR="00BB4AC0" w:rsidRPr="008D0A08">
        <w:rPr>
          <w:rStyle w:val="apple-converted-space"/>
          <w:rFonts w:ascii="Book Antiqua" w:hAnsi="Book Antiqua"/>
          <w:color w:val="1A1A1A"/>
          <w:u w:color="1A1A1A"/>
          <w:vertAlign w:val="superscript"/>
        </w:rPr>
        <w:t>[</w:t>
      </w:r>
      <w:proofErr w:type="gramEnd"/>
      <w:r w:rsidR="00BB4AC0" w:rsidRPr="008D0A08">
        <w:rPr>
          <w:rStyle w:val="apple-converted-space"/>
          <w:rFonts w:ascii="Book Antiqua" w:hAnsi="Book Antiqua"/>
          <w:color w:val="1A1A1A"/>
          <w:u w:color="1A1A1A"/>
          <w:vertAlign w:val="superscript"/>
        </w:rPr>
        <w:t>22]</w:t>
      </w:r>
      <w:r w:rsidRPr="008D0A08">
        <w:rPr>
          <w:rStyle w:val="apple-converted-space"/>
          <w:rFonts w:ascii="Book Antiqua" w:hAnsi="Book Antiqua"/>
          <w:color w:val="1A1A1A"/>
          <w:u w:color="1A1A1A"/>
        </w:rPr>
        <w:t>.</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This pathogenesis is further supported with the evidence that HE occurs with spontaneous </w:t>
      </w:r>
      <w:proofErr w:type="spellStart"/>
      <w:r w:rsidRPr="008D0A08">
        <w:rPr>
          <w:rStyle w:val="apple-converted-space"/>
          <w:rFonts w:ascii="Book Antiqua" w:hAnsi="Book Antiqua"/>
          <w:color w:val="1A1A1A"/>
          <w:u w:color="1A1A1A"/>
        </w:rPr>
        <w:t>portosystemic</w:t>
      </w:r>
      <w:proofErr w:type="spellEnd"/>
      <w:r w:rsidRPr="008D0A08">
        <w:rPr>
          <w:rStyle w:val="apple-converted-space"/>
          <w:rFonts w:ascii="Book Antiqua" w:hAnsi="Book Antiqua"/>
          <w:color w:val="1A1A1A"/>
          <w:u w:color="1A1A1A"/>
        </w:rPr>
        <w:t xml:space="preserve"> shunts, even in the absence of hepatic dysfunction or </w:t>
      </w:r>
      <w:proofErr w:type="gramStart"/>
      <w:r w:rsidRPr="008D0A08">
        <w:rPr>
          <w:rStyle w:val="apple-converted-space"/>
          <w:rFonts w:ascii="Book Antiqua" w:hAnsi="Book Antiqua"/>
          <w:color w:val="1A1A1A"/>
          <w:u w:color="1A1A1A"/>
        </w:rPr>
        <w:t>TIPS</w:t>
      </w:r>
      <w:r w:rsidR="00BB4AC0" w:rsidRPr="008D0A08">
        <w:rPr>
          <w:rStyle w:val="apple-converted-space"/>
          <w:rFonts w:ascii="Book Antiqua" w:hAnsi="Book Antiqua"/>
          <w:color w:val="1A1A1A"/>
          <w:u w:color="1A1A1A"/>
          <w:vertAlign w:val="superscript"/>
        </w:rPr>
        <w:t>[</w:t>
      </w:r>
      <w:proofErr w:type="gramEnd"/>
      <w:r w:rsidR="00BB4AC0" w:rsidRPr="008D0A08">
        <w:rPr>
          <w:rStyle w:val="apple-converted-space"/>
          <w:rFonts w:ascii="Book Antiqua" w:hAnsi="Book Antiqua"/>
          <w:color w:val="1A1A1A"/>
          <w:u w:color="1A1A1A"/>
          <w:vertAlign w:val="superscript"/>
        </w:rPr>
        <w:t>23-24]</w:t>
      </w:r>
      <w:r w:rsidR="00653E7C">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Prior investigations have also shown that an increased volume of shunted blood, decreased portal hepatic perfusion, and a lower PSG following TIPS placement correlate with higher rates of </w:t>
      </w:r>
      <w:proofErr w:type="gramStart"/>
      <w:r w:rsidRPr="008D0A08">
        <w:rPr>
          <w:rStyle w:val="apple-converted-space"/>
          <w:rFonts w:ascii="Book Antiqua" w:hAnsi="Book Antiqua"/>
          <w:color w:val="1A1A1A"/>
          <w:u w:color="1A1A1A"/>
        </w:rPr>
        <w:t>HE</w:t>
      </w:r>
      <w:r w:rsidR="00BB4AC0" w:rsidRPr="008D0A08">
        <w:rPr>
          <w:rStyle w:val="apple-converted-space"/>
          <w:rFonts w:ascii="Book Antiqua" w:hAnsi="Book Antiqua"/>
          <w:color w:val="1A1A1A"/>
          <w:u w:color="1A1A1A"/>
          <w:vertAlign w:val="superscript"/>
        </w:rPr>
        <w:t>[</w:t>
      </w:r>
      <w:proofErr w:type="gramEnd"/>
      <w:r w:rsidR="00BB4AC0" w:rsidRPr="008D0A08">
        <w:rPr>
          <w:rStyle w:val="apple-converted-space"/>
          <w:rFonts w:ascii="Book Antiqua" w:hAnsi="Book Antiqua"/>
          <w:color w:val="1A1A1A"/>
          <w:u w:color="1A1A1A"/>
          <w:vertAlign w:val="superscript"/>
        </w:rPr>
        <w:t>5,17-18,25]</w:t>
      </w:r>
      <w:r w:rsidRPr="008D0A08">
        <w:rPr>
          <w:rStyle w:val="apple-converted-space"/>
          <w:rFonts w:ascii="Book Antiqua" w:hAnsi="Book Antiqua"/>
          <w:color w:val="1A1A1A"/>
          <w:u w:color="1A1A1A"/>
        </w:rPr>
        <w:t>.</w:t>
      </w:r>
      <w:r w:rsidR="006D232F">
        <w:rPr>
          <w:rStyle w:val="apple-converted-space"/>
          <w:rFonts w:ascii="Book Antiqua" w:hAnsi="Book Antiqua"/>
          <w:color w:val="1A1A1A"/>
          <w:u w:color="1A1A1A"/>
        </w:rPr>
        <w:t xml:space="preserve"> </w:t>
      </w:r>
    </w:p>
    <w:p w14:paraId="7AAE9CEE" w14:textId="36A80CF3" w:rsidR="00863E51" w:rsidRPr="008D0A08" w:rsidRDefault="00863E51" w:rsidP="00653E7C">
      <w:pPr>
        <w:pStyle w:val="Body"/>
        <w:spacing w:line="360" w:lineRule="auto"/>
        <w:ind w:firstLineChars="100" w:firstLine="240"/>
        <w:jc w:val="both"/>
        <w:rPr>
          <w:rFonts w:ascii="Book Antiqua" w:hAnsi="Book Antiqua"/>
        </w:rPr>
      </w:pPr>
      <w:r w:rsidRPr="008D0A08">
        <w:rPr>
          <w:rStyle w:val="apple-converted-space"/>
          <w:rFonts w:ascii="Book Antiqua" w:hAnsi="Book Antiqua"/>
          <w:color w:val="1A1A1A"/>
          <w:u w:color="1A1A1A"/>
        </w:rPr>
        <w:t xml:space="preserve">With knowledge of the pathogenesis of HE, different techniques have been studied in an effort to balance the desired therapeutic effect while minimizing over-shunting and increased risk of HE, such as smaller diameter TIPS or altering the goal in PSG reduction for patients with </w:t>
      </w:r>
      <w:proofErr w:type="gramStart"/>
      <w:r w:rsidRPr="008D0A08">
        <w:rPr>
          <w:rStyle w:val="apple-converted-space"/>
          <w:rFonts w:ascii="Book Antiqua" w:hAnsi="Book Antiqua"/>
          <w:color w:val="1A1A1A"/>
          <w:u w:color="1A1A1A"/>
        </w:rPr>
        <w:t>HE</w:t>
      </w:r>
      <w:r w:rsidR="00BB4AC0" w:rsidRPr="008D0A08">
        <w:rPr>
          <w:rStyle w:val="apple-converted-space"/>
          <w:rFonts w:ascii="Book Antiqua" w:hAnsi="Book Antiqua"/>
          <w:color w:val="1A1A1A"/>
          <w:u w:color="1A1A1A"/>
          <w:vertAlign w:val="superscript"/>
        </w:rPr>
        <w:t>[</w:t>
      </w:r>
      <w:proofErr w:type="gramEnd"/>
      <w:r w:rsidR="00BB4AC0" w:rsidRPr="008D0A08">
        <w:rPr>
          <w:rStyle w:val="apple-converted-space"/>
          <w:rFonts w:ascii="Book Antiqua" w:hAnsi="Book Antiqua"/>
          <w:color w:val="1A1A1A"/>
          <w:u w:color="1A1A1A"/>
          <w:vertAlign w:val="superscript"/>
        </w:rPr>
        <w:t>3,17]</w:t>
      </w:r>
      <w:r w:rsidRPr="008D0A08">
        <w:rPr>
          <w:rStyle w:val="apple-converted-space"/>
          <w:rFonts w:ascii="Book Antiqua" w:hAnsi="Book Antiqua"/>
          <w:color w:val="1A1A1A"/>
          <w:u w:color="1A1A1A"/>
        </w:rPr>
        <w:t>.</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Another technique is sub-maximal dilation of TIPS, which allows for further staged dilation, if necessary, and theoretically minimizes over-</w:t>
      </w:r>
      <w:proofErr w:type="gramStart"/>
      <w:r w:rsidRPr="008D0A08">
        <w:rPr>
          <w:rStyle w:val="apple-converted-space"/>
          <w:rFonts w:ascii="Book Antiqua" w:hAnsi="Book Antiqua"/>
          <w:color w:val="1A1A1A"/>
          <w:u w:color="1A1A1A"/>
        </w:rPr>
        <w:t>shunting</w:t>
      </w:r>
      <w:r w:rsidR="00BB4AC0" w:rsidRPr="008D0A08">
        <w:rPr>
          <w:rStyle w:val="apple-converted-space"/>
          <w:rFonts w:ascii="Book Antiqua" w:hAnsi="Book Antiqua"/>
          <w:color w:val="1A1A1A"/>
          <w:u w:color="1A1A1A"/>
          <w:vertAlign w:val="superscript"/>
        </w:rPr>
        <w:t>[</w:t>
      </w:r>
      <w:proofErr w:type="gramEnd"/>
      <w:r w:rsidR="00BB4AC0" w:rsidRPr="008D0A08">
        <w:rPr>
          <w:rStyle w:val="apple-converted-space"/>
          <w:rFonts w:ascii="Book Antiqua" w:hAnsi="Book Antiqua"/>
          <w:color w:val="1A1A1A"/>
          <w:u w:color="1A1A1A"/>
          <w:vertAlign w:val="superscript"/>
        </w:rPr>
        <w:t>6,16,18,26]</w:t>
      </w:r>
      <w:r w:rsidRPr="008D0A08">
        <w:rPr>
          <w:rStyle w:val="apple-converted-space"/>
          <w:rFonts w:ascii="Book Antiqua" w:hAnsi="Book Antiqua"/>
          <w:color w:val="1A1A1A"/>
          <w:u w:color="1A1A1A"/>
        </w:rPr>
        <w:t>.</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However, passive expansion of the TIPS may limit the effectiveness of this technique with prior evidence, in both peripheral circulation and TIPS, that suggests this phenomenon should be taken into consideration.</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Late expansion of </w:t>
      </w:r>
      <w:r w:rsidRPr="008D0A08">
        <w:rPr>
          <w:rStyle w:val="apple-converted-space"/>
          <w:rFonts w:ascii="Book Antiqua" w:hAnsi="Book Antiqua"/>
          <w:color w:val="1A1A1A"/>
          <w:u w:color="1A1A1A"/>
          <w:lang w:val="it-IT"/>
        </w:rPr>
        <w:t xml:space="preserve">bare metal </w:t>
      </w:r>
      <w:proofErr w:type="spellStart"/>
      <w:r w:rsidRPr="008D0A08">
        <w:rPr>
          <w:rStyle w:val="apple-converted-space"/>
          <w:rFonts w:ascii="Book Antiqua" w:hAnsi="Book Antiqua"/>
          <w:color w:val="1A1A1A"/>
          <w:u w:color="1A1A1A"/>
        </w:rPr>
        <w:t>nitinol</w:t>
      </w:r>
      <w:proofErr w:type="spellEnd"/>
      <w:r w:rsidRPr="008D0A08">
        <w:rPr>
          <w:rStyle w:val="apple-converted-space"/>
          <w:rFonts w:ascii="Book Antiqua" w:hAnsi="Book Antiqua"/>
          <w:color w:val="1A1A1A"/>
          <w:u w:color="1A1A1A"/>
        </w:rPr>
        <w:t xml:space="preserve"> stents was demonstrated after 6 months in peripheral arteries of an animal </w:t>
      </w:r>
      <w:proofErr w:type="gramStart"/>
      <w:r w:rsidRPr="008D0A08">
        <w:rPr>
          <w:rStyle w:val="apple-converted-space"/>
          <w:rFonts w:ascii="Book Antiqua" w:hAnsi="Book Antiqua"/>
          <w:color w:val="1A1A1A"/>
          <w:u w:color="1A1A1A"/>
        </w:rPr>
        <w:t>model</w:t>
      </w:r>
      <w:r w:rsidR="00BB4AC0" w:rsidRPr="008D0A08">
        <w:rPr>
          <w:rStyle w:val="apple-converted-space"/>
          <w:rFonts w:ascii="Book Antiqua" w:hAnsi="Book Antiqua"/>
          <w:color w:val="1A1A1A"/>
          <w:u w:color="1A1A1A"/>
          <w:vertAlign w:val="superscript"/>
        </w:rPr>
        <w:t>[</w:t>
      </w:r>
      <w:proofErr w:type="gramEnd"/>
      <w:r w:rsidR="00BB4AC0" w:rsidRPr="008D0A08">
        <w:rPr>
          <w:rStyle w:val="apple-converted-space"/>
          <w:rFonts w:ascii="Book Antiqua" w:hAnsi="Book Antiqua"/>
          <w:color w:val="1A1A1A"/>
          <w:u w:color="1A1A1A"/>
          <w:vertAlign w:val="superscript"/>
        </w:rPr>
        <w:t>27]</w:t>
      </w:r>
      <w:r w:rsidRPr="008D0A08">
        <w:rPr>
          <w:rStyle w:val="apple-converted-space"/>
          <w:rFonts w:ascii="Book Antiqua" w:hAnsi="Book Antiqua"/>
          <w:color w:val="1A1A1A"/>
          <w:u w:color="1A1A1A"/>
        </w:rPr>
        <w:t>.</w:t>
      </w:r>
      <w:r w:rsidR="006D232F">
        <w:rPr>
          <w:rStyle w:val="apple-converted-space"/>
          <w:rFonts w:ascii="Book Antiqua" w:hAnsi="Book Antiqua"/>
          <w:color w:val="1A1A1A"/>
          <w:u w:color="1A1A1A"/>
        </w:rPr>
        <w:t xml:space="preserve"> </w:t>
      </w:r>
      <w:proofErr w:type="spellStart"/>
      <w:r w:rsidRPr="008D0A08">
        <w:rPr>
          <w:rStyle w:val="apple-converted-space"/>
          <w:rFonts w:ascii="Book Antiqua" w:hAnsi="Book Antiqua"/>
          <w:color w:val="1A1A1A"/>
          <w:u w:color="1A1A1A"/>
        </w:rPr>
        <w:t>Haskal</w:t>
      </w:r>
      <w:proofErr w:type="spellEnd"/>
      <w:r w:rsidRPr="008D0A08">
        <w:rPr>
          <w:rStyle w:val="apple-converted-space"/>
          <w:rFonts w:ascii="Book Antiqua" w:hAnsi="Book Antiqua"/>
          <w:color w:val="1A1A1A"/>
          <w:u w:color="1A1A1A"/>
        </w:rPr>
        <w:t xml:space="preserve"> </w:t>
      </w:r>
      <w:r w:rsidRPr="00653E7C">
        <w:rPr>
          <w:rStyle w:val="apple-converted-space"/>
          <w:rFonts w:ascii="Book Antiqua" w:hAnsi="Book Antiqua"/>
          <w:i/>
          <w:color w:val="1A1A1A"/>
          <w:u w:color="1A1A1A"/>
        </w:rPr>
        <w:t xml:space="preserve">et </w:t>
      </w:r>
      <w:proofErr w:type="gramStart"/>
      <w:r w:rsidRPr="00653E7C">
        <w:rPr>
          <w:rStyle w:val="apple-converted-space"/>
          <w:rFonts w:ascii="Book Antiqua" w:hAnsi="Book Antiqua"/>
          <w:i/>
          <w:color w:val="1A1A1A"/>
          <w:u w:color="1A1A1A"/>
        </w:rPr>
        <w:t>al</w:t>
      </w:r>
      <w:r w:rsidR="00653E7C" w:rsidRPr="008D0A08">
        <w:rPr>
          <w:rStyle w:val="apple-converted-space"/>
          <w:rFonts w:ascii="Book Antiqua" w:hAnsi="Book Antiqua"/>
          <w:color w:val="1A1A1A"/>
          <w:u w:color="1A1A1A"/>
          <w:vertAlign w:val="superscript"/>
        </w:rPr>
        <w:t>[</w:t>
      </w:r>
      <w:proofErr w:type="gramEnd"/>
      <w:r w:rsidR="00653E7C" w:rsidRPr="008D0A08">
        <w:rPr>
          <w:rStyle w:val="apple-converted-space"/>
          <w:rFonts w:ascii="Book Antiqua" w:hAnsi="Book Antiqua"/>
          <w:color w:val="1A1A1A"/>
          <w:u w:color="1A1A1A"/>
          <w:vertAlign w:val="superscript"/>
        </w:rPr>
        <w:t>20]</w:t>
      </w:r>
      <w:r w:rsidRPr="008D0A08">
        <w:rPr>
          <w:rStyle w:val="apple-converted-space"/>
          <w:rFonts w:ascii="Book Antiqua" w:hAnsi="Book Antiqua"/>
          <w:color w:val="1A1A1A"/>
          <w:u w:color="1A1A1A"/>
        </w:rPr>
        <w:t xml:space="preserve"> showed that after immediate recoil of </w:t>
      </w:r>
      <w:proofErr w:type="spellStart"/>
      <w:r w:rsidRPr="008D0A08">
        <w:rPr>
          <w:rStyle w:val="apple-converted-space"/>
          <w:rFonts w:ascii="Book Antiqua" w:hAnsi="Book Antiqua"/>
          <w:color w:val="1A1A1A"/>
          <w:u w:color="1A1A1A"/>
        </w:rPr>
        <w:t>Wallstent</w:t>
      </w:r>
      <w:proofErr w:type="spellEnd"/>
      <w:r w:rsidRPr="008D0A08">
        <w:rPr>
          <w:rStyle w:val="apple-converted-space"/>
          <w:rFonts w:ascii="Book Antiqua" w:hAnsi="Book Antiqua"/>
          <w:color w:val="1A1A1A"/>
          <w:u w:color="1A1A1A"/>
        </w:rPr>
        <w:t xml:space="preserve"> TIPS stents after placement, passive expansion to nominal diameter occurred at follow-up </w:t>
      </w:r>
      <w:r w:rsidRPr="008D0A08">
        <w:rPr>
          <w:rStyle w:val="apple-converted-space"/>
          <w:rFonts w:ascii="Book Antiqua" w:hAnsi="Book Antiqua"/>
          <w:color w:val="1A1A1A"/>
          <w:u w:color="1A1A1A"/>
        </w:rPr>
        <w:lastRenderedPageBreak/>
        <w:t>venography three to six months later.</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Pieper</w:t>
      </w:r>
      <w:r w:rsidRPr="00653E7C">
        <w:rPr>
          <w:rStyle w:val="apple-converted-space"/>
          <w:rFonts w:ascii="Book Antiqua" w:hAnsi="Book Antiqua"/>
          <w:i/>
          <w:color w:val="1A1A1A"/>
          <w:u w:color="1A1A1A"/>
        </w:rPr>
        <w:t xml:space="preserve"> et </w:t>
      </w:r>
      <w:proofErr w:type="gramStart"/>
      <w:r w:rsidRPr="00653E7C">
        <w:rPr>
          <w:rStyle w:val="apple-converted-space"/>
          <w:rFonts w:ascii="Book Antiqua" w:hAnsi="Book Antiqua"/>
          <w:i/>
          <w:color w:val="1A1A1A"/>
          <w:u w:color="1A1A1A"/>
        </w:rPr>
        <w:t>al</w:t>
      </w:r>
      <w:r w:rsidR="00653E7C" w:rsidRPr="008D0A08">
        <w:rPr>
          <w:rStyle w:val="apple-converted-space"/>
          <w:rFonts w:ascii="Book Antiqua" w:hAnsi="Book Antiqua"/>
          <w:color w:val="1A1A1A"/>
          <w:u w:color="1A1A1A"/>
          <w:vertAlign w:val="superscript"/>
        </w:rPr>
        <w:t>[</w:t>
      </w:r>
      <w:proofErr w:type="gramEnd"/>
      <w:r w:rsidR="00653E7C" w:rsidRPr="008D0A08">
        <w:rPr>
          <w:rStyle w:val="apple-converted-space"/>
          <w:rFonts w:ascii="Book Antiqua" w:hAnsi="Book Antiqua"/>
          <w:color w:val="1A1A1A"/>
          <w:u w:color="1A1A1A"/>
          <w:vertAlign w:val="superscript"/>
        </w:rPr>
        <w:t>19]</w:t>
      </w:r>
      <w:r w:rsidRPr="008D0A08">
        <w:rPr>
          <w:rStyle w:val="apple-converted-space"/>
          <w:rFonts w:ascii="Book Antiqua" w:hAnsi="Book Antiqua"/>
          <w:color w:val="1A1A1A"/>
          <w:u w:color="1A1A1A"/>
        </w:rPr>
        <w:t xml:space="preserve"> studied 29 patients with </w:t>
      </w:r>
      <w:proofErr w:type="spellStart"/>
      <w:r w:rsidRPr="008D0A08">
        <w:rPr>
          <w:rStyle w:val="apple-converted-space"/>
          <w:rFonts w:ascii="Book Antiqua" w:hAnsi="Book Antiqua"/>
          <w:lang w:val="it-IT"/>
        </w:rPr>
        <w:t>Viatorr</w:t>
      </w:r>
      <w:proofErr w:type="spellEnd"/>
      <w:r w:rsidRPr="008D0A08">
        <w:rPr>
          <w:rStyle w:val="apple-converted-space"/>
          <w:rFonts w:ascii="Book Antiqua" w:hAnsi="Book Antiqua"/>
        </w:rPr>
        <w:t xml:space="preserve"> </w:t>
      </w:r>
      <w:r w:rsidRPr="008D0A08">
        <w:rPr>
          <w:rStyle w:val="apple-converted-space"/>
          <w:rFonts w:ascii="Book Antiqua" w:hAnsi="Book Antiqua"/>
          <w:color w:val="1A1A1A"/>
          <w:u w:color="1A1A1A"/>
        </w:rPr>
        <w:t xml:space="preserve">TIPS sub-maximally dilated to a mean of 64% of their nominal area, and found passive expansion to 88% during follow-up, with significant expansion occurring within 6 </w:t>
      </w:r>
      <w:r w:rsidR="00653E7C">
        <w:rPr>
          <w:rStyle w:val="apple-converted-space"/>
          <w:rFonts w:ascii="Book Antiqua" w:hAnsi="Book Antiqua" w:hint="eastAsia"/>
          <w:color w:val="1A1A1A"/>
          <w:u w:color="1A1A1A"/>
          <w:lang w:eastAsia="zh-CN"/>
        </w:rPr>
        <w:t>mo</w:t>
      </w:r>
      <w:r w:rsidRPr="008D0A08">
        <w:rPr>
          <w:rStyle w:val="apple-converted-space"/>
          <w:rFonts w:ascii="Book Antiqua" w:hAnsi="Book Antiqua"/>
          <w:color w:val="1A1A1A"/>
          <w:u w:color="1A1A1A"/>
        </w:rPr>
        <w:t>.</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Finally, </w:t>
      </w:r>
      <w:proofErr w:type="spellStart"/>
      <w:r w:rsidRPr="008D0A08">
        <w:rPr>
          <w:rStyle w:val="apple-converted-space"/>
          <w:rFonts w:ascii="Book Antiqua" w:hAnsi="Book Antiqua"/>
          <w:color w:val="1A1A1A"/>
          <w:u w:color="1A1A1A"/>
        </w:rPr>
        <w:t>Gaba</w:t>
      </w:r>
      <w:proofErr w:type="spellEnd"/>
      <w:r w:rsidRPr="008D0A08">
        <w:rPr>
          <w:rStyle w:val="apple-converted-space"/>
          <w:rFonts w:ascii="Book Antiqua" w:hAnsi="Book Antiqua"/>
          <w:color w:val="1A1A1A"/>
          <w:u w:color="1A1A1A"/>
        </w:rPr>
        <w:t xml:space="preserve"> </w:t>
      </w:r>
      <w:r w:rsidRPr="00653E7C">
        <w:rPr>
          <w:rStyle w:val="apple-converted-space"/>
          <w:rFonts w:ascii="Book Antiqua" w:hAnsi="Book Antiqua"/>
          <w:i/>
          <w:color w:val="1A1A1A"/>
          <w:u w:color="1A1A1A"/>
        </w:rPr>
        <w:t>et al</w:t>
      </w:r>
      <w:r w:rsidR="00653E7C" w:rsidRPr="008D0A08">
        <w:rPr>
          <w:rStyle w:val="apple-converted-space"/>
          <w:rFonts w:ascii="Book Antiqua" w:hAnsi="Book Antiqua"/>
          <w:color w:val="1A1A1A"/>
          <w:u w:color="1A1A1A"/>
          <w:vertAlign w:val="superscript"/>
        </w:rPr>
        <w:t>[28]</w:t>
      </w:r>
      <w:r w:rsidRPr="008D0A08">
        <w:rPr>
          <w:rStyle w:val="apple-converted-space"/>
          <w:rFonts w:ascii="Book Antiqua" w:hAnsi="Book Antiqua"/>
          <w:color w:val="1A1A1A"/>
          <w:u w:color="1A1A1A"/>
        </w:rPr>
        <w:t xml:space="preserve"> evaluated 41 patients with 10 mm nominal </w:t>
      </w:r>
      <w:proofErr w:type="spellStart"/>
      <w:r w:rsidRPr="008D0A08">
        <w:rPr>
          <w:rStyle w:val="apple-converted-space"/>
          <w:rFonts w:ascii="Book Antiqua" w:hAnsi="Book Antiqua"/>
          <w:lang w:val="it-IT"/>
        </w:rPr>
        <w:t>Viatorr</w:t>
      </w:r>
      <w:proofErr w:type="spellEnd"/>
      <w:r w:rsidRPr="008D0A08">
        <w:rPr>
          <w:rStyle w:val="apple-converted-space"/>
          <w:rFonts w:ascii="Book Antiqua" w:hAnsi="Book Antiqua"/>
          <w:color w:val="1A1A1A"/>
          <w:u w:color="1A1A1A"/>
        </w:rPr>
        <w:t xml:space="preserve"> TIPS sub-maximally dilated to 8 mm, and demonstrated passive expansion with follow-up CT median stent diameter of 9.8 mm at a median of 76 </w:t>
      </w:r>
      <w:r w:rsidR="00653E7C">
        <w:rPr>
          <w:rStyle w:val="apple-converted-space"/>
          <w:rFonts w:ascii="Book Antiqua" w:hAnsi="Book Antiqua" w:hint="eastAsia"/>
          <w:color w:val="1A1A1A"/>
          <w:u w:color="1A1A1A"/>
          <w:lang w:eastAsia="zh-CN"/>
        </w:rPr>
        <w:t>d</w:t>
      </w:r>
      <w:r w:rsidRPr="008D0A08">
        <w:rPr>
          <w:rStyle w:val="apple-converted-space"/>
          <w:rFonts w:ascii="Book Antiqua" w:hAnsi="Book Antiqua"/>
          <w:color w:val="1A1A1A"/>
          <w:u w:color="1A1A1A"/>
        </w:rPr>
        <w:t xml:space="preserve"> post TIPS creation without difference in incidence of post-TIPS HE in </w:t>
      </w:r>
      <w:proofErr w:type="spellStart"/>
      <w:r w:rsidRPr="008D0A08">
        <w:rPr>
          <w:rStyle w:val="apple-converted-space"/>
          <w:rFonts w:ascii="Book Antiqua" w:hAnsi="Book Antiqua"/>
          <w:color w:val="1A1A1A"/>
          <w:u w:color="1A1A1A"/>
        </w:rPr>
        <w:t>smTIPS</w:t>
      </w:r>
      <w:proofErr w:type="spellEnd"/>
      <w:r w:rsidRPr="008D0A08">
        <w:rPr>
          <w:rStyle w:val="apple-converted-space"/>
          <w:rFonts w:ascii="Book Antiqua" w:hAnsi="Book Antiqua"/>
          <w:color w:val="1A1A1A"/>
          <w:u w:color="1A1A1A"/>
        </w:rPr>
        <w:t xml:space="preserve"> versus </w:t>
      </w:r>
      <w:proofErr w:type="spellStart"/>
      <w:r w:rsidRPr="008D0A08">
        <w:rPr>
          <w:rStyle w:val="apple-converted-space"/>
          <w:rFonts w:ascii="Book Antiqua" w:hAnsi="Book Antiqua"/>
          <w:color w:val="1A1A1A"/>
          <w:u w:color="1A1A1A"/>
        </w:rPr>
        <w:t>mTIPS</w:t>
      </w:r>
      <w:proofErr w:type="spellEnd"/>
      <w:r w:rsidRPr="008D0A08">
        <w:rPr>
          <w:rStyle w:val="apple-converted-space"/>
          <w:rFonts w:ascii="Book Antiqua" w:hAnsi="Book Antiqua"/>
          <w:color w:val="1A1A1A"/>
          <w:u w:color="1A1A1A"/>
        </w:rPr>
        <w:t>.</w:t>
      </w:r>
    </w:p>
    <w:p w14:paraId="53D91A93" w14:textId="1C447B1D" w:rsidR="00863E51" w:rsidRPr="008D0A08" w:rsidRDefault="00863E51" w:rsidP="00653E7C">
      <w:pPr>
        <w:pStyle w:val="Body"/>
        <w:spacing w:line="360" w:lineRule="auto"/>
        <w:ind w:firstLineChars="150" w:firstLine="360"/>
        <w:jc w:val="both"/>
        <w:rPr>
          <w:rFonts w:ascii="Book Antiqua" w:hAnsi="Book Antiqua"/>
        </w:rPr>
      </w:pPr>
      <w:r w:rsidRPr="008D0A08">
        <w:rPr>
          <w:rStyle w:val="apple-converted-space"/>
          <w:rFonts w:ascii="Book Antiqua" w:hAnsi="Book Antiqua"/>
          <w:color w:val="1A1A1A"/>
          <w:u w:color="1A1A1A"/>
        </w:rPr>
        <w:t xml:space="preserve">In the current study, continued passive expansion of </w:t>
      </w:r>
      <w:proofErr w:type="spellStart"/>
      <w:r w:rsidRPr="008D0A08">
        <w:rPr>
          <w:rStyle w:val="apple-converted-space"/>
          <w:rFonts w:ascii="Book Antiqua" w:hAnsi="Book Antiqua"/>
          <w:color w:val="1A1A1A"/>
          <w:u w:color="1A1A1A"/>
        </w:rPr>
        <w:t>smTIPS</w:t>
      </w:r>
      <w:proofErr w:type="spellEnd"/>
      <w:r w:rsidRPr="008D0A08">
        <w:rPr>
          <w:rStyle w:val="apple-converted-space"/>
          <w:rFonts w:ascii="Book Antiqua" w:hAnsi="Book Antiqua"/>
          <w:color w:val="1A1A1A"/>
          <w:u w:color="1A1A1A"/>
        </w:rPr>
        <w:t xml:space="preserve"> was observed in the subgroup of patients with cros</w:t>
      </w:r>
      <w:r w:rsidR="00653E7C">
        <w:rPr>
          <w:rStyle w:val="apple-converted-space"/>
          <w:rFonts w:ascii="Book Antiqua" w:hAnsi="Book Antiqua"/>
          <w:color w:val="1A1A1A"/>
          <w:u w:color="1A1A1A"/>
        </w:rPr>
        <w:t xml:space="preserve">s-sectional imaging follow-up. </w:t>
      </w:r>
      <w:r w:rsidRPr="008D0A08">
        <w:rPr>
          <w:rStyle w:val="apple-converted-space"/>
          <w:rFonts w:ascii="Book Antiqua" w:hAnsi="Book Antiqua"/>
          <w:color w:val="1A1A1A"/>
          <w:u w:color="1A1A1A"/>
        </w:rPr>
        <w:t>Additionally, a significant difference in the increase in median diameter and area was observed when comparing the patients who had last imaging follow-up after 6 months versus those within 6 months.</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No patients in this subpopulation suffered severe refractory post-TIPS HE.</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While this change was statistically significant, the magnitude of expansion was not to the same degree as suggested by prior studies, and it also occurred over a longer time period (&gt; 6 </w:t>
      </w:r>
      <w:proofErr w:type="spellStart"/>
      <w:r w:rsidR="00653E7C">
        <w:rPr>
          <w:rStyle w:val="apple-converted-space"/>
          <w:rFonts w:ascii="Book Antiqua" w:hAnsi="Book Antiqua" w:hint="eastAsia"/>
          <w:color w:val="1A1A1A"/>
          <w:u w:color="1A1A1A"/>
          <w:lang w:eastAsia="zh-CN"/>
        </w:rPr>
        <w:t>mo</w:t>
      </w:r>
      <w:proofErr w:type="spellEnd"/>
      <w:r w:rsidRPr="008D0A08">
        <w:rPr>
          <w:rStyle w:val="apple-converted-space"/>
          <w:rFonts w:ascii="Book Antiqua" w:hAnsi="Book Antiqua"/>
          <w:color w:val="1A1A1A"/>
          <w:u w:color="1A1A1A"/>
        </w:rPr>
        <w:t>)</w:t>
      </w:r>
      <w:r w:rsidR="00BB4AC0" w:rsidRPr="008D0A08">
        <w:rPr>
          <w:rStyle w:val="apple-converted-space"/>
          <w:rFonts w:ascii="Book Antiqua" w:hAnsi="Book Antiqua"/>
          <w:color w:val="1A1A1A"/>
          <w:u w:color="1A1A1A"/>
          <w:vertAlign w:val="superscript"/>
        </w:rPr>
        <w:t>[19,28]</w:t>
      </w:r>
      <w:r w:rsidRPr="008D0A08">
        <w:rPr>
          <w:rStyle w:val="apple-converted-space"/>
          <w:rFonts w:ascii="Book Antiqua" w:hAnsi="Book Antiqua"/>
          <w:color w:val="1A1A1A"/>
          <w:u w:color="1A1A1A"/>
        </w:rPr>
        <w:t>.</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The delayed and less extensive passive expansion observed in this study, although difficult to explain, may be secondary to dilation of the </w:t>
      </w:r>
      <w:proofErr w:type="spellStart"/>
      <w:r w:rsidRPr="008D0A08">
        <w:rPr>
          <w:rStyle w:val="apple-converted-space"/>
          <w:rFonts w:ascii="Book Antiqua" w:hAnsi="Book Antiqua"/>
          <w:color w:val="1A1A1A"/>
          <w:u w:color="1A1A1A"/>
        </w:rPr>
        <w:t>portosystemic</w:t>
      </w:r>
      <w:proofErr w:type="spellEnd"/>
      <w:r w:rsidRPr="008D0A08">
        <w:rPr>
          <w:rStyle w:val="apple-converted-space"/>
          <w:rFonts w:ascii="Book Antiqua" w:hAnsi="Book Antiqua"/>
          <w:color w:val="1A1A1A"/>
          <w:u w:color="1A1A1A"/>
        </w:rPr>
        <w:t xml:space="preserve"> tract with an 8 mm balloon prior to placement of the TIPS stent-graft.</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While the diameter of the balloon used to create the TIPS tract is not always described in prior investigations, a 10 mm balloon has been used </w:t>
      </w:r>
      <w:proofErr w:type="gramStart"/>
      <w:r w:rsidRPr="008D0A08">
        <w:rPr>
          <w:rStyle w:val="apple-converted-space"/>
          <w:rFonts w:ascii="Book Antiqua" w:hAnsi="Book Antiqua"/>
          <w:color w:val="1A1A1A"/>
          <w:u w:color="1A1A1A"/>
        </w:rPr>
        <w:t>previously</w:t>
      </w:r>
      <w:r w:rsidR="00BB4AC0" w:rsidRPr="008D0A08">
        <w:rPr>
          <w:rStyle w:val="apple-converted-space"/>
          <w:rFonts w:ascii="Book Antiqua" w:hAnsi="Book Antiqua"/>
          <w:color w:val="1A1A1A"/>
          <w:u w:color="1A1A1A"/>
          <w:vertAlign w:val="superscript"/>
        </w:rPr>
        <w:t>[</w:t>
      </w:r>
      <w:proofErr w:type="gramEnd"/>
      <w:r w:rsidR="00BB4AC0" w:rsidRPr="008D0A08">
        <w:rPr>
          <w:rStyle w:val="apple-converted-space"/>
          <w:rFonts w:ascii="Book Antiqua" w:hAnsi="Book Antiqua"/>
          <w:color w:val="1A1A1A"/>
          <w:u w:color="1A1A1A"/>
          <w:vertAlign w:val="superscript"/>
        </w:rPr>
        <w:t>4]</w:t>
      </w:r>
      <w:r w:rsidRPr="008D0A08">
        <w:rPr>
          <w:rStyle w:val="apple-converted-space"/>
          <w:rFonts w:ascii="Book Antiqua" w:hAnsi="Book Antiqua"/>
          <w:color w:val="1A1A1A"/>
          <w:u w:color="1A1A1A"/>
        </w:rPr>
        <w:t>.</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It is hypothesized that dilating the tract to only 8 mm may lead to a greater initial counterforce on the stent from the elasticity of the surrounding liver parenchyma and new TIPS tract with minimal potential space, which leads to both slower and less passive expansion.</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In comparison, dilating the tract to 10 mm may hypothetically allow for a larger initial potential space for more immediate passive expansion </w:t>
      </w:r>
      <w:proofErr w:type="gramStart"/>
      <w:r w:rsidRPr="008D0A08">
        <w:rPr>
          <w:rStyle w:val="apple-converted-space"/>
          <w:rFonts w:ascii="Book Antiqua" w:hAnsi="Book Antiqua"/>
          <w:color w:val="1A1A1A"/>
          <w:u w:color="1A1A1A"/>
        </w:rPr>
        <w:t>of a TIPS</w:t>
      </w:r>
      <w:proofErr w:type="gramEnd"/>
      <w:r w:rsidRPr="008D0A08">
        <w:rPr>
          <w:rStyle w:val="apple-converted-space"/>
          <w:rFonts w:ascii="Book Antiqua" w:hAnsi="Book Antiqua"/>
          <w:color w:val="1A1A1A"/>
          <w:u w:color="1A1A1A"/>
        </w:rPr>
        <w:t xml:space="preserve"> sub-maximally dilated to 8 mm.</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Moreover, it is conceivable that more fibrotic livers with decreased compliance may differentially limit the extent of passive expansion, although this analysis was beyond the scope of this study.</w:t>
      </w:r>
    </w:p>
    <w:p w14:paraId="29D1CC0C" w14:textId="66B28294" w:rsidR="00863E51" w:rsidRPr="008D0A08" w:rsidRDefault="00863E51" w:rsidP="00653E7C">
      <w:pPr>
        <w:pStyle w:val="Body"/>
        <w:spacing w:line="360" w:lineRule="auto"/>
        <w:ind w:firstLineChars="150" w:firstLine="360"/>
        <w:jc w:val="both"/>
        <w:rPr>
          <w:rFonts w:ascii="Book Antiqua" w:hAnsi="Book Antiqua"/>
        </w:rPr>
      </w:pPr>
      <w:r w:rsidRPr="008D0A08">
        <w:rPr>
          <w:rStyle w:val="apple-converted-space"/>
          <w:rFonts w:ascii="Book Antiqua" w:hAnsi="Book Antiqua"/>
          <w:color w:val="1A1A1A"/>
          <w:u w:color="1A1A1A"/>
        </w:rPr>
        <w:lastRenderedPageBreak/>
        <w:t xml:space="preserve">In order to better understand whether or not passive expansion of the TIPS over time is clinically relevant, we compared a variety of outcomes in patients with </w:t>
      </w:r>
      <w:proofErr w:type="spellStart"/>
      <w:r w:rsidRPr="008D0A08">
        <w:rPr>
          <w:rStyle w:val="apple-converted-space"/>
          <w:rFonts w:ascii="Book Antiqua" w:hAnsi="Book Antiqua"/>
          <w:color w:val="1A1A1A"/>
          <w:u w:color="1A1A1A"/>
        </w:rPr>
        <w:t>smTIPS</w:t>
      </w:r>
      <w:proofErr w:type="spellEnd"/>
      <w:r w:rsidRPr="008D0A08">
        <w:rPr>
          <w:rStyle w:val="apple-converted-space"/>
          <w:rFonts w:ascii="Book Antiqua" w:hAnsi="Book Antiqua"/>
          <w:color w:val="1A1A1A"/>
          <w:u w:color="1A1A1A"/>
        </w:rPr>
        <w:t xml:space="preserve"> and </w:t>
      </w:r>
      <w:proofErr w:type="spellStart"/>
      <w:r w:rsidRPr="008D0A08">
        <w:rPr>
          <w:rStyle w:val="apple-converted-space"/>
          <w:rFonts w:ascii="Book Antiqua" w:hAnsi="Book Antiqua"/>
          <w:color w:val="1A1A1A"/>
          <w:u w:color="1A1A1A"/>
        </w:rPr>
        <w:t>mTIPS</w:t>
      </w:r>
      <w:proofErr w:type="spellEnd"/>
      <w:r w:rsidRPr="008D0A08">
        <w:rPr>
          <w:rStyle w:val="apple-converted-space"/>
          <w:rFonts w:ascii="Book Antiqua" w:hAnsi="Book Antiqua"/>
          <w:color w:val="1A1A1A"/>
          <w:u w:color="1A1A1A"/>
        </w:rPr>
        <w:t>.</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The post-TIPS PSG demonstrated adequate portal decompression with a median PSG of 8 mmHg in both groups (</w:t>
      </w:r>
      <w:r w:rsidRPr="00653E7C">
        <w:rPr>
          <w:rStyle w:val="apple-converted-space"/>
          <w:rFonts w:ascii="Book Antiqua" w:hAnsi="Book Antiqua"/>
          <w:i/>
          <w:color w:val="1A1A1A"/>
          <w:u w:color="1A1A1A"/>
        </w:rPr>
        <w:t>P</w:t>
      </w:r>
      <w:r w:rsidRPr="008D0A08">
        <w:rPr>
          <w:rStyle w:val="apple-converted-space"/>
          <w:rFonts w:ascii="Book Antiqua" w:hAnsi="Book Antiqua"/>
          <w:color w:val="1A1A1A"/>
          <w:u w:color="1A1A1A"/>
        </w:rPr>
        <w:t xml:space="preserve"> = 0.13) and no significant difference in mean percent change in PSG (</w:t>
      </w:r>
      <w:r w:rsidR="00653E7C" w:rsidRPr="00653E7C">
        <w:rPr>
          <w:rStyle w:val="apple-converted-space"/>
          <w:rFonts w:ascii="Book Antiqua" w:hAnsi="Book Antiqua"/>
          <w:i/>
          <w:color w:val="1A1A1A"/>
          <w:u w:color="1A1A1A"/>
        </w:rPr>
        <w:t>P</w:t>
      </w:r>
      <w:r w:rsidR="00653E7C" w:rsidRPr="008D0A08">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0.53).</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Overall, the observed rate of severe post-TIPS HE was low (4%), and not significantly different between </w:t>
      </w:r>
      <w:proofErr w:type="spellStart"/>
      <w:r w:rsidRPr="008D0A08">
        <w:rPr>
          <w:rStyle w:val="apple-converted-space"/>
          <w:rFonts w:ascii="Book Antiqua" w:hAnsi="Book Antiqua"/>
          <w:color w:val="1A1A1A"/>
          <w:u w:color="1A1A1A"/>
        </w:rPr>
        <w:t>mTIPS</w:t>
      </w:r>
      <w:proofErr w:type="spellEnd"/>
      <w:r w:rsidRPr="008D0A08">
        <w:rPr>
          <w:rStyle w:val="apple-converted-space"/>
          <w:rFonts w:ascii="Book Antiqua" w:hAnsi="Book Antiqua"/>
          <w:color w:val="1A1A1A"/>
          <w:u w:color="1A1A1A"/>
        </w:rPr>
        <w:t xml:space="preserve"> and </w:t>
      </w:r>
      <w:proofErr w:type="spellStart"/>
      <w:r w:rsidRPr="008D0A08">
        <w:rPr>
          <w:rStyle w:val="apple-converted-space"/>
          <w:rFonts w:ascii="Book Antiqua" w:hAnsi="Book Antiqua"/>
          <w:color w:val="1A1A1A"/>
          <w:u w:color="1A1A1A"/>
        </w:rPr>
        <w:t>smTIPS</w:t>
      </w:r>
      <w:proofErr w:type="spellEnd"/>
      <w:r w:rsidRPr="008D0A08">
        <w:rPr>
          <w:rStyle w:val="apple-converted-space"/>
          <w:rFonts w:ascii="Book Antiqua" w:hAnsi="Book Antiqua"/>
          <w:color w:val="1A1A1A"/>
          <w:u w:color="1A1A1A"/>
        </w:rPr>
        <w:t xml:space="preserve"> (</w:t>
      </w:r>
      <w:r w:rsidR="00653E7C" w:rsidRPr="00653E7C">
        <w:rPr>
          <w:rStyle w:val="apple-converted-space"/>
          <w:rFonts w:ascii="Book Antiqua" w:hAnsi="Book Antiqua"/>
          <w:i/>
          <w:color w:val="1A1A1A"/>
          <w:u w:color="1A1A1A"/>
        </w:rPr>
        <w:t>P</w:t>
      </w:r>
      <w:r w:rsidR="00653E7C" w:rsidRPr="008D0A08">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0.12), suggesting the step-wise approach to TIPS creation by assessing PSG following sub-maximal dilation may be effective in minimizing unnecessary over-dilation and thus, over-shunting.</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These findings are similar to prior </w:t>
      </w:r>
      <w:proofErr w:type="gramStart"/>
      <w:r w:rsidRPr="008D0A08">
        <w:rPr>
          <w:rStyle w:val="apple-converted-space"/>
          <w:rFonts w:ascii="Book Antiqua" w:hAnsi="Book Antiqua"/>
          <w:color w:val="1A1A1A"/>
          <w:u w:color="1A1A1A"/>
        </w:rPr>
        <w:t>reports</w:t>
      </w:r>
      <w:r w:rsidR="00BB4AC0" w:rsidRPr="008D0A08">
        <w:rPr>
          <w:rStyle w:val="apple-converted-space"/>
          <w:rFonts w:ascii="Book Antiqua" w:hAnsi="Book Antiqua"/>
          <w:color w:val="1A1A1A"/>
          <w:u w:color="1A1A1A"/>
          <w:vertAlign w:val="superscript"/>
        </w:rPr>
        <w:t>[</w:t>
      </w:r>
      <w:proofErr w:type="gramEnd"/>
      <w:r w:rsidR="00BB4AC0" w:rsidRPr="008D0A08">
        <w:rPr>
          <w:rStyle w:val="apple-converted-space"/>
          <w:rFonts w:ascii="Book Antiqua" w:hAnsi="Book Antiqua"/>
          <w:color w:val="1A1A1A"/>
          <w:u w:color="1A1A1A"/>
          <w:vertAlign w:val="superscript"/>
        </w:rPr>
        <w:t>28]</w:t>
      </w:r>
      <w:r w:rsidR="00653E7C">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The lack of an observable difference between the groups may be due to passive expansion allowing for an equilibrium to gradually develop as increasing amounts of blood are shunted through the liver, thus, minimizing severe refractory </w:t>
      </w:r>
      <w:proofErr w:type="gramStart"/>
      <w:r w:rsidRPr="008D0A08">
        <w:rPr>
          <w:rStyle w:val="apple-converted-space"/>
          <w:rFonts w:ascii="Book Antiqua" w:hAnsi="Book Antiqua"/>
          <w:color w:val="1A1A1A"/>
          <w:u w:color="1A1A1A"/>
        </w:rPr>
        <w:t>HE</w:t>
      </w:r>
      <w:r w:rsidR="00BB4AC0" w:rsidRPr="008D0A08">
        <w:rPr>
          <w:rStyle w:val="apple-converted-space"/>
          <w:rFonts w:ascii="Book Antiqua" w:hAnsi="Book Antiqua"/>
          <w:color w:val="1A1A1A"/>
          <w:u w:color="1A1A1A"/>
          <w:vertAlign w:val="superscript"/>
        </w:rPr>
        <w:t>[</w:t>
      </w:r>
      <w:proofErr w:type="gramEnd"/>
      <w:r w:rsidR="00BB4AC0" w:rsidRPr="008D0A08">
        <w:rPr>
          <w:rStyle w:val="apple-converted-space"/>
          <w:rFonts w:ascii="Book Antiqua" w:hAnsi="Book Antiqua"/>
          <w:color w:val="1A1A1A"/>
          <w:u w:color="1A1A1A"/>
          <w:vertAlign w:val="superscript"/>
        </w:rPr>
        <w:t>26]</w:t>
      </w:r>
      <w:r w:rsidRPr="008D0A08">
        <w:rPr>
          <w:rStyle w:val="apple-converted-space"/>
          <w:rFonts w:ascii="Book Antiqua" w:hAnsi="Book Antiqua"/>
          <w:color w:val="1A1A1A"/>
          <w:u w:color="1A1A1A"/>
        </w:rPr>
        <w:t>.</w:t>
      </w:r>
      <w:r w:rsidR="006D232F">
        <w:rPr>
          <w:rStyle w:val="apple-converted-space"/>
          <w:rFonts w:ascii="Book Antiqua" w:hAnsi="Book Antiqua"/>
          <w:color w:val="1A1A1A"/>
          <w:u w:color="1A1A1A"/>
        </w:rPr>
        <w:t xml:space="preserve"> </w:t>
      </w:r>
      <w:r w:rsidRPr="008D0A08">
        <w:rPr>
          <w:rStyle w:val="apple-converted-space"/>
          <w:rFonts w:ascii="Book Antiqua" w:hAnsi="Book Antiqua"/>
        </w:rPr>
        <w:t xml:space="preserve">Additionally, there was no significant </w:t>
      </w:r>
      <w:proofErr w:type="gramStart"/>
      <w:r w:rsidRPr="008D0A08">
        <w:rPr>
          <w:rStyle w:val="apple-converted-space"/>
          <w:rFonts w:ascii="Book Antiqua" w:hAnsi="Book Antiqua"/>
        </w:rPr>
        <w:t>difference in median post-TIPS PSG or mean</w:t>
      </w:r>
      <w:proofErr w:type="gramEnd"/>
      <w:r w:rsidRPr="008D0A08">
        <w:rPr>
          <w:rStyle w:val="apple-converted-space"/>
          <w:rFonts w:ascii="Book Antiqua" w:hAnsi="Book Antiqua"/>
        </w:rPr>
        <w:t xml:space="preserve"> MELD between patients who suffered severe post-TIPS HE and those who did not for patients with </w:t>
      </w:r>
      <w:proofErr w:type="spellStart"/>
      <w:r w:rsidRPr="008D0A08">
        <w:rPr>
          <w:rStyle w:val="apple-converted-space"/>
          <w:rFonts w:ascii="Book Antiqua" w:hAnsi="Book Antiqua"/>
        </w:rPr>
        <w:t>smTIPS</w:t>
      </w:r>
      <w:proofErr w:type="spellEnd"/>
      <w:r w:rsidRPr="008D0A08">
        <w:rPr>
          <w:rStyle w:val="apple-converted-space"/>
          <w:rFonts w:ascii="Book Antiqua" w:hAnsi="Book Antiqua"/>
        </w:rPr>
        <w:t xml:space="preserve"> or </w:t>
      </w:r>
      <w:proofErr w:type="spellStart"/>
      <w:r w:rsidRPr="008D0A08">
        <w:rPr>
          <w:rStyle w:val="apple-converted-space"/>
          <w:rFonts w:ascii="Book Antiqua" w:hAnsi="Book Antiqua"/>
        </w:rPr>
        <w:t>mTIPS</w:t>
      </w:r>
      <w:proofErr w:type="spellEnd"/>
      <w:r w:rsidRPr="008D0A08">
        <w:rPr>
          <w:rStyle w:val="apple-converted-space"/>
          <w:rFonts w:ascii="Book Antiqua" w:hAnsi="Book Antiqua"/>
        </w:rPr>
        <w:t>.</w:t>
      </w:r>
      <w:r w:rsidR="006D232F">
        <w:rPr>
          <w:rStyle w:val="apple-converted-space"/>
          <w:rFonts w:ascii="Book Antiqua" w:hAnsi="Book Antiqua"/>
        </w:rPr>
        <w:t xml:space="preserve"> </w:t>
      </w:r>
      <w:r w:rsidRPr="008D0A08">
        <w:rPr>
          <w:rStyle w:val="apple-converted-space"/>
          <w:rFonts w:ascii="Book Antiqua" w:hAnsi="Book Antiqua"/>
        </w:rPr>
        <w:t xml:space="preserve">Finally, </w:t>
      </w:r>
      <w:r w:rsidRPr="008D0A08">
        <w:rPr>
          <w:rStyle w:val="apple-converted-space"/>
          <w:rFonts w:ascii="Book Antiqua" w:hAnsi="Book Antiqua"/>
          <w:color w:val="1A1A1A"/>
          <w:u w:color="1A1A1A"/>
        </w:rPr>
        <w:t xml:space="preserve">no significant difference in primary and primary assisted patency or clinical success for both ascites and </w:t>
      </w:r>
      <w:proofErr w:type="spellStart"/>
      <w:r w:rsidRPr="008D0A08">
        <w:rPr>
          <w:rStyle w:val="apple-converted-space"/>
          <w:rFonts w:ascii="Book Antiqua" w:hAnsi="Book Antiqua"/>
          <w:color w:val="1A1A1A"/>
          <w:u w:color="1A1A1A"/>
        </w:rPr>
        <w:t>varices</w:t>
      </w:r>
      <w:proofErr w:type="spellEnd"/>
      <w:r w:rsidRPr="008D0A08">
        <w:rPr>
          <w:rStyle w:val="apple-converted-space"/>
          <w:rFonts w:ascii="Book Antiqua" w:hAnsi="Book Antiqua"/>
          <w:color w:val="1A1A1A"/>
          <w:u w:color="1A1A1A"/>
        </w:rPr>
        <w:t xml:space="preserve"> occurred between the two groups.</w:t>
      </w:r>
    </w:p>
    <w:p w14:paraId="07FE601C" w14:textId="4451D67A" w:rsidR="00863E51" w:rsidRPr="008D0A08" w:rsidRDefault="00863E51" w:rsidP="00653E7C">
      <w:pPr>
        <w:pStyle w:val="Body"/>
        <w:spacing w:line="360" w:lineRule="auto"/>
        <w:ind w:firstLineChars="150" w:firstLine="360"/>
        <w:jc w:val="both"/>
        <w:rPr>
          <w:rFonts w:ascii="Book Antiqua" w:hAnsi="Book Antiqua"/>
        </w:rPr>
      </w:pPr>
      <w:r w:rsidRPr="008D0A08">
        <w:rPr>
          <w:rStyle w:val="apple-converted-space"/>
          <w:rFonts w:ascii="Book Antiqua" w:hAnsi="Book Antiqua"/>
          <w:color w:val="1A1A1A"/>
          <w:u w:color="1A1A1A"/>
        </w:rPr>
        <w:t xml:space="preserve">These results are somewhat contradictory to a prior study comparing nominal 8 mm and 10 mm TIPS which found increased rates of recurrent portal hypertensive complications in the 8 mm group, leading to early termination of the </w:t>
      </w:r>
      <w:proofErr w:type="gramStart"/>
      <w:r w:rsidRPr="008D0A08">
        <w:rPr>
          <w:rStyle w:val="apple-converted-space"/>
          <w:rFonts w:ascii="Book Antiqua" w:hAnsi="Book Antiqua"/>
          <w:color w:val="1A1A1A"/>
          <w:u w:color="1A1A1A"/>
        </w:rPr>
        <w:t>study</w:t>
      </w:r>
      <w:r w:rsidR="00BB4AC0" w:rsidRPr="008D0A08">
        <w:rPr>
          <w:rStyle w:val="apple-converted-space"/>
          <w:rFonts w:ascii="Book Antiqua" w:hAnsi="Book Antiqua"/>
          <w:color w:val="1A1A1A"/>
          <w:u w:color="1A1A1A"/>
          <w:vertAlign w:val="superscript"/>
        </w:rPr>
        <w:t>[</w:t>
      </w:r>
      <w:proofErr w:type="gramEnd"/>
      <w:r w:rsidR="00BB4AC0" w:rsidRPr="008D0A08">
        <w:rPr>
          <w:rStyle w:val="apple-converted-space"/>
          <w:rFonts w:ascii="Book Antiqua" w:hAnsi="Book Antiqua"/>
          <w:color w:val="1A1A1A"/>
          <w:u w:color="1A1A1A"/>
          <w:vertAlign w:val="superscript"/>
        </w:rPr>
        <w:t>3]</w:t>
      </w:r>
      <w:r w:rsidRPr="008D0A08">
        <w:rPr>
          <w:rStyle w:val="apple-converted-space"/>
          <w:rFonts w:ascii="Book Antiqua" w:hAnsi="Book Antiqua"/>
          <w:color w:val="1A1A1A"/>
          <w:u w:color="1A1A1A"/>
        </w:rPr>
        <w:t>.</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A possible explanation for the conflicting results may be related to the small, but not insignificant amount of passive expansion demonstrated with </w:t>
      </w:r>
      <w:proofErr w:type="spellStart"/>
      <w:r w:rsidRPr="008D0A08">
        <w:rPr>
          <w:rStyle w:val="apple-converted-space"/>
          <w:rFonts w:ascii="Book Antiqua" w:hAnsi="Book Antiqua"/>
          <w:color w:val="1A1A1A"/>
          <w:u w:color="1A1A1A"/>
        </w:rPr>
        <w:t>smTIPS</w:t>
      </w:r>
      <w:proofErr w:type="spellEnd"/>
      <w:r w:rsidRPr="008D0A08">
        <w:rPr>
          <w:rStyle w:val="apple-converted-space"/>
          <w:rFonts w:ascii="Book Antiqua" w:hAnsi="Book Antiqua"/>
          <w:color w:val="1A1A1A"/>
          <w:u w:color="1A1A1A"/>
        </w:rPr>
        <w:t>.</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Based on </w:t>
      </w:r>
      <w:proofErr w:type="spellStart"/>
      <w:r w:rsidRPr="008D0A08">
        <w:rPr>
          <w:rStyle w:val="apple-converted-space"/>
          <w:rFonts w:ascii="Book Antiqua" w:hAnsi="Book Antiqua"/>
          <w:color w:val="1A1A1A"/>
          <w:u w:color="1A1A1A"/>
        </w:rPr>
        <w:t>Poiseuille’s</w:t>
      </w:r>
      <w:proofErr w:type="spellEnd"/>
      <w:r w:rsidRPr="008D0A08">
        <w:rPr>
          <w:rStyle w:val="apple-converted-space"/>
          <w:rFonts w:ascii="Book Antiqua" w:hAnsi="Book Antiqua"/>
          <w:color w:val="1A1A1A"/>
          <w:u w:color="1A1A1A"/>
        </w:rPr>
        <w:t xml:space="preserve"> Law, volumetric flow rate is proportional to change in diameter to the fourth power, as well as change in pressure.</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It is postulated that despite a decrease in the change in pressure across the TIPS stent from passive expansion, the 5.6% increase in diameter observed in patients with CT imaging &gt; 6 </w:t>
      </w:r>
      <w:proofErr w:type="spellStart"/>
      <w:proofErr w:type="gramStart"/>
      <w:r w:rsidR="00653E7C">
        <w:rPr>
          <w:rStyle w:val="apple-converted-space"/>
          <w:rFonts w:ascii="Book Antiqua" w:hAnsi="Book Antiqua" w:hint="eastAsia"/>
          <w:color w:val="1A1A1A"/>
          <w:u w:color="1A1A1A"/>
          <w:lang w:eastAsia="zh-CN"/>
        </w:rPr>
        <w:t>mo</w:t>
      </w:r>
      <w:proofErr w:type="spellEnd"/>
      <w:proofErr w:type="gramEnd"/>
      <w:r w:rsidRPr="008D0A08">
        <w:rPr>
          <w:rStyle w:val="apple-converted-space"/>
          <w:rFonts w:ascii="Book Antiqua" w:hAnsi="Book Antiqua"/>
          <w:color w:val="1A1A1A"/>
          <w:u w:color="1A1A1A"/>
        </w:rPr>
        <w:t xml:space="preserve"> would disproportionately cause an increase in volumetric flow rate.</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 As such, gradual passive expansion may slowly increase the amount of shunted blood and decrease the recurrence of portal hypertensive </w:t>
      </w:r>
      <w:r w:rsidRPr="008D0A08">
        <w:rPr>
          <w:rStyle w:val="apple-converted-space"/>
          <w:rFonts w:ascii="Book Antiqua" w:hAnsi="Book Antiqua"/>
          <w:color w:val="1A1A1A"/>
          <w:u w:color="1A1A1A"/>
        </w:rPr>
        <w:lastRenderedPageBreak/>
        <w:t>complications, yielding similar clinical success between the two groups obtained in the present study.</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Furthermore, the nominal 8 mm TIPS group in the same study had a higher incidence of shunt dysfunction, a majority without </w:t>
      </w:r>
      <w:proofErr w:type="spellStart"/>
      <w:r w:rsidRPr="008D0A08">
        <w:rPr>
          <w:rStyle w:val="apple-converted-space"/>
          <w:rFonts w:ascii="Book Antiqua" w:hAnsi="Book Antiqua"/>
          <w:color w:val="1A1A1A"/>
          <w:u w:color="1A1A1A"/>
        </w:rPr>
        <w:t>angiographically</w:t>
      </w:r>
      <w:proofErr w:type="spellEnd"/>
      <w:r w:rsidRPr="008D0A08">
        <w:rPr>
          <w:rStyle w:val="apple-converted-space"/>
          <w:rFonts w:ascii="Book Antiqua" w:hAnsi="Book Antiqua"/>
          <w:color w:val="1A1A1A"/>
          <w:u w:color="1A1A1A"/>
        </w:rPr>
        <w:t xml:space="preserve"> evident stenosis, than the </w:t>
      </w:r>
      <w:proofErr w:type="spellStart"/>
      <w:r w:rsidRPr="008D0A08">
        <w:rPr>
          <w:rStyle w:val="apple-converted-space"/>
          <w:rFonts w:ascii="Book Antiqua" w:hAnsi="Book Antiqua"/>
          <w:color w:val="1A1A1A"/>
          <w:u w:color="1A1A1A"/>
        </w:rPr>
        <w:t>smTIPS</w:t>
      </w:r>
      <w:proofErr w:type="spellEnd"/>
      <w:r w:rsidRPr="008D0A08">
        <w:rPr>
          <w:rStyle w:val="apple-converted-space"/>
          <w:rFonts w:ascii="Book Antiqua" w:hAnsi="Book Antiqua"/>
          <w:color w:val="1A1A1A"/>
          <w:u w:color="1A1A1A"/>
        </w:rPr>
        <w:t xml:space="preserve"> group in the current study, suggesting that a fixed, smaller diameter TIPS may provide insufficient </w:t>
      </w:r>
      <w:proofErr w:type="spellStart"/>
      <w:r w:rsidRPr="008D0A08">
        <w:rPr>
          <w:rStyle w:val="apple-converted-space"/>
          <w:rFonts w:ascii="Book Antiqua" w:hAnsi="Book Antiqua"/>
          <w:color w:val="1A1A1A"/>
          <w:u w:color="1A1A1A"/>
        </w:rPr>
        <w:t>portosystemic</w:t>
      </w:r>
      <w:proofErr w:type="spellEnd"/>
      <w:r w:rsidRPr="008D0A08">
        <w:rPr>
          <w:rStyle w:val="apple-converted-space"/>
          <w:rFonts w:ascii="Book Antiqua" w:hAnsi="Book Antiqua"/>
          <w:color w:val="1A1A1A"/>
          <w:u w:color="1A1A1A"/>
        </w:rPr>
        <w:t xml:space="preserve"> decompression and that passive expansion may be more efficacious in patients deemed to be at risk of post-TIPS </w:t>
      </w:r>
      <w:proofErr w:type="gramStart"/>
      <w:r w:rsidRPr="008D0A08">
        <w:rPr>
          <w:rStyle w:val="apple-converted-space"/>
          <w:rFonts w:ascii="Book Antiqua" w:hAnsi="Book Antiqua"/>
          <w:color w:val="1A1A1A"/>
          <w:u w:color="1A1A1A"/>
        </w:rPr>
        <w:t>HE</w:t>
      </w:r>
      <w:r w:rsidR="00BB4AC0" w:rsidRPr="008D0A08">
        <w:rPr>
          <w:rStyle w:val="apple-converted-space"/>
          <w:rFonts w:ascii="Book Antiqua" w:hAnsi="Book Antiqua"/>
          <w:color w:val="1A1A1A"/>
          <w:u w:color="1A1A1A"/>
          <w:vertAlign w:val="superscript"/>
        </w:rPr>
        <w:t>[</w:t>
      </w:r>
      <w:proofErr w:type="gramEnd"/>
      <w:r w:rsidR="00BB4AC0" w:rsidRPr="008D0A08">
        <w:rPr>
          <w:rStyle w:val="apple-converted-space"/>
          <w:rFonts w:ascii="Book Antiqua" w:hAnsi="Book Antiqua"/>
          <w:color w:val="1A1A1A"/>
          <w:u w:color="1A1A1A"/>
          <w:vertAlign w:val="superscript"/>
        </w:rPr>
        <w:t>3]</w:t>
      </w:r>
      <w:r w:rsidRPr="008D0A08">
        <w:rPr>
          <w:rStyle w:val="apple-converted-space"/>
          <w:rFonts w:ascii="Book Antiqua" w:hAnsi="Book Antiqua"/>
          <w:color w:val="1A1A1A"/>
          <w:u w:color="1A1A1A"/>
        </w:rPr>
        <w:t>.</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Previously, the only mechanism to improve TIPS shunting in patients with nominal 8 mm TIPS was to place a parallel TIPS, as no further expansion was possible.</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The current study highlights a technique that would allow for further TIPS dilation in patients that show signs of inadequate portal decompression following initial creation of </w:t>
      </w:r>
      <w:proofErr w:type="spellStart"/>
      <w:r w:rsidRPr="008D0A08">
        <w:rPr>
          <w:rStyle w:val="apple-converted-space"/>
          <w:rFonts w:ascii="Book Antiqua" w:hAnsi="Book Antiqua"/>
          <w:color w:val="1A1A1A"/>
          <w:u w:color="1A1A1A"/>
        </w:rPr>
        <w:t>smTIPS</w:t>
      </w:r>
      <w:proofErr w:type="spellEnd"/>
      <w:r w:rsidRPr="008D0A08">
        <w:rPr>
          <w:rStyle w:val="apple-converted-space"/>
          <w:rFonts w:ascii="Book Antiqua" w:hAnsi="Book Antiqua"/>
          <w:color w:val="1A1A1A"/>
          <w:u w:color="1A1A1A"/>
        </w:rPr>
        <w:t xml:space="preserve">, potentially obviating the need for a second parallel TIPS. </w:t>
      </w:r>
    </w:p>
    <w:p w14:paraId="44B9CD71" w14:textId="77777777" w:rsidR="00863E51" w:rsidRPr="008D0A08" w:rsidRDefault="00863E51" w:rsidP="008D0A08">
      <w:pPr>
        <w:pStyle w:val="Body"/>
        <w:spacing w:line="360" w:lineRule="auto"/>
        <w:jc w:val="both"/>
        <w:rPr>
          <w:rFonts w:ascii="Book Antiqua" w:hAnsi="Book Antiqua"/>
        </w:rPr>
      </w:pPr>
    </w:p>
    <w:p w14:paraId="270B3587" w14:textId="62908223" w:rsidR="00863E51" w:rsidRPr="008D0A08" w:rsidRDefault="00863E51" w:rsidP="00653E7C">
      <w:pPr>
        <w:pStyle w:val="Body"/>
        <w:spacing w:line="360" w:lineRule="auto"/>
        <w:ind w:firstLineChars="150" w:firstLine="360"/>
        <w:jc w:val="both"/>
        <w:rPr>
          <w:rFonts w:ascii="Book Antiqua" w:hAnsi="Book Antiqua"/>
        </w:rPr>
      </w:pPr>
      <w:r w:rsidRPr="008D0A08">
        <w:rPr>
          <w:rStyle w:val="apple-converted-space"/>
          <w:rFonts w:ascii="Book Antiqua" w:hAnsi="Book Antiqua"/>
          <w:color w:val="1A1A1A"/>
          <w:u w:color="1A1A1A"/>
        </w:rPr>
        <w:t>This study has several important limitations, including its retrospective design and data collection from a single center.</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The small size of the </w:t>
      </w:r>
      <w:proofErr w:type="spellStart"/>
      <w:r w:rsidRPr="008D0A08">
        <w:rPr>
          <w:rStyle w:val="apple-converted-space"/>
          <w:rFonts w:ascii="Book Antiqua" w:hAnsi="Book Antiqua"/>
          <w:color w:val="1A1A1A"/>
          <w:u w:color="1A1A1A"/>
        </w:rPr>
        <w:t>smTIPS</w:t>
      </w:r>
      <w:proofErr w:type="spellEnd"/>
      <w:r w:rsidRPr="008D0A08">
        <w:rPr>
          <w:rStyle w:val="apple-converted-space"/>
          <w:rFonts w:ascii="Book Antiqua" w:hAnsi="Book Antiqua"/>
          <w:color w:val="1A1A1A"/>
          <w:u w:color="1A1A1A"/>
        </w:rPr>
        <w:t xml:space="preserve"> group (</w:t>
      </w:r>
      <w:r w:rsidRPr="00653E7C">
        <w:rPr>
          <w:rStyle w:val="apple-converted-space"/>
          <w:rFonts w:ascii="Book Antiqua" w:hAnsi="Book Antiqua"/>
          <w:i/>
          <w:color w:val="1A1A1A"/>
          <w:u w:color="1A1A1A"/>
        </w:rPr>
        <w:t xml:space="preserve">n </w:t>
      </w:r>
      <w:r w:rsidRPr="008D0A08">
        <w:rPr>
          <w:rStyle w:val="apple-converted-space"/>
          <w:rFonts w:ascii="Book Antiqua" w:hAnsi="Book Antiqua"/>
          <w:color w:val="1A1A1A"/>
          <w:u w:color="1A1A1A"/>
        </w:rPr>
        <w:t xml:space="preserve">= 43) relative to the </w:t>
      </w:r>
      <w:proofErr w:type="spellStart"/>
      <w:r w:rsidRPr="008D0A08">
        <w:rPr>
          <w:rStyle w:val="apple-converted-space"/>
          <w:rFonts w:ascii="Book Antiqua" w:hAnsi="Book Antiqua"/>
          <w:color w:val="1A1A1A"/>
          <w:u w:color="1A1A1A"/>
        </w:rPr>
        <w:t>mTIPS</w:t>
      </w:r>
      <w:proofErr w:type="spellEnd"/>
      <w:r w:rsidRPr="008D0A08">
        <w:rPr>
          <w:rStyle w:val="apple-converted-space"/>
          <w:rFonts w:ascii="Book Antiqua" w:hAnsi="Book Antiqua"/>
          <w:color w:val="1A1A1A"/>
          <w:u w:color="1A1A1A"/>
        </w:rPr>
        <w:t xml:space="preserve"> group raises the possibility of a Type I error.</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As a tertiary center, identification of undocumented TIPS intervention or clinical follow-up at outside institutions is limited.</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There </w:t>
      </w:r>
      <w:proofErr w:type="gramStart"/>
      <w:r w:rsidRPr="008D0A08">
        <w:rPr>
          <w:rStyle w:val="apple-converted-space"/>
          <w:rFonts w:ascii="Book Antiqua" w:hAnsi="Book Antiqua"/>
          <w:color w:val="1A1A1A"/>
          <w:u w:color="1A1A1A"/>
        </w:rPr>
        <w:t>was</w:t>
      </w:r>
      <w:proofErr w:type="gramEnd"/>
      <w:r w:rsidRPr="008D0A08">
        <w:rPr>
          <w:rStyle w:val="apple-converted-space"/>
          <w:rFonts w:ascii="Book Antiqua" w:hAnsi="Book Antiqua"/>
          <w:color w:val="1A1A1A"/>
          <w:u w:color="1A1A1A"/>
        </w:rPr>
        <w:t xml:space="preserve"> more severe refractory post-TIPS HE in the </w:t>
      </w:r>
      <w:proofErr w:type="spellStart"/>
      <w:r w:rsidRPr="008D0A08">
        <w:rPr>
          <w:rStyle w:val="apple-converted-space"/>
          <w:rFonts w:ascii="Book Antiqua" w:hAnsi="Book Antiqua"/>
          <w:color w:val="1A1A1A"/>
          <w:u w:color="1A1A1A"/>
        </w:rPr>
        <w:t>smTIPS</w:t>
      </w:r>
      <w:proofErr w:type="spellEnd"/>
      <w:r w:rsidRPr="008D0A08">
        <w:rPr>
          <w:rStyle w:val="apple-converted-space"/>
          <w:rFonts w:ascii="Book Antiqua" w:hAnsi="Book Antiqua"/>
          <w:color w:val="1A1A1A"/>
          <w:u w:color="1A1A1A"/>
        </w:rPr>
        <w:t xml:space="preserve"> group versus the </w:t>
      </w:r>
      <w:proofErr w:type="spellStart"/>
      <w:r w:rsidRPr="008D0A08">
        <w:rPr>
          <w:rStyle w:val="apple-converted-space"/>
          <w:rFonts w:ascii="Book Antiqua" w:hAnsi="Book Antiqua"/>
          <w:color w:val="1A1A1A"/>
          <w:u w:color="1A1A1A"/>
        </w:rPr>
        <w:t>mTIPS</w:t>
      </w:r>
      <w:proofErr w:type="spellEnd"/>
      <w:r w:rsidRPr="008D0A08">
        <w:rPr>
          <w:rStyle w:val="apple-converted-space"/>
          <w:rFonts w:ascii="Book Antiqua" w:hAnsi="Book Antiqua"/>
          <w:color w:val="1A1A1A"/>
          <w:u w:color="1A1A1A"/>
        </w:rPr>
        <w:t xml:space="preserve"> group (7% </w:t>
      </w:r>
      <w:proofErr w:type="spellStart"/>
      <w:r w:rsidR="00653E7C" w:rsidRPr="00653E7C">
        <w:rPr>
          <w:rStyle w:val="apple-converted-space"/>
          <w:rFonts w:ascii="Book Antiqua" w:hAnsi="Book Antiqua" w:hint="eastAsia"/>
          <w:i/>
          <w:color w:val="1A1A1A"/>
          <w:u w:color="1A1A1A"/>
          <w:lang w:eastAsia="zh-CN"/>
        </w:rPr>
        <w:t>vs</w:t>
      </w:r>
      <w:proofErr w:type="spellEnd"/>
      <w:r w:rsidRPr="008D0A08">
        <w:rPr>
          <w:rStyle w:val="apple-converted-space"/>
          <w:rFonts w:ascii="Book Antiqua" w:hAnsi="Book Antiqua"/>
          <w:color w:val="1A1A1A"/>
          <w:u w:color="1A1A1A"/>
        </w:rPr>
        <w:t xml:space="preserve"> 3%), although not statistically significant (</w:t>
      </w:r>
      <w:bookmarkStart w:id="97" w:name="OLE_LINK190"/>
      <w:bookmarkStart w:id="98" w:name="OLE_LINK191"/>
      <w:r w:rsidRPr="00653E7C">
        <w:rPr>
          <w:rStyle w:val="apple-converted-space"/>
          <w:rFonts w:ascii="Book Antiqua" w:hAnsi="Book Antiqua"/>
          <w:i/>
          <w:color w:val="1A1A1A"/>
          <w:u w:color="1A1A1A"/>
        </w:rPr>
        <w:t xml:space="preserve">P </w:t>
      </w:r>
      <w:bookmarkEnd w:id="97"/>
      <w:bookmarkEnd w:id="98"/>
      <w:r w:rsidRPr="008D0A08">
        <w:rPr>
          <w:rStyle w:val="apple-converted-space"/>
          <w:rFonts w:ascii="Book Antiqua" w:hAnsi="Book Antiqua"/>
          <w:color w:val="1A1A1A"/>
          <w:u w:color="1A1A1A"/>
        </w:rPr>
        <w:t>= 0.12).</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While this finding was not expected, it reflects selection bias between the two groups.</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Patients who underwent creation of </w:t>
      </w:r>
      <w:proofErr w:type="spellStart"/>
      <w:r w:rsidRPr="008D0A08">
        <w:rPr>
          <w:rStyle w:val="apple-converted-space"/>
          <w:rFonts w:ascii="Book Antiqua" w:hAnsi="Book Antiqua"/>
          <w:color w:val="1A1A1A"/>
          <w:u w:color="1A1A1A"/>
        </w:rPr>
        <w:t>smTIPS</w:t>
      </w:r>
      <w:proofErr w:type="spellEnd"/>
      <w:r w:rsidRPr="008D0A08">
        <w:rPr>
          <w:rStyle w:val="apple-converted-space"/>
          <w:rFonts w:ascii="Book Antiqua" w:hAnsi="Book Antiqua"/>
          <w:color w:val="1A1A1A"/>
          <w:u w:color="1A1A1A"/>
        </w:rPr>
        <w:t xml:space="preserve"> had a statistically significant lower mean pre-TIPS PSG compared to </w:t>
      </w:r>
      <w:proofErr w:type="spellStart"/>
      <w:r w:rsidRPr="008D0A08">
        <w:rPr>
          <w:rStyle w:val="apple-converted-space"/>
          <w:rFonts w:ascii="Book Antiqua" w:hAnsi="Book Antiqua"/>
          <w:color w:val="1A1A1A"/>
          <w:u w:color="1A1A1A"/>
        </w:rPr>
        <w:t>mTIPS</w:t>
      </w:r>
      <w:proofErr w:type="spellEnd"/>
      <w:r w:rsidRPr="008D0A08">
        <w:rPr>
          <w:rStyle w:val="apple-converted-space"/>
          <w:rFonts w:ascii="Book Antiqua" w:hAnsi="Book Antiqua"/>
          <w:color w:val="1A1A1A"/>
          <w:u w:color="1A1A1A"/>
        </w:rPr>
        <w:t xml:space="preserve"> (</w:t>
      </w:r>
      <w:r w:rsidR="00653E7C" w:rsidRPr="00653E7C">
        <w:rPr>
          <w:rStyle w:val="apple-converted-space"/>
          <w:rFonts w:ascii="Book Antiqua" w:hAnsi="Book Antiqua"/>
          <w:i/>
          <w:color w:val="1A1A1A"/>
          <w:u w:color="1A1A1A"/>
        </w:rPr>
        <w:t>P</w:t>
      </w:r>
      <w:r w:rsidRPr="008D0A08">
        <w:rPr>
          <w:rStyle w:val="apple-converted-space"/>
          <w:rFonts w:ascii="Book Antiqua" w:hAnsi="Book Antiqua"/>
          <w:color w:val="1A1A1A"/>
          <w:u w:color="1A1A1A"/>
        </w:rPr>
        <w:t xml:space="preserve"> = 0.01).</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This was not surprising given that patients deemed to be higher risk for HE following TIPS creation, which included a low pre-TIPS PSG, were preferentially selected to have </w:t>
      </w:r>
      <w:proofErr w:type="spellStart"/>
      <w:r w:rsidRPr="008D0A08">
        <w:rPr>
          <w:rStyle w:val="apple-converted-space"/>
          <w:rFonts w:ascii="Book Antiqua" w:hAnsi="Book Antiqua"/>
          <w:color w:val="1A1A1A"/>
          <w:u w:color="1A1A1A"/>
        </w:rPr>
        <w:t>smTIPS</w:t>
      </w:r>
      <w:proofErr w:type="spellEnd"/>
      <w:r w:rsidRPr="008D0A08">
        <w:rPr>
          <w:rStyle w:val="apple-converted-space"/>
          <w:rFonts w:ascii="Book Antiqua" w:hAnsi="Book Antiqua"/>
          <w:color w:val="1A1A1A"/>
          <w:u w:color="1A1A1A"/>
        </w:rPr>
        <w:t xml:space="preserve"> created to reduce the risk of over-shunting, as determined by the operating physician.</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Furthermore, even though shunt physiology is a known contributing factor for HE, the pathophysiology of HE is multifactorial and includes other precipitating factors such as hepatic </w:t>
      </w:r>
      <w:proofErr w:type="spellStart"/>
      <w:r w:rsidRPr="008D0A08">
        <w:rPr>
          <w:rStyle w:val="apple-converted-space"/>
          <w:rFonts w:ascii="Book Antiqua" w:hAnsi="Book Antiqua"/>
          <w:color w:val="1A1A1A"/>
          <w:u w:color="1A1A1A"/>
        </w:rPr>
        <w:t>decompensation</w:t>
      </w:r>
      <w:proofErr w:type="spellEnd"/>
      <w:r w:rsidRPr="008D0A08">
        <w:rPr>
          <w:rStyle w:val="apple-converted-space"/>
          <w:rFonts w:ascii="Book Antiqua" w:hAnsi="Book Antiqua"/>
          <w:color w:val="1A1A1A"/>
          <w:u w:color="1A1A1A"/>
        </w:rPr>
        <w:t>, noncompliance with dietary restrictions, sepsis, and medications.</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Additional independent risk factors include older age, elevated </w:t>
      </w:r>
      <w:r w:rsidRPr="008D0A08">
        <w:rPr>
          <w:rStyle w:val="apple-converted-space"/>
          <w:rFonts w:ascii="Book Antiqua" w:hAnsi="Book Antiqua"/>
          <w:color w:val="1A1A1A"/>
          <w:u w:color="1A1A1A"/>
        </w:rPr>
        <w:lastRenderedPageBreak/>
        <w:t xml:space="preserve">serum </w:t>
      </w:r>
      <w:proofErr w:type="spellStart"/>
      <w:r w:rsidRPr="008D0A08">
        <w:rPr>
          <w:rStyle w:val="apple-converted-space"/>
          <w:rFonts w:ascii="Book Antiqua" w:hAnsi="Book Antiqua"/>
          <w:color w:val="1A1A1A"/>
          <w:u w:color="1A1A1A"/>
        </w:rPr>
        <w:t>creatinine</w:t>
      </w:r>
      <w:proofErr w:type="spellEnd"/>
      <w:r w:rsidRPr="008D0A08">
        <w:rPr>
          <w:rStyle w:val="apple-converted-space"/>
          <w:rFonts w:ascii="Book Antiqua" w:hAnsi="Book Antiqua"/>
          <w:color w:val="1A1A1A"/>
          <w:u w:color="1A1A1A"/>
        </w:rPr>
        <w:t xml:space="preserve">, low serum sodium and low albumin; however, these clinical data were difficult to corroborate from a retrospective review spanning 10 </w:t>
      </w:r>
      <w:proofErr w:type="gramStart"/>
      <w:r w:rsidRPr="008D0A08">
        <w:rPr>
          <w:rStyle w:val="apple-converted-space"/>
          <w:rFonts w:ascii="Book Antiqua" w:hAnsi="Book Antiqua"/>
          <w:color w:val="1A1A1A"/>
          <w:u w:color="1A1A1A"/>
        </w:rPr>
        <w:t>years</w:t>
      </w:r>
      <w:r w:rsidR="00BB4AC0" w:rsidRPr="008D0A08">
        <w:rPr>
          <w:rStyle w:val="apple-converted-space"/>
          <w:rFonts w:ascii="Book Antiqua" w:hAnsi="Book Antiqua"/>
          <w:color w:val="1A1A1A"/>
          <w:u w:color="1A1A1A"/>
          <w:vertAlign w:val="superscript"/>
        </w:rPr>
        <w:t>[</w:t>
      </w:r>
      <w:proofErr w:type="gramEnd"/>
      <w:r w:rsidR="00BB4AC0" w:rsidRPr="008D0A08">
        <w:rPr>
          <w:rStyle w:val="apple-converted-space"/>
          <w:rFonts w:ascii="Book Antiqua" w:hAnsi="Book Antiqua"/>
          <w:color w:val="1A1A1A"/>
          <w:u w:color="1A1A1A"/>
          <w:vertAlign w:val="superscript"/>
        </w:rPr>
        <w:t>2]</w:t>
      </w:r>
      <w:r w:rsidRPr="008D0A08">
        <w:rPr>
          <w:rStyle w:val="apple-converted-space"/>
          <w:rFonts w:ascii="Book Antiqua" w:hAnsi="Book Antiqua"/>
          <w:color w:val="1A1A1A"/>
          <w:u w:color="1A1A1A"/>
        </w:rPr>
        <w:t>.</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Only a minority (33%) of the patients with </w:t>
      </w:r>
      <w:proofErr w:type="spellStart"/>
      <w:r w:rsidRPr="008D0A08">
        <w:rPr>
          <w:rStyle w:val="apple-converted-space"/>
          <w:rFonts w:ascii="Book Antiqua" w:hAnsi="Book Antiqua"/>
          <w:color w:val="1A1A1A"/>
          <w:u w:color="1A1A1A"/>
        </w:rPr>
        <w:t>smTIPS</w:t>
      </w:r>
      <w:proofErr w:type="spellEnd"/>
      <w:r w:rsidRPr="008D0A08">
        <w:rPr>
          <w:rStyle w:val="apple-converted-space"/>
          <w:rFonts w:ascii="Book Antiqua" w:hAnsi="Book Antiqua"/>
          <w:color w:val="1A1A1A"/>
          <w:u w:color="1A1A1A"/>
        </w:rPr>
        <w:t xml:space="preserve"> had subsequent CT exams during the follow-up period.</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It is conceivable that this may not be representative of the entire subgroup.</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Additionally, patients did not undergo repeat angiographic TIPS evaluation following CT evidence of passive expansion, which would allow for repeat PSG measurement to determine the true hemodynamic consequences of passive expansion.</w:t>
      </w:r>
    </w:p>
    <w:p w14:paraId="570A5CEE" w14:textId="295BB5D0" w:rsidR="00863E51" w:rsidRPr="008D0A08" w:rsidRDefault="00863E51" w:rsidP="00653E7C">
      <w:pPr>
        <w:pStyle w:val="Body"/>
        <w:spacing w:line="360" w:lineRule="auto"/>
        <w:ind w:firstLineChars="150" w:firstLine="360"/>
        <w:jc w:val="both"/>
        <w:rPr>
          <w:rFonts w:ascii="Book Antiqua" w:hAnsi="Book Antiqua"/>
        </w:rPr>
      </w:pPr>
      <w:r w:rsidRPr="008D0A08">
        <w:rPr>
          <w:rStyle w:val="apple-converted-space"/>
          <w:rFonts w:ascii="Book Antiqua" w:hAnsi="Book Antiqua"/>
          <w:color w:val="1A1A1A"/>
          <w:u w:color="1A1A1A"/>
        </w:rPr>
        <w:t xml:space="preserve">In conclusion, in patients with </w:t>
      </w:r>
      <w:proofErr w:type="spellStart"/>
      <w:r w:rsidRPr="008D0A08">
        <w:rPr>
          <w:rStyle w:val="apple-converted-space"/>
          <w:rFonts w:ascii="Book Antiqua" w:hAnsi="Book Antiqua"/>
          <w:color w:val="1A1A1A"/>
          <w:u w:color="1A1A1A"/>
        </w:rPr>
        <w:t>smTIPS</w:t>
      </w:r>
      <w:proofErr w:type="spellEnd"/>
      <w:r w:rsidRPr="008D0A08">
        <w:rPr>
          <w:rStyle w:val="apple-converted-space"/>
          <w:rFonts w:ascii="Book Antiqua" w:hAnsi="Book Antiqua"/>
          <w:color w:val="1A1A1A"/>
          <w:u w:color="1A1A1A"/>
        </w:rPr>
        <w:t xml:space="preserve"> </w:t>
      </w:r>
      <w:r w:rsidRPr="008D0A08">
        <w:rPr>
          <w:rStyle w:val="apple-converted-space"/>
          <w:rFonts w:ascii="Book Antiqua" w:hAnsi="Book Antiqua"/>
        </w:rPr>
        <w:t xml:space="preserve">there was passive expansion of 10 mm </w:t>
      </w:r>
      <w:proofErr w:type="spellStart"/>
      <w:r w:rsidRPr="008D0A08">
        <w:rPr>
          <w:rStyle w:val="apple-converted-space"/>
          <w:rFonts w:ascii="Book Antiqua" w:hAnsi="Book Antiqua"/>
        </w:rPr>
        <w:t>Viatorr</w:t>
      </w:r>
      <w:proofErr w:type="spellEnd"/>
      <w:r w:rsidRPr="008D0A08">
        <w:rPr>
          <w:rStyle w:val="apple-converted-space"/>
          <w:rFonts w:ascii="Book Antiqua" w:hAnsi="Book Antiqua"/>
          <w:lang w:val="fr-FR"/>
        </w:rPr>
        <w:t xml:space="preserve"> TIPS </w:t>
      </w:r>
      <w:proofErr w:type="spellStart"/>
      <w:r w:rsidRPr="008D0A08">
        <w:rPr>
          <w:rStyle w:val="apple-converted-space"/>
          <w:rFonts w:ascii="Book Antiqua" w:hAnsi="Book Antiqua"/>
          <w:lang w:val="fr-FR"/>
        </w:rPr>
        <w:t>stent</w:t>
      </w:r>
      <w:proofErr w:type="spellEnd"/>
      <w:r w:rsidRPr="008D0A08">
        <w:rPr>
          <w:rStyle w:val="apple-converted-space"/>
          <w:rFonts w:ascii="Book Antiqua" w:hAnsi="Book Antiqua"/>
        </w:rPr>
        <w:t xml:space="preserve">-grafts even after 6 </w:t>
      </w:r>
      <w:proofErr w:type="spellStart"/>
      <w:proofErr w:type="gramStart"/>
      <w:r w:rsidR="00653E7C">
        <w:rPr>
          <w:rStyle w:val="apple-converted-space"/>
          <w:rFonts w:ascii="Book Antiqua" w:hAnsi="Book Antiqua" w:hint="eastAsia"/>
          <w:lang w:eastAsia="zh-CN"/>
        </w:rPr>
        <w:t>mo</w:t>
      </w:r>
      <w:proofErr w:type="spellEnd"/>
      <w:proofErr w:type="gramEnd"/>
      <w:r w:rsidRPr="008D0A08">
        <w:rPr>
          <w:rStyle w:val="apple-converted-space"/>
          <w:rFonts w:ascii="Book Antiqua" w:hAnsi="Book Antiqua"/>
        </w:rPr>
        <w:t>, however, not all reached their nominal diameter.</w:t>
      </w:r>
      <w:r w:rsidR="006D232F">
        <w:rPr>
          <w:rStyle w:val="apple-converted-space"/>
          <w:rFonts w:ascii="Book Antiqua" w:hAnsi="Book Antiqua"/>
        </w:rPr>
        <w:t xml:space="preserve"> </w:t>
      </w:r>
      <w:r w:rsidRPr="008D0A08">
        <w:rPr>
          <w:rStyle w:val="apple-converted-space"/>
          <w:rFonts w:ascii="Book Antiqua" w:hAnsi="Book Antiqua"/>
        </w:rPr>
        <w:t xml:space="preserve">The clinical outcomes, including incidence of severe post-TIPS HE, between sub-maximally and maximally dilated 10 mm </w:t>
      </w:r>
      <w:proofErr w:type="spellStart"/>
      <w:r w:rsidRPr="008D0A08">
        <w:rPr>
          <w:rStyle w:val="apple-converted-space"/>
          <w:rFonts w:ascii="Book Antiqua" w:hAnsi="Book Antiqua"/>
        </w:rPr>
        <w:t>Viatorr</w:t>
      </w:r>
      <w:proofErr w:type="spellEnd"/>
      <w:r w:rsidRPr="008D0A08">
        <w:rPr>
          <w:rStyle w:val="apple-converted-space"/>
          <w:rFonts w:ascii="Book Antiqua" w:hAnsi="Book Antiqua"/>
        </w:rPr>
        <w:t xml:space="preserve"> TIPS were similar.</w:t>
      </w:r>
      <w:r w:rsidR="006D232F">
        <w:rPr>
          <w:rStyle w:val="apple-converted-space"/>
          <w:rFonts w:ascii="Book Antiqua" w:hAnsi="Book Antiqua"/>
        </w:rPr>
        <w:t xml:space="preserve"> </w:t>
      </w:r>
      <w:r w:rsidRPr="008D0A08">
        <w:rPr>
          <w:rStyle w:val="apple-converted-space"/>
          <w:rFonts w:ascii="Book Antiqua" w:hAnsi="Book Antiqua"/>
        </w:rPr>
        <w:t>These findings suggest sub-maximal dilation may be an acceptable method to prevent complications related to over-shunting in select patients.</w:t>
      </w:r>
    </w:p>
    <w:p w14:paraId="439BF399" w14:textId="77777777" w:rsidR="00863E51" w:rsidRPr="008D0A08" w:rsidRDefault="00863E51" w:rsidP="008D0A08">
      <w:pPr>
        <w:pStyle w:val="Body"/>
        <w:spacing w:line="360" w:lineRule="auto"/>
        <w:jc w:val="both"/>
        <w:rPr>
          <w:rFonts w:ascii="Book Antiqua" w:hAnsi="Book Antiqua"/>
        </w:rPr>
      </w:pPr>
    </w:p>
    <w:p w14:paraId="50DD05F4" w14:textId="77777777" w:rsidR="00DC618A" w:rsidRPr="008D0A08" w:rsidRDefault="00DC618A" w:rsidP="008D0A08">
      <w:pPr>
        <w:spacing w:line="360" w:lineRule="auto"/>
        <w:jc w:val="both"/>
        <w:rPr>
          <w:rFonts w:ascii="Book Antiqua" w:hAnsi="Book Antiqua"/>
          <w:b/>
        </w:rPr>
      </w:pPr>
      <w:bookmarkStart w:id="99" w:name="OLE_LINK595"/>
      <w:bookmarkStart w:id="100" w:name="OLE_LINK596"/>
      <w:r w:rsidRPr="008D0A08">
        <w:rPr>
          <w:rFonts w:ascii="Book Antiqua" w:hAnsi="Book Antiqua"/>
          <w:b/>
        </w:rPr>
        <w:t>COMMENTS</w:t>
      </w:r>
    </w:p>
    <w:p w14:paraId="47F782D0" w14:textId="77777777" w:rsidR="00653E7C" w:rsidRDefault="00DC618A" w:rsidP="00653E7C">
      <w:pPr>
        <w:spacing w:line="360" w:lineRule="auto"/>
        <w:jc w:val="both"/>
        <w:rPr>
          <w:rFonts w:ascii="Book Antiqua" w:eastAsia="宋体" w:hAnsi="Book Antiqua"/>
          <w:b/>
          <w:bCs/>
          <w:i/>
          <w:lang w:eastAsia="zh-CN"/>
        </w:rPr>
      </w:pPr>
      <w:r w:rsidRPr="00653E7C">
        <w:rPr>
          <w:rFonts w:ascii="Book Antiqua" w:hAnsi="Book Antiqua"/>
          <w:b/>
          <w:bCs/>
          <w:i/>
        </w:rPr>
        <w:t>Background</w:t>
      </w:r>
    </w:p>
    <w:p w14:paraId="4C1B782C" w14:textId="211F70C2" w:rsidR="00DC618A" w:rsidRPr="00653E7C" w:rsidRDefault="00585ADA" w:rsidP="00653E7C">
      <w:pPr>
        <w:spacing w:line="360" w:lineRule="auto"/>
        <w:jc w:val="both"/>
        <w:rPr>
          <w:rStyle w:val="apple-converted-space"/>
          <w:rFonts w:ascii="Book Antiqua" w:eastAsia="宋体" w:hAnsi="Book Antiqua"/>
          <w:b/>
          <w:bCs/>
          <w:i/>
          <w:lang w:eastAsia="zh-CN"/>
        </w:rPr>
      </w:pPr>
      <w:proofErr w:type="spellStart"/>
      <w:r w:rsidRPr="008D0A08">
        <w:rPr>
          <w:rStyle w:val="apple-converted-space"/>
          <w:rFonts w:ascii="Book Antiqua" w:hAnsi="Book Antiqua"/>
          <w:color w:val="1A1A1A"/>
          <w:u w:color="1A1A1A"/>
        </w:rPr>
        <w:t>Transjugular</w:t>
      </w:r>
      <w:proofErr w:type="spellEnd"/>
      <w:r w:rsidRPr="008D0A08">
        <w:rPr>
          <w:rStyle w:val="apple-converted-space"/>
          <w:rFonts w:ascii="Book Antiqua" w:hAnsi="Book Antiqua"/>
          <w:color w:val="1A1A1A"/>
          <w:u w:color="1A1A1A"/>
        </w:rPr>
        <w:t xml:space="preserve"> intrahepatic </w:t>
      </w:r>
      <w:proofErr w:type="spellStart"/>
      <w:r w:rsidRPr="008D0A08">
        <w:rPr>
          <w:rStyle w:val="apple-converted-space"/>
          <w:rFonts w:ascii="Book Antiqua" w:hAnsi="Book Antiqua"/>
          <w:color w:val="1A1A1A"/>
          <w:u w:color="1A1A1A"/>
        </w:rPr>
        <w:t>portosystemic</w:t>
      </w:r>
      <w:proofErr w:type="spellEnd"/>
      <w:r w:rsidRPr="008D0A08">
        <w:rPr>
          <w:rStyle w:val="apple-converted-space"/>
          <w:rFonts w:ascii="Book Antiqua" w:hAnsi="Book Antiqua"/>
          <w:color w:val="1A1A1A"/>
          <w:u w:color="1A1A1A"/>
        </w:rPr>
        <w:t xml:space="preserve"> shunt (TIPS) is an established treatment for the </w:t>
      </w:r>
      <w:proofErr w:type="spellStart"/>
      <w:r w:rsidRPr="008D0A08">
        <w:rPr>
          <w:rStyle w:val="apple-converted-space"/>
          <w:rFonts w:ascii="Book Antiqua" w:hAnsi="Book Antiqua"/>
          <w:color w:val="1A1A1A"/>
          <w:u w:color="1A1A1A"/>
          <w:lang w:val="pt-PT"/>
        </w:rPr>
        <w:t>sequelae</w:t>
      </w:r>
      <w:proofErr w:type="spellEnd"/>
      <w:r w:rsidRPr="008D0A08">
        <w:rPr>
          <w:rStyle w:val="apple-converted-space"/>
          <w:rFonts w:ascii="Book Antiqua" w:hAnsi="Book Antiqua"/>
          <w:color w:val="1A1A1A"/>
          <w:u w:color="1A1A1A"/>
        </w:rPr>
        <w:t xml:space="preserve"> of portal hypertension, particularly </w:t>
      </w:r>
      <w:proofErr w:type="spellStart"/>
      <w:r w:rsidRPr="008D0A08">
        <w:rPr>
          <w:rStyle w:val="apple-converted-space"/>
          <w:rFonts w:ascii="Book Antiqua" w:hAnsi="Book Antiqua"/>
          <w:color w:val="1A1A1A"/>
          <w:u w:color="1A1A1A"/>
        </w:rPr>
        <w:t>variceal</w:t>
      </w:r>
      <w:proofErr w:type="spellEnd"/>
      <w:r w:rsidRPr="008D0A08">
        <w:rPr>
          <w:rStyle w:val="apple-converted-space"/>
          <w:rFonts w:ascii="Book Antiqua" w:hAnsi="Book Antiqua"/>
          <w:color w:val="1A1A1A"/>
          <w:u w:color="1A1A1A"/>
        </w:rPr>
        <w:t xml:space="preserve"> hemorrhage and refractory ascites.</w:t>
      </w:r>
      <w:r w:rsidR="006D232F">
        <w:rPr>
          <w:rStyle w:val="apple-converted-space"/>
          <w:rFonts w:ascii="Book Antiqua" w:hAnsi="Book Antiqua"/>
          <w:color w:val="1A1A1A"/>
          <w:u w:color="1A1A1A"/>
        </w:rPr>
        <w:t xml:space="preserve"> </w:t>
      </w:r>
      <w:r w:rsidR="00D37919" w:rsidRPr="008D0A08">
        <w:rPr>
          <w:rStyle w:val="apple-converted-space"/>
          <w:rFonts w:ascii="Book Antiqua" w:hAnsi="Book Antiqua"/>
          <w:color w:val="1A1A1A"/>
          <w:u w:color="1A1A1A"/>
        </w:rPr>
        <w:t>Despite improved patency rates and reduced need for shunt revision with PTFE-covered TIPS, HE remains a problem following TIPS placement with some speculation that improved patency rates may increase the incidence of HE.</w:t>
      </w:r>
      <w:r w:rsidR="006D232F">
        <w:rPr>
          <w:rStyle w:val="apple-converted-space"/>
          <w:rFonts w:ascii="Book Antiqua" w:hAnsi="Book Antiqua"/>
          <w:color w:val="1A1A1A"/>
          <w:u w:color="1A1A1A"/>
        </w:rPr>
        <w:t xml:space="preserve"> </w:t>
      </w:r>
      <w:r w:rsidR="00D37919" w:rsidRPr="008D0A08">
        <w:rPr>
          <w:rStyle w:val="apple-converted-space"/>
          <w:rFonts w:ascii="Book Antiqua" w:hAnsi="Book Antiqua"/>
          <w:color w:val="1A1A1A"/>
          <w:u w:color="1A1A1A"/>
        </w:rPr>
        <w:t xml:space="preserve">HE arises when compounds derived from the intestine that require hepatic detoxification bypass the hepatic vascular bed in the setting of a </w:t>
      </w:r>
      <w:proofErr w:type="spellStart"/>
      <w:r w:rsidR="00D37919" w:rsidRPr="008D0A08">
        <w:rPr>
          <w:rStyle w:val="apple-converted-space"/>
          <w:rFonts w:ascii="Book Antiqua" w:hAnsi="Book Antiqua"/>
          <w:color w:val="1A1A1A"/>
          <w:u w:color="1A1A1A"/>
        </w:rPr>
        <w:t>portosystemic</w:t>
      </w:r>
      <w:proofErr w:type="spellEnd"/>
      <w:r w:rsidR="00D37919" w:rsidRPr="008D0A08">
        <w:rPr>
          <w:rStyle w:val="apple-converted-space"/>
          <w:rFonts w:ascii="Book Antiqua" w:hAnsi="Book Antiqua"/>
          <w:color w:val="1A1A1A"/>
          <w:u w:color="1A1A1A"/>
        </w:rPr>
        <w:t xml:space="preserve"> shunt, and subsequen</w:t>
      </w:r>
      <w:r w:rsidR="001512D1">
        <w:rPr>
          <w:rStyle w:val="apple-converted-space"/>
          <w:rFonts w:ascii="Book Antiqua" w:hAnsi="Book Antiqua"/>
          <w:color w:val="1A1A1A"/>
          <w:u w:color="1A1A1A"/>
        </w:rPr>
        <w:t>tly enter systemic circulation.</w:t>
      </w:r>
      <w:r w:rsidR="00D37919" w:rsidRPr="008D0A08">
        <w:rPr>
          <w:rStyle w:val="apple-converted-space"/>
          <w:rFonts w:ascii="Book Antiqua" w:hAnsi="Book Antiqua"/>
          <w:color w:val="1A1A1A"/>
          <w:u w:color="1A1A1A"/>
        </w:rPr>
        <w:t xml:space="preserve"> One technique to balance portal decompression while minimizing over-shunting is</w:t>
      </w:r>
      <w:r w:rsidR="001512D1">
        <w:rPr>
          <w:rStyle w:val="apple-converted-space"/>
          <w:rFonts w:ascii="Book Antiqua" w:hAnsi="Book Antiqua"/>
          <w:color w:val="1A1A1A"/>
          <w:u w:color="1A1A1A"/>
        </w:rPr>
        <w:t xml:space="preserve"> sub-maximal dilation of TIPS.</w:t>
      </w:r>
      <w:r w:rsidR="001512D1">
        <w:rPr>
          <w:rStyle w:val="apple-converted-space"/>
          <w:rFonts w:ascii="Book Antiqua" w:eastAsia="宋体" w:hAnsi="Book Antiqua" w:hint="eastAsia"/>
          <w:color w:val="1A1A1A"/>
          <w:u w:color="1A1A1A"/>
          <w:lang w:eastAsia="zh-CN"/>
        </w:rPr>
        <w:t xml:space="preserve"> </w:t>
      </w:r>
      <w:r w:rsidR="00D37919" w:rsidRPr="008D0A08">
        <w:rPr>
          <w:rStyle w:val="apple-converted-space"/>
          <w:rFonts w:ascii="Book Antiqua" w:hAnsi="Book Antiqua"/>
          <w:color w:val="1A1A1A"/>
          <w:u w:color="1A1A1A"/>
        </w:rPr>
        <w:t>While sub-maximal dilation theoretically allows for further dilation of the TIPS in the event that the initial portal decompression is insufficient while avoiding over-shunting, published d</w:t>
      </w:r>
      <w:proofErr w:type="spellStart"/>
      <w:r w:rsidR="00D37919" w:rsidRPr="008D0A08">
        <w:rPr>
          <w:rStyle w:val="apple-converted-space"/>
          <w:rFonts w:ascii="Book Antiqua" w:hAnsi="Book Antiqua"/>
          <w:color w:val="1A1A1A"/>
          <w:u w:color="1A1A1A"/>
          <w:lang w:val="it-IT"/>
        </w:rPr>
        <w:t>ata</w:t>
      </w:r>
      <w:proofErr w:type="spellEnd"/>
      <w:r w:rsidR="00D37919" w:rsidRPr="008D0A08">
        <w:rPr>
          <w:rStyle w:val="apple-converted-space"/>
          <w:rFonts w:ascii="Book Antiqua" w:hAnsi="Book Antiqua"/>
          <w:color w:val="1A1A1A"/>
          <w:u w:color="1A1A1A"/>
          <w:lang w:val="it-IT"/>
        </w:rPr>
        <w:t xml:space="preserve"> </w:t>
      </w:r>
      <w:proofErr w:type="spellStart"/>
      <w:r w:rsidR="00D37919" w:rsidRPr="008D0A08">
        <w:rPr>
          <w:rStyle w:val="apple-converted-space"/>
          <w:rFonts w:ascii="Book Antiqua" w:hAnsi="Book Antiqua"/>
          <w:color w:val="1A1A1A"/>
          <w:u w:color="1A1A1A"/>
          <w:lang w:val="it-IT"/>
        </w:rPr>
        <w:t>suggest</w:t>
      </w:r>
      <w:proofErr w:type="spellEnd"/>
      <w:r w:rsidR="00D37919" w:rsidRPr="008D0A08">
        <w:rPr>
          <w:rStyle w:val="apple-converted-space"/>
          <w:rFonts w:ascii="Book Antiqua" w:hAnsi="Book Antiqua"/>
          <w:color w:val="1A1A1A"/>
          <w:u w:color="1A1A1A"/>
        </w:rPr>
        <w:t xml:space="preserve"> the continued </w:t>
      </w:r>
      <w:r w:rsidR="00D37919" w:rsidRPr="008D0A08">
        <w:rPr>
          <w:rStyle w:val="apple-converted-space"/>
          <w:rFonts w:ascii="Book Antiqua" w:hAnsi="Book Antiqua"/>
          <w:color w:val="1A1A1A"/>
          <w:u w:color="1A1A1A"/>
        </w:rPr>
        <w:lastRenderedPageBreak/>
        <w:t>outward radial force of the TIPS stent may lead to passive expansion to its nominal diameter</w:t>
      </w:r>
      <w:r w:rsidR="009621CE" w:rsidRPr="008D0A08">
        <w:rPr>
          <w:rStyle w:val="apple-converted-space"/>
          <w:rFonts w:ascii="Book Antiqua" w:hAnsi="Book Antiqua"/>
          <w:color w:val="1A1A1A"/>
          <w:u w:color="1A1A1A"/>
        </w:rPr>
        <w:t xml:space="preserve"> and limit</w:t>
      </w:r>
      <w:r w:rsidR="00D37919" w:rsidRPr="008D0A08">
        <w:rPr>
          <w:rStyle w:val="apple-converted-space"/>
          <w:rFonts w:ascii="Book Antiqua" w:hAnsi="Book Antiqua"/>
          <w:color w:val="1A1A1A"/>
          <w:u w:color="1A1A1A"/>
        </w:rPr>
        <w:t xml:space="preserve"> the value of initial gradient calibration</w:t>
      </w:r>
      <w:r w:rsidR="009621CE" w:rsidRPr="008D0A08">
        <w:rPr>
          <w:rStyle w:val="apple-converted-space"/>
          <w:rFonts w:ascii="Book Antiqua" w:hAnsi="Book Antiqua"/>
          <w:color w:val="1A1A1A"/>
          <w:u w:color="1A1A1A"/>
        </w:rPr>
        <w:t>.</w:t>
      </w:r>
    </w:p>
    <w:p w14:paraId="3FD20A53" w14:textId="77777777" w:rsidR="009621CE" w:rsidRPr="008D0A08" w:rsidRDefault="009621CE" w:rsidP="008D0A08">
      <w:pPr>
        <w:pStyle w:val="Body"/>
        <w:spacing w:line="360" w:lineRule="auto"/>
        <w:jc w:val="both"/>
        <w:rPr>
          <w:rFonts w:ascii="Book Antiqua" w:hAnsi="Book Antiqua"/>
          <w:b/>
          <w:bCs/>
        </w:rPr>
      </w:pPr>
    </w:p>
    <w:p w14:paraId="0C6A98D7" w14:textId="6EF54F47" w:rsidR="009C6545" w:rsidRPr="00653E7C" w:rsidRDefault="00DC618A" w:rsidP="00653E7C">
      <w:pPr>
        <w:spacing w:line="360" w:lineRule="auto"/>
        <w:jc w:val="both"/>
        <w:rPr>
          <w:rFonts w:ascii="Book Antiqua" w:eastAsia="宋体" w:hAnsi="Book Antiqua"/>
          <w:b/>
          <w:bCs/>
          <w:i/>
          <w:lang w:eastAsia="zh-CN"/>
        </w:rPr>
      </w:pPr>
      <w:r w:rsidRPr="00653E7C">
        <w:rPr>
          <w:rFonts w:ascii="Book Antiqua" w:hAnsi="Book Antiqua"/>
          <w:b/>
          <w:bCs/>
          <w:i/>
        </w:rPr>
        <w:t>Research frontiers</w:t>
      </w:r>
    </w:p>
    <w:p w14:paraId="7344D9C2" w14:textId="4214F4A0" w:rsidR="00D37919" w:rsidRPr="008D0A08" w:rsidRDefault="00D37919" w:rsidP="008D0A08">
      <w:pPr>
        <w:pStyle w:val="Body"/>
        <w:spacing w:line="360" w:lineRule="auto"/>
        <w:jc w:val="both"/>
        <w:rPr>
          <w:rFonts w:ascii="Book Antiqua" w:hAnsi="Book Antiqua"/>
        </w:rPr>
      </w:pPr>
      <w:r w:rsidRPr="008D0A08">
        <w:rPr>
          <w:rStyle w:val="apple-converted-space"/>
          <w:rFonts w:ascii="Book Antiqua" w:hAnsi="Book Antiqua"/>
          <w:color w:val="1A1A1A"/>
          <w:u w:color="1A1A1A"/>
        </w:rPr>
        <w:t>As sub-maximal dilation of TIPS has gained increased clinical use, there have been more studies investigating the presence and effe</w:t>
      </w:r>
      <w:r w:rsidR="009621CE" w:rsidRPr="008D0A08">
        <w:rPr>
          <w:rStyle w:val="apple-converted-space"/>
          <w:rFonts w:ascii="Book Antiqua" w:hAnsi="Book Antiqua"/>
          <w:color w:val="1A1A1A"/>
          <w:u w:color="1A1A1A"/>
        </w:rPr>
        <w:t>ct of passive expansion</w:t>
      </w:r>
      <w:r w:rsidRPr="008D0A08">
        <w:rPr>
          <w:rStyle w:val="apple-converted-space"/>
          <w:rFonts w:ascii="Book Antiqua" w:hAnsi="Book Antiqua"/>
          <w:color w:val="1A1A1A"/>
          <w:u w:color="1A1A1A"/>
        </w:rPr>
        <w:t xml:space="preserve"> in both peripheral circulation and TIPS.</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Late expansion of </w:t>
      </w:r>
      <w:r w:rsidRPr="008D0A08">
        <w:rPr>
          <w:rStyle w:val="apple-converted-space"/>
          <w:rFonts w:ascii="Book Antiqua" w:hAnsi="Book Antiqua"/>
          <w:color w:val="1A1A1A"/>
          <w:u w:color="1A1A1A"/>
          <w:lang w:val="it-IT"/>
        </w:rPr>
        <w:t xml:space="preserve">bare metal </w:t>
      </w:r>
      <w:proofErr w:type="spellStart"/>
      <w:r w:rsidRPr="008D0A08">
        <w:rPr>
          <w:rStyle w:val="apple-converted-space"/>
          <w:rFonts w:ascii="Book Antiqua" w:hAnsi="Book Antiqua"/>
          <w:color w:val="1A1A1A"/>
          <w:u w:color="1A1A1A"/>
        </w:rPr>
        <w:t>nitinol</w:t>
      </w:r>
      <w:proofErr w:type="spellEnd"/>
      <w:r w:rsidRPr="008D0A08">
        <w:rPr>
          <w:rStyle w:val="apple-converted-space"/>
          <w:rFonts w:ascii="Book Antiqua" w:hAnsi="Book Antiqua"/>
          <w:color w:val="1A1A1A"/>
          <w:u w:color="1A1A1A"/>
        </w:rPr>
        <w:t xml:space="preserve"> stents was demonstrated after 6 months in peripheral arteries of an animal model.</w:t>
      </w:r>
      <w:r w:rsidR="006D232F">
        <w:rPr>
          <w:rStyle w:val="apple-converted-space"/>
          <w:rFonts w:ascii="Book Antiqua" w:hAnsi="Book Antiqua"/>
          <w:color w:val="1A1A1A"/>
          <w:u w:color="1A1A1A"/>
        </w:rPr>
        <w:t xml:space="preserve"> </w:t>
      </w:r>
      <w:proofErr w:type="spellStart"/>
      <w:r w:rsidRPr="008D0A08">
        <w:rPr>
          <w:rStyle w:val="apple-converted-space"/>
          <w:rFonts w:ascii="Book Antiqua" w:hAnsi="Book Antiqua"/>
          <w:color w:val="1A1A1A"/>
          <w:u w:color="1A1A1A"/>
        </w:rPr>
        <w:t>Haskal</w:t>
      </w:r>
      <w:proofErr w:type="spellEnd"/>
      <w:r w:rsidRPr="008D0A08">
        <w:rPr>
          <w:rStyle w:val="apple-converted-space"/>
          <w:rFonts w:ascii="Book Antiqua" w:hAnsi="Book Antiqua"/>
          <w:color w:val="1A1A1A"/>
          <w:u w:color="1A1A1A"/>
        </w:rPr>
        <w:t xml:space="preserve"> </w:t>
      </w:r>
      <w:r w:rsidRPr="00EE1EE9">
        <w:rPr>
          <w:rStyle w:val="apple-converted-space"/>
          <w:rFonts w:ascii="Book Antiqua" w:hAnsi="Book Antiqua"/>
          <w:i/>
          <w:color w:val="1A1A1A"/>
          <w:u w:color="1A1A1A"/>
        </w:rPr>
        <w:t>et al</w:t>
      </w:r>
      <w:r w:rsidRPr="008D0A08">
        <w:rPr>
          <w:rStyle w:val="apple-converted-space"/>
          <w:rFonts w:ascii="Book Antiqua" w:hAnsi="Book Antiqua"/>
          <w:color w:val="1A1A1A"/>
          <w:u w:color="1A1A1A"/>
        </w:rPr>
        <w:t xml:space="preserve"> showed that after immediate recoil of </w:t>
      </w:r>
      <w:proofErr w:type="spellStart"/>
      <w:r w:rsidRPr="008D0A08">
        <w:rPr>
          <w:rStyle w:val="apple-converted-space"/>
          <w:rFonts w:ascii="Book Antiqua" w:hAnsi="Book Antiqua"/>
          <w:color w:val="1A1A1A"/>
          <w:u w:color="1A1A1A"/>
        </w:rPr>
        <w:t>Wallstent</w:t>
      </w:r>
      <w:proofErr w:type="spellEnd"/>
      <w:r w:rsidRPr="008D0A08">
        <w:rPr>
          <w:rStyle w:val="apple-converted-space"/>
          <w:rFonts w:ascii="Book Antiqua" w:hAnsi="Book Antiqua"/>
          <w:color w:val="1A1A1A"/>
          <w:u w:color="1A1A1A"/>
        </w:rPr>
        <w:t xml:space="preserve"> TIPS stents after placement, passive expansion to nominal diameter occurred at follow-up venography t</w:t>
      </w:r>
      <w:r w:rsidR="00EE1EE9">
        <w:rPr>
          <w:rStyle w:val="apple-converted-space"/>
          <w:rFonts w:ascii="Book Antiqua" w:hAnsi="Book Antiqua"/>
          <w:color w:val="1A1A1A"/>
          <w:u w:color="1A1A1A"/>
        </w:rPr>
        <w:t xml:space="preserve">hree to six months later. </w:t>
      </w:r>
      <w:r w:rsidRPr="008D0A08">
        <w:rPr>
          <w:rStyle w:val="apple-converted-space"/>
          <w:rFonts w:ascii="Book Antiqua" w:hAnsi="Book Antiqua"/>
          <w:color w:val="1A1A1A"/>
          <w:u w:color="1A1A1A"/>
        </w:rPr>
        <w:t>Pieper</w:t>
      </w:r>
      <w:r w:rsidRPr="00EE1EE9">
        <w:rPr>
          <w:rStyle w:val="apple-converted-space"/>
          <w:rFonts w:ascii="Book Antiqua" w:hAnsi="Book Antiqua"/>
          <w:i/>
          <w:color w:val="1A1A1A"/>
          <w:u w:color="1A1A1A"/>
        </w:rPr>
        <w:t xml:space="preserve"> et al</w:t>
      </w:r>
      <w:r w:rsidRPr="008D0A08">
        <w:rPr>
          <w:rStyle w:val="apple-converted-space"/>
          <w:rFonts w:ascii="Book Antiqua" w:hAnsi="Book Antiqua"/>
          <w:color w:val="1A1A1A"/>
          <w:u w:color="1A1A1A"/>
        </w:rPr>
        <w:t xml:space="preserve"> studied 29 patients with </w:t>
      </w:r>
      <w:proofErr w:type="spellStart"/>
      <w:r w:rsidRPr="008D0A08">
        <w:rPr>
          <w:rStyle w:val="apple-converted-space"/>
          <w:rFonts w:ascii="Book Antiqua" w:hAnsi="Book Antiqua"/>
          <w:lang w:val="it-IT"/>
        </w:rPr>
        <w:t>Viatorr</w:t>
      </w:r>
      <w:proofErr w:type="spellEnd"/>
      <w:r w:rsidRPr="008D0A08">
        <w:rPr>
          <w:rStyle w:val="apple-converted-space"/>
          <w:rFonts w:ascii="Book Antiqua" w:hAnsi="Book Antiqua"/>
        </w:rPr>
        <w:t xml:space="preserve"> </w:t>
      </w:r>
      <w:r w:rsidRPr="008D0A08">
        <w:rPr>
          <w:rStyle w:val="apple-converted-space"/>
          <w:rFonts w:ascii="Book Antiqua" w:hAnsi="Book Antiqua"/>
          <w:color w:val="1A1A1A"/>
          <w:u w:color="1A1A1A"/>
        </w:rPr>
        <w:t>TIPS sub-maximally dilated to a mean of 64% of their nominal area, and found passive expansion to 88% during follow-up, with significant expansion occurring within 6 months.</w:t>
      </w:r>
      <w:r w:rsidR="006D232F">
        <w:rPr>
          <w:rStyle w:val="apple-converted-space"/>
          <w:rFonts w:ascii="Book Antiqua" w:hAnsi="Book Antiqua"/>
          <w:color w:val="1A1A1A"/>
          <w:u w:color="1A1A1A"/>
        </w:rPr>
        <w:t xml:space="preserve"> </w:t>
      </w:r>
      <w:r w:rsidRPr="008D0A08">
        <w:rPr>
          <w:rStyle w:val="apple-converted-space"/>
          <w:rFonts w:ascii="Book Antiqua" w:hAnsi="Book Antiqua"/>
          <w:color w:val="1A1A1A"/>
          <w:u w:color="1A1A1A"/>
        </w:rPr>
        <w:t xml:space="preserve">Finally, </w:t>
      </w:r>
      <w:proofErr w:type="spellStart"/>
      <w:r w:rsidRPr="008D0A08">
        <w:rPr>
          <w:rStyle w:val="apple-converted-space"/>
          <w:rFonts w:ascii="Book Antiqua" w:hAnsi="Book Antiqua"/>
          <w:color w:val="1A1A1A"/>
          <w:u w:color="1A1A1A"/>
        </w:rPr>
        <w:t>Gaba</w:t>
      </w:r>
      <w:proofErr w:type="spellEnd"/>
      <w:r w:rsidRPr="008D0A08">
        <w:rPr>
          <w:rStyle w:val="apple-converted-space"/>
          <w:rFonts w:ascii="Book Antiqua" w:hAnsi="Book Antiqua"/>
          <w:color w:val="1A1A1A"/>
          <w:u w:color="1A1A1A"/>
        </w:rPr>
        <w:t xml:space="preserve"> et al evaluated 41 patients with 10 mm nominal </w:t>
      </w:r>
      <w:proofErr w:type="spellStart"/>
      <w:r w:rsidRPr="008D0A08">
        <w:rPr>
          <w:rStyle w:val="apple-converted-space"/>
          <w:rFonts w:ascii="Book Antiqua" w:hAnsi="Book Antiqua"/>
          <w:lang w:val="it-IT"/>
        </w:rPr>
        <w:t>Viatorr</w:t>
      </w:r>
      <w:proofErr w:type="spellEnd"/>
      <w:r w:rsidRPr="008D0A08">
        <w:rPr>
          <w:rStyle w:val="apple-converted-space"/>
          <w:rFonts w:ascii="Book Antiqua" w:hAnsi="Book Antiqua"/>
          <w:color w:val="1A1A1A"/>
          <w:u w:color="1A1A1A"/>
        </w:rPr>
        <w:t xml:space="preserve"> TIPS sub-maximally dilated to 8 mm, and demonstrated passive expansion with follow-up CT median stent diameter of 9.8 mm at a median of 76 days post TIPS creation without difference in incidence of post-TIPS HE in </w:t>
      </w:r>
      <w:proofErr w:type="spellStart"/>
      <w:r w:rsidRPr="008D0A08">
        <w:rPr>
          <w:rStyle w:val="apple-converted-space"/>
          <w:rFonts w:ascii="Book Antiqua" w:hAnsi="Book Antiqua"/>
          <w:color w:val="1A1A1A"/>
          <w:u w:color="1A1A1A"/>
        </w:rPr>
        <w:t>smTIPS</w:t>
      </w:r>
      <w:proofErr w:type="spellEnd"/>
      <w:r w:rsidRPr="008D0A08">
        <w:rPr>
          <w:rStyle w:val="apple-converted-space"/>
          <w:rFonts w:ascii="Book Antiqua" w:hAnsi="Book Antiqua"/>
          <w:color w:val="1A1A1A"/>
          <w:u w:color="1A1A1A"/>
        </w:rPr>
        <w:t xml:space="preserve"> versus </w:t>
      </w:r>
      <w:proofErr w:type="spellStart"/>
      <w:r w:rsidRPr="008D0A08">
        <w:rPr>
          <w:rStyle w:val="apple-converted-space"/>
          <w:rFonts w:ascii="Book Antiqua" w:hAnsi="Book Antiqua"/>
          <w:color w:val="1A1A1A"/>
          <w:u w:color="1A1A1A"/>
        </w:rPr>
        <w:t>mTIPS</w:t>
      </w:r>
      <w:proofErr w:type="spellEnd"/>
      <w:r w:rsidRPr="008D0A08">
        <w:rPr>
          <w:rStyle w:val="apple-converted-space"/>
          <w:rFonts w:ascii="Book Antiqua" w:hAnsi="Book Antiqua"/>
          <w:color w:val="1A1A1A"/>
          <w:u w:color="1A1A1A"/>
        </w:rPr>
        <w:t>.</w:t>
      </w:r>
    </w:p>
    <w:p w14:paraId="139A5BF5" w14:textId="77777777" w:rsidR="00DC618A" w:rsidRPr="008D0A08" w:rsidRDefault="00DC618A" w:rsidP="008D0A08">
      <w:pPr>
        <w:spacing w:line="360" w:lineRule="auto"/>
        <w:jc w:val="both"/>
        <w:rPr>
          <w:rFonts w:ascii="Book Antiqua" w:hAnsi="Book Antiqua"/>
          <w:b/>
        </w:rPr>
      </w:pPr>
    </w:p>
    <w:p w14:paraId="0868F7B7" w14:textId="25A9297B" w:rsidR="009C6545" w:rsidRPr="00EE1EE9" w:rsidRDefault="00DC618A" w:rsidP="00EE1EE9">
      <w:pPr>
        <w:spacing w:line="360" w:lineRule="auto"/>
        <w:jc w:val="both"/>
        <w:rPr>
          <w:rFonts w:ascii="Book Antiqua" w:eastAsia="宋体" w:hAnsi="Book Antiqua"/>
          <w:b/>
          <w:bCs/>
          <w:i/>
          <w:lang w:eastAsia="zh-CN"/>
        </w:rPr>
      </w:pPr>
      <w:r w:rsidRPr="00EE1EE9">
        <w:rPr>
          <w:rFonts w:ascii="Book Antiqua" w:hAnsi="Book Antiqua"/>
          <w:b/>
          <w:bCs/>
          <w:i/>
        </w:rPr>
        <w:t>Innovations and breakthroughs</w:t>
      </w:r>
    </w:p>
    <w:p w14:paraId="123D3DB1" w14:textId="70D68D15" w:rsidR="00DC618A" w:rsidRPr="008D0A08" w:rsidRDefault="00E0109C" w:rsidP="008D0A08">
      <w:pPr>
        <w:spacing w:line="360" w:lineRule="auto"/>
        <w:jc w:val="both"/>
        <w:rPr>
          <w:rFonts w:ascii="Book Antiqua" w:hAnsi="Book Antiqua"/>
        </w:rPr>
      </w:pPr>
      <w:r w:rsidRPr="008D0A08">
        <w:rPr>
          <w:rFonts w:ascii="Book Antiqua" w:hAnsi="Book Antiqua"/>
        </w:rPr>
        <w:t xml:space="preserve">While the aforementioned studies </w:t>
      </w:r>
      <w:r w:rsidR="000A16AF" w:rsidRPr="008D0A08">
        <w:rPr>
          <w:rFonts w:ascii="Book Antiqua" w:hAnsi="Book Antiqua"/>
        </w:rPr>
        <w:t>focused on establishing</w:t>
      </w:r>
      <w:r w:rsidRPr="008D0A08">
        <w:rPr>
          <w:rFonts w:ascii="Book Antiqua" w:hAnsi="Book Antiqua"/>
        </w:rPr>
        <w:t xml:space="preserve"> the presence of passive expansion, </w:t>
      </w:r>
      <w:r w:rsidR="000A16AF" w:rsidRPr="008D0A08">
        <w:rPr>
          <w:rFonts w:ascii="Book Antiqua" w:hAnsi="Book Antiqua"/>
        </w:rPr>
        <w:t>there is a lack of published data investigating the clinical outcomes of sub-maximally dilated TIPS with maximally dilated TIPS in addition to the presence of passive expansion.</w:t>
      </w:r>
      <w:r w:rsidR="006D232F">
        <w:rPr>
          <w:rFonts w:ascii="Book Antiqua" w:hAnsi="Book Antiqua"/>
        </w:rPr>
        <w:t xml:space="preserve"> </w:t>
      </w:r>
      <w:r w:rsidR="000A16AF" w:rsidRPr="008D0A08">
        <w:rPr>
          <w:rFonts w:ascii="Book Antiqua" w:hAnsi="Book Antiqua"/>
        </w:rPr>
        <w:t>While the study showed</w:t>
      </w:r>
      <w:r w:rsidR="001C7D46" w:rsidRPr="008D0A08">
        <w:rPr>
          <w:rFonts w:ascii="Book Antiqua" w:hAnsi="Book Antiqua"/>
        </w:rPr>
        <w:t xml:space="preserve"> passive expansion does occur, not all shunts fully expanded to nominal diameter </w:t>
      </w:r>
      <w:r w:rsidR="000A16AF" w:rsidRPr="008D0A08">
        <w:rPr>
          <w:rFonts w:ascii="Book Antiqua" w:hAnsi="Book Antiqua"/>
        </w:rPr>
        <w:t xml:space="preserve">and </w:t>
      </w:r>
      <w:r w:rsidR="001C7D46" w:rsidRPr="008D0A08">
        <w:rPr>
          <w:rFonts w:ascii="Book Antiqua" w:hAnsi="Book Antiqua"/>
        </w:rPr>
        <w:t xml:space="preserve">expansion </w:t>
      </w:r>
      <w:r w:rsidR="000A16AF" w:rsidRPr="008D0A08">
        <w:rPr>
          <w:rFonts w:ascii="Book Antiqua" w:hAnsi="Book Antiqua"/>
        </w:rPr>
        <w:t xml:space="preserve">even occurred after 6 </w:t>
      </w:r>
      <w:proofErr w:type="spellStart"/>
      <w:proofErr w:type="gramStart"/>
      <w:r w:rsidR="00EE1EE9">
        <w:rPr>
          <w:rFonts w:ascii="Book Antiqua" w:eastAsia="宋体" w:hAnsi="Book Antiqua" w:hint="eastAsia"/>
          <w:lang w:eastAsia="zh-CN"/>
        </w:rPr>
        <w:t>mo</w:t>
      </w:r>
      <w:proofErr w:type="spellEnd"/>
      <w:proofErr w:type="gramEnd"/>
      <w:r w:rsidR="000A16AF" w:rsidRPr="008D0A08">
        <w:rPr>
          <w:rFonts w:ascii="Book Antiqua" w:hAnsi="Book Antiqua"/>
        </w:rPr>
        <w:t>, unlike prior studies.</w:t>
      </w:r>
      <w:r w:rsidR="006D232F">
        <w:rPr>
          <w:rFonts w:ascii="Book Antiqua" w:hAnsi="Book Antiqua"/>
        </w:rPr>
        <w:t xml:space="preserve"> </w:t>
      </w:r>
      <w:r w:rsidR="000A16AF" w:rsidRPr="008D0A08">
        <w:rPr>
          <w:rFonts w:ascii="Book Antiqua" w:hAnsi="Book Antiqua"/>
        </w:rPr>
        <w:t xml:space="preserve">More importantly, the comparison of clinical outcomes of </w:t>
      </w:r>
      <w:proofErr w:type="spellStart"/>
      <w:r w:rsidR="000A16AF" w:rsidRPr="008D0A08">
        <w:rPr>
          <w:rFonts w:ascii="Book Antiqua" w:hAnsi="Book Antiqua"/>
        </w:rPr>
        <w:t>smTIPS</w:t>
      </w:r>
      <w:proofErr w:type="spellEnd"/>
      <w:r w:rsidR="000A16AF" w:rsidRPr="008D0A08">
        <w:rPr>
          <w:rFonts w:ascii="Book Antiqua" w:hAnsi="Book Antiqua"/>
        </w:rPr>
        <w:t xml:space="preserve"> versus </w:t>
      </w:r>
      <w:proofErr w:type="spellStart"/>
      <w:r w:rsidR="000A16AF" w:rsidRPr="008D0A08">
        <w:rPr>
          <w:rFonts w:ascii="Book Antiqua" w:hAnsi="Book Antiqua"/>
        </w:rPr>
        <w:t>mTIPS</w:t>
      </w:r>
      <w:proofErr w:type="spellEnd"/>
      <w:r w:rsidR="000A16AF" w:rsidRPr="008D0A08">
        <w:rPr>
          <w:rFonts w:ascii="Book Antiqua" w:hAnsi="Book Antiqua"/>
        </w:rPr>
        <w:t xml:space="preserve"> </w:t>
      </w:r>
      <w:r w:rsidR="009C6545" w:rsidRPr="008D0A08">
        <w:rPr>
          <w:rFonts w:ascii="Book Antiqua" w:hAnsi="Book Antiqua"/>
        </w:rPr>
        <w:t>showed no significant difference in primary patency, primary assisted patency, clinical success, or post-TIPS HE.</w:t>
      </w:r>
    </w:p>
    <w:p w14:paraId="52746F70" w14:textId="77777777" w:rsidR="00DC618A" w:rsidRPr="008D0A08" w:rsidRDefault="00DC618A" w:rsidP="008D0A08">
      <w:pPr>
        <w:spacing w:line="360" w:lineRule="auto"/>
        <w:jc w:val="both"/>
        <w:rPr>
          <w:rFonts w:ascii="Book Antiqua" w:hAnsi="Book Antiqua"/>
          <w:b/>
        </w:rPr>
      </w:pPr>
    </w:p>
    <w:p w14:paraId="6DAB216C" w14:textId="45C64881" w:rsidR="009C6545" w:rsidRPr="00EE1EE9" w:rsidRDefault="00DC618A" w:rsidP="00EE1EE9">
      <w:pPr>
        <w:spacing w:line="360" w:lineRule="auto"/>
        <w:jc w:val="both"/>
        <w:rPr>
          <w:rFonts w:ascii="Book Antiqua" w:eastAsia="宋体" w:hAnsi="Book Antiqua"/>
          <w:b/>
          <w:bCs/>
          <w:i/>
          <w:lang w:eastAsia="zh-CN"/>
        </w:rPr>
      </w:pPr>
      <w:r w:rsidRPr="00EE1EE9">
        <w:rPr>
          <w:rFonts w:ascii="Book Antiqua" w:hAnsi="Book Antiqua"/>
          <w:b/>
          <w:bCs/>
          <w:i/>
        </w:rPr>
        <w:lastRenderedPageBreak/>
        <w:t>Applications</w:t>
      </w:r>
    </w:p>
    <w:p w14:paraId="6217EDA4" w14:textId="16FA0EA9" w:rsidR="00DC618A" w:rsidRPr="008D0A08" w:rsidRDefault="000A16AF" w:rsidP="008D0A08">
      <w:pPr>
        <w:spacing w:line="360" w:lineRule="auto"/>
        <w:jc w:val="both"/>
        <w:rPr>
          <w:rFonts w:ascii="Book Antiqua" w:hAnsi="Book Antiqua"/>
        </w:rPr>
      </w:pPr>
      <w:r w:rsidRPr="008D0A08">
        <w:rPr>
          <w:rFonts w:ascii="Book Antiqua" w:hAnsi="Book Antiqua"/>
        </w:rPr>
        <w:t>In patients who are at high risk for post-TIPS hepatic encephalopathy, based on pre-TIPS encephalopathy or low pre-TIPS PSG, sub-maximal dilation may be an effective method to balance adequate portal decompression</w:t>
      </w:r>
      <w:r w:rsidR="00EE1EE9">
        <w:rPr>
          <w:rFonts w:ascii="Book Antiqua" w:hAnsi="Book Antiqua"/>
        </w:rPr>
        <w:t xml:space="preserve"> with the risk of over-shunting</w:t>
      </w:r>
      <w:r w:rsidR="00EE1EE9">
        <w:rPr>
          <w:rFonts w:ascii="Book Antiqua" w:eastAsia="宋体" w:hAnsi="Book Antiqua" w:hint="eastAsia"/>
          <w:lang w:eastAsia="zh-CN"/>
        </w:rPr>
        <w:t xml:space="preserve"> </w:t>
      </w:r>
      <w:r w:rsidRPr="008D0A08">
        <w:rPr>
          <w:rFonts w:ascii="Book Antiqua" w:hAnsi="Book Antiqua"/>
        </w:rPr>
        <w:t>and hepatic encephalopathy with the knowledge that passive expansion following placement does not appear to affect clinical outcomes.</w:t>
      </w:r>
    </w:p>
    <w:p w14:paraId="4B0493C1" w14:textId="77777777" w:rsidR="00DC618A" w:rsidRPr="008D0A08" w:rsidRDefault="00DC618A" w:rsidP="008D0A08">
      <w:pPr>
        <w:spacing w:line="360" w:lineRule="auto"/>
        <w:jc w:val="both"/>
        <w:rPr>
          <w:rFonts w:ascii="Book Antiqua" w:hAnsi="Book Antiqua" w:cs="Arial"/>
          <w:b/>
          <w:bCs/>
        </w:rPr>
      </w:pPr>
    </w:p>
    <w:p w14:paraId="09A53187" w14:textId="12112B1C" w:rsidR="00DC618A" w:rsidRPr="008D0A08" w:rsidRDefault="00DC618A" w:rsidP="008D0A08">
      <w:pPr>
        <w:spacing w:line="360" w:lineRule="auto"/>
        <w:jc w:val="both"/>
        <w:rPr>
          <w:rFonts w:ascii="Book Antiqua" w:hAnsi="Book Antiqua" w:cs="Arial"/>
          <w:b/>
          <w:bCs/>
        </w:rPr>
      </w:pPr>
      <w:r w:rsidRPr="008D0A08">
        <w:rPr>
          <w:rFonts w:ascii="Book Antiqua" w:hAnsi="Book Antiqua" w:cs="Arial"/>
          <w:b/>
          <w:bCs/>
          <w:i/>
        </w:rPr>
        <w:t>Terminology</w:t>
      </w:r>
    </w:p>
    <w:p w14:paraId="6F8837C8" w14:textId="4F4FAD5D" w:rsidR="00DC618A" w:rsidRPr="001512D1" w:rsidRDefault="00605914" w:rsidP="008D0A08">
      <w:pPr>
        <w:spacing w:line="360" w:lineRule="auto"/>
        <w:jc w:val="both"/>
        <w:rPr>
          <w:rFonts w:ascii="Book Antiqua" w:eastAsia="宋体" w:hAnsi="Book Antiqua" w:cs="Arial"/>
          <w:lang w:eastAsia="zh-CN"/>
        </w:rPr>
      </w:pPr>
      <w:bookmarkStart w:id="101" w:name="OLE_LINK13"/>
      <w:bookmarkStart w:id="102" w:name="OLE_LINK323"/>
      <w:bookmarkStart w:id="103" w:name="OLE_LINK349"/>
      <w:bookmarkStart w:id="104" w:name="OLE_LINK377"/>
      <w:bookmarkStart w:id="105" w:name="OLE_LINK386"/>
      <w:bookmarkStart w:id="106" w:name="OLE_LINK400"/>
      <w:bookmarkStart w:id="107" w:name="OLE_LINK416"/>
      <w:bookmarkStart w:id="108" w:name="OLE_LINK512"/>
      <w:r w:rsidRPr="008D0A08">
        <w:rPr>
          <w:rFonts w:ascii="Book Antiqua" w:hAnsi="Book Antiqua" w:cs="Arial"/>
        </w:rPr>
        <w:t>Sub-maximally dilated TIPS – TIPS stent grafts that are not fully dilated to nominal diameter following deployment</w:t>
      </w:r>
      <w:r w:rsidR="001512D1">
        <w:rPr>
          <w:rFonts w:ascii="Book Antiqua" w:eastAsia="宋体" w:hAnsi="Book Antiqua" w:cs="Arial" w:hint="eastAsia"/>
          <w:lang w:eastAsia="zh-CN"/>
        </w:rPr>
        <w:t>.</w:t>
      </w:r>
    </w:p>
    <w:p w14:paraId="102A3AC7" w14:textId="77777777" w:rsidR="00605914" w:rsidRPr="008D0A08" w:rsidRDefault="00605914" w:rsidP="008D0A08">
      <w:pPr>
        <w:spacing w:line="360" w:lineRule="auto"/>
        <w:jc w:val="both"/>
        <w:rPr>
          <w:rFonts w:ascii="Book Antiqua" w:hAnsi="Book Antiqua"/>
          <w:b/>
          <w:i/>
        </w:rPr>
      </w:pPr>
    </w:p>
    <w:p w14:paraId="57D0D8BC" w14:textId="77777777" w:rsidR="00DC618A" w:rsidRDefault="00DC618A" w:rsidP="008D0A08">
      <w:pPr>
        <w:spacing w:line="360" w:lineRule="auto"/>
        <w:jc w:val="both"/>
        <w:rPr>
          <w:rFonts w:ascii="Book Antiqua" w:eastAsia="宋体" w:hAnsi="Book Antiqua"/>
          <w:b/>
          <w:i/>
          <w:lang w:eastAsia="zh-CN"/>
        </w:rPr>
      </w:pPr>
      <w:bookmarkStart w:id="109" w:name="OLE_LINK598"/>
      <w:bookmarkStart w:id="110" w:name="OLE_LINK599"/>
      <w:r w:rsidRPr="008D0A08">
        <w:rPr>
          <w:rFonts w:ascii="Book Antiqua" w:hAnsi="Book Antiqua"/>
          <w:b/>
          <w:i/>
        </w:rPr>
        <w:t>Peer-review</w:t>
      </w:r>
    </w:p>
    <w:p w14:paraId="37AF901D" w14:textId="1E6CCF0B" w:rsidR="00EE1EE9" w:rsidRPr="001512D1" w:rsidRDefault="001512D1" w:rsidP="008D0A08">
      <w:pPr>
        <w:spacing w:line="360" w:lineRule="auto"/>
        <w:jc w:val="both"/>
        <w:rPr>
          <w:rFonts w:ascii="Book Antiqua" w:eastAsia="宋体" w:hAnsi="Book Antiqua"/>
          <w:lang w:eastAsia="zh-CN"/>
        </w:rPr>
      </w:pPr>
      <w:r w:rsidRPr="001512D1">
        <w:rPr>
          <w:rFonts w:ascii="Book Antiqua" w:eastAsia="宋体" w:hAnsi="Book Antiqua"/>
          <w:lang w:eastAsia="zh-CN"/>
        </w:rPr>
        <w:t xml:space="preserve">The study is </w:t>
      </w:r>
      <w:r>
        <w:rPr>
          <w:rFonts w:ascii="Book Antiqua" w:eastAsia="宋体" w:hAnsi="Book Antiqua"/>
          <w:lang w:eastAsia="zh-CN"/>
        </w:rPr>
        <w:t>to compare clinical outcomes of</w:t>
      </w:r>
      <w:r>
        <w:rPr>
          <w:rFonts w:ascii="Book Antiqua" w:eastAsia="宋体" w:hAnsi="Book Antiqua" w:hint="eastAsia"/>
          <w:lang w:eastAsia="zh-CN"/>
        </w:rPr>
        <w:t xml:space="preserve"> </w:t>
      </w:r>
      <w:proofErr w:type="spellStart"/>
      <w:r>
        <w:rPr>
          <w:rFonts w:ascii="Book Antiqua" w:eastAsia="宋体" w:hAnsi="Book Antiqua"/>
          <w:lang w:eastAsia="zh-CN"/>
        </w:rPr>
        <w:t>smTIPS</w:t>
      </w:r>
      <w:proofErr w:type="spellEnd"/>
      <w:r w:rsidRPr="001512D1">
        <w:rPr>
          <w:rFonts w:ascii="Book Antiqua" w:eastAsia="宋体" w:hAnsi="Book Antiqua"/>
          <w:lang w:eastAsia="zh-CN"/>
        </w:rPr>
        <w:t xml:space="preserve"> with </w:t>
      </w:r>
      <w:proofErr w:type="spellStart"/>
      <w:r>
        <w:rPr>
          <w:rFonts w:ascii="Book Antiqua" w:eastAsia="宋体" w:hAnsi="Book Antiqua"/>
          <w:lang w:eastAsia="zh-CN"/>
        </w:rPr>
        <w:t>mTIPS</w:t>
      </w:r>
      <w:proofErr w:type="spellEnd"/>
      <w:r w:rsidRPr="001512D1">
        <w:rPr>
          <w:rFonts w:ascii="Book Antiqua" w:eastAsia="宋体" w:hAnsi="Book Antiqua"/>
          <w:lang w:eastAsia="zh-CN"/>
        </w:rPr>
        <w:t>. The results suggest the method may be of significance</w:t>
      </w:r>
      <w:r>
        <w:rPr>
          <w:rFonts w:ascii="Book Antiqua" w:eastAsia="宋体" w:hAnsi="Book Antiqua" w:hint="eastAsia"/>
          <w:lang w:eastAsia="zh-CN"/>
        </w:rPr>
        <w:t>.</w:t>
      </w:r>
    </w:p>
    <w:bookmarkEnd w:id="99"/>
    <w:bookmarkEnd w:id="100"/>
    <w:bookmarkEnd w:id="101"/>
    <w:bookmarkEnd w:id="102"/>
    <w:bookmarkEnd w:id="103"/>
    <w:bookmarkEnd w:id="104"/>
    <w:bookmarkEnd w:id="105"/>
    <w:bookmarkEnd w:id="106"/>
    <w:bookmarkEnd w:id="107"/>
    <w:bookmarkEnd w:id="108"/>
    <w:bookmarkEnd w:id="109"/>
    <w:bookmarkEnd w:id="110"/>
    <w:p w14:paraId="02177F7D" w14:textId="77777777" w:rsidR="00863E51" w:rsidRPr="001512D1" w:rsidRDefault="00863E51" w:rsidP="008D0A08">
      <w:pPr>
        <w:pStyle w:val="Body"/>
        <w:spacing w:line="360" w:lineRule="auto"/>
        <w:jc w:val="both"/>
        <w:rPr>
          <w:rStyle w:val="apple-converted-space"/>
          <w:rFonts w:ascii="Book Antiqua" w:hAnsi="Book Antiqua"/>
        </w:rPr>
      </w:pPr>
      <w:r w:rsidRPr="001512D1">
        <w:rPr>
          <w:rStyle w:val="apple-converted-space"/>
          <w:rFonts w:ascii="Book Antiqua" w:hAnsi="Book Antiqua"/>
          <w:bCs/>
          <w:color w:val="1A1A1A"/>
          <w:u w:color="1A1A1A"/>
          <w:lang w:val="fr-FR"/>
        </w:rPr>
        <w:br w:type="page"/>
      </w:r>
    </w:p>
    <w:p w14:paraId="5B79635D" w14:textId="292AF9F9" w:rsidR="00863E51" w:rsidRDefault="00DC618A" w:rsidP="00D752DB">
      <w:pPr>
        <w:autoSpaceDE w:val="0"/>
        <w:autoSpaceDN w:val="0"/>
        <w:adjustRightInd w:val="0"/>
        <w:snapToGrid w:val="0"/>
        <w:spacing w:line="360" w:lineRule="auto"/>
        <w:jc w:val="both"/>
        <w:rPr>
          <w:rFonts w:ascii="Book Antiqua" w:eastAsia="宋体" w:hAnsi="Book Antiqua" w:cs="Arial"/>
          <w:shd w:val="clear" w:color="auto" w:fill="FFFFFF"/>
          <w:lang w:eastAsia="zh-CN"/>
        </w:rPr>
      </w:pPr>
      <w:bookmarkStart w:id="111" w:name="OLE_LINK346"/>
      <w:bookmarkStart w:id="112" w:name="OLE_LINK347"/>
      <w:r w:rsidRPr="008D0A08">
        <w:rPr>
          <w:rFonts w:ascii="Book Antiqua" w:hAnsi="Book Antiqua" w:cs="Arial"/>
          <w:b/>
        </w:rPr>
        <w:lastRenderedPageBreak/>
        <w:t>REFERENCES</w:t>
      </w:r>
      <w:bookmarkEnd w:id="111"/>
      <w:bookmarkEnd w:id="112"/>
    </w:p>
    <w:p w14:paraId="3E48E483"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t>1 </w:t>
      </w:r>
      <w:proofErr w:type="spellStart"/>
      <w:r w:rsidRPr="00B23655">
        <w:rPr>
          <w:rFonts w:ascii="Book Antiqua" w:eastAsia="宋体" w:hAnsi="Book Antiqua" w:cs="宋体"/>
          <w:b/>
          <w:bCs/>
        </w:rPr>
        <w:t>Sommer</w:t>
      </w:r>
      <w:proofErr w:type="spellEnd"/>
      <w:r w:rsidRPr="00B23655">
        <w:rPr>
          <w:rFonts w:ascii="Book Antiqua" w:eastAsia="宋体" w:hAnsi="Book Antiqua" w:cs="宋体"/>
          <w:b/>
          <w:bCs/>
        </w:rPr>
        <w:t xml:space="preserve"> CM</w:t>
      </w:r>
      <w:r w:rsidRPr="00B23655">
        <w:rPr>
          <w:rFonts w:ascii="Book Antiqua" w:eastAsia="宋体" w:hAnsi="Book Antiqua" w:cs="宋体"/>
        </w:rPr>
        <w:t xml:space="preserve">, </w:t>
      </w:r>
      <w:proofErr w:type="spellStart"/>
      <w:r w:rsidRPr="00B23655">
        <w:rPr>
          <w:rFonts w:ascii="Book Antiqua" w:eastAsia="宋体" w:hAnsi="Book Antiqua" w:cs="宋体"/>
        </w:rPr>
        <w:t>Gockner</w:t>
      </w:r>
      <w:proofErr w:type="spellEnd"/>
      <w:r w:rsidRPr="00B23655">
        <w:rPr>
          <w:rFonts w:ascii="Book Antiqua" w:eastAsia="宋体" w:hAnsi="Book Antiqua" w:cs="宋体"/>
        </w:rPr>
        <w:t xml:space="preserve"> TL, </w:t>
      </w:r>
      <w:proofErr w:type="spellStart"/>
      <w:r w:rsidRPr="00B23655">
        <w:rPr>
          <w:rFonts w:ascii="Book Antiqua" w:eastAsia="宋体" w:hAnsi="Book Antiqua" w:cs="宋体"/>
        </w:rPr>
        <w:t>Stampfl</w:t>
      </w:r>
      <w:proofErr w:type="spellEnd"/>
      <w:r w:rsidRPr="00B23655">
        <w:rPr>
          <w:rFonts w:ascii="Book Antiqua" w:eastAsia="宋体" w:hAnsi="Book Antiqua" w:cs="宋体"/>
        </w:rPr>
        <w:t xml:space="preserve"> U, </w:t>
      </w:r>
      <w:proofErr w:type="spellStart"/>
      <w:r w:rsidRPr="00B23655">
        <w:rPr>
          <w:rFonts w:ascii="Book Antiqua" w:eastAsia="宋体" w:hAnsi="Book Antiqua" w:cs="宋体"/>
        </w:rPr>
        <w:t>Bellemann</w:t>
      </w:r>
      <w:proofErr w:type="spellEnd"/>
      <w:r w:rsidRPr="00B23655">
        <w:rPr>
          <w:rFonts w:ascii="Book Antiqua" w:eastAsia="宋体" w:hAnsi="Book Antiqua" w:cs="宋体"/>
        </w:rPr>
        <w:t xml:space="preserve"> N, Sauer P, </w:t>
      </w:r>
      <w:proofErr w:type="spellStart"/>
      <w:r w:rsidRPr="00B23655">
        <w:rPr>
          <w:rFonts w:ascii="Book Antiqua" w:eastAsia="宋体" w:hAnsi="Book Antiqua" w:cs="宋体"/>
        </w:rPr>
        <w:t>Ganten</w:t>
      </w:r>
      <w:proofErr w:type="spellEnd"/>
      <w:r w:rsidRPr="00B23655">
        <w:rPr>
          <w:rFonts w:ascii="Book Antiqua" w:eastAsia="宋体" w:hAnsi="Book Antiqua" w:cs="宋体"/>
        </w:rPr>
        <w:t xml:space="preserve"> T, </w:t>
      </w:r>
      <w:proofErr w:type="spellStart"/>
      <w:r w:rsidRPr="00B23655">
        <w:rPr>
          <w:rFonts w:ascii="Book Antiqua" w:eastAsia="宋体" w:hAnsi="Book Antiqua" w:cs="宋体"/>
        </w:rPr>
        <w:t>Weitz</w:t>
      </w:r>
      <w:proofErr w:type="spellEnd"/>
      <w:r w:rsidRPr="00B23655">
        <w:rPr>
          <w:rFonts w:ascii="Book Antiqua" w:eastAsia="宋体" w:hAnsi="Book Antiqua" w:cs="宋体"/>
        </w:rPr>
        <w:t xml:space="preserve"> J, </w:t>
      </w:r>
      <w:proofErr w:type="spellStart"/>
      <w:r w:rsidRPr="00B23655">
        <w:rPr>
          <w:rFonts w:ascii="Book Antiqua" w:eastAsia="宋体" w:hAnsi="Book Antiqua" w:cs="宋体"/>
        </w:rPr>
        <w:t>Kauczor</w:t>
      </w:r>
      <w:proofErr w:type="spellEnd"/>
      <w:r w:rsidRPr="00B23655">
        <w:rPr>
          <w:rFonts w:ascii="Book Antiqua" w:eastAsia="宋体" w:hAnsi="Book Antiqua" w:cs="宋体"/>
        </w:rPr>
        <w:t xml:space="preserve"> HU, </w:t>
      </w:r>
      <w:proofErr w:type="spellStart"/>
      <w:r w:rsidRPr="00B23655">
        <w:rPr>
          <w:rFonts w:ascii="Book Antiqua" w:eastAsia="宋体" w:hAnsi="Book Antiqua" w:cs="宋体"/>
        </w:rPr>
        <w:t>Radeleff</w:t>
      </w:r>
      <w:proofErr w:type="spellEnd"/>
      <w:r w:rsidRPr="00B23655">
        <w:rPr>
          <w:rFonts w:ascii="Book Antiqua" w:eastAsia="宋体" w:hAnsi="Book Antiqua" w:cs="宋体"/>
        </w:rPr>
        <w:t xml:space="preserve"> BA. Technical and clinical outcome of </w:t>
      </w:r>
      <w:proofErr w:type="spellStart"/>
      <w:r w:rsidRPr="00B23655">
        <w:rPr>
          <w:rFonts w:ascii="Book Antiqua" w:eastAsia="宋体" w:hAnsi="Book Antiqua" w:cs="宋体"/>
        </w:rPr>
        <w:t>transjugular</w:t>
      </w:r>
      <w:proofErr w:type="spellEnd"/>
      <w:r w:rsidRPr="00B23655">
        <w:rPr>
          <w:rFonts w:ascii="Book Antiqua" w:eastAsia="宋体" w:hAnsi="Book Antiqua" w:cs="宋体"/>
        </w:rPr>
        <w:t xml:space="preserve"> intrahepatic </w:t>
      </w:r>
      <w:proofErr w:type="spellStart"/>
      <w:r w:rsidRPr="00B23655">
        <w:rPr>
          <w:rFonts w:ascii="Book Antiqua" w:eastAsia="宋体" w:hAnsi="Book Antiqua" w:cs="宋体"/>
        </w:rPr>
        <w:t>portosystemic</w:t>
      </w:r>
      <w:proofErr w:type="spellEnd"/>
      <w:r w:rsidRPr="00B23655">
        <w:rPr>
          <w:rFonts w:ascii="Book Antiqua" w:eastAsia="宋体" w:hAnsi="Book Antiqua" w:cs="宋体"/>
        </w:rPr>
        <w:t xml:space="preserve"> stent shunt: bare metal stents (BMS) versus </w:t>
      </w:r>
      <w:proofErr w:type="spellStart"/>
      <w:r w:rsidRPr="00B23655">
        <w:rPr>
          <w:rFonts w:ascii="Book Antiqua" w:eastAsia="宋体" w:hAnsi="Book Antiqua" w:cs="宋体"/>
        </w:rPr>
        <w:t>viatorr</w:t>
      </w:r>
      <w:proofErr w:type="spellEnd"/>
      <w:r w:rsidRPr="00B23655">
        <w:rPr>
          <w:rFonts w:ascii="Book Antiqua" w:eastAsia="宋体" w:hAnsi="Book Antiqua" w:cs="宋体"/>
        </w:rPr>
        <w:t xml:space="preserve"> stent-grafts (VSG). </w:t>
      </w:r>
      <w:proofErr w:type="spellStart"/>
      <w:r w:rsidRPr="00B23655">
        <w:rPr>
          <w:rFonts w:ascii="Book Antiqua" w:eastAsia="宋体" w:hAnsi="Book Antiqua" w:cs="宋体"/>
          <w:i/>
          <w:iCs/>
        </w:rPr>
        <w:t>Eur</w:t>
      </w:r>
      <w:proofErr w:type="spellEnd"/>
      <w:r w:rsidRPr="00B23655">
        <w:rPr>
          <w:rFonts w:ascii="Book Antiqua" w:eastAsia="宋体" w:hAnsi="Book Antiqua" w:cs="宋体"/>
          <w:i/>
          <w:iCs/>
        </w:rPr>
        <w:t xml:space="preserve"> J </w:t>
      </w:r>
      <w:proofErr w:type="spellStart"/>
      <w:r w:rsidRPr="00B23655">
        <w:rPr>
          <w:rFonts w:ascii="Book Antiqua" w:eastAsia="宋体" w:hAnsi="Book Antiqua" w:cs="宋体"/>
          <w:i/>
          <w:iCs/>
        </w:rPr>
        <w:t>Radiol</w:t>
      </w:r>
      <w:proofErr w:type="spellEnd"/>
      <w:r w:rsidRPr="00B23655">
        <w:rPr>
          <w:rFonts w:ascii="Book Antiqua" w:eastAsia="宋体" w:hAnsi="Book Antiqua" w:cs="宋体"/>
        </w:rPr>
        <w:t> 2012; </w:t>
      </w:r>
      <w:r w:rsidRPr="00B23655">
        <w:rPr>
          <w:rFonts w:ascii="Book Antiqua" w:eastAsia="宋体" w:hAnsi="Book Antiqua" w:cs="宋体"/>
          <w:b/>
          <w:bCs/>
        </w:rPr>
        <w:t>81</w:t>
      </w:r>
      <w:r w:rsidRPr="00B23655">
        <w:rPr>
          <w:rFonts w:ascii="Book Antiqua" w:eastAsia="宋体" w:hAnsi="Book Antiqua" w:cs="宋体"/>
        </w:rPr>
        <w:t>: 2273-2280 [PMID: 21784593 DOI: 10.1016/j.ejrad.2011.06.037</w:t>
      </w:r>
      <w:r>
        <w:rPr>
          <w:rFonts w:ascii="Book Antiqua" w:eastAsia="宋体" w:hAnsi="Book Antiqua" w:cs="宋体"/>
        </w:rPr>
        <w:t>]</w:t>
      </w:r>
    </w:p>
    <w:p w14:paraId="0D7344F1"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t>2 </w:t>
      </w:r>
      <w:proofErr w:type="spellStart"/>
      <w:r w:rsidRPr="00B23655">
        <w:rPr>
          <w:rFonts w:ascii="Book Antiqua" w:eastAsia="宋体" w:hAnsi="Book Antiqua" w:cs="宋体"/>
          <w:b/>
          <w:bCs/>
        </w:rPr>
        <w:t>Riggio</w:t>
      </w:r>
      <w:proofErr w:type="spellEnd"/>
      <w:r w:rsidRPr="00B23655">
        <w:rPr>
          <w:rFonts w:ascii="Book Antiqua" w:eastAsia="宋体" w:hAnsi="Book Antiqua" w:cs="宋体"/>
          <w:b/>
          <w:bCs/>
        </w:rPr>
        <w:t xml:space="preserve"> O</w:t>
      </w:r>
      <w:r w:rsidRPr="00B23655">
        <w:rPr>
          <w:rFonts w:ascii="Book Antiqua" w:eastAsia="宋体" w:hAnsi="Book Antiqua" w:cs="宋体"/>
        </w:rPr>
        <w:t xml:space="preserve">, </w:t>
      </w:r>
      <w:proofErr w:type="spellStart"/>
      <w:r w:rsidRPr="00B23655">
        <w:rPr>
          <w:rFonts w:ascii="Book Antiqua" w:eastAsia="宋体" w:hAnsi="Book Antiqua" w:cs="宋体"/>
        </w:rPr>
        <w:t>Angeloni</w:t>
      </w:r>
      <w:proofErr w:type="spellEnd"/>
      <w:r w:rsidRPr="00B23655">
        <w:rPr>
          <w:rFonts w:ascii="Book Antiqua" w:eastAsia="宋体" w:hAnsi="Book Antiqua" w:cs="宋体"/>
        </w:rPr>
        <w:t xml:space="preserve"> S, </w:t>
      </w:r>
      <w:proofErr w:type="spellStart"/>
      <w:r w:rsidRPr="00B23655">
        <w:rPr>
          <w:rFonts w:ascii="Book Antiqua" w:eastAsia="宋体" w:hAnsi="Book Antiqua" w:cs="宋体"/>
        </w:rPr>
        <w:t>Salvatori</w:t>
      </w:r>
      <w:proofErr w:type="spellEnd"/>
      <w:r w:rsidRPr="00B23655">
        <w:rPr>
          <w:rFonts w:ascii="Book Antiqua" w:eastAsia="宋体" w:hAnsi="Book Antiqua" w:cs="宋体"/>
        </w:rPr>
        <w:t xml:space="preserve"> FM, De </w:t>
      </w:r>
      <w:proofErr w:type="spellStart"/>
      <w:r w:rsidRPr="00B23655">
        <w:rPr>
          <w:rFonts w:ascii="Book Antiqua" w:eastAsia="宋体" w:hAnsi="Book Antiqua" w:cs="宋体"/>
        </w:rPr>
        <w:t>Santis</w:t>
      </w:r>
      <w:proofErr w:type="spellEnd"/>
      <w:r w:rsidRPr="00B23655">
        <w:rPr>
          <w:rFonts w:ascii="Book Antiqua" w:eastAsia="宋体" w:hAnsi="Book Antiqua" w:cs="宋体"/>
        </w:rPr>
        <w:t xml:space="preserve"> A, </w:t>
      </w:r>
      <w:proofErr w:type="spellStart"/>
      <w:r w:rsidRPr="00B23655">
        <w:rPr>
          <w:rFonts w:ascii="Book Antiqua" w:eastAsia="宋体" w:hAnsi="Book Antiqua" w:cs="宋体"/>
        </w:rPr>
        <w:t>Cerini</w:t>
      </w:r>
      <w:proofErr w:type="spellEnd"/>
      <w:r w:rsidRPr="00B23655">
        <w:rPr>
          <w:rFonts w:ascii="Book Antiqua" w:eastAsia="宋体" w:hAnsi="Book Antiqua" w:cs="宋体"/>
        </w:rPr>
        <w:t xml:space="preserve"> F, </w:t>
      </w:r>
      <w:proofErr w:type="spellStart"/>
      <w:r w:rsidRPr="00B23655">
        <w:rPr>
          <w:rFonts w:ascii="Book Antiqua" w:eastAsia="宋体" w:hAnsi="Book Antiqua" w:cs="宋体"/>
        </w:rPr>
        <w:t>Farcomeni</w:t>
      </w:r>
      <w:proofErr w:type="spellEnd"/>
      <w:r w:rsidRPr="00B23655">
        <w:rPr>
          <w:rFonts w:ascii="Book Antiqua" w:eastAsia="宋体" w:hAnsi="Book Antiqua" w:cs="宋体"/>
        </w:rPr>
        <w:t xml:space="preserve"> A, </w:t>
      </w:r>
      <w:proofErr w:type="spellStart"/>
      <w:r w:rsidRPr="00B23655">
        <w:rPr>
          <w:rFonts w:ascii="Book Antiqua" w:eastAsia="宋体" w:hAnsi="Book Antiqua" w:cs="宋体"/>
        </w:rPr>
        <w:t>Attili</w:t>
      </w:r>
      <w:proofErr w:type="spellEnd"/>
      <w:r w:rsidRPr="00B23655">
        <w:rPr>
          <w:rFonts w:ascii="Book Antiqua" w:eastAsia="宋体" w:hAnsi="Book Antiqua" w:cs="宋体"/>
        </w:rPr>
        <w:t xml:space="preserve"> AF, </w:t>
      </w:r>
      <w:proofErr w:type="spellStart"/>
      <w:r w:rsidRPr="00B23655">
        <w:rPr>
          <w:rFonts w:ascii="Book Antiqua" w:eastAsia="宋体" w:hAnsi="Book Antiqua" w:cs="宋体"/>
        </w:rPr>
        <w:t>Merli</w:t>
      </w:r>
      <w:proofErr w:type="spellEnd"/>
      <w:r w:rsidRPr="00B23655">
        <w:rPr>
          <w:rFonts w:ascii="Book Antiqua" w:eastAsia="宋体" w:hAnsi="Book Antiqua" w:cs="宋体"/>
        </w:rPr>
        <w:t xml:space="preserve"> M. Incidence, natural history, and risk factors of hepatic encephalopathy after </w:t>
      </w:r>
      <w:proofErr w:type="spellStart"/>
      <w:r w:rsidRPr="00B23655">
        <w:rPr>
          <w:rFonts w:ascii="Book Antiqua" w:eastAsia="宋体" w:hAnsi="Book Antiqua" w:cs="宋体"/>
        </w:rPr>
        <w:t>transjugular</w:t>
      </w:r>
      <w:proofErr w:type="spellEnd"/>
      <w:r w:rsidRPr="00B23655">
        <w:rPr>
          <w:rFonts w:ascii="Book Antiqua" w:eastAsia="宋体" w:hAnsi="Book Antiqua" w:cs="宋体"/>
        </w:rPr>
        <w:t xml:space="preserve"> intrahepatic </w:t>
      </w:r>
      <w:proofErr w:type="spellStart"/>
      <w:r w:rsidRPr="00B23655">
        <w:rPr>
          <w:rFonts w:ascii="Book Antiqua" w:eastAsia="宋体" w:hAnsi="Book Antiqua" w:cs="宋体"/>
        </w:rPr>
        <w:t>portosystemic</w:t>
      </w:r>
      <w:proofErr w:type="spellEnd"/>
      <w:r w:rsidRPr="00B23655">
        <w:rPr>
          <w:rFonts w:ascii="Book Antiqua" w:eastAsia="宋体" w:hAnsi="Book Antiqua" w:cs="宋体"/>
        </w:rPr>
        <w:t xml:space="preserve"> shunt with </w:t>
      </w:r>
      <w:proofErr w:type="spellStart"/>
      <w:r w:rsidRPr="00B23655">
        <w:rPr>
          <w:rFonts w:ascii="Book Antiqua" w:eastAsia="宋体" w:hAnsi="Book Antiqua" w:cs="宋体"/>
        </w:rPr>
        <w:t>polytetrafluoroethylene</w:t>
      </w:r>
      <w:proofErr w:type="spellEnd"/>
      <w:r w:rsidRPr="00B23655">
        <w:rPr>
          <w:rFonts w:ascii="Book Antiqua" w:eastAsia="宋体" w:hAnsi="Book Antiqua" w:cs="宋体"/>
        </w:rPr>
        <w:t>-covered stent grafts. </w:t>
      </w:r>
      <w:r w:rsidRPr="00B23655">
        <w:rPr>
          <w:rFonts w:ascii="Book Antiqua" w:eastAsia="宋体" w:hAnsi="Book Antiqua" w:cs="宋体"/>
          <w:i/>
          <w:iCs/>
        </w:rPr>
        <w:t xml:space="preserve">Am J </w:t>
      </w:r>
      <w:proofErr w:type="spellStart"/>
      <w:r w:rsidRPr="00B23655">
        <w:rPr>
          <w:rFonts w:ascii="Book Antiqua" w:eastAsia="宋体" w:hAnsi="Book Antiqua" w:cs="宋体"/>
          <w:i/>
          <w:iCs/>
        </w:rPr>
        <w:t>Gastroenterol</w:t>
      </w:r>
      <w:proofErr w:type="spellEnd"/>
      <w:r w:rsidRPr="00B23655">
        <w:rPr>
          <w:rFonts w:ascii="Book Antiqua" w:eastAsia="宋体" w:hAnsi="Book Antiqua" w:cs="宋体"/>
        </w:rPr>
        <w:t> 2008; </w:t>
      </w:r>
      <w:r w:rsidRPr="00B23655">
        <w:rPr>
          <w:rFonts w:ascii="Book Antiqua" w:eastAsia="宋体" w:hAnsi="Book Antiqua" w:cs="宋体"/>
          <w:b/>
          <w:bCs/>
        </w:rPr>
        <w:t>103</w:t>
      </w:r>
      <w:r w:rsidRPr="00B23655">
        <w:rPr>
          <w:rFonts w:ascii="Book Antiqua" w:eastAsia="宋体" w:hAnsi="Book Antiqua" w:cs="宋体"/>
        </w:rPr>
        <w:t>: 2738-2746 [PMID: 18775022 DOI: 10.1111/j.1572-0241.2008.02102.x</w:t>
      </w:r>
      <w:proofErr w:type="gramStart"/>
      <w:r>
        <w:rPr>
          <w:rFonts w:ascii="Book Antiqua" w:eastAsia="宋体" w:hAnsi="Book Antiqua" w:cs="宋体"/>
        </w:rPr>
        <w:t>]</w:t>
      </w:r>
      <w:proofErr w:type="gramEnd"/>
    </w:p>
    <w:p w14:paraId="1A2892BE"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t>3 </w:t>
      </w:r>
      <w:proofErr w:type="spellStart"/>
      <w:r w:rsidRPr="00B23655">
        <w:rPr>
          <w:rFonts w:ascii="Book Antiqua" w:eastAsia="宋体" w:hAnsi="Book Antiqua" w:cs="宋体"/>
          <w:b/>
          <w:bCs/>
        </w:rPr>
        <w:t>Riggio</w:t>
      </w:r>
      <w:proofErr w:type="spellEnd"/>
      <w:r w:rsidRPr="00B23655">
        <w:rPr>
          <w:rFonts w:ascii="Book Antiqua" w:eastAsia="宋体" w:hAnsi="Book Antiqua" w:cs="宋体"/>
          <w:b/>
          <w:bCs/>
        </w:rPr>
        <w:t xml:space="preserve"> O</w:t>
      </w:r>
      <w:r w:rsidRPr="00B23655">
        <w:rPr>
          <w:rFonts w:ascii="Book Antiqua" w:eastAsia="宋体" w:hAnsi="Book Antiqua" w:cs="宋体"/>
        </w:rPr>
        <w:t xml:space="preserve">, </w:t>
      </w:r>
      <w:proofErr w:type="spellStart"/>
      <w:r w:rsidRPr="00B23655">
        <w:rPr>
          <w:rFonts w:ascii="Book Antiqua" w:eastAsia="宋体" w:hAnsi="Book Antiqua" w:cs="宋体"/>
        </w:rPr>
        <w:t>Ridola</w:t>
      </w:r>
      <w:proofErr w:type="spellEnd"/>
      <w:r w:rsidRPr="00B23655">
        <w:rPr>
          <w:rFonts w:ascii="Book Antiqua" w:eastAsia="宋体" w:hAnsi="Book Antiqua" w:cs="宋体"/>
        </w:rPr>
        <w:t xml:space="preserve"> L, </w:t>
      </w:r>
      <w:proofErr w:type="spellStart"/>
      <w:r w:rsidRPr="00B23655">
        <w:rPr>
          <w:rFonts w:ascii="Book Antiqua" w:eastAsia="宋体" w:hAnsi="Book Antiqua" w:cs="宋体"/>
        </w:rPr>
        <w:t>Angeloni</w:t>
      </w:r>
      <w:proofErr w:type="spellEnd"/>
      <w:r w:rsidRPr="00B23655">
        <w:rPr>
          <w:rFonts w:ascii="Book Antiqua" w:eastAsia="宋体" w:hAnsi="Book Antiqua" w:cs="宋体"/>
        </w:rPr>
        <w:t xml:space="preserve"> S, </w:t>
      </w:r>
      <w:proofErr w:type="spellStart"/>
      <w:r w:rsidRPr="00B23655">
        <w:rPr>
          <w:rFonts w:ascii="Book Antiqua" w:eastAsia="宋体" w:hAnsi="Book Antiqua" w:cs="宋体"/>
        </w:rPr>
        <w:t>Cerini</w:t>
      </w:r>
      <w:proofErr w:type="spellEnd"/>
      <w:r w:rsidRPr="00B23655">
        <w:rPr>
          <w:rFonts w:ascii="Book Antiqua" w:eastAsia="宋体" w:hAnsi="Book Antiqua" w:cs="宋体"/>
        </w:rPr>
        <w:t xml:space="preserve"> F, Pasquale C, </w:t>
      </w:r>
      <w:proofErr w:type="spellStart"/>
      <w:r w:rsidRPr="00B23655">
        <w:rPr>
          <w:rFonts w:ascii="Book Antiqua" w:eastAsia="宋体" w:hAnsi="Book Antiqua" w:cs="宋体"/>
        </w:rPr>
        <w:t>Attili</w:t>
      </w:r>
      <w:proofErr w:type="spellEnd"/>
      <w:r w:rsidRPr="00B23655">
        <w:rPr>
          <w:rFonts w:ascii="Book Antiqua" w:eastAsia="宋体" w:hAnsi="Book Antiqua" w:cs="宋体"/>
        </w:rPr>
        <w:t xml:space="preserve"> AF, </w:t>
      </w:r>
      <w:proofErr w:type="spellStart"/>
      <w:r w:rsidRPr="00B23655">
        <w:rPr>
          <w:rFonts w:ascii="Book Antiqua" w:eastAsia="宋体" w:hAnsi="Book Antiqua" w:cs="宋体"/>
        </w:rPr>
        <w:t>Fanelli</w:t>
      </w:r>
      <w:proofErr w:type="spellEnd"/>
      <w:r w:rsidRPr="00B23655">
        <w:rPr>
          <w:rFonts w:ascii="Book Antiqua" w:eastAsia="宋体" w:hAnsi="Book Antiqua" w:cs="宋体"/>
        </w:rPr>
        <w:t xml:space="preserve"> F, </w:t>
      </w:r>
      <w:proofErr w:type="spellStart"/>
      <w:r w:rsidRPr="00B23655">
        <w:rPr>
          <w:rFonts w:ascii="Book Antiqua" w:eastAsia="宋体" w:hAnsi="Book Antiqua" w:cs="宋体"/>
        </w:rPr>
        <w:t>Merli</w:t>
      </w:r>
      <w:proofErr w:type="spellEnd"/>
      <w:r w:rsidRPr="00B23655">
        <w:rPr>
          <w:rFonts w:ascii="Book Antiqua" w:eastAsia="宋体" w:hAnsi="Book Antiqua" w:cs="宋体"/>
        </w:rPr>
        <w:t xml:space="preserve"> M, </w:t>
      </w:r>
      <w:proofErr w:type="spellStart"/>
      <w:r w:rsidRPr="00B23655">
        <w:rPr>
          <w:rFonts w:ascii="Book Antiqua" w:eastAsia="宋体" w:hAnsi="Book Antiqua" w:cs="宋体"/>
        </w:rPr>
        <w:t>Salvatori</w:t>
      </w:r>
      <w:proofErr w:type="spellEnd"/>
      <w:r w:rsidRPr="00B23655">
        <w:rPr>
          <w:rFonts w:ascii="Book Antiqua" w:eastAsia="宋体" w:hAnsi="Book Antiqua" w:cs="宋体"/>
        </w:rPr>
        <w:t xml:space="preserve"> FM. Clinical efficacy of </w:t>
      </w:r>
      <w:proofErr w:type="spellStart"/>
      <w:r w:rsidRPr="00B23655">
        <w:rPr>
          <w:rFonts w:ascii="Book Antiqua" w:eastAsia="宋体" w:hAnsi="Book Antiqua" w:cs="宋体"/>
        </w:rPr>
        <w:t>transjugular</w:t>
      </w:r>
      <w:proofErr w:type="spellEnd"/>
      <w:r w:rsidRPr="00B23655">
        <w:rPr>
          <w:rFonts w:ascii="Book Antiqua" w:eastAsia="宋体" w:hAnsi="Book Antiqua" w:cs="宋体"/>
        </w:rPr>
        <w:t xml:space="preserve"> intrahepatic </w:t>
      </w:r>
      <w:proofErr w:type="spellStart"/>
      <w:r w:rsidRPr="00B23655">
        <w:rPr>
          <w:rFonts w:ascii="Book Antiqua" w:eastAsia="宋体" w:hAnsi="Book Antiqua" w:cs="宋体"/>
        </w:rPr>
        <w:t>portosystemic</w:t>
      </w:r>
      <w:proofErr w:type="spellEnd"/>
      <w:r w:rsidRPr="00B23655">
        <w:rPr>
          <w:rFonts w:ascii="Book Antiqua" w:eastAsia="宋体" w:hAnsi="Book Antiqua" w:cs="宋体"/>
        </w:rPr>
        <w:t xml:space="preserve"> shunt created with covered stents with different diameters: results of a randomized controlled trial. </w:t>
      </w:r>
      <w:r w:rsidRPr="00B23655">
        <w:rPr>
          <w:rFonts w:ascii="Book Antiqua" w:eastAsia="宋体" w:hAnsi="Book Antiqua" w:cs="宋体"/>
          <w:i/>
          <w:iCs/>
        </w:rPr>
        <w:t xml:space="preserve">J </w:t>
      </w:r>
      <w:proofErr w:type="spellStart"/>
      <w:r w:rsidRPr="00B23655">
        <w:rPr>
          <w:rFonts w:ascii="Book Antiqua" w:eastAsia="宋体" w:hAnsi="Book Antiqua" w:cs="宋体"/>
          <w:i/>
          <w:iCs/>
        </w:rPr>
        <w:t>Hepatol</w:t>
      </w:r>
      <w:proofErr w:type="spellEnd"/>
      <w:r w:rsidRPr="00B23655">
        <w:rPr>
          <w:rFonts w:ascii="Book Antiqua" w:eastAsia="宋体" w:hAnsi="Book Antiqua" w:cs="宋体"/>
        </w:rPr>
        <w:t> 2010; </w:t>
      </w:r>
      <w:r w:rsidRPr="00B23655">
        <w:rPr>
          <w:rFonts w:ascii="Book Antiqua" w:eastAsia="宋体" w:hAnsi="Book Antiqua" w:cs="宋体"/>
          <w:b/>
          <w:bCs/>
        </w:rPr>
        <w:t>53</w:t>
      </w:r>
      <w:r w:rsidRPr="00B23655">
        <w:rPr>
          <w:rFonts w:ascii="Book Antiqua" w:eastAsia="宋体" w:hAnsi="Book Antiqua" w:cs="宋体"/>
        </w:rPr>
        <w:t>: 267-272 [PMID: 20537753 DOI: 10.1016/j.jhep.2010.02.033</w:t>
      </w:r>
      <w:r>
        <w:rPr>
          <w:rFonts w:ascii="Book Antiqua" w:eastAsia="宋体" w:hAnsi="Book Antiqua" w:cs="宋体"/>
        </w:rPr>
        <w:t>]</w:t>
      </w:r>
    </w:p>
    <w:p w14:paraId="2192378D"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t>4 </w:t>
      </w:r>
      <w:r w:rsidRPr="00B23655">
        <w:rPr>
          <w:rFonts w:ascii="Book Antiqua" w:eastAsia="宋体" w:hAnsi="Book Antiqua" w:cs="宋体"/>
          <w:b/>
          <w:bCs/>
        </w:rPr>
        <w:t>Barrio J</w:t>
      </w:r>
      <w:r w:rsidRPr="00B23655">
        <w:rPr>
          <w:rFonts w:ascii="Book Antiqua" w:eastAsia="宋体" w:hAnsi="Book Antiqua" w:cs="宋体"/>
        </w:rPr>
        <w:t xml:space="preserve">, Ripoll C, </w:t>
      </w:r>
      <w:proofErr w:type="spellStart"/>
      <w:r w:rsidRPr="00B23655">
        <w:rPr>
          <w:rFonts w:ascii="Book Antiqua" w:eastAsia="宋体" w:hAnsi="Book Antiqua" w:cs="宋体"/>
        </w:rPr>
        <w:t>Bañares</w:t>
      </w:r>
      <w:proofErr w:type="spellEnd"/>
      <w:r w:rsidRPr="00B23655">
        <w:rPr>
          <w:rFonts w:ascii="Book Antiqua" w:eastAsia="宋体" w:hAnsi="Book Antiqua" w:cs="宋体"/>
        </w:rPr>
        <w:t xml:space="preserve"> R, </w:t>
      </w:r>
      <w:proofErr w:type="spellStart"/>
      <w:r w:rsidRPr="00B23655">
        <w:rPr>
          <w:rFonts w:ascii="Book Antiqua" w:eastAsia="宋体" w:hAnsi="Book Antiqua" w:cs="宋体"/>
        </w:rPr>
        <w:t>Echenagusia</w:t>
      </w:r>
      <w:proofErr w:type="spellEnd"/>
      <w:r w:rsidRPr="00B23655">
        <w:rPr>
          <w:rFonts w:ascii="Book Antiqua" w:eastAsia="宋体" w:hAnsi="Book Antiqua" w:cs="宋体"/>
        </w:rPr>
        <w:t xml:space="preserve"> A, Catalina MV, </w:t>
      </w:r>
      <w:proofErr w:type="spellStart"/>
      <w:r w:rsidRPr="00B23655">
        <w:rPr>
          <w:rFonts w:ascii="Book Antiqua" w:eastAsia="宋体" w:hAnsi="Book Antiqua" w:cs="宋体"/>
        </w:rPr>
        <w:t>Camúñez</w:t>
      </w:r>
      <w:proofErr w:type="spellEnd"/>
      <w:r w:rsidRPr="00B23655">
        <w:rPr>
          <w:rFonts w:ascii="Book Antiqua" w:eastAsia="宋体" w:hAnsi="Book Antiqua" w:cs="宋体"/>
        </w:rPr>
        <w:t xml:space="preserve"> F, </w:t>
      </w:r>
      <w:proofErr w:type="spellStart"/>
      <w:r w:rsidRPr="00B23655">
        <w:rPr>
          <w:rFonts w:ascii="Book Antiqua" w:eastAsia="宋体" w:hAnsi="Book Antiqua" w:cs="宋体"/>
        </w:rPr>
        <w:t>Simó</w:t>
      </w:r>
      <w:proofErr w:type="spellEnd"/>
      <w:r w:rsidRPr="00B23655">
        <w:rPr>
          <w:rFonts w:ascii="Book Antiqua" w:eastAsia="宋体" w:hAnsi="Book Antiqua" w:cs="宋体"/>
        </w:rPr>
        <w:t xml:space="preserve"> G, Santos L. Comparison of </w:t>
      </w:r>
      <w:proofErr w:type="spellStart"/>
      <w:r w:rsidRPr="00B23655">
        <w:rPr>
          <w:rFonts w:ascii="Book Antiqua" w:eastAsia="宋体" w:hAnsi="Book Antiqua" w:cs="宋体"/>
        </w:rPr>
        <w:t>transjugular</w:t>
      </w:r>
      <w:proofErr w:type="spellEnd"/>
      <w:r w:rsidRPr="00B23655">
        <w:rPr>
          <w:rFonts w:ascii="Book Antiqua" w:eastAsia="宋体" w:hAnsi="Book Antiqua" w:cs="宋体"/>
        </w:rPr>
        <w:t xml:space="preserve"> intrahepatic </w:t>
      </w:r>
      <w:proofErr w:type="spellStart"/>
      <w:r w:rsidRPr="00B23655">
        <w:rPr>
          <w:rFonts w:ascii="Book Antiqua" w:eastAsia="宋体" w:hAnsi="Book Antiqua" w:cs="宋体"/>
        </w:rPr>
        <w:t>portosystemic</w:t>
      </w:r>
      <w:proofErr w:type="spellEnd"/>
      <w:r w:rsidRPr="00B23655">
        <w:rPr>
          <w:rFonts w:ascii="Book Antiqua" w:eastAsia="宋体" w:hAnsi="Book Antiqua" w:cs="宋体"/>
        </w:rPr>
        <w:t xml:space="preserve"> shunt dysfunction in PTFE-covered stent-grafts versus bare stents. </w:t>
      </w:r>
      <w:proofErr w:type="spellStart"/>
      <w:r w:rsidRPr="00B23655">
        <w:rPr>
          <w:rFonts w:ascii="Book Antiqua" w:eastAsia="宋体" w:hAnsi="Book Antiqua" w:cs="宋体"/>
          <w:i/>
          <w:iCs/>
        </w:rPr>
        <w:t>Eur</w:t>
      </w:r>
      <w:proofErr w:type="spellEnd"/>
      <w:r w:rsidRPr="00B23655">
        <w:rPr>
          <w:rFonts w:ascii="Book Antiqua" w:eastAsia="宋体" w:hAnsi="Book Antiqua" w:cs="宋体"/>
          <w:i/>
          <w:iCs/>
        </w:rPr>
        <w:t xml:space="preserve"> J </w:t>
      </w:r>
      <w:proofErr w:type="spellStart"/>
      <w:r w:rsidRPr="00B23655">
        <w:rPr>
          <w:rFonts w:ascii="Book Antiqua" w:eastAsia="宋体" w:hAnsi="Book Antiqua" w:cs="宋体"/>
          <w:i/>
          <w:iCs/>
        </w:rPr>
        <w:t>Radiol</w:t>
      </w:r>
      <w:proofErr w:type="spellEnd"/>
      <w:r w:rsidRPr="00B23655">
        <w:rPr>
          <w:rFonts w:ascii="Book Antiqua" w:eastAsia="宋体" w:hAnsi="Book Antiqua" w:cs="宋体"/>
        </w:rPr>
        <w:t> 2005; </w:t>
      </w:r>
      <w:r w:rsidRPr="00B23655">
        <w:rPr>
          <w:rFonts w:ascii="Book Antiqua" w:eastAsia="宋体" w:hAnsi="Book Antiqua" w:cs="宋体"/>
          <w:b/>
          <w:bCs/>
        </w:rPr>
        <w:t>55</w:t>
      </w:r>
      <w:r w:rsidRPr="00B23655">
        <w:rPr>
          <w:rFonts w:ascii="Book Antiqua" w:eastAsia="宋体" w:hAnsi="Book Antiqua" w:cs="宋体"/>
        </w:rPr>
        <w:t>: 120-124 [PMID: 15950109 DOI: 10.1016/j.ejrad.2004.10.007</w:t>
      </w:r>
      <w:r>
        <w:rPr>
          <w:rFonts w:ascii="Book Antiqua" w:eastAsia="宋体" w:hAnsi="Book Antiqua" w:cs="宋体"/>
        </w:rPr>
        <w:t>]</w:t>
      </w:r>
    </w:p>
    <w:p w14:paraId="0169DC5E"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t>5 </w:t>
      </w:r>
      <w:proofErr w:type="spellStart"/>
      <w:r w:rsidRPr="00B23655">
        <w:rPr>
          <w:rFonts w:ascii="Book Antiqua" w:eastAsia="宋体" w:hAnsi="Book Antiqua" w:cs="宋体"/>
          <w:b/>
          <w:bCs/>
        </w:rPr>
        <w:t>Casado</w:t>
      </w:r>
      <w:proofErr w:type="spellEnd"/>
      <w:r w:rsidRPr="00B23655">
        <w:rPr>
          <w:rFonts w:ascii="Book Antiqua" w:eastAsia="宋体" w:hAnsi="Book Antiqua" w:cs="宋体"/>
          <w:b/>
          <w:bCs/>
        </w:rPr>
        <w:t xml:space="preserve"> M</w:t>
      </w:r>
      <w:r w:rsidRPr="00B23655">
        <w:rPr>
          <w:rFonts w:ascii="Book Antiqua" w:eastAsia="宋体" w:hAnsi="Book Antiqua" w:cs="宋体"/>
        </w:rPr>
        <w:t xml:space="preserve">, Bosch J, </w:t>
      </w:r>
      <w:proofErr w:type="spellStart"/>
      <w:r w:rsidRPr="00B23655">
        <w:rPr>
          <w:rFonts w:ascii="Book Antiqua" w:eastAsia="宋体" w:hAnsi="Book Antiqua" w:cs="宋体"/>
        </w:rPr>
        <w:t>García-Pagán</w:t>
      </w:r>
      <w:proofErr w:type="spellEnd"/>
      <w:r w:rsidRPr="00B23655">
        <w:rPr>
          <w:rFonts w:ascii="Book Antiqua" w:eastAsia="宋体" w:hAnsi="Book Antiqua" w:cs="宋体"/>
        </w:rPr>
        <w:t xml:space="preserve"> JC, </w:t>
      </w:r>
      <w:proofErr w:type="spellStart"/>
      <w:r w:rsidRPr="00B23655">
        <w:rPr>
          <w:rFonts w:ascii="Book Antiqua" w:eastAsia="宋体" w:hAnsi="Book Antiqua" w:cs="宋体"/>
        </w:rPr>
        <w:t>Bru</w:t>
      </w:r>
      <w:proofErr w:type="spellEnd"/>
      <w:r w:rsidRPr="00B23655">
        <w:rPr>
          <w:rFonts w:ascii="Book Antiqua" w:eastAsia="宋体" w:hAnsi="Book Antiqua" w:cs="宋体"/>
        </w:rPr>
        <w:t xml:space="preserve"> C, </w:t>
      </w:r>
      <w:proofErr w:type="spellStart"/>
      <w:r w:rsidRPr="00B23655">
        <w:rPr>
          <w:rFonts w:ascii="Book Antiqua" w:eastAsia="宋体" w:hAnsi="Book Antiqua" w:cs="宋体"/>
        </w:rPr>
        <w:t>Bañares</w:t>
      </w:r>
      <w:proofErr w:type="spellEnd"/>
      <w:r w:rsidRPr="00B23655">
        <w:rPr>
          <w:rFonts w:ascii="Book Antiqua" w:eastAsia="宋体" w:hAnsi="Book Antiqua" w:cs="宋体"/>
        </w:rPr>
        <w:t xml:space="preserve"> R, </w:t>
      </w:r>
      <w:proofErr w:type="spellStart"/>
      <w:r w:rsidRPr="00B23655">
        <w:rPr>
          <w:rFonts w:ascii="Book Antiqua" w:eastAsia="宋体" w:hAnsi="Book Antiqua" w:cs="宋体"/>
        </w:rPr>
        <w:t>Bandi</w:t>
      </w:r>
      <w:proofErr w:type="spellEnd"/>
      <w:r w:rsidRPr="00B23655">
        <w:rPr>
          <w:rFonts w:ascii="Book Antiqua" w:eastAsia="宋体" w:hAnsi="Book Antiqua" w:cs="宋体"/>
        </w:rPr>
        <w:t xml:space="preserve"> JC, </w:t>
      </w:r>
      <w:proofErr w:type="spellStart"/>
      <w:r w:rsidRPr="00B23655">
        <w:rPr>
          <w:rFonts w:ascii="Book Antiqua" w:eastAsia="宋体" w:hAnsi="Book Antiqua" w:cs="宋体"/>
        </w:rPr>
        <w:t>Escorsell</w:t>
      </w:r>
      <w:proofErr w:type="spellEnd"/>
      <w:r w:rsidRPr="00B23655">
        <w:rPr>
          <w:rFonts w:ascii="Book Antiqua" w:eastAsia="宋体" w:hAnsi="Book Antiqua" w:cs="宋体"/>
        </w:rPr>
        <w:t xml:space="preserve"> A, Rodríguez-</w:t>
      </w:r>
      <w:proofErr w:type="spellStart"/>
      <w:r w:rsidRPr="00B23655">
        <w:rPr>
          <w:rFonts w:ascii="Book Antiqua" w:eastAsia="宋体" w:hAnsi="Book Antiqua" w:cs="宋体"/>
        </w:rPr>
        <w:t>Láiz</w:t>
      </w:r>
      <w:proofErr w:type="spellEnd"/>
      <w:r w:rsidRPr="00B23655">
        <w:rPr>
          <w:rFonts w:ascii="Book Antiqua" w:eastAsia="宋体" w:hAnsi="Book Antiqua" w:cs="宋体"/>
        </w:rPr>
        <w:t xml:space="preserve"> JM, </w:t>
      </w:r>
      <w:proofErr w:type="spellStart"/>
      <w:r w:rsidRPr="00B23655">
        <w:rPr>
          <w:rFonts w:ascii="Book Antiqua" w:eastAsia="宋体" w:hAnsi="Book Antiqua" w:cs="宋体"/>
        </w:rPr>
        <w:t>Gilabert</w:t>
      </w:r>
      <w:proofErr w:type="spellEnd"/>
      <w:r w:rsidRPr="00B23655">
        <w:rPr>
          <w:rFonts w:ascii="Book Antiqua" w:eastAsia="宋体" w:hAnsi="Book Antiqua" w:cs="宋体"/>
        </w:rPr>
        <w:t xml:space="preserve"> R, </w:t>
      </w:r>
      <w:proofErr w:type="spellStart"/>
      <w:r w:rsidRPr="00B23655">
        <w:rPr>
          <w:rFonts w:ascii="Book Antiqua" w:eastAsia="宋体" w:hAnsi="Book Antiqua" w:cs="宋体"/>
        </w:rPr>
        <w:t>Feu</w:t>
      </w:r>
      <w:proofErr w:type="spellEnd"/>
      <w:r w:rsidRPr="00B23655">
        <w:rPr>
          <w:rFonts w:ascii="Book Antiqua" w:eastAsia="宋体" w:hAnsi="Book Antiqua" w:cs="宋体"/>
        </w:rPr>
        <w:t xml:space="preserve"> F, </w:t>
      </w:r>
      <w:proofErr w:type="spellStart"/>
      <w:r w:rsidRPr="00B23655">
        <w:rPr>
          <w:rFonts w:ascii="Book Antiqua" w:eastAsia="宋体" w:hAnsi="Book Antiqua" w:cs="宋体"/>
        </w:rPr>
        <w:t>Schorlemer</w:t>
      </w:r>
      <w:proofErr w:type="spellEnd"/>
      <w:r w:rsidRPr="00B23655">
        <w:rPr>
          <w:rFonts w:ascii="Book Antiqua" w:eastAsia="宋体" w:hAnsi="Book Antiqua" w:cs="宋体"/>
        </w:rPr>
        <w:t xml:space="preserve"> C, </w:t>
      </w:r>
      <w:proofErr w:type="spellStart"/>
      <w:r w:rsidRPr="00B23655">
        <w:rPr>
          <w:rFonts w:ascii="Book Antiqua" w:eastAsia="宋体" w:hAnsi="Book Antiqua" w:cs="宋体"/>
        </w:rPr>
        <w:t>Echenagusia</w:t>
      </w:r>
      <w:proofErr w:type="spellEnd"/>
      <w:r w:rsidRPr="00B23655">
        <w:rPr>
          <w:rFonts w:ascii="Book Antiqua" w:eastAsia="宋体" w:hAnsi="Book Antiqua" w:cs="宋体"/>
        </w:rPr>
        <w:t xml:space="preserve"> A, </w:t>
      </w:r>
      <w:proofErr w:type="spellStart"/>
      <w:r w:rsidRPr="00B23655">
        <w:rPr>
          <w:rFonts w:ascii="Book Antiqua" w:eastAsia="宋体" w:hAnsi="Book Antiqua" w:cs="宋体"/>
        </w:rPr>
        <w:t>Rodés</w:t>
      </w:r>
      <w:proofErr w:type="spellEnd"/>
      <w:r w:rsidRPr="00B23655">
        <w:rPr>
          <w:rFonts w:ascii="Book Antiqua" w:eastAsia="宋体" w:hAnsi="Book Antiqua" w:cs="宋体"/>
        </w:rPr>
        <w:t xml:space="preserve"> J. Clinical events after </w:t>
      </w:r>
      <w:proofErr w:type="spellStart"/>
      <w:r w:rsidRPr="00B23655">
        <w:rPr>
          <w:rFonts w:ascii="Book Antiqua" w:eastAsia="宋体" w:hAnsi="Book Antiqua" w:cs="宋体"/>
        </w:rPr>
        <w:t>transjugular</w:t>
      </w:r>
      <w:proofErr w:type="spellEnd"/>
      <w:r w:rsidRPr="00B23655">
        <w:rPr>
          <w:rFonts w:ascii="Book Antiqua" w:eastAsia="宋体" w:hAnsi="Book Antiqua" w:cs="宋体"/>
        </w:rPr>
        <w:t xml:space="preserve"> intrahepatic </w:t>
      </w:r>
      <w:proofErr w:type="spellStart"/>
      <w:r w:rsidRPr="00B23655">
        <w:rPr>
          <w:rFonts w:ascii="Book Antiqua" w:eastAsia="宋体" w:hAnsi="Book Antiqua" w:cs="宋体"/>
        </w:rPr>
        <w:t>portosystemic</w:t>
      </w:r>
      <w:proofErr w:type="spellEnd"/>
      <w:r w:rsidRPr="00B23655">
        <w:rPr>
          <w:rFonts w:ascii="Book Antiqua" w:eastAsia="宋体" w:hAnsi="Book Antiqua" w:cs="宋体"/>
        </w:rPr>
        <w:t xml:space="preserve"> shunt: correlation with hemodynamic findings. </w:t>
      </w:r>
      <w:r w:rsidRPr="00B23655">
        <w:rPr>
          <w:rFonts w:ascii="Book Antiqua" w:eastAsia="宋体" w:hAnsi="Book Antiqua" w:cs="宋体"/>
          <w:i/>
          <w:iCs/>
        </w:rPr>
        <w:t>Gastroenterology</w:t>
      </w:r>
      <w:r w:rsidRPr="00B23655">
        <w:rPr>
          <w:rFonts w:ascii="Book Antiqua" w:eastAsia="宋体" w:hAnsi="Book Antiqua" w:cs="宋体"/>
        </w:rPr>
        <w:t> 1998; </w:t>
      </w:r>
      <w:r w:rsidRPr="00B23655">
        <w:rPr>
          <w:rFonts w:ascii="Book Antiqua" w:eastAsia="宋体" w:hAnsi="Book Antiqua" w:cs="宋体"/>
          <w:b/>
          <w:bCs/>
        </w:rPr>
        <w:t>114</w:t>
      </w:r>
      <w:r w:rsidRPr="00B23655">
        <w:rPr>
          <w:rFonts w:ascii="Book Antiqua" w:eastAsia="宋体" w:hAnsi="Book Antiqua" w:cs="宋体"/>
        </w:rPr>
        <w:t>: 1296-1303 [PMID: 9609767]</w:t>
      </w:r>
    </w:p>
    <w:p w14:paraId="5537A1D8"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t>6 </w:t>
      </w:r>
      <w:proofErr w:type="spellStart"/>
      <w:r w:rsidRPr="00B23655">
        <w:rPr>
          <w:rFonts w:ascii="Book Antiqua" w:eastAsia="宋体" w:hAnsi="Book Antiqua" w:cs="宋体"/>
          <w:b/>
          <w:bCs/>
        </w:rPr>
        <w:t>Hausegger</w:t>
      </w:r>
      <w:proofErr w:type="spellEnd"/>
      <w:r w:rsidRPr="00B23655">
        <w:rPr>
          <w:rFonts w:ascii="Book Antiqua" w:eastAsia="宋体" w:hAnsi="Book Antiqua" w:cs="宋体"/>
          <w:b/>
          <w:bCs/>
        </w:rPr>
        <w:t xml:space="preserve"> KA</w:t>
      </w:r>
      <w:r w:rsidRPr="00B23655">
        <w:rPr>
          <w:rFonts w:ascii="Book Antiqua" w:eastAsia="宋体" w:hAnsi="Book Antiqua" w:cs="宋体"/>
        </w:rPr>
        <w:t xml:space="preserve">, </w:t>
      </w:r>
      <w:proofErr w:type="spellStart"/>
      <w:r w:rsidRPr="00B23655">
        <w:rPr>
          <w:rFonts w:ascii="Book Antiqua" w:eastAsia="宋体" w:hAnsi="Book Antiqua" w:cs="宋体"/>
        </w:rPr>
        <w:t>Karnel</w:t>
      </w:r>
      <w:proofErr w:type="spellEnd"/>
      <w:r w:rsidRPr="00B23655">
        <w:rPr>
          <w:rFonts w:ascii="Book Antiqua" w:eastAsia="宋体" w:hAnsi="Book Antiqua" w:cs="宋体"/>
        </w:rPr>
        <w:t xml:space="preserve"> F, </w:t>
      </w:r>
      <w:proofErr w:type="spellStart"/>
      <w:r w:rsidRPr="00B23655">
        <w:rPr>
          <w:rFonts w:ascii="Book Antiqua" w:eastAsia="宋体" w:hAnsi="Book Antiqua" w:cs="宋体"/>
        </w:rPr>
        <w:t>Georgieva</w:t>
      </w:r>
      <w:proofErr w:type="spellEnd"/>
      <w:r w:rsidRPr="00B23655">
        <w:rPr>
          <w:rFonts w:ascii="Book Antiqua" w:eastAsia="宋体" w:hAnsi="Book Antiqua" w:cs="宋体"/>
        </w:rPr>
        <w:t xml:space="preserve"> B, </w:t>
      </w:r>
      <w:proofErr w:type="spellStart"/>
      <w:r w:rsidRPr="00B23655">
        <w:rPr>
          <w:rFonts w:ascii="Book Antiqua" w:eastAsia="宋体" w:hAnsi="Book Antiqua" w:cs="宋体"/>
        </w:rPr>
        <w:t>Tauss</w:t>
      </w:r>
      <w:proofErr w:type="spellEnd"/>
      <w:r w:rsidRPr="00B23655">
        <w:rPr>
          <w:rFonts w:ascii="Book Antiqua" w:eastAsia="宋体" w:hAnsi="Book Antiqua" w:cs="宋体"/>
        </w:rPr>
        <w:t xml:space="preserve"> J, </w:t>
      </w:r>
      <w:proofErr w:type="spellStart"/>
      <w:r w:rsidRPr="00B23655">
        <w:rPr>
          <w:rFonts w:ascii="Book Antiqua" w:eastAsia="宋体" w:hAnsi="Book Antiqua" w:cs="宋体"/>
        </w:rPr>
        <w:t>Portugaller</w:t>
      </w:r>
      <w:proofErr w:type="spellEnd"/>
      <w:r w:rsidRPr="00B23655">
        <w:rPr>
          <w:rFonts w:ascii="Book Antiqua" w:eastAsia="宋体" w:hAnsi="Book Antiqua" w:cs="宋体"/>
        </w:rPr>
        <w:t xml:space="preserve"> H, </w:t>
      </w:r>
      <w:proofErr w:type="spellStart"/>
      <w:r w:rsidRPr="00B23655">
        <w:rPr>
          <w:rFonts w:ascii="Book Antiqua" w:eastAsia="宋体" w:hAnsi="Book Antiqua" w:cs="宋体"/>
        </w:rPr>
        <w:t>Deutschmann</w:t>
      </w:r>
      <w:proofErr w:type="spellEnd"/>
      <w:r w:rsidRPr="00B23655">
        <w:rPr>
          <w:rFonts w:ascii="Book Antiqua" w:eastAsia="宋体" w:hAnsi="Book Antiqua" w:cs="宋体"/>
        </w:rPr>
        <w:t xml:space="preserve"> H, </w:t>
      </w:r>
      <w:proofErr w:type="spellStart"/>
      <w:r w:rsidRPr="00B23655">
        <w:rPr>
          <w:rFonts w:ascii="Book Antiqua" w:eastAsia="宋体" w:hAnsi="Book Antiqua" w:cs="宋体"/>
        </w:rPr>
        <w:t>Berghold</w:t>
      </w:r>
      <w:proofErr w:type="spellEnd"/>
      <w:r w:rsidRPr="00B23655">
        <w:rPr>
          <w:rFonts w:ascii="Book Antiqua" w:eastAsia="宋体" w:hAnsi="Book Antiqua" w:cs="宋体"/>
        </w:rPr>
        <w:t xml:space="preserve"> A. </w:t>
      </w:r>
      <w:proofErr w:type="spellStart"/>
      <w:r w:rsidRPr="00B23655">
        <w:rPr>
          <w:rFonts w:ascii="Book Antiqua" w:eastAsia="宋体" w:hAnsi="Book Antiqua" w:cs="宋体"/>
        </w:rPr>
        <w:t>Transjugular</w:t>
      </w:r>
      <w:proofErr w:type="spellEnd"/>
      <w:r w:rsidRPr="00B23655">
        <w:rPr>
          <w:rFonts w:ascii="Book Antiqua" w:eastAsia="宋体" w:hAnsi="Book Antiqua" w:cs="宋体"/>
        </w:rPr>
        <w:t xml:space="preserve"> intrahepatic </w:t>
      </w:r>
      <w:proofErr w:type="spellStart"/>
      <w:r w:rsidRPr="00B23655">
        <w:rPr>
          <w:rFonts w:ascii="Book Antiqua" w:eastAsia="宋体" w:hAnsi="Book Antiqua" w:cs="宋体"/>
        </w:rPr>
        <w:t>portosystemic</w:t>
      </w:r>
      <w:proofErr w:type="spellEnd"/>
      <w:r w:rsidRPr="00B23655">
        <w:rPr>
          <w:rFonts w:ascii="Book Antiqua" w:eastAsia="宋体" w:hAnsi="Book Antiqua" w:cs="宋体"/>
        </w:rPr>
        <w:t xml:space="preserve"> shunt creation with the </w:t>
      </w:r>
      <w:proofErr w:type="spellStart"/>
      <w:r w:rsidRPr="00B23655">
        <w:rPr>
          <w:rFonts w:ascii="Book Antiqua" w:eastAsia="宋体" w:hAnsi="Book Antiqua" w:cs="宋体"/>
        </w:rPr>
        <w:t>Viatorr</w:t>
      </w:r>
      <w:proofErr w:type="spellEnd"/>
      <w:r w:rsidRPr="00B23655">
        <w:rPr>
          <w:rFonts w:ascii="Book Antiqua" w:eastAsia="宋体" w:hAnsi="Book Antiqua" w:cs="宋体"/>
        </w:rPr>
        <w:t xml:space="preserve"> expanded </w:t>
      </w:r>
      <w:proofErr w:type="spellStart"/>
      <w:r w:rsidRPr="00B23655">
        <w:rPr>
          <w:rFonts w:ascii="Book Antiqua" w:eastAsia="宋体" w:hAnsi="Book Antiqua" w:cs="宋体"/>
        </w:rPr>
        <w:t>polytetrafluoroethylene</w:t>
      </w:r>
      <w:proofErr w:type="spellEnd"/>
      <w:r w:rsidRPr="00B23655">
        <w:rPr>
          <w:rFonts w:ascii="Book Antiqua" w:eastAsia="宋体" w:hAnsi="Book Antiqua" w:cs="宋体"/>
        </w:rPr>
        <w:t>-covered stent-graft. </w:t>
      </w:r>
      <w:r w:rsidRPr="00B23655">
        <w:rPr>
          <w:rFonts w:ascii="Book Antiqua" w:eastAsia="宋体" w:hAnsi="Book Antiqua" w:cs="宋体"/>
          <w:i/>
          <w:iCs/>
        </w:rPr>
        <w:t xml:space="preserve">J </w:t>
      </w:r>
      <w:proofErr w:type="spellStart"/>
      <w:r w:rsidRPr="00B23655">
        <w:rPr>
          <w:rFonts w:ascii="Book Antiqua" w:eastAsia="宋体" w:hAnsi="Book Antiqua" w:cs="宋体"/>
          <w:i/>
          <w:iCs/>
        </w:rPr>
        <w:t>Vasc</w:t>
      </w:r>
      <w:proofErr w:type="spellEnd"/>
      <w:r w:rsidRPr="00B23655">
        <w:rPr>
          <w:rFonts w:ascii="Book Antiqua" w:eastAsia="宋体" w:hAnsi="Book Antiqua" w:cs="宋体"/>
          <w:i/>
          <w:iCs/>
        </w:rPr>
        <w:t xml:space="preserve"> </w:t>
      </w:r>
      <w:proofErr w:type="spellStart"/>
      <w:r w:rsidRPr="00B23655">
        <w:rPr>
          <w:rFonts w:ascii="Book Antiqua" w:eastAsia="宋体" w:hAnsi="Book Antiqua" w:cs="宋体"/>
          <w:i/>
          <w:iCs/>
        </w:rPr>
        <w:t>Interv</w:t>
      </w:r>
      <w:proofErr w:type="spellEnd"/>
      <w:r w:rsidRPr="00B23655">
        <w:rPr>
          <w:rFonts w:ascii="Book Antiqua" w:eastAsia="宋体" w:hAnsi="Book Antiqua" w:cs="宋体"/>
          <w:i/>
          <w:iCs/>
        </w:rPr>
        <w:t xml:space="preserve"> </w:t>
      </w:r>
      <w:proofErr w:type="spellStart"/>
      <w:r w:rsidRPr="00B23655">
        <w:rPr>
          <w:rFonts w:ascii="Book Antiqua" w:eastAsia="宋体" w:hAnsi="Book Antiqua" w:cs="宋体"/>
          <w:i/>
          <w:iCs/>
        </w:rPr>
        <w:t>Radiol</w:t>
      </w:r>
      <w:proofErr w:type="spellEnd"/>
      <w:r w:rsidRPr="00B23655">
        <w:rPr>
          <w:rFonts w:ascii="Book Antiqua" w:eastAsia="宋体" w:hAnsi="Book Antiqua" w:cs="宋体"/>
        </w:rPr>
        <w:t> 2004; </w:t>
      </w:r>
      <w:r w:rsidRPr="00B23655">
        <w:rPr>
          <w:rFonts w:ascii="Book Antiqua" w:eastAsia="宋体" w:hAnsi="Book Antiqua" w:cs="宋体"/>
          <w:b/>
          <w:bCs/>
        </w:rPr>
        <w:t>15</w:t>
      </w:r>
      <w:r w:rsidRPr="00B23655">
        <w:rPr>
          <w:rFonts w:ascii="Book Antiqua" w:eastAsia="宋体" w:hAnsi="Book Antiqua" w:cs="宋体"/>
        </w:rPr>
        <w:t>: 239-248 [PMID: 15028808 DOI: 10.1097/01.RVI.0000116194.44877.C1]</w:t>
      </w:r>
    </w:p>
    <w:p w14:paraId="5248AEF0" w14:textId="77777777" w:rsidR="00D752DB" w:rsidRPr="00B23655" w:rsidRDefault="00D752DB" w:rsidP="00D752DB">
      <w:pPr>
        <w:spacing w:line="360" w:lineRule="auto"/>
        <w:jc w:val="both"/>
        <w:rPr>
          <w:rFonts w:ascii="Book Antiqua" w:eastAsia="宋体" w:hAnsi="Book Antiqua" w:cs="宋体"/>
        </w:rPr>
      </w:pPr>
      <w:proofErr w:type="gramStart"/>
      <w:r w:rsidRPr="00B23655">
        <w:rPr>
          <w:rFonts w:ascii="Book Antiqua" w:eastAsia="宋体" w:hAnsi="Book Antiqua" w:cs="宋体"/>
        </w:rPr>
        <w:lastRenderedPageBreak/>
        <w:t>7 </w:t>
      </w:r>
      <w:proofErr w:type="spellStart"/>
      <w:r w:rsidRPr="00B23655">
        <w:rPr>
          <w:rFonts w:ascii="Book Antiqua" w:eastAsia="宋体" w:hAnsi="Book Antiqua" w:cs="宋体"/>
          <w:b/>
          <w:bCs/>
        </w:rPr>
        <w:t>Tripathi</w:t>
      </w:r>
      <w:proofErr w:type="spellEnd"/>
      <w:r w:rsidRPr="00B23655">
        <w:rPr>
          <w:rFonts w:ascii="Book Antiqua" w:eastAsia="宋体" w:hAnsi="Book Antiqua" w:cs="宋体"/>
          <w:b/>
          <w:bCs/>
        </w:rPr>
        <w:t xml:space="preserve"> D</w:t>
      </w:r>
      <w:r w:rsidRPr="00B23655">
        <w:rPr>
          <w:rFonts w:ascii="Book Antiqua" w:eastAsia="宋体" w:hAnsi="Book Antiqua" w:cs="宋体"/>
        </w:rPr>
        <w:t xml:space="preserve">, Ferguson J, </w:t>
      </w:r>
      <w:proofErr w:type="spellStart"/>
      <w:r w:rsidRPr="00B23655">
        <w:rPr>
          <w:rFonts w:ascii="Book Antiqua" w:eastAsia="宋体" w:hAnsi="Book Antiqua" w:cs="宋体"/>
        </w:rPr>
        <w:t>Barkell</w:t>
      </w:r>
      <w:proofErr w:type="spellEnd"/>
      <w:r w:rsidRPr="00B23655">
        <w:rPr>
          <w:rFonts w:ascii="Book Antiqua" w:eastAsia="宋体" w:hAnsi="Book Antiqua" w:cs="宋体"/>
        </w:rPr>
        <w:t xml:space="preserve"> H, Macbeth K, Ireland H, Redhead DN, Hayes PC.</w:t>
      </w:r>
      <w:proofErr w:type="gramEnd"/>
      <w:r w:rsidRPr="00B23655">
        <w:rPr>
          <w:rFonts w:ascii="Book Antiqua" w:eastAsia="宋体" w:hAnsi="Book Antiqua" w:cs="宋体"/>
        </w:rPr>
        <w:t xml:space="preserve"> </w:t>
      </w:r>
      <w:proofErr w:type="gramStart"/>
      <w:r w:rsidRPr="00B23655">
        <w:rPr>
          <w:rFonts w:ascii="Book Antiqua" w:eastAsia="宋体" w:hAnsi="Book Antiqua" w:cs="宋体"/>
        </w:rPr>
        <w:t xml:space="preserve">Improved clinical outcome with </w:t>
      </w:r>
      <w:proofErr w:type="spellStart"/>
      <w:r w:rsidRPr="00B23655">
        <w:rPr>
          <w:rFonts w:ascii="Book Antiqua" w:eastAsia="宋体" w:hAnsi="Book Antiqua" w:cs="宋体"/>
        </w:rPr>
        <w:t>transjugular</w:t>
      </w:r>
      <w:proofErr w:type="spellEnd"/>
      <w:r w:rsidRPr="00B23655">
        <w:rPr>
          <w:rFonts w:ascii="Book Antiqua" w:eastAsia="宋体" w:hAnsi="Book Antiqua" w:cs="宋体"/>
        </w:rPr>
        <w:t xml:space="preserve"> intrahepatic </w:t>
      </w:r>
      <w:proofErr w:type="spellStart"/>
      <w:r w:rsidRPr="00B23655">
        <w:rPr>
          <w:rFonts w:ascii="Book Antiqua" w:eastAsia="宋体" w:hAnsi="Book Antiqua" w:cs="宋体"/>
        </w:rPr>
        <w:t>portosystemic</w:t>
      </w:r>
      <w:proofErr w:type="spellEnd"/>
      <w:r w:rsidRPr="00B23655">
        <w:rPr>
          <w:rFonts w:ascii="Book Antiqua" w:eastAsia="宋体" w:hAnsi="Book Antiqua" w:cs="宋体"/>
        </w:rPr>
        <w:t xml:space="preserve"> stent-shunt utilizing </w:t>
      </w:r>
      <w:proofErr w:type="spellStart"/>
      <w:r w:rsidRPr="00B23655">
        <w:rPr>
          <w:rFonts w:ascii="Book Antiqua" w:eastAsia="宋体" w:hAnsi="Book Antiqua" w:cs="宋体"/>
        </w:rPr>
        <w:t>polytetrafluoroethylene</w:t>
      </w:r>
      <w:proofErr w:type="spellEnd"/>
      <w:r w:rsidRPr="00B23655">
        <w:rPr>
          <w:rFonts w:ascii="Book Antiqua" w:eastAsia="宋体" w:hAnsi="Book Antiqua" w:cs="宋体"/>
        </w:rPr>
        <w:t>-covered stents.</w:t>
      </w:r>
      <w:proofErr w:type="gramEnd"/>
      <w:r w:rsidRPr="00B23655">
        <w:rPr>
          <w:rFonts w:ascii="Book Antiqua" w:eastAsia="宋体" w:hAnsi="Book Antiqua" w:cs="宋体"/>
        </w:rPr>
        <w:t> </w:t>
      </w:r>
      <w:proofErr w:type="spellStart"/>
      <w:r w:rsidRPr="00B23655">
        <w:rPr>
          <w:rFonts w:ascii="Book Antiqua" w:eastAsia="宋体" w:hAnsi="Book Antiqua" w:cs="宋体"/>
          <w:i/>
          <w:iCs/>
        </w:rPr>
        <w:t>Eur</w:t>
      </w:r>
      <w:proofErr w:type="spellEnd"/>
      <w:r w:rsidRPr="00B23655">
        <w:rPr>
          <w:rFonts w:ascii="Book Antiqua" w:eastAsia="宋体" w:hAnsi="Book Antiqua" w:cs="宋体"/>
          <w:i/>
          <w:iCs/>
        </w:rPr>
        <w:t xml:space="preserve"> J </w:t>
      </w:r>
      <w:proofErr w:type="spellStart"/>
      <w:r w:rsidRPr="00B23655">
        <w:rPr>
          <w:rFonts w:ascii="Book Antiqua" w:eastAsia="宋体" w:hAnsi="Book Antiqua" w:cs="宋体"/>
          <w:i/>
          <w:iCs/>
        </w:rPr>
        <w:t>Gastroenterol</w:t>
      </w:r>
      <w:proofErr w:type="spellEnd"/>
      <w:r w:rsidRPr="00B23655">
        <w:rPr>
          <w:rFonts w:ascii="Book Antiqua" w:eastAsia="宋体" w:hAnsi="Book Antiqua" w:cs="宋体"/>
          <w:i/>
          <w:iCs/>
        </w:rPr>
        <w:t xml:space="preserve"> </w:t>
      </w:r>
      <w:proofErr w:type="spellStart"/>
      <w:r w:rsidRPr="00B23655">
        <w:rPr>
          <w:rFonts w:ascii="Book Antiqua" w:eastAsia="宋体" w:hAnsi="Book Antiqua" w:cs="宋体"/>
          <w:i/>
          <w:iCs/>
        </w:rPr>
        <w:t>Hepatol</w:t>
      </w:r>
      <w:proofErr w:type="spellEnd"/>
      <w:r w:rsidRPr="00B23655">
        <w:rPr>
          <w:rFonts w:ascii="Book Antiqua" w:eastAsia="宋体" w:hAnsi="Book Antiqua" w:cs="宋体"/>
        </w:rPr>
        <w:t> 2006; </w:t>
      </w:r>
      <w:r w:rsidRPr="00B23655">
        <w:rPr>
          <w:rFonts w:ascii="Book Antiqua" w:eastAsia="宋体" w:hAnsi="Book Antiqua" w:cs="宋体"/>
          <w:b/>
          <w:bCs/>
        </w:rPr>
        <w:t>18</w:t>
      </w:r>
      <w:r w:rsidRPr="00B23655">
        <w:rPr>
          <w:rFonts w:ascii="Book Antiqua" w:eastAsia="宋体" w:hAnsi="Book Antiqua" w:cs="宋体"/>
        </w:rPr>
        <w:t>: 225-232 [PMID: 16462534]</w:t>
      </w:r>
    </w:p>
    <w:p w14:paraId="496C1FD4"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t>8 </w:t>
      </w:r>
      <w:proofErr w:type="spellStart"/>
      <w:r w:rsidRPr="00B23655">
        <w:rPr>
          <w:rFonts w:ascii="Book Antiqua" w:eastAsia="宋体" w:hAnsi="Book Antiqua" w:cs="宋体"/>
          <w:b/>
          <w:bCs/>
        </w:rPr>
        <w:t>Angeloni</w:t>
      </w:r>
      <w:proofErr w:type="spellEnd"/>
      <w:r w:rsidRPr="00B23655">
        <w:rPr>
          <w:rFonts w:ascii="Book Antiqua" w:eastAsia="宋体" w:hAnsi="Book Antiqua" w:cs="宋体"/>
          <w:b/>
          <w:bCs/>
        </w:rPr>
        <w:t xml:space="preserve"> S</w:t>
      </w:r>
      <w:r w:rsidRPr="00B23655">
        <w:rPr>
          <w:rFonts w:ascii="Book Antiqua" w:eastAsia="宋体" w:hAnsi="Book Antiqua" w:cs="宋体"/>
        </w:rPr>
        <w:t xml:space="preserve">, </w:t>
      </w:r>
      <w:proofErr w:type="spellStart"/>
      <w:r w:rsidRPr="00B23655">
        <w:rPr>
          <w:rFonts w:ascii="Book Antiqua" w:eastAsia="宋体" w:hAnsi="Book Antiqua" w:cs="宋体"/>
        </w:rPr>
        <w:t>Merli</w:t>
      </w:r>
      <w:proofErr w:type="spellEnd"/>
      <w:r w:rsidRPr="00B23655">
        <w:rPr>
          <w:rFonts w:ascii="Book Antiqua" w:eastAsia="宋体" w:hAnsi="Book Antiqua" w:cs="宋体"/>
        </w:rPr>
        <w:t xml:space="preserve"> M, </w:t>
      </w:r>
      <w:proofErr w:type="spellStart"/>
      <w:r w:rsidRPr="00B23655">
        <w:rPr>
          <w:rFonts w:ascii="Book Antiqua" w:eastAsia="宋体" w:hAnsi="Book Antiqua" w:cs="宋体"/>
        </w:rPr>
        <w:t>Salvatori</w:t>
      </w:r>
      <w:proofErr w:type="spellEnd"/>
      <w:r w:rsidRPr="00B23655">
        <w:rPr>
          <w:rFonts w:ascii="Book Antiqua" w:eastAsia="宋体" w:hAnsi="Book Antiqua" w:cs="宋体"/>
        </w:rPr>
        <w:t xml:space="preserve"> FM, De </w:t>
      </w:r>
      <w:proofErr w:type="spellStart"/>
      <w:r w:rsidRPr="00B23655">
        <w:rPr>
          <w:rFonts w:ascii="Book Antiqua" w:eastAsia="宋体" w:hAnsi="Book Antiqua" w:cs="宋体"/>
        </w:rPr>
        <w:t>Santis</w:t>
      </w:r>
      <w:proofErr w:type="spellEnd"/>
      <w:r w:rsidRPr="00B23655">
        <w:rPr>
          <w:rFonts w:ascii="Book Antiqua" w:eastAsia="宋体" w:hAnsi="Book Antiqua" w:cs="宋体"/>
        </w:rPr>
        <w:t xml:space="preserve"> A, </w:t>
      </w:r>
      <w:proofErr w:type="spellStart"/>
      <w:r w:rsidRPr="00B23655">
        <w:rPr>
          <w:rFonts w:ascii="Book Antiqua" w:eastAsia="宋体" w:hAnsi="Book Antiqua" w:cs="宋体"/>
        </w:rPr>
        <w:t>Fanelli</w:t>
      </w:r>
      <w:proofErr w:type="spellEnd"/>
      <w:r w:rsidRPr="00B23655">
        <w:rPr>
          <w:rFonts w:ascii="Book Antiqua" w:eastAsia="宋体" w:hAnsi="Book Antiqua" w:cs="宋体"/>
        </w:rPr>
        <w:t xml:space="preserve"> F, </w:t>
      </w:r>
      <w:proofErr w:type="spellStart"/>
      <w:r w:rsidRPr="00B23655">
        <w:rPr>
          <w:rFonts w:ascii="Book Antiqua" w:eastAsia="宋体" w:hAnsi="Book Antiqua" w:cs="宋体"/>
        </w:rPr>
        <w:t>Pepino</w:t>
      </w:r>
      <w:proofErr w:type="spellEnd"/>
      <w:r w:rsidRPr="00B23655">
        <w:rPr>
          <w:rFonts w:ascii="Book Antiqua" w:eastAsia="宋体" w:hAnsi="Book Antiqua" w:cs="宋体"/>
        </w:rPr>
        <w:t xml:space="preserve"> D, </w:t>
      </w:r>
      <w:proofErr w:type="spellStart"/>
      <w:r w:rsidRPr="00B23655">
        <w:rPr>
          <w:rFonts w:ascii="Book Antiqua" w:eastAsia="宋体" w:hAnsi="Book Antiqua" w:cs="宋体"/>
        </w:rPr>
        <w:t>Attili</w:t>
      </w:r>
      <w:proofErr w:type="spellEnd"/>
      <w:r w:rsidRPr="00B23655">
        <w:rPr>
          <w:rFonts w:ascii="Book Antiqua" w:eastAsia="宋体" w:hAnsi="Book Antiqua" w:cs="宋体"/>
        </w:rPr>
        <w:t xml:space="preserve"> AF, Rossi P, </w:t>
      </w:r>
      <w:proofErr w:type="spellStart"/>
      <w:r w:rsidRPr="00B23655">
        <w:rPr>
          <w:rFonts w:ascii="Book Antiqua" w:eastAsia="宋体" w:hAnsi="Book Antiqua" w:cs="宋体"/>
        </w:rPr>
        <w:t>Riggio</w:t>
      </w:r>
      <w:proofErr w:type="spellEnd"/>
      <w:r w:rsidRPr="00B23655">
        <w:rPr>
          <w:rFonts w:ascii="Book Antiqua" w:eastAsia="宋体" w:hAnsi="Book Antiqua" w:cs="宋体"/>
        </w:rPr>
        <w:t xml:space="preserve"> O. </w:t>
      </w:r>
      <w:proofErr w:type="spellStart"/>
      <w:r w:rsidRPr="00B23655">
        <w:rPr>
          <w:rFonts w:ascii="Book Antiqua" w:eastAsia="宋体" w:hAnsi="Book Antiqua" w:cs="宋体"/>
        </w:rPr>
        <w:t>Polytetrafluoroethylene</w:t>
      </w:r>
      <w:proofErr w:type="spellEnd"/>
      <w:r w:rsidRPr="00B23655">
        <w:rPr>
          <w:rFonts w:ascii="Book Antiqua" w:eastAsia="宋体" w:hAnsi="Book Antiqua" w:cs="宋体"/>
        </w:rPr>
        <w:t>-covered stent grafts for TIPS procedure: 1-year patency and clinical results. </w:t>
      </w:r>
      <w:r w:rsidRPr="00B23655">
        <w:rPr>
          <w:rFonts w:ascii="Book Antiqua" w:eastAsia="宋体" w:hAnsi="Book Antiqua" w:cs="宋体"/>
          <w:i/>
          <w:iCs/>
        </w:rPr>
        <w:t xml:space="preserve">Am J </w:t>
      </w:r>
      <w:proofErr w:type="spellStart"/>
      <w:r w:rsidRPr="00B23655">
        <w:rPr>
          <w:rFonts w:ascii="Book Antiqua" w:eastAsia="宋体" w:hAnsi="Book Antiqua" w:cs="宋体"/>
          <w:i/>
          <w:iCs/>
        </w:rPr>
        <w:t>Gastroenterol</w:t>
      </w:r>
      <w:proofErr w:type="spellEnd"/>
      <w:r w:rsidRPr="00B23655">
        <w:rPr>
          <w:rFonts w:ascii="Book Antiqua" w:eastAsia="宋体" w:hAnsi="Book Antiqua" w:cs="宋体"/>
        </w:rPr>
        <w:t> 2004; </w:t>
      </w:r>
      <w:r w:rsidRPr="00B23655">
        <w:rPr>
          <w:rFonts w:ascii="Book Antiqua" w:eastAsia="宋体" w:hAnsi="Book Antiqua" w:cs="宋体"/>
          <w:b/>
          <w:bCs/>
        </w:rPr>
        <w:t>99</w:t>
      </w:r>
      <w:r w:rsidRPr="00B23655">
        <w:rPr>
          <w:rFonts w:ascii="Book Antiqua" w:eastAsia="宋体" w:hAnsi="Book Antiqua" w:cs="宋体"/>
        </w:rPr>
        <w:t>: 280-285 [PMID: 15046218 DOI: 10.1111/j.1572-0241.2004.04056.x</w:t>
      </w:r>
      <w:proofErr w:type="gramStart"/>
      <w:r>
        <w:rPr>
          <w:rFonts w:ascii="Book Antiqua" w:eastAsia="宋体" w:hAnsi="Book Antiqua" w:cs="宋体"/>
        </w:rPr>
        <w:t>]</w:t>
      </w:r>
      <w:proofErr w:type="gramEnd"/>
    </w:p>
    <w:p w14:paraId="540DDE68"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t>9 </w:t>
      </w:r>
      <w:r w:rsidRPr="00B23655">
        <w:rPr>
          <w:rFonts w:ascii="Book Antiqua" w:eastAsia="宋体" w:hAnsi="Book Antiqua" w:cs="宋体"/>
          <w:b/>
          <w:bCs/>
        </w:rPr>
        <w:t>Boyer TD</w:t>
      </w:r>
      <w:r w:rsidRPr="00B23655">
        <w:rPr>
          <w:rFonts w:ascii="Book Antiqua" w:eastAsia="宋体" w:hAnsi="Book Antiqua" w:cs="宋体"/>
        </w:rPr>
        <w:t xml:space="preserve">, </w:t>
      </w:r>
      <w:proofErr w:type="spellStart"/>
      <w:r w:rsidRPr="00B23655">
        <w:rPr>
          <w:rFonts w:ascii="Book Antiqua" w:eastAsia="宋体" w:hAnsi="Book Antiqua" w:cs="宋体"/>
        </w:rPr>
        <w:t>Haskal</w:t>
      </w:r>
      <w:proofErr w:type="spellEnd"/>
      <w:r w:rsidRPr="00B23655">
        <w:rPr>
          <w:rFonts w:ascii="Book Antiqua" w:eastAsia="宋体" w:hAnsi="Book Antiqua" w:cs="宋体"/>
        </w:rPr>
        <w:t xml:space="preserve"> ZJ. The Role of </w:t>
      </w:r>
      <w:proofErr w:type="spellStart"/>
      <w:r w:rsidRPr="00B23655">
        <w:rPr>
          <w:rFonts w:ascii="Book Antiqua" w:eastAsia="宋体" w:hAnsi="Book Antiqua" w:cs="宋体"/>
        </w:rPr>
        <w:t>Transjugular</w:t>
      </w:r>
      <w:proofErr w:type="spellEnd"/>
      <w:r w:rsidRPr="00B23655">
        <w:rPr>
          <w:rFonts w:ascii="Book Antiqua" w:eastAsia="宋体" w:hAnsi="Book Antiqua" w:cs="宋体"/>
        </w:rPr>
        <w:t xml:space="preserve"> Intrahepatic </w:t>
      </w:r>
      <w:proofErr w:type="spellStart"/>
      <w:r w:rsidRPr="00B23655">
        <w:rPr>
          <w:rFonts w:ascii="Book Antiqua" w:eastAsia="宋体" w:hAnsi="Book Antiqua" w:cs="宋体"/>
        </w:rPr>
        <w:t>Portosystemic</w:t>
      </w:r>
      <w:proofErr w:type="spellEnd"/>
      <w:r w:rsidRPr="00B23655">
        <w:rPr>
          <w:rFonts w:ascii="Book Antiqua" w:eastAsia="宋体" w:hAnsi="Book Antiqua" w:cs="宋体"/>
        </w:rPr>
        <w:t xml:space="preserve"> Shunt (TIPS) in the Management of Portal Hypertension: update 2009. </w:t>
      </w:r>
      <w:proofErr w:type="spellStart"/>
      <w:r w:rsidRPr="00B23655">
        <w:rPr>
          <w:rFonts w:ascii="Book Antiqua" w:eastAsia="宋体" w:hAnsi="Book Antiqua" w:cs="宋体"/>
          <w:i/>
          <w:iCs/>
        </w:rPr>
        <w:t>Hepatology</w:t>
      </w:r>
      <w:proofErr w:type="spellEnd"/>
      <w:r w:rsidRPr="00B23655">
        <w:rPr>
          <w:rFonts w:ascii="Book Antiqua" w:eastAsia="宋体" w:hAnsi="Book Antiqua" w:cs="宋体"/>
        </w:rPr>
        <w:t> 2010; </w:t>
      </w:r>
      <w:r w:rsidRPr="00B23655">
        <w:rPr>
          <w:rFonts w:ascii="Book Antiqua" w:eastAsia="宋体" w:hAnsi="Book Antiqua" w:cs="宋体"/>
          <w:b/>
          <w:bCs/>
        </w:rPr>
        <w:t>51</w:t>
      </w:r>
      <w:r w:rsidRPr="00B23655">
        <w:rPr>
          <w:rFonts w:ascii="Book Antiqua" w:eastAsia="宋体" w:hAnsi="Book Antiqua" w:cs="宋体"/>
        </w:rPr>
        <w:t>: 306 [PMID: 19902484 DOI: 10.1002/hep.23383</w:t>
      </w:r>
      <w:r>
        <w:rPr>
          <w:rFonts w:ascii="Book Antiqua" w:eastAsia="宋体" w:hAnsi="Book Antiqua" w:cs="宋体"/>
        </w:rPr>
        <w:t>]</w:t>
      </w:r>
    </w:p>
    <w:p w14:paraId="331A262E"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t>10 </w:t>
      </w:r>
      <w:r w:rsidRPr="00B23655">
        <w:rPr>
          <w:rFonts w:ascii="Book Antiqua" w:eastAsia="宋体" w:hAnsi="Book Antiqua" w:cs="宋体"/>
          <w:b/>
          <w:bCs/>
        </w:rPr>
        <w:t>Weber CN</w:t>
      </w:r>
      <w:r w:rsidRPr="00B23655">
        <w:rPr>
          <w:rFonts w:ascii="Book Antiqua" w:eastAsia="宋体" w:hAnsi="Book Antiqua" w:cs="宋体"/>
        </w:rPr>
        <w:t xml:space="preserve">, </w:t>
      </w:r>
      <w:proofErr w:type="spellStart"/>
      <w:r w:rsidRPr="00B23655">
        <w:rPr>
          <w:rFonts w:ascii="Book Antiqua" w:eastAsia="宋体" w:hAnsi="Book Antiqua" w:cs="宋体"/>
        </w:rPr>
        <w:t>Nadolski</w:t>
      </w:r>
      <w:proofErr w:type="spellEnd"/>
      <w:r w:rsidRPr="00B23655">
        <w:rPr>
          <w:rFonts w:ascii="Book Antiqua" w:eastAsia="宋体" w:hAnsi="Book Antiqua" w:cs="宋体"/>
        </w:rPr>
        <w:t xml:space="preserve"> GJ, White SB, Clark TW, </w:t>
      </w:r>
      <w:proofErr w:type="spellStart"/>
      <w:r w:rsidRPr="00B23655">
        <w:rPr>
          <w:rFonts w:ascii="Book Antiqua" w:eastAsia="宋体" w:hAnsi="Book Antiqua" w:cs="宋体"/>
        </w:rPr>
        <w:t>Mondschein</w:t>
      </w:r>
      <w:proofErr w:type="spellEnd"/>
      <w:r w:rsidRPr="00B23655">
        <w:rPr>
          <w:rFonts w:ascii="Book Antiqua" w:eastAsia="宋体" w:hAnsi="Book Antiqua" w:cs="宋体"/>
        </w:rPr>
        <w:t xml:space="preserve"> JI, Stavropoulos SW, </w:t>
      </w:r>
      <w:proofErr w:type="spellStart"/>
      <w:r w:rsidRPr="00B23655">
        <w:rPr>
          <w:rFonts w:ascii="Book Antiqua" w:eastAsia="宋体" w:hAnsi="Book Antiqua" w:cs="宋体"/>
        </w:rPr>
        <w:t>Shlansky</w:t>
      </w:r>
      <w:proofErr w:type="spellEnd"/>
      <w:r w:rsidRPr="00B23655">
        <w:rPr>
          <w:rFonts w:ascii="Book Antiqua" w:eastAsia="宋体" w:hAnsi="Book Antiqua" w:cs="宋体"/>
        </w:rPr>
        <w:t xml:space="preserve">-Goldberg RD, </w:t>
      </w:r>
      <w:proofErr w:type="spellStart"/>
      <w:r w:rsidRPr="00B23655">
        <w:rPr>
          <w:rFonts w:ascii="Book Antiqua" w:eastAsia="宋体" w:hAnsi="Book Antiqua" w:cs="宋体"/>
        </w:rPr>
        <w:t>Trerotola</w:t>
      </w:r>
      <w:proofErr w:type="spellEnd"/>
      <w:r w:rsidRPr="00B23655">
        <w:rPr>
          <w:rFonts w:ascii="Book Antiqua" w:eastAsia="宋体" w:hAnsi="Book Antiqua" w:cs="宋体"/>
        </w:rPr>
        <w:t xml:space="preserve"> SO, </w:t>
      </w:r>
      <w:proofErr w:type="spellStart"/>
      <w:r w:rsidRPr="00B23655">
        <w:rPr>
          <w:rFonts w:ascii="Book Antiqua" w:eastAsia="宋体" w:hAnsi="Book Antiqua" w:cs="宋体"/>
        </w:rPr>
        <w:t>Soulen</w:t>
      </w:r>
      <w:proofErr w:type="spellEnd"/>
      <w:r w:rsidRPr="00B23655">
        <w:rPr>
          <w:rFonts w:ascii="Book Antiqua" w:eastAsia="宋体" w:hAnsi="Book Antiqua" w:cs="宋体"/>
        </w:rPr>
        <w:t xml:space="preserve"> MC. Long-Term Patency and Clinical Analysis of Expanded </w:t>
      </w:r>
      <w:proofErr w:type="spellStart"/>
      <w:r w:rsidRPr="00B23655">
        <w:rPr>
          <w:rFonts w:ascii="Book Antiqua" w:eastAsia="宋体" w:hAnsi="Book Antiqua" w:cs="宋体"/>
        </w:rPr>
        <w:t>Polytetrafluoroethylene</w:t>
      </w:r>
      <w:proofErr w:type="spellEnd"/>
      <w:r w:rsidRPr="00B23655">
        <w:rPr>
          <w:rFonts w:ascii="Book Antiqua" w:eastAsia="宋体" w:hAnsi="Book Antiqua" w:cs="宋体"/>
        </w:rPr>
        <w:t xml:space="preserve">-Covered </w:t>
      </w:r>
      <w:proofErr w:type="spellStart"/>
      <w:r w:rsidRPr="00B23655">
        <w:rPr>
          <w:rFonts w:ascii="Book Antiqua" w:eastAsia="宋体" w:hAnsi="Book Antiqua" w:cs="宋体"/>
        </w:rPr>
        <w:t>Transjugular</w:t>
      </w:r>
      <w:proofErr w:type="spellEnd"/>
      <w:r w:rsidRPr="00B23655">
        <w:rPr>
          <w:rFonts w:ascii="Book Antiqua" w:eastAsia="宋体" w:hAnsi="Book Antiqua" w:cs="宋体"/>
        </w:rPr>
        <w:t xml:space="preserve"> Intrahepatic </w:t>
      </w:r>
      <w:proofErr w:type="spellStart"/>
      <w:r w:rsidRPr="00B23655">
        <w:rPr>
          <w:rFonts w:ascii="Book Antiqua" w:eastAsia="宋体" w:hAnsi="Book Antiqua" w:cs="宋体"/>
        </w:rPr>
        <w:t>Portosystemic</w:t>
      </w:r>
      <w:proofErr w:type="spellEnd"/>
      <w:r w:rsidRPr="00B23655">
        <w:rPr>
          <w:rFonts w:ascii="Book Antiqua" w:eastAsia="宋体" w:hAnsi="Book Antiqua" w:cs="宋体"/>
        </w:rPr>
        <w:t xml:space="preserve"> Shunt Stent Grafts. </w:t>
      </w:r>
      <w:r w:rsidRPr="00B23655">
        <w:rPr>
          <w:rFonts w:ascii="Book Antiqua" w:eastAsia="宋体" w:hAnsi="Book Antiqua" w:cs="宋体"/>
          <w:i/>
          <w:iCs/>
        </w:rPr>
        <w:t xml:space="preserve">J </w:t>
      </w:r>
      <w:proofErr w:type="spellStart"/>
      <w:r w:rsidRPr="00B23655">
        <w:rPr>
          <w:rFonts w:ascii="Book Antiqua" w:eastAsia="宋体" w:hAnsi="Book Antiqua" w:cs="宋体"/>
          <w:i/>
          <w:iCs/>
        </w:rPr>
        <w:t>Vasc</w:t>
      </w:r>
      <w:proofErr w:type="spellEnd"/>
      <w:r w:rsidRPr="00B23655">
        <w:rPr>
          <w:rFonts w:ascii="Book Antiqua" w:eastAsia="宋体" w:hAnsi="Book Antiqua" w:cs="宋体"/>
          <w:i/>
          <w:iCs/>
        </w:rPr>
        <w:t xml:space="preserve"> </w:t>
      </w:r>
      <w:proofErr w:type="spellStart"/>
      <w:r w:rsidRPr="00B23655">
        <w:rPr>
          <w:rFonts w:ascii="Book Antiqua" w:eastAsia="宋体" w:hAnsi="Book Antiqua" w:cs="宋体"/>
          <w:i/>
          <w:iCs/>
        </w:rPr>
        <w:t>Interv</w:t>
      </w:r>
      <w:proofErr w:type="spellEnd"/>
      <w:r w:rsidRPr="00B23655">
        <w:rPr>
          <w:rFonts w:ascii="Book Antiqua" w:eastAsia="宋体" w:hAnsi="Book Antiqua" w:cs="宋体"/>
          <w:i/>
          <w:iCs/>
        </w:rPr>
        <w:t xml:space="preserve"> </w:t>
      </w:r>
      <w:proofErr w:type="spellStart"/>
      <w:r w:rsidRPr="00B23655">
        <w:rPr>
          <w:rFonts w:ascii="Book Antiqua" w:eastAsia="宋体" w:hAnsi="Book Antiqua" w:cs="宋体"/>
          <w:i/>
          <w:iCs/>
        </w:rPr>
        <w:t>Radiol</w:t>
      </w:r>
      <w:proofErr w:type="spellEnd"/>
      <w:r w:rsidRPr="00B23655">
        <w:rPr>
          <w:rFonts w:ascii="Book Antiqua" w:eastAsia="宋体" w:hAnsi="Book Antiqua" w:cs="宋体"/>
        </w:rPr>
        <w:t> 2015; </w:t>
      </w:r>
      <w:r w:rsidRPr="00B23655">
        <w:rPr>
          <w:rFonts w:ascii="Book Antiqua" w:eastAsia="宋体" w:hAnsi="Book Antiqua" w:cs="宋体"/>
          <w:b/>
          <w:bCs/>
        </w:rPr>
        <w:t>26</w:t>
      </w:r>
      <w:r w:rsidRPr="00B23655">
        <w:rPr>
          <w:rFonts w:ascii="Book Antiqua" w:eastAsia="宋体" w:hAnsi="Book Antiqua" w:cs="宋体"/>
        </w:rPr>
        <w:t>: 1257-165; quiz 1265 [PMID: 25990133 DOI: 10.1016/j.jvir.2015.04.005</w:t>
      </w:r>
      <w:r>
        <w:rPr>
          <w:rFonts w:ascii="Book Antiqua" w:eastAsia="宋体" w:hAnsi="Book Antiqua" w:cs="宋体"/>
        </w:rPr>
        <w:t>]</w:t>
      </w:r>
    </w:p>
    <w:p w14:paraId="0D3789DB"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t>11 </w:t>
      </w:r>
      <w:proofErr w:type="spellStart"/>
      <w:r w:rsidRPr="00B23655">
        <w:rPr>
          <w:rFonts w:ascii="Book Antiqua" w:eastAsia="宋体" w:hAnsi="Book Antiqua" w:cs="宋体"/>
          <w:b/>
          <w:bCs/>
        </w:rPr>
        <w:t>Gaba</w:t>
      </w:r>
      <w:proofErr w:type="spellEnd"/>
      <w:r w:rsidRPr="00B23655">
        <w:rPr>
          <w:rFonts w:ascii="Book Antiqua" w:eastAsia="宋体" w:hAnsi="Book Antiqua" w:cs="宋体"/>
          <w:b/>
          <w:bCs/>
        </w:rPr>
        <w:t xml:space="preserve"> RC</w:t>
      </w:r>
      <w:r w:rsidRPr="00B23655">
        <w:rPr>
          <w:rFonts w:ascii="Book Antiqua" w:eastAsia="宋体" w:hAnsi="Book Antiqua" w:cs="宋体"/>
        </w:rPr>
        <w:t xml:space="preserve">, </w:t>
      </w:r>
      <w:proofErr w:type="spellStart"/>
      <w:r w:rsidRPr="00B23655">
        <w:rPr>
          <w:rFonts w:ascii="Book Antiqua" w:eastAsia="宋体" w:hAnsi="Book Antiqua" w:cs="宋体"/>
        </w:rPr>
        <w:t>Omene</w:t>
      </w:r>
      <w:proofErr w:type="spellEnd"/>
      <w:r w:rsidRPr="00B23655">
        <w:rPr>
          <w:rFonts w:ascii="Book Antiqua" w:eastAsia="宋体" w:hAnsi="Book Antiqua" w:cs="宋体"/>
        </w:rPr>
        <w:t xml:space="preserve"> BO, </w:t>
      </w:r>
      <w:proofErr w:type="spellStart"/>
      <w:r w:rsidRPr="00B23655">
        <w:rPr>
          <w:rFonts w:ascii="Book Antiqua" w:eastAsia="宋体" w:hAnsi="Book Antiqua" w:cs="宋体"/>
        </w:rPr>
        <w:t>Podczerwinski</w:t>
      </w:r>
      <w:proofErr w:type="spellEnd"/>
      <w:r w:rsidRPr="00B23655">
        <w:rPr>
          <w:rFonts w:ascii="Book Antiqua" w:eastAsia="宋体" w:hAnsi="Book Antiqua" w:cs="宋体"/>
        </w:rPr>
        <w:t xml:space="preserve"> ES, </w:t>
      </w:r>
      <w:proofErr w:type="spellStart"/>
      <w:r w:rsidRPr="00B23655">
        <w:rPr>
          <w:rFonts w:ascii="Book Antiqua" w:eastAsia="宋体" w:hAnsi="Book Antiqua" w:cs="宋体"/>
        </w:rPr>
        <w:t>Knuttinen</w:t>
      </w:r>
      <w:proofErr w:type="spellEnd"/>
      <w:r w:rsidRPr="00B23655">
        <w:rPr>
          <w:rFonts w:ascii="Book Antiqua" w:eastAsia="宋体" w:hAnsi="Book Antiqua" w:cs="宋体"/>
        </w:rPr>
        <w:t xml:space="preserve"> MG, </w:t>
      </w:r>
      <w:proofErr w:type="spellStart"/>
      <w:r w:rsidRPr="00B23655">
        <w:rPr>
          <w:rFonts w:ascii="Book Antiqua" w:eastAsia="宋体" w:hAnsi="Book Antiqua" w:cs="宋体"/>
        </w:rPr>
        <w:t>Cotler</w:t>
      </w:r>
      <w:proofErr w:type="spellEnd"/>
      <w:r w:rsidRPr="00B23655">
        <w:rPr>
          <w:rFonts w:ascii="Book Antiqua" w:eastAsia="宋体" w:hAnsi="Book Antiqua" w:cs="宋体"/>
        </w:rPr>
        <w:t xml:space="preserve"> SJ, </w:t>
      </w:r>
      <w:proofErr w:type="spellStart"/>
      <w:r w:rsidRPr="00B23655">
        <w:rPr>
          <w:rFonts w:ascii="Book Antiqua" w:eastAsia="宋体" w:hAnsi="Book Antiqua" w:cs="宋体"/>
        </w:rPr>
        <w:t>Kallwitz</w:t>
      </w:r>
      <w:proofErr w:type="spellEnd"/>
      <w:r w:rsidRPr="00B23655">
        <w:rPr>
          <w:rFonts w:ascii="Book Antiqua" w:eastAsia="宋体" w:hAnsi="Book Antiqua" w:cs="宋体"/>
        </w:rPr>
        <w:t xml:space="preserve"> ER, </w:t>
      </w:r>
      <w:proofErr w:type="spellStart"/>
      <w:r w:rsidRPr="00B23655">
        <w:rPr>
          <w:rFonts w:ascii="Book Antiqua" w:eastAsia="宋体" w:hAnsi="Book Antiqua" w:cs="宋体"/>
        </w:rPr>
        <w:t>Berkes</w:t>
      </w:r>
      <w:proofErr w:type="spellEnd"/>
      <w:r w:rsidRPr="00B23655">
        <w:rPr>
          <w:rFonts w:ascii="Book Antiqua" w:eastAsia="宋体" w:hAnsi="Book Antiqua" w:cs="宋体"/>
        </w:rPr>
        <w:t xml:space="preserve"> JL, </w:t>
      </w:r>
      <w:proofErr w:type="spellStart"/>
      <w:r w:rsidRPr="00B23655">
        <w:rPr>
          <w:rFonts w:ascii="Book Antiqua" w:eastAsia="宋体" w:hAnsi="Book Antiqua" w:cs="宋体"/>
        </w:rPr>
        <w:t>Walzer</w:t>
      </w:r>
      <w:proofErr w:type="spellEnd"/>
      <w:r w:rsidRPr="00B23655">
        <w:rPr>
          <w:rFonts w:ascii="Book Antiqua" w:eastAsia="宋体" w:hAnsi="Book Antiqua" w:cs="宋体"/>
        </w:rPr>
        <w:t xml:space="preserve"> NM, Bui JT, Owens CA. TIPS for treatment of </w:t>
      </w:r>
      <w:proofErr w:type="spellStart"/>
      <w:r w:rsidRPr="00B23655">
        <w:rPr>
          <w:rFonts w:ascii="Book Antiqua" w:eastAsia="宋体" w:hAnsi="Book Antiqua" w:cs="宋体"/>
        </w:rPr>
        <w:t>variceal</w:t>
      </w:r>
      <w:proofErr w:type="spellEnd"/>
      <w:r w:rsidRPr="00B23655">
        <w:rPr>
          <w:rFonts w:ascii="Book Antiqua" w:eastAsia="宋体" w:hAnsi="Book Antiqua" w:cs="宋体"/>
        </w:rPr>
        <w:t xml:space="preserve"> hemorrhage: clinical outcomes in 128 patients at a single institution over a 12-year period. </w:t>
      </w:r>
      <w:r w:rsidRPr="00B23655">
        <w:rPr>
          <w:rFonts w:ascii="Book Antiqua" w:eastAsia="宋体" w:hAnsi="Book Antiqua" w:cs="宋体"/>
          <w:i/>
          <w:iCs/>
        </w:rPr>
        <w:t xml:space="preserve">J </w:t>
      </w:r>
      <w:proofErr w:type="spellStart"/>
      <w:r w:rsidRPr="00B23655">
        <w:rPr>
          <w:rFonts w:ascii="Book Antiqua" w:eastAsia="宋体" w:hAnsi="Book Antiqua" w:cs="宋体"/>
          <w:i/>
          <w:iCs/>
        </w:rPr>
        <w:t>Vasc</w:t>
      </w:r>
      <w:proofErr w:type="spellEnd"/>
      <w:r w:rsidRPr="00B23655">
        <w:rPr>
          <w:rFonts w:ascii="Book Antiqua" w:eastAsia="宋体" w:hAnsi="Book Antiqua" w:cs="宋体"/>
          <w:i/>
          <w:iCs/>
        </w:rPr>
        <w:t xml:space="preserve"> </w:t>
      </w:r>
      <w:proofErr w:type="spellStart"/>
      <w:r w:rsidRPr="00B23655">
        <w:rPr>
          <w:rFonts w:ascii="Book Antiqua" w:eastAsia="宋体" w:hAnsi="Book Antiqua" w:cs="宋体"/>
          <w:i/>
          <w:iCs/>
        </w:rPr>
        <w:t>Interv</w:t>
      </w:r>
      <w:proofErr w:type="spellEnd"/>
      <w:r w:rsidRPr="00B23655">
        <w:rPr>
          <w:rFonts w:ascii="Book Antiqua" w:eastAsia="宋体" w:hAnsi="Book Antiqua" w:cs="宋体"/>
          <w:i/>
          <w:iCs/>
        </w:rPr>
        <w:t xml:space="preserve"> </w:t>
      </w:r>
      <w:proofErr w:type="spellStart"/>
      <w:r w:rsidRPr="00B23655">
        <w:rPr>
          <w:rFonts w:ascii="Book Antiqua" w:eastAsia="宋体" w:hAnsi="Book Antiqua" w:cs="宋体"/>
          <w:i/>
          <w:iCs/>
        </w:rPr>
        <w:t>Radiol</w:t>
      </w:r>
      <w:proofErr w:type="spellEnd"/>
      <w:r w:rsidRPr="00B23655">
        <w:rPr>
          <w:rFonts w:ascii="Book Antiqua" w:eastAsia="宋体" w:hAnsi="Book Antiqua" w:cs="宋体"/>
        </w:rPr>
        <w:t> 2012; </w:t>
      </w:r>
      <w:r w:rsidRPr="00B23655">
        <w:rPr>
          <w:rFonts w:ascii="Book Antiqua" w:eastAsia="宋体" w:hAnsi="Book Antiqua" w:cs="宋体"/>
          <w:b/>
          <w:bCs/>
        </w:rPr>
        <w:t>23</w:t>
      </w:r>
      <w:r w:rsidRPr="00B23655">
        <w:rPr>
          <w:rFonts w:ascii="Book Antiqua" w:eastAsia="宋体" w:hAnsi="Book Antiqua" w:cs="宋体"/>
        </w:rPr>
        <w:t>: 227-235 [PMID: 22178037 DOI: 10.1016/j.jvir.2011.10.015</w:t>
      </w:r>
      <w:r>
        <w:rPr>
          <w:rFonts w:ascii="Book Antiqua" w:eastAsia="宋体" w:hAnsi="Book Antiqua" w:cs="宋体"/>
        </w:rPr>
        <w:t>]</w:t>
      </w:r>
    </w:p>
    <w:p w14:paraId="26B0538D"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t>12 </w:t>
      </w:r>
      <w:r w:rsidRPr="00B23655">
        <w:rPr>
          <w:rFonts w:ascii="Book Antiqua" w:eastAsia="宋体" w:hAnsi="Book Antiqua" w:cs="宋体"/>
          <w:b/>
          <w:bCs/>
        </w:rPr>
        <w:t>Luca A</w:t>
      </w:r>
      <w:r w:rsidRPr="00B23655">
        <w:rPr>
          <w:rFonts w:ascii="Book Antiqua" w:eastAsia="宋体" w:hAnsi="Book Antiqua" w:cs="宋体"/>
        </w:rPr>
        <w:t xml:space="preserve">, </w:t>
      </w:r>
      <w:proofErr w:type="spellStart"/>
      <w:r w:rsidRPr="00B23655">
        <w:rPr>
          <w:rFonts w:ascii="Book Antiqua" w:eastAsia="宋体" w:hAnsi="Book Antiqua" w:cs="宋体"/>
        </w:rPr>
        <w:t>Miraglia</w:t>
      </w:r>
      <w:proofErr w:type="spellEnd"/>
      <w:r w:rsidRPr="00B23655">
        <w:rPr>
          <w:rFonts w:ascii="Book Antiqua" w:eastAsia="宋体" w:hAnsi="Book Antiqua" w:cs="宋体"/>
        </w:rPr>
        <w:t xml:space="preserve"> R, Caruso S, </w:t>
      </w:r>
      <w:proofErr w:type="spellStart"/>
      <w:r w:rsidRPr="00B23655">
        <w:rPr>
          <w:rFonts w:ascii="Book Antiqua" w:eastAsia="宋体" w:hAnsi="Book Antiqua" w:cs="宋体"/>
        </w:rPr>
        <w:t>Milazzo</w:t>
      </w:r>
      <w:proofErr w:type="spellEnd"/>
      <w:r w:rsidRPr="00B23655">
        <w:rPr>
          <w:rFonts w:ascii="Book Antiqua" w:eastAsia="宋体" w:hAnsi="Book Antiqua" w:cs="宋体"/>
        </w:rPr>
        <w:t xml:space="preserve"> M, </w:t>
      </w:r>
      <w:proofErr w:type="spellStart"/>
      <w:r w:rsidRPr="00B23655">
        <w:rPr>
          <w:rFonts w:ascii="Book Antiqua" w:eastAsia="宋体" w:hAnsi="Book Antiqua" w:cs="宋体"/>
        </w:rPr>
        <w:t>Sapere</w:t>
      </w:r>
      <w:proofErr w:type="spellEnd"/>
      <w:r w:rsidRPr="00B23655">
        <w:rPr>
          <w:rFonts w:ascii="Book Antiqua" w:eastAsia="宋体" w:hAnsi="Book Antiqua" w:cs="宋体"/>
        </w:rPr>
        <w:t xml:space="preserve"> C, </w:t>
      </w:r>
      <w:proofErr w:type="spellStart"/>
      <w:r w:rsidRPr="00B23655">
        <w:rPr>
          <w:rFonts w:ascii="Book Antiqua" w:eastAsia="宋体" w:hAnsi="Book Antiqua" w:cs="宋体"/>
        </w:rPr>
        <w:t>Maruzzelli</w:t>
      </w:r>
      <w:proofErr w:type="spellEnd"/>
      <w:r w:rsidRPr="00B23655">
        <w:rPr>
          <w:rFonts w:ascii="Book Antiqua" w:eastAsia="宋体" w:hAnsi="Book Antiqua" w:cs="宋体"/>
        </w:rPr>
        <w:t xml:space="preserve"> L, </w:t>
      </w:r>
      <w:proofErr w:type="spellStart"/>
      <w:r w:rsidRPr="00B23655">
        <w:rPr>
          <w:rFonts w:ascii="Book Antiqua" w:eastAsia="宋体" w:hAnsi="Book Antiqua" w:cs="宋体"/>
        </w:rPr>
        <w:t>Vizzini</w:t>
      </w:r>
      <w:proofErr w:type="spellEnd"/>
      <w:r w:rsidRPr="00B23655">
        <w:rPr>
          <w:rFonts w:ascii="Book Antiqua" w:eastAsia="宋体" w:hAnsi="Book Antiqua" w:cs="宋体"/>
        </w:rPr>
        <w:t xml:space="preserve"> G, </w:t>
      </w:r>
      <w:proofErr w:type="spellStart"/>
      <w:r w:rsidRPr="00B23655">
        <w:rPr>
          <w:rFonts w:ascii="Book Antiqua" w:eastAsia="宋体" w:hAnsi="Book Antiqua" w:cs="宋体"/>
        </w:rPr>
        <w:t>Tuzzolino</w:t>
      </w:r>
      <w:proofErr w:type="spellEnd"/>
      <w:r w:rsidRPr="00B23655">
        <w:rPr>
          <w:rFonts w:ascii="Book Antiqua" w:eastAsia="宋体" w:hAnsi="Book Antiqua" w:cs="宋体"/>
        </w:rPr>
        <w:t xml:space="preserve"> F, </w:t>
      </w:r>
      <w:proofErr w:type="spellStart"/>
      <w:r w:rsidRPr="00B23655">
        <w:rPr>
          <w:rFonts w:ascii="Book Antiqua" w:eastAsia="宋体" w:hAnsi="Book Antiqua" w:cs="宋体"/>
        </w:rPr>
        <w:t>Gridelli</w:t>
      </w:r>
      <w:proofErr w:type="spellEnd"/>
      <w:r w:rsidRPr="00B23655">
        <w:rPr>
          <w:rFonts w:ascii="Book Antiqua" w:eastAsia="宋体" w:hAnsi="Book Antiqua" w:cs="宋体"/>
        </w:rPr>
        <w:t xml:space="preserve"> B, Bosch J. Short- and long-term effects of the </w:t>
      </w:r>
      <w:proofErr w:type="spellStart"/>
      <w:r w:rsidRPr="00B23655">
        <w:rPr>
          <w:rFonts w:ascii="Book Antiqua" w:eastAsia="宋体" w:hAnsi="Book Antiqua" w:cs="宋体"/>
        </w:rPr>
        <w:t>transjugular</w:t>
      </w:r>
      <w:proofErr w:type="spellEnd"/>
      <w:r w:rsidRPr="00B23655">
        <w:rPr>
          <w:rFonts w:ascii="Book Antiqua" w:eastAsia="宋体" w:hAnsi="Book Antiqua" w:cs="宋体"/>
        </w:rPr>
        <w:t xml:space="preserve"> intrahepatic </w:t>
      </w:r>
      <w:proofErr w:type="spellStart"/>
      <w:r w:rsidRPr="00B23655">
        <w:rPr>
          <w:rFonts w:ascii="Book Antiqua" w:eastAsia="宋体" w:hAnsi="Book Antiqua" w:cs="宋体"/>
        </w:rPr>
        <w:t>portosystemic</w:t>
      </w:r>
      <w:proofErr w:type="spellEnd"/>
      <w:r w:rsidRPr="00B23655">
        <w:rPr>
          <w:rFonts w:ascii="Book Antiqua" w:eastAsia="宋体" w:hAnsi="Book Antiqua" w:cs="宋体"/>
        </w:rPr>
        <w:t xml:space="preserve"> shunt on portal vein thrombosis in patients with cirrhosis. </w:t>
      </w:r>
      <w:r w:rsidRPr="00B23655">
        <w:rPr>
          <w:rFonts w:ascii="Book Antiqua" w:eastAsia="宋体" w:hAnsi="Book Antiqua" w:cs="宋体"/>
          <w:i/>
          <w:iCs/>
        </w:rPr>
        <w:t>Gut</w:t>
      </w:r>
      <w:r w:rsidRPr="00B23655">
        <w:rPr>
          <w:rFonts w:ascii="Book Antiqua" w:eastAsia="宋体" w:hAnsi="Book Antiqua" w:cs="宋体"/>
        </w:rPr>
        <w:t> 2011; </w:t>
      </w:r>
      <w:r w:rsidRPr="00B23655">
        <w:rPr>
          <w:rFonts w:ascii="Book Antiqua" w:eastAsia="宋体" w:hAnsi="Book Antiqua" w:cs="宋体"/>
          <w:b/>
          <w:bCs/>
        </w:rPr>
        <w:t>60</w:t>
      </w:r>
      <w:r w:rsidRPr="00B23655">
        <w:rPr>
          <w:rFonts w:ascii="Book Antiqua" w:eastAsia="宋体" w:hAnsi="Book Antiqua" w:cs="宋体"/>
        </w:rPr>
        <w:t>: 846-852 [PMID: 21357252 DOI: 10.1136/gut.2010.228023</w:t>
      </w:r>
      <w:r>
        <w:rPr>
          <w:rFonts w:ascii="Book Antiqua" w:eastAsia="宋体" w:hAnsi="Book Antiqua" w:cs="宋体"/>
        </w:rPr>
        <w:t>]</w:t>
      </w:r>
    </w:p>
    <w:p w14:paraId="55821C84"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t>13 </w:t>
      </w:r>
      <w:proofErr w:type="spellStart"/>
      <w:r w:rsidRPr="00B23655">
        <w:rPr>
          <w:rFonts w:ascii="Book Antiqua" w:eastAsia="宋体" w:hAnsi="Book Antiqua" w:cs="宋体"/>
          <w:b/>
          <w:bCs/>
        </w:rPr>
        <w:t>Rössle</w:t>
      </w:r>
      <w:proofErr w:type="spellEnd"/>
      <w:r w:rsidRPr="00B23655">
        <w:rPr>
          <w:rFonts w:ascii="Book Antiqua" w:eastAsia="宋体" w:hAnsi="Book Antiqua" w:cs="宋体"/>
          <w:b/>
          <w:bCs/>
        </w:rPr>
        <w:t xml:space="preserve"> M</w:t>
      </w:r>
      <w:r w:rsidRPr="00B23655">
        <w:rPr>
          <w:rFonts w:ascii="Book Antiqua" w:eastAsia="宋体" w:hAnsi="Book Antiqua" w:cs="宋体"/>
        </w:rPr>
        <w:t xml:space="preserve">, </w:t>
      </w:r>
      <w:proofErr w:type="spellStart"/>
      <w:r w:rsidRPr="00B23655">
        <w:rPr>
          <w:rFonts w:ascii="Book Antiqua" w:eastAsia="宋体" w:hAnsi="Book Antiqua" w:cs="宋体"/>
        </w:rPr>
        <w:t>Siegerstetter</w:t>
      </w:r>
      <w:proofErr w:type="spellEnd"/>
      <w:r w:rsidRPr="00B23655">
        <w:rPr>
          <w:rFonts w:ascii="Book Antiqua" w:eastAsia="宋体" w:hAnsi="Book Antiqua" w:cs="宋体"/>
        </w:rPr>
        <w:t xml:space="preserve"> V, </w:t>
      </w:r>
      <w:proofErr w:type="spellStart"/>
      <w:r w:rsidRPr="00B23655">
        <w:rPr>
          <w:rFonts w:ascii="Book Antiqua" w:eastAsia="宋体" w:hAnsi="Book Antiqua" w:cs="宋体"/>
        </w:rPr>
        <w:t>Euringer</w:t>
      </w:r>
      <w:proofErr w:type="spellEnd"/>
      <w:r w:rsidRPr="00B23655">
        <w:rPr>
          <w:rFonts w:ascii="Book Antiqua" w:eastAsia="宋体" w:hAnsi="Book Antiqua" w:cs="宋体"/>
        </w:rPr>
        <w:t xml:space="preserve"> W, </w:t>
      </w:r>
      <w:proofErr w:type="spellStart"/>
      <w:r w:rsidRPr="00B23655">
        <w:rPr>
          <w:rFonts w:ascii="Book Antiqua" w:eastAsia="宋体" w:hAnsi="Book Antiqua" w:cs="宋体"/>
        </w:rPr>
        <w:t>Olschewski</w:t>
      </w:r>
      <w:proofErr w:type="spellEnd"/>
      <w:r w:rsidRPr="00B23655">
        <w:rPr>
          <w:rFonts w:ascii="Book Antiqua" w:eastAsia="宋体" w:hAnsi="Book Antiqua" w:cs="宋体"/>
        </w:rPr>
        <w:t xml:space="preserve"> M, </w:t>
      </w:r>
      <w:proofErr w:type="spellStart"/>
      <w:r w:rsidRPr="00B23655">
        <w:rPr>
          <w:rFonts w:ascii="Book Antiqua" w:eastAsia="宋体" w:hAnsi="Book Antiqua" w:cs="宋体"/>
        </w:rPr>
        <w:t>Kromeier</w:t>
      </w:r>
      <w:proofErr w:type="spellEnd"/>
      <w:r w:rsidRPr="00B23655">
        <w:rPr>
          <w:rFonts w:ascii="Book Antiqua" w:eastAsia="宋体" w:hAnsi="Book Antiqua" w:cs="宋体"/>
        </w:rPr>
        <w:t xml:space="preserve"> J, </w:t>
      </w:r>
      <w:proofErr w:type="spellStart"/>
      <w:r w:rsidRPr="00B23655">
        <w:rPr>
          <w:rFonts w:ascii="Book Antiqua" w:eastAsia="宋体" w:hAnsi="Book Antiqua" w:cs="宋体"/>
        </w:rPr>
        <w:t>Kurz</w:t>
      </w:r>
      <w:proofErr w:type="spellEnd"/>
      <w:r w:rsidRPr="00B23655">
        <w:rPr>
          <w:rFonts w:ascii="Book Antiqua" w:eastAsia="宋体" w:hAnsi="Book Antiqua" w:cs="宋体"/>
        </w:rPr>
        <w:t xml:space="preserve"> K, Langer M. The use of a </w:t>
      </w:r>
      <w:proofErr w:type="spellStart"/>
      <w:r w:rsidRPr="00B23655">
        <w:rPr>
          <w:rFonts w:ascii="Book Antiqua" w:eastAsia="宋体" w:hAnsi="Book Antiqua" w:cs="宋体"/>
        </w:rPr>
        <w:t>polytetrafluoroethylene</w:t>
      </w:r>
      <w:proofErr w:type="spellEnd"/>
      <w:r w:rsidRPr="00B23655">
        <w:rPr>
          <w:rFonts w:ascii="Book Antiqua" w:eastAsia="宋体" w:hAnsi="Book Antiqua" w:cs="宋体"/>
        </w:rPr>
        <w:t xml:space="preserve">-covered stent graft for </w:t>
      </w:r>
      <w:proofErr w:type="spellStart"/>
      <w:r w:rsidRPr="00B23655">
        <w:rPr>
          <w:rFonts w:ascii="Book Antiqua" w:eastAsia="宋体" w:hAnsi="Book Antiqua" w:cs="宋体"/>
        </w:rPr>
        <w:t>transjugular</w:t>
      </w:r>
      <w:proofErr w:type="spellEnd"/>
      <w:r w:rsidRPr="00B23655">
        <w:rPr>
          <w:rFonts w:ascii="Book Antiqua" w:eastAsia="宋体" w:hAnsi="Book Antiqua" w:cs="宋体"/>
        </w:rPr>
        <w:t xml:space="preserve"> intrahepatic </w:t>
      </w:r>
      <w:proofErr w:type="spellStart"/>
      <w:r w:rsidRPr="00B23655">
        <w:rPr>
          <w:rFonts w:ascii="Book Antiqua" w:eastAsia="宋体" w:hAnsi="Book Antiqua" w:cs="宋体"/>
        </w:rPr>
        <w:t>portosystemic</w:t>
      </w:r>
      <w:proofErr w:type="spellEnd"/>
      <w:r w:rsidRPr="00B23655">
        <w:rPr>
          <w:rFonts w:ascii="Book Antiqua" w:eastAsia="宋体" w:hAnsi="Book Antiqua" w:cs="宋体"/>
        </w:rPr>
        <w:t xml:space="preserve"> shunt (TIPS): Long-term follow-up of 100 patients. </w:t>
      </w:r>
      <w:proofErr w:type="spellStart"/>
      <w:r w:rsidRPr="00B23655">
        <w:rPr>
          <w:rFonts w:ascii="Book Antiqua" w:eastAsia="宋体" w:hAnsi="Book Antiqua" w:cs="宋体"/>
          <w:i/>
          <w:iCs/>
        </w:rPr>
        <w:t>Acta</w:t>
      </w:r>
      <w:proofErr w:type="spellEnd"/>
      <w:r w:rsidRPr="00B23655">
        <w:rPr>
          <w:rFonts w:ascii="Book Antiqua" w:eastAsia="宋体" w:hAnsi="Book Antiqua" w:cs="宋体"/>
          <w:i/>
          <w:iCs/>
        </w:rPr>
        <w:t xml:space="preserve"> </w:t>
      </w:r>
      <w:proofErr w:type="spellStart"/>
      <w:r w:rsidRPr="00B23655">
        <w:rPr>
          <w:rFonts w:ascii="Book Antiqua" w:eastAsia="宋体" w:hAnsi="Book Antiqua" w:cs="宋体"/>
          <w:i/>
          <w:iCs/>
        </w:rPr>
        <w:t>Radiol</w:t>
      </w:r>
      <w:proofErr w:type="spellEnd"/>
      <w:r w:rsidRPr="00B23655">
        <w:rPr>
          <w:rFonts w:ascii="Book Antiqua" w:eastAsia="宋体" w:hAnsi="Book Antiqua" w:cs="宋体"/>
        </w:rPr>
        <w:t> 2006; </w:t>
      </w:r>
      <w:r w:rsidRPr="00B23655">
        <w:rPr>
          <w:rFonts w:ascii="Book Antiqua" w:eastAsia="宋体" w:hAnsi="Book Antiqua" w:cs="宋体"/>
          <w:b/>
          <w:bCs/>
        </w:rPr>
        <w:t>47</w:t>
      </w:r>
      <w:r w:rsidRPr="00B23655">
        <w:rPr>
          <w:rFonts w:ascii="Book Antiqua" w:eastAsia="宋体" w:hAnsi="Book Antiqua" w:cs="宋体"/>
        </w:rPr>
        <w:t>: 660-666 [PMID: 16950701 DOI: 10.1080/02841850600806324</w:t>
      </w:r>
      <w:r>
        <w:rPr>
          <w:rFonts w:ascii="Book Antiqua" w:eastAsia="宋体" w:hAnsi="Book Antiqua" w:cs="宋体"/>
        </w:rPr>
        <w:t>]</w:t>
      </w:r>
    </w:p>
    <w:p w14:paraId="7B8CDB0D" w14:textId="77777777" w:rsidR="00D752DB" w:rsidRPr="00B23655" w:rsidRDefault="00D752DB" w:rsidP="00D752DB">
      <w:pPr>
        <w:spacing w:line="360" w:lineRule="auto"/>
        <w:jc w:val="both"/>
        <w:rPr>
          <w:rFonts w:ascii="Book Antiqua" w:eastAsia="宋体" w:hAnsi="Book Antiqua" w:cs="宋体"/>
        </w:rPr>
      </w:pPr>
      <w:proofErr w:type="gramStart"/>
      <w:r w:rsidRPr="00B23655">
        <w:rPr>
          <w:rFonts w:ascii="Book Antiqua" w:eastAsia="宋体" w:hAnsi="Book Antiqua" w:cs="宋体"/>
        </w:rPr>
        <w:lastRenderedPageBreak/>
        <w:t>14 </w:t>
      </w:r>
      <w:proofErr w:type="spellStart"/>
      <w:r w:rsidRPr="00B23655">
        <w:rPr>
          <w:rFonts w:ascii="Book Antiqua" w:eastAsia="宋体" w:hAnsi="Book Antiqua" w:cs="宋体"/>
          <w:b/>
          <w:bCs/>
        </w:rPr>
        <w:t>Saad</w:t>
      </w:r>
      <w:proofErr w:type="spellEnd"/>
      <w:r w:rsidRPr="00B23655">
        <w:rPr>
          <w:rFonts w:ascii="Book Antiqua" w:eastAsia="宋体" w:hAnsi="Book Antiqua" w:cs="宋体"/>
          <w:b/>
          <w:bCs/>
        </w:rPr>
        <w:t xml:space="preserve"> WE</w:t>
      </w:r>
      <w:r w:rsidRPr="00B23655">
        <w:rPr>
          <w:rFonts w:ascii="Book Antiqua" w:eastAsia="宋体" w:hAnsi="Book Antiqua" w:cs="宋体"/>
        </w:rPr>
        <w:t xml:space="preserve">, </w:t>
      </w:r>
      <w:proofErr w:type="spellStart"/>
      <w:r w:rsidRPr="00B23655">
        <w:rPr>
          <w:rFonts w:ascii="Book Antiqua" w:eastAsia="宋体" w:hAnsi="Book Antiqua" w:cs="宋体"/>
        </w:rPr>
        <w:t>Darwish</w:t>
      </w:r>
      <w:proofErr w:type="spellEnd"/>
      <w:r w:rsidRPr="00B23655">
        <w:rPr>
          <w:rFonts w:ascii="Book Antiqua" w:eastAsia="宋体" w:hAnsi="Book Antiqua" w:cs="宋体"/>
        </w:rPr>
        <w:t xml:space="preserve"> WM, Davies MG, Waldman DL.</w:t>
      </w:r>
      <w:proofErr w:type="gramEnd"/>
      <w:r w:rsidRPr="00B23655">
        <w:rPr>
          <w:rFonts w:ascii="Book Antiqua" w:eastAsia="宋体" w:hAnsi="Book Antiqua" w:cs="宋体"/>
        </w:rPr>
        <w:t xml:space="preserve"> Stent-grafts for </w:t>
      </w:r>
      <w:proofErr w:type="spellStart"/>
      <w:r w:rsidRPr="00B23655">
        <w:rPr>
          <w:rFonts w:ascii="Book Antiqua" w:eastAsia="宋体" w:hAnsi="Book Antiqua" w:cs="宋体"/>
        </w:rPr>
        <w:t>transjugular</w:t>
      </w:r>
      <w:proofErr w:type="spellEnd"/>
      <w:r w:rsidRPr="00B23655">
        <w:rPr>
          <w:rFonts w:ascii="Book Antiqua" w:eastAsia="宋体" w:hAnsi="Book Antiqua" w:cs="宋体"/>
        </w:rPr>
        <w:t xml:space="preserve"> intrahepatic </w:t>
      </w:r>
      <w:proofErr w:type="spellStart"/>
      <w:r w:rsidRPr="00B23655">
        <w:rPr>
          <w:rFonts w:ascii="Book Antiqua" w:eastAsia="宋体" w:hAnsi="Book Antiqua" w:cs="宋体"/>
        </w:rPr>
        <w:t>portosystemic</w:t>
      </w:r>
      <w:proofErr w:type="spellEnd"/>
      <w:r w:rsidRPr="00B23655">
        <w:rPr>
          <w:rFonts w:ascii="Book Antiqua" w:eastAsia="宋体" w:hAnsi="Book Antiqua" w:cs="宋体"/>
        </w:rPr>
        <w:t xml:space="preserve"> shunt creation: specialized TIPS stent-graft versus generic stent-graft/bare stent combination. </w:t>
      </w:r>
      <w:r w:rsidRPr="00B23655">
        <w:rPr>
          <w:rFonts w:ascii="Book Antiqua" w:eastAsia="宋体" w:hAnsi="Book Antiqua" w:cs="宋体"/>
          <w:i/>
          <w:iCs/>
        </w:rPr>
        <w:t xml:space="preserve">J </w:t>
      </w:r>
      <w:proofErr w:type="spellStart"/>
      <w:r w:rsidRPr="00B23655">
        <w:rPr>
          <w:rFonts w:ascii="Book Antiqua" w:eastAsia="宋体" w:hAnsi="Book Antiqua" w:cs="宋体"/>
          <w:i/>
          <w:iCs/>
        </w:rPr>
        <w:t>Vasc</w:t>
      </w:r>
      <w:proofErr w:type="spellEnd"/>
      <w:r w:rsidRPr="00B23655">
        <w:rPr>
          <w:rFonts w:ascii="Book Antiqua" w:eastAsia="宋体" w:hAnsi="Book Antiqua" w:cs="宋体"/>
          <w:i/>
          <w:iCs/>
        </w:rPr>
        <w:t xml:space="preserve"> </w:t>
      </w:r>
      <w:proofErr w:type="spellStart"/>
      <w:r w:rsidRPr="00B23655">
        <w:rPr>
          <w:rFonts w:ascii="Book Antiqua" w:eastAsia="宋体" w:hAnsi="Book Antiqua" w:cs="宋体"/>
          <w:i/>
          <w:iCs/>
        </w:rPr>
        <w:t>Interv</w:t>
      </w:r>
      <w:proofErr w:type="spellEnd"/>
      <w:r w:rsidRPr="00B23655">
        <w:rPr>
          <w:rFonts w:ascii="Book Antiqua" w:eastAsia="宋体" w:hAnsi="Book Antiqua" w:cs="宋体"/>
          <w:i/>
          <w:iCs/>
        </w:rPr>
        <w:t xml:space="preserve"> </w:t>
      </w:r>
      <w:proofErr w:type="spellStart"/>
      <w:r w:rsidRPr="00B23655">
        <w:rPr>
          <w:rFonts w:ascii="Book Antiqua" w:eastAsia="宋体" w:hAnsi="Book Antiqua" w:cs="宋体"/>
          <w:i/>
          <w:iCs/>
        </w:rPr>
        <w:t>Radiol</w:t>
      </w:r>
      <w:proofErr w:type="spellEnd"/>
      <w:r w:rsidRPr="00B23655">
        <w:rPr>
          <w:rFonts w:ascii="Book Antiqua" w:eastAsia="宋体" w:hAnsi="Book Antiqua" w:cs="宋体"/>
        </w:rPr>
        <w:t> 2010; </w:t>
      </w:r>
      <w:r w:rsidRPr="00B23655">
        <w:rPr>
          <w:rFonts w:ascii="Book Antiqua" w:eastAsia="宋体" w:hAnsi="Book Antiqua" w:cs="宋体"/>
          <w:b/>
          <w:bCs/>
        </w:rPr>
        <w:t>21</w:t>
      </w:r>
      <w:r w:rsidRPr="00B23655">
        <w:rPr>
          <w:rFonts w:ascii="Book Antiqua" w:eastAsia="宋体" w:hAnsi="Book Antiqua" w:cs="宋体"/>
        </w:rPr>
        <w:t>: 1512-1520 [PMID: 20801686 DOI: 10.1016/j.jvir.2010.06.009</w:t>
      </w:r>
      <w:r>
        <w:rPr>
          <w:rFonts w:ascii="Book Antiqua" w:eastAsia="宋体" w:hAnsi="Book Antiqua" w:cs="宋体"/>
        </w:rPr>
        <w:t>]</w:t>
      </w:r>
    </w:p>
    <w:p w14:paraId="65BC7F86"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t>15 </w:t>
      </w:r>
      <w:proofErr w:type="spellStart"/>
      <w:r w:rsidRPr="00B23655">
        <w:rPr>
          <w:rFonts w:ascii="Book Antiqua" w:eastAsia="宋体" w:hAnsi="Book Antiqua" w:cs="宋体"/>
          <w:b/>
          <w:bCs/>
        </w:rPr>
        <w:t>Sze</w:t>
      </w:r>
      <w:proofErr w:type="spellEnd"/>
      <w:r w:rsidRPr="00B23655">
        <w:rPr>
          <w:rFonts w:ascii="Book Antiqua" w:eastAsia="宋体" w:hAnsi="Book Antiqua" w:cs="宋体"/>
          <w:b/>
          <w:bCs/>
        </w:rPr>
        <w:t xml:space="preserve"> DY</w:t>
      </w:r>
      <w:r w:rsidRPr="00B23655">
        <w:rPr>
          <w:rFonts w:ascii="Book Antiqua" w:eastAsia="宋体" w:hAnsi="Book Antiqua" w:cs="宋体"/>
        </w:rPr>
        <w:t xml:space="preserve">, Hwang GL, Kao JS, </w:t>
      </w:r>
      <w:proofErr w:type="spellStart"/>
      <w:r w:rsidRPr="00B23655">
        <w:rPr>
          <w:rFonts w:ascii="Book Antiqua" w:eastAsia="宋体" w:hAnsi="Book Antiqua" w:cs="宋体"/>
        </w:rPr>
        <w:t>Frisoli</w:t>
      </w:r>
      <w:proofErr w:type="spellEnd"/>
      <w:r w:rsidRPr="00B23655">
        <w:rPr>
          <w:rFonts w:ascii="Book Antiqua" w:eastAsia="宋体" w:hAnsi="Book Antiqua" w:cs="宋体"/>
        </w:rPr>
        <w:t xml:space="preserve"> JK, </w:t>
      </w:r>
      <w:proofErr w:type="spellStart"/>
      <w:r w:rsidRPr="00B23655">
        <w:rPr>
          <w:rFonts w:ascii="Book Antiqua" w:eastAsia="宋体" w:hAnsi="Book Antiqua" w:cs="宋体"/>
        </w:rPr>
        <w:t>Kee</w:t>
      </w:r>
      <w:proofErr w:type="spellEnd"/>
      <w:r w:rsidRPr="00B23655">
        <w:rPr>
          <w:rFonts w:ascii="Book Antiqua" w:eastAsia="宋体" w:hAnsi="Book Antiqua" w:cs="宋体"/>
        </w:rPr>
        <w:t xml:space="preserve"> ST, </w:t>
      </w:r>
      <w:proofErr w:type="spellStart"/>
      <w:r w:rsidRPr="00B23655">
        <w:rPr>
          <w:rFonts w:ascii="Book Antiqua" w:eastAsia="宋体" w:hAnsi="Book Antiqua" w:cs="宋体"/>
        </w:rPr>
        <w:t>Razavi</w:t>
      </w:r>
      <w:proofErr w:type="spellEnd"/>
      <w:r w:rsidRPr="00B23655">
        <w:rPr>
          <w:rFonts w:ascii="Book Antiqua" w:eastAsia="宋体" w:hAnsi="Book Antiqua" w:cs="宋体"/>
        </w:rPr>
        <w:t xml:space="preserve"> MK, Ahmed A. </w:t>
      </w:r>
      <w:proofErr w:type="spellStart"/>
      <w:r w:rsidRPr="00B23655">
        <w:rPr>
          <w:rFonts w:ascii="Book Antiqua" w:eastAsia="宋体" w:hAnsi="Book Antiqua" w:cs="宋体"/>
        </w:rPr>
        <w:t>Bidirectionally</w:t>
      </w:r>
      <w:proofErr w:type="spellEnd"/>
      <w:r w:rsidRPr="00B23655">
        <w:rPr>
          <w:rFonts w:ascii="Book Antiqua" w:eastAsia="宋体" w:hAnsi="Book Antiqua" w:cs="宋体"/>
        </w:rPr>
        <w:t xml:space="preserve"> adjustable TIPS reduction by parallel stent and stent-graft deployment. </w:t>
      </w:r>
      <w:r w:rsidRPr="00B23655">
        <w:rPr>
          <w:rFonts w:ascii="Book Antiqua" w:eastAsia="宋体" w:hAnsi="Book Antiqua" w:cs="宋体"/>
          <w:i/>
          <w:iCs/>
        </w:rPr>
        <w:t xml:space="preserve">J </w:t>
      </w:r>
      <w:proofErr w:type="spellStart"/>
      <w:r w:rsidRPr="00B23655">
        <w:rPr>
          <w:rFonts w:ascii="Book Antiqua" w:eastAsia="宋体" w:hAnsi="Book Antiqua" w:cs="宋体"/>
          <w:i/>
          <w:iCs/>
        </w:rPr>
        <w:t>Vasc</w:t>
      </w:r>
      <w:proofErr w:type="spellEnd"/>
      <w:r w:rsidRPr="00B23655">
        <w:rPr>
          <w:rFonts w:ascii="Book Antiqua" w:eastAsia="宋体" w:hAnsi="Book Antiqua" w:cs="宋体"/>
          <w:i/>
          <w:iCs/>
        </w:rPr>
        <w:t xml:space="preserve"> </w:t>
      </w:r>
      <w:proofErr w:type="spellStart"/>
      <w:r w:rsidRPr="00B23655">
        <w:rPr>
          <w:rFonts w:ascii="Book Antiqua" w:eastAsia="宋体" w:hAnsi="Book Antiqua" w:cs="宋体"/>
          <w:i/>
          <w:iCs/>
        </w:rPr>
        <w:t>Interv</w:t>
      </w:r>
      <w:proofErr w:type="spellEnd"/>
      <w:r w:rsidRPr="00B23655">
        <w:rPr>
          <w:rFonts w:ascii="Book Antiqua" w:eastAsia="宋体" w:hAnsi="Book Antiqua" w:cs="宋体"/>
          <w:i/>
          <w:iCs/>
        </w:rPr>
        <w:t xml:space="preserve"> </w:t>
      </w:r>
      <w:proofErr w:type="spellStart"/>
      <w:r w:rsidRPr="00B23655">
        <w:rPr>
          <w:rFonts w:ascii="Book Antiqua" w:eastAsia="宋体" w:hAnsi="Book Antiqua" w:cs="宋体"/>
          <w:i/>
          <w:iCs/>
        </w:rPr>
        <w:t>Radiol</w:t>
      </w:r>
      <w:proofErr w:type="spellEnd"/>
      <w:r w:rsidRPr="00B23655">
        <w:rPr>
          <w:rFonts w:ascii="Book Antiqua" w:eastAsia="宋体" w:hAnsi="Book Antiqua" w:cs="宋体"/>
        </w:rPr>
        <w:t> 2008; </w:t>
      </w:r>
      <w:r w:rsidRPr="00B23655">
        <w:rPr>
          <w:rFonts w:ascii="Book Antiqua" w:eastAsia="宋体" w:hAnsi="Book Antiqua" w:cs="宋体"/>
          <w:b/>
          <w:bCs/>
        </w:rPr>
        <w:t>19</w:t>
      </w:r>
      <w:r w:rsidRPr="00B23655">
        <w:rPr>
          <w:rFonts w:ascii="Book Antiqua" w:eastAsia="宋体" w:hAnsi="Book Antiqua" w:cs="宋体"/>
        </w:rPr>
        <w:t>: 1653-1658 [PMID: 18823797 DOI: 10.1016/j.jvir.2008.08.011</w:t>
      </w:r>
      <w:r>
        <w:rPr>
          <w:rFonts w:ascii="Book Antiqua" w:eastAsia="宋体" w:hAnsi="Book Antiqua" w:cs="宋体"/>
        </w:rPr>
        <w:t>]</w:t>
      </w:r>
    </w:p>
    <w:p w14:paraId="0B7536FD"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t>16 </w:t>
      </w:r>
      <w:proofErr w:type="spellStart"/>
      <w:r w:rsidRPr="00B23655">
        <w:rPr>
          <w:rFonts w:ascii="Book Antiqua" w:eastAsia="宋体" w:hAnsi="Book Antiqua" w:cs="宋体"/>
          <w:b/>
          <w:bCs/>
        </w:rPr>
        <w:t>Thalheimer</w:t>
      </w:r>
      <w:proofErr w:type="spellEnd"/>
      <w:r w:rsidRPr="00B23655">
        <w:rPr>
          <w:rFonts w:ascii="Book Antiqua" w:eastAsia="宋体" w:hAnsi="Book Antiqua" w:cs="宋体"/>
          <w:b/>
          <w:bCs/>
        </w:rPr>
        <w:t xml:space="preserve"> U</w:t>
      </w:r>
      <w:r w:rsidRPr="00B23655">
        <w:rPr>
          <w:rFonts w:ascii="Book Antiqua" w:eastAsia="宋体" w:hAnsi="Book Antiqua" w:cs="宋体"/>
        </w:rPr>
        <w:t xml:space="preserve">, Leandro G, </w:t>
      </w:r>
      <w:proofErr w:type="spellStart"/>
      <w:r w:rsidRPr="00B23655">
        <w:rPr>
          <w:rFonts w:ascii="Book Antiqua" w:eastAsia="宋体" w:hAnsi="Book Antiqua" w:cs="宋体"/>
        </w:rPr>
        <w:t>Samonakis</w:t>
      </w:r>
      <w:proofErr w:type="spellEnd"/>
      <w:r w:rsidRPr="00B23655">
        <w:rPr>
          <w:rFonts w:ascii="Book Antiqua" w:eastAsia="宋体" w:hAnsi="Book Antiqua" w:cs="宋体"/>
        </w:rPr>
        <w:t xml:space="preserve"> DN, </w:t>
      </w:r>
      <w:proofErr w:type="spellStart"/>
      <w:r w:rsidRPr="00B23655">
        <w:rPr>
          <w:rFonts w:ascii="Book Antiqua" w:eastAsia="宋体" w:hAnsi="Book Antiqua" w:cs="宋体"/>
        </w:rPr>
        <w:t>Triantos</w:t>
      </w:r>
      <w:proofErr w:type="spellEnd"/>
      <w:r w:rsidRPr="00B23655">
        <w:rPr>
          <w:rFonts w:ascii="Book Antiqua" w:eastAsia="宋体" w:hAnsi="Book Antiqua" w:cs="宋体"/>
        </w:rPr>
        <w:t xml:space="preserve"> CK, </w:t>
      </w:r>
      <w:proofErr w:type="spellStart"/>
      <w:r w:rsidRPr="00B23655">
        <w:rPr>
          <w:rFonts w:ascii="Book Antiqua" w:eastAsia="宋体" w:hAnsi="Book Antiqua" w:cs="宋体"/>
        </w:rPr>
        <w:t>Senzolo</w:t>
      </w:r>
      <w:proofErr w:type="spellEnd"/>
      <w:r w:rsidRPr="00B23655">
        <w:rPr>
          <w:rFonts w:ascii="Book Antiqua" w:eastAsia="宋体" w:hAnsi="Book Antiqua" w:cs="宋体"/>
        </w:rPr>
        <w:t xml:space="preserve"> M, Fung K, Davies N, Patch D, Burroughs AK. TIPS for refractory ascites: a single-</w:t>
      </w:r>
      <w:proofErr w:type="spellStart"/>
      <w:r w:rsidRPr="00B23655">
        <w:rPr>
          <w:rFonts w:ascii="Book Antiqua" w:eastAsia="宋体" w:hAnsi="Book Antiqua" w:cs="宋体"/>
        </w:rPr>
        <w:t>centre</w:t>
      </w:r>
      <w:proofErr w:type="spellEnd"/>
      <w:r w:rsidRPr="00B23655">
        <w:rPr>
          <w:rFonts w:ascii="Book Antiqua" w:eastAsia="宋体" w:hAnsi="Book Antiqua" w:cs="宋体"/>
        </w:rPr>
        <w:t xml:space="preserve"> experience. </w:t>
      </w:r>
      <w:r w:rsidRPr="00B23655">
        <w:rPr>
          <w:rFonts w:ascii="Book Antiqua" w:eastAsia="宋体" w:hAnsi="Book Antiqua" w:cs="宋体"/>
          <w:i/>
          <w:iCs/>
        </w:rPr>
        <w:t xml:space="preserve">J </w:t>
      </w:r>
      <w:proofErr w:type="spellStart"/>
      <w:r w:rsidRPr="00B23655">
        <w:rPr>
          <w:rFonts w:ascii="Book Antiqua" w:eastAsia="宋体" w:hAnsi="Book Antiqua" w:cs="宋体"/>
          <w:i/>
          <w:iCs/>
        </w:rPr>
        <w:t>Gastroenterol</w:t>
      </w:r>
      <w:proofErr w:type="spellEnd"/>
      <w:r w:rsidRPr="00B23655">
        <w:rPr>
          <w:rFonts w:ascii="Book Antiqua" w:eastAsia="宋体" w:hAnsi="Book Antiqua" w:cs="宋体"/>
        </w:rPr>
        <w:t> 2009; </w:t>
      </w:r>
      <w:r w:rsidRPr="00B23655">
        <w:rPr>
          <w:rFonts w:ascii="Book Antiqua" w:eastAsia="宋体" w:hAnsi="Book Antiqua" w:cs="宋体"/>
          <w:b/>
          <w:bCs/>
        </w:rPr>
        <w:t>44</w:t>
      </w:r>
      <w:r w:rsidRPr="00B23655">
        <w:rPr>
          <w:rFonts w:ascii="Book Antiqua" w:eastAsia="宋体" w:hAnsi="Book Antiqua" w:cs="宋体"/>
        </w:rPr>
        <w:t>: 1089-1095 [PMID: 19572096 DOI: 10.1007/s00535-009-0099-6</w:t>
      </w:r>
      <w:r>
        <w:rPr>
          <w:rFonts w:ascii="Book Antiqua" w:eastAsia="宋体" w:hAnsi="Book Antiqua" w:cs="宋体"/>
        </w:rPr>
        <w:t>]</w:t>
      </w:r>
    </w:p>
    <w:p w14:paraId="2ACB2C54"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t>17 </w:t>
      </w:r>
      <w:proofErr w:type="spellStart"/>
      <w:r w:rsidRPr="00B23655">
        <w:rPr>
          <w:rFonts w:ascii="Book Antiqua" w:eastAsia="宋体" w:hAnsi="Book Antiqua" w:cs="宋体"/>
          <w:b/>
          <w:bCs/>
        </w:rPr>
        <w:t>Rössle</w:t>
      </w:r>
      <w:proofErr w:type="spellEnd"/>
      <w:r w:rsidRPr="00B23655">
        <w:rPr>
          <w:rFonts w:ascii="Book Antiqua" w:eastAsia="宋体" w:hAnsi="Book Antiqua" w:cs="宋体"/>
          <w:b/>
          <w:bCs/>
        </w:rPr>
        <w:t xml:space="preserve"> M</w:t>
      </w:r>
      <w:r w:rsidRPr="00B23655">
        <w:rPr>
          <w:rFonts w:ascii="Book Antiqua" w:eastAsia="宋体" w:hAnsi="Book Antiqua" w:cs="宋体"/>
        </w:rPr>
        <w:t xml:space="preserve">, </w:t>
      </w:r>
      <w:proofErr w:type="spellStart"/>
      <w:r w:rsidRPr="00B23655">
        <w:rPr>
          <w:rFonts w:ascii="Book Antiqua" w:eastAsia="宋体" w:hAnsi="Book Antiqua" w:cs="宋体"/>
        </w:rPr>
        <w:t>Siegerstetter</w:t>
      </w:r>
      <w:proofErr w:type="spellEnd"/>
      <w:r w:rsidRPr="00B23655">
        <w:rPr>
          <w:rFonts w:ascii="Book Antiqua" w:eastAsia="宋体" w:hAnsi="Book Antiqua" w:cs="宋体"/>
        </w:rPr>
        <w:t xml:space="preserve"> V, </w:t>
      </w:r>
      <w:proofErr w:type="spellStart"/>
      <w:r w:rsidRPr="00B23655">
        <w:rPr>
          <w:rFonts w:ascii="Book Antiqua" w:eastAsia="宋体" w:hAnsi="Book Antiqua" w:cs="宋体"/>
        </w:rPr>
        <w:t>Olschewski</w:t>
      </w:r>
      <w:proofErr w:type="spellEnd"/>
      <w:r w:rsidRPr="00B23655">
        <w:rPr>
          <w:rFonts w:ascii="Book Antiqua" w:eastAsia="宋体" w:hAnsi="Book Antiqua" w:cs="宋体"/>
        </w:rPr>
        <w:t xml:space="preserve"> M, Ochs A, Berger E, </w:t>
      </w:r>
      <w:proofErr w:type="gramStart"/>
      <w:r w:rsidRPr="00B23655">
        <w:rPr>
          <w:rFonts w:ascii="Book Antiqua" w:eastAsia="宋体" w:hAnsi="Book Antiqua" w:cs="宋体"/>
        </w:rPr>
        <w:t>Haag</w:t>
      </w:r>
      <w:proofErr w:type="gramEnd"/>
      <w:r w:rsidRPr="00B23655">
        <w:rPr>
          <w:rFonts w:ascii="Book Antiqua" w:eastAsia="宋体" w:hAnsi="Book Antiqua" w:cs="宋体"/>
        </w:rPr>
        <w:t xml:space="preserve"> K. How much reduction in portal pressure is necessary to prevent </w:t>
      </w:r>
      <w:proofErr w:type="spellStart"/>
      <w:r w:rsidRPr="00B23655">
        <w:rPr>
          <w:rFonts w:ascii="Book Antiqua" w:eastAsia="宋体" w:hAnsi="Book Antiqua" w:cs="宋体"/>
        </w:rPr>
        <w:t>variceal</w:t>
      </w:r>
      <w:proofErr w:type="spellEnd"/>
      <w:r w:rsidRPr="00B23655">
        <w:rPr>
          <w:rFonts w:ascii="Book Antiqua" w:eastAsia="宋体" w:hAnsi="Book Antiqua" w:cs="宋体"/>
        </w:rPr>
        <w:t xml:space="preserve"> </w:t>
      </w:r>
      <w:proofErr w:type="spellStart"/>
      <w:r w:rsidRPr="00B23655">
        <w:rPr>
          <w:rFonts w:ascii="Book Antiqua" w:eastAsia="宋体" w:hAnsi="Book Antiqua" w:cs="宋体"/>
        </w:rPr>
        <w:t>rebleeding</w:t>
      </w:r>
      <w:proofErr w:type="spellEnd"/>
      <w:r w:rsidRPr="00B23655">
        <w:rPr>
          <w:rFonts w:ascii="Book Antiqua" w:eastAsia="宋体" w:hAnsi="Book Antiqua" w:cs="宋体"/>
        </w:rPr>
        <w:t xml:space="preserve">? A longitudinal study in 225 patients with </w:t>
      </w:r>
      <w:proofErr w:type="spellStart"/>
      <w:r w:rsidRPr="00B23655">
        <w:rPr>
          <w:rFonts w:ascii="Book Antiqua" w:eastAsia="宋体" w:hAnsi="Book Antiqua" w:cs="宋体"/>
        </w:rPr>
        <w:t>transjugular</w:t>
      </w:r>
      <w:proofErr w:type="spellEnd"/>
      <w:r w:rsidRPr="00B23655">
        <w:rPr>
          <w:rFonts w:ascii="Book Antiqua" w:eastAsia="宋体" w:hAnsi="Book Antiqua" w:cs="宋体"/>
        </w:rPr>
        <w:t xml:space="preserve"> intrahepatic </w:t>
      </w:r>
      <w:proofErr w:type="spellStart"/>
      <w:r w:rsidRPr="00B23655">
        <w:rPr>
          <w:rFonts w:ascii="Book Antiqua" w:eastAsia="宋体" w:hAnsi="Book Antiqua" w:cs="宋体"/>
        </w:rPr>
        <w:t>portosystemic</w:t>
      </w:r>
      <w:proofErr w:type="spellEnd"/>
      <w:r w:rsidRPr="00B23655">
        <w:rPr>
          <w:rFonts w:ascii="Book Antiqua" w:eastAsia="宋体" w:hAnsi="Book Antiqua" w:cs="宋体"/>
        </w:rPr>
        <w:t xml:space="preserve"> shunts. </w:t>
      </w:r>
      <w:r w:rsidRPr="00B23655">
        <w:rPr>
          <w:rFonts w:ascii="Book Antiqua" w:eastAsia="宋体" w:hAnsi="Book Antiqua" w:cs="宋体"/>
          <w:i/>
          <w:iCs/>
        </w:rPr>
        <w:t xml:space="preserve">Am J </w:t>
      </w:r>
      <w:proofErr w:type="spellStart"/>
      <w:r w:rsidRPr="00B23655">
        <w:rPr>
          <w:rFonts w:ascii="Book Antiqua" w:eastAsia="宋体" w:hAnsi="Book Antiqua" w:cs="宋体"/>
          <w:i/>
          <w:iCs/>
        </w:rPr>
        <w:t>Gastroenterol</w:t>
      </w:r>
      <w:proofErr w:type="spellEnd"/>
      <w:r w:rsidRPr="00B23655">
        <w:rPr>
          <w:rFonts w:ascii="Book Antiqua" w:eastAsia="宋体" w:hAnsi="Book Antiqua" w:cs="宋体"/>
        </w:rPr>
        <w:t> 2001; </w:t>
      </w:r>
      <w:r w:rsidRPr="00B23655">
        <w:rPr>
          <w:rFonts w:ascii="Book Antiqua" w:eastAsia="宋体" w:hAnsi="Book Antiqua" w:cs="宋体"/>
          <w:b/>
          <w:bCs/>
        </w:rPr>
        <w:t>96</w:t>
      </w:r>
      <w:r w:rsidRPr="00B23655">
        <w:rPr>
          <w:rFonts w:ascii="Book Antiqua" w:eastAsia="宋体" w:hAnsi="Book Antiqua" w:cs="宋体"/>
        </w:rPr>
        <w:t>: 3379-3383 [PMID: 11774952 DOI: 10.1111/j.1572-0241.2001.05340.x</w:t>
      </w:r>
      <w:proofErr w:type="gramStart"/>
      <w:r>
        <w:rPr>
          <w:rFonts w:ascii="Book Antiqua" w:eastAsia="宋体" w:hAnsi="Book Antiqua" w:cs="宋体"/>
        </w:rPr>
        <w:t>]</w:t>
      </w:r>
      <w:proofErr w:type="gramEnd"/>
    </w:p>
    <w:p w14:paraId="4F7050A1"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t>18 </w:t>
      </w:r>
      <w:r w:rsidRPr="00B23655">
        <w:rPr>
          <w:rFonts w:ascii="Book Antiqua" w:eastAsia="宋体" w:hAnsi="Book Antiqua" w:cs="宋体"/>
          <w:b/>
          <w:bCs/>
        </w:rPr>
        <w:t>Rossi P</w:t>
      </w:r>
      <w:r w:rsidRPr="00B23655">
        <w:rPr>
          <w:rFonts w:ascii="Book Antiqua" w:eastAsia="宋体" w:hAnsi="Book Antiqua" w:cs="宋体"/>
        </w:rPr>
        <w:t xml:space="preserve">, </w:t>
      </w:r>
      <w:proofErr w:type="spellStart"/>
      <w:r w:rsidRPr="00B23655">
        <w:rPr>
          <w:rFonts w:ascii="Book Antiqua" w:eastAsia="宋体" w:hAnsi="Book Antiqua" w:cs="宋体"/>
        </w:rPr>
        <w:t>Salvatori</w:t>
      </w:r>
      <w:proofErr w:type="spellEnd"/>
      <w:r w:rsidRPr="00B23655">
        <w:rPr>
          <w:rFonts w:ascii="Book Antiqua" w:eastAsia="宋体" w:hAnsi="Book Antiqua" w:cs="宋体"/>
        </w:rPr>
        <w:t xml:space="preserve"> FM, </w:t>
      </w:r>
      <w:proofErr w:type="spellStart"/>
      <w:r w:rsidRPr="00B23655">
        <w:rPr>
          <w:rFonts w:ascii="Book Antiqua" w:eastAsia="宋体" w:hAnsi="Book Antiqua" w:cs="宋体"/>
        </w:rPr>
        <w:t>Fanelli</w:t>
      </w:r>
      <w:proofErr w:type="spellEnd"/>
      <w:r w:rsidRPr="00B23655">
        <w:rPr>
          <w:rFonts w:ascii="Book Antiqua" w:eastAsia="宋体" w:hAnsi="Book Antiqua" w:cs="宋体"/>
        </w:rPr>
        <w:t xml:space="preserve"> F, </w:t>
      </w:r>
      <w:proofErr w:type="spellStart"/>
      <w:r w:rsidRPr="00B23655">
        <w:rPr>
          <w:rFonts w:ascii="Book Antiqua" w:eastAsia="宋体" w:hAnsi="Book Antiqua" w:cs="宋体"/>
        </w:rPr>
        <w:t>Bezzi</w:t>
      </w:r>
      <w:proofErr w:type="spellEnd"/>
      <w:r w:rsidRPr="00B23655">
        <w:rPr>
          <w:rFonts w:ascii="Book Antiqua" w:eastAsia="宋体" w:hAnsi="Book Antiqua" w:cs="宋体"/>
        </w:rPr>
        <w:t xml:space="preserve"> M, Rossi M, </w:t>
      </w:r>
      <w:proofErr w:type="spellStart"/>
      <w:r w:rsidRPr="00B23655">
        <w:rPr>
          <w:rFonts w:ascii="Book Antiqua" w:eastAsia="宋体" w:hAnsi="Book Antiqua" w:cs="宋体"/>
        </w:rPr>
        <w:t>Marcelli</w:t>
      </w:r>
      <w:proofErr w:type="spellEnd"/>
      <w:r w:rsidRPr="00B23655">
        <w:rPr>
          <w:rFonts w:ascii="Book Antiqua" w:eastAsia="宋体" w:hAnsi="Book Antiqua" w:cs="宋体"/>
        </w:rPr>
        <w:t xml:space="preserve"> G, </w:t>
      </w:r>
      <w:proofErr w:type="spellStart"/>
      <w:r w:rsidRPr="00B23655">
        <w:rPr>
          <w:rFonts w:ascii="Book Antiqua" w:eastAsia="宋体" w:hAnsi="Book Antiqua" w:cs="宋体"/>
        </w:rPr>
        <w:t>Pepino</w:t>
      </w:r>
      <w:proofErr w:type="spellEnd"/>
      <w:r w:rsidRPr="00B23655">
        <w:rPr>
          <w:rFonts w:ascii="Book Antiqua" w:eastAsia="宋体" w:hAnsi="Book Antiqua" w:cs="宋体"/>
        </w:rPr>
        <w:t xml:space="preserve"> D, </w:t>
      </w:r>
      <w:proofErr w:type="spellStart"/>
      <w:r w:rsidRPr="00B23655">
        <w:rPr>
          <w:rFonts w:ascii="Book Antiqua" w:eastAsia="宋体" w:hAnsi="Book Antiqua" w:cs="宋体"/>
        </w:rPr>
        <w:t>Riggio</w:t>
      </w:r>
      <w:proofErr w:type="spellEnd"/>
      <w:r w:rsidRPr="00B23655">
        <w:rPr>
          <w:rFonts w:ascii="Book Antiqua" w:eastAsia="宋体" w:hAnsi="Book Antiqua" w:cs="宋体"/>
        </w:rPr>
        <w:t xml:space="preserve"> O, </w:t>
      </w:r>
      <w:proofErr w:type="spellStart"/>
      <w:r w:rsidRPr="00B23655">
        <w:rPr>
          <w:rFonts w:ascii="Book Antiqua" w:eastAsia="宋体" w:hAnsi="Book Antiqua" w:cs="宋体"/>
        </w:rPr>
        <w:t>Passariello</w:t>
      </w:r>
      <w:proofErr w:type="spellEnd"/>
      <w:r w:rsidRPr="00B23655">
        <w:rPr>
          <w:rFonts w:ascii="Book Antiqua" w:eastAsia="宋体" w:hAnsi="Book Antiqua" w:cs="宋体"/>
        </w:rPr>
        <w:t xml:space="preserve"> R. </w:t>
      </w:r>
      <w:proofErr w:type="spellStart"/>
      <w:r w:rsidRPr="00B23655">
        <w:rPr>
          <w:rFonts w:ascii="Book Antiqua" w:eastAsia="宋体" w:hAnsi="Book Antiqua" w:cs="宋体"/>
        </w:rPr>
        <w:t>Polytetrafluoroethylene</w:t>
      </w:r>
      <w:proofErr w:type="spellEnd"/>
      <w:r w:rsidRPr="00B23655">
        <w:rPr>
          <w:rFonts w:ascii="Book Antiqua" w:eastAsia="宋体" w:hAnsi="Book Antiqua" w:cs="宋体"/>
        </w:rPr>
        <w:t xml:space="preserve">-covered </w:t>
      </w:r>
      <w:proofErr w:type="spellStart"/>
      <w:r w:rsidRPr="00B23655">
        <w:rPr>
          <w:rFonts w:ascii="Book Antiqua" w:eastAsia="宋体" w:hAnsi="Book Antiqua" w:cs="宋体"/>
        </w:rPr>
        <w:t>nitinol</w:t>
      </w:r>
      <w:proofErr w:type="spellEnd"/>
      <w:r w:rsidRPr="00B23655">
        <w:rPr>
          <w:rFonts w:ascii="Book Antiqua" w:eastAsia="宋体" w:hAnsi="Book Antiqua" w:cs="宋体"/>
        </w:rPr>
        <w:t xml:space="preserve"> stent-graft for </w:t>
      </w:r>
      <w:proofErr w:type="spellStart"/>
      <w:r w:rsidRPr="00B23655">
        <w:rPr>
          <w:rFonts w:ascii="Book Antiqua" w:eastAsia="宋体" w:hAnsi="Book Antiqua" w:cs="宋体"/>
        </w:rPr>
        <w:t>transjugular</w:t>
      </w:r>
      <w:proofErr w:type="spellEnd"/>
      <w:r w:rsidRPr="00B23655">
        <w:rPr>
          <w:rFonts w:ascii="Book Antiqua" w:eastAsia="宋体" w:hAnsi="Book Antiqua" w:cs="宋体"/>
        </w:rPr>
        <w:t xml:space="preserve"> intrahepatic </w:t>
      </w:r>
      <w:proofErr w:type="spellStart"/>
      <w:r w:rsidRPr="00B23655">
        <w:rPr>
          <w:rFonts w:ascii="Book Antiqua" w:eastAsia="宋体" w:hAnsi="Book Antiqua" w:cs="宋体"/>
        </w:rPr>
        <w:t>portosystemic</w:t>
      </w:r>
      <w:proofErr w:type="spellEnd"/>
      <w:r w:rsidRPr="00B23655">
        <w:rPr>
          <w:rFonts w:ascii="Book Antiqua" w:eastAsia="宋体" w:hAnsi="Book Antiqua" w:cs="宋体"/>
        </w:rPr>
        <w:t xml:space="preserve"> shunt creation: 3-year experience. </w:t>
      </w:r>
      <w:r w:rsidRPr="00B23655">
        <w:rPr>
          <w:rFonts w:ascii="Book Antiqua" w:eastAsia="宋体" w:hAnsi="Book Antiqua" w:cs="宋体"/>
          <w:i/>
          <w:iCs/>
        </w:rPr>
        <w:t>Radiology</w:t>
      </w:r>
      <w:r w:rsidRPr="00B23655">
        <w:rPr>
          <w:rFonts w:ascii="Book Antiqua" w:eastAsia="宋体" w:hAnsi="Book Antiqua" w:cs="宋体"/>
        </w:rPr>
        <w:t> 2004; </w:t>
      </w:r>
      <w:r w:rsidRPr="00B23655">
        <w:rPr>
          <w:rFonts w:ascii="Book Antiqua" w:eastAsia="宋体" w:hAnsi="Book Antiqua" w:cs="宋体"/>
          <w:b/>
          <w:bCs/>
        </w:rPr>
        <w:t>231</w:t>
      </w:r>
      <w:r w:rsidRPr="00B23655">
        <w:rPr>
          <w:rFonts w:ascii="Book Antiqua" w:eastAsia="宋体" w:hAnsi="Book Antiqua" w:cs="宋体"/>
        </w:rPr>
        <w:t>: 820-830 [PMID: 15118117 DOI: 10.1148/radiol.2313030349</w:t>
      </w:r>
      <w:r>
        <w:rPr>
          <w:rFonts w:ascii="Book Antiqua" w:eastAsia="宋体" w:hAnsi="Book Antiqua" w:cs="宋体"/>
        </w:rPr>
        <w:t>]</w:t>
      </w:r>
    </w:p>
    <w:p w14:paraId="22D22095"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t>19 </w:t>
      </w:r>
      <w:r w:rsidRPr="00B23655">
        <w:rPr>
          <w:rFonts w:ascii="Book Antiqua" w:eastAsia="宋体" w:hAnsi="Book Antiqua" w:cs="宋体"/>
          <w:b/>
          <w:bCs/>
        </w:rPr>
        <w:t>Pieper CC</w:t>
      </w:r>
      <w:r w:rsidRPr="00B23655">
        <w:rPr>
          <w:rFonts w:ascii="Book Antiqua" w:eastAsia="宋体" w:hAnsi="Book Antiqua" w:cs="宋体"/>
        </w:rPr>
        <w:t xml:space="preserve">, </w:t>
      </w:r>
      <w:proofErr w:type="spellStart"/>
      <w:r w:rsidRPr="00B23655">
        <w:rPr>
          <w:rFonts w:ascii="Book Antiqua" w:eastAsia="宋体" w:hAnsi="Book Antiqua" w:cs="宋体"/>
        </w:rPr>
        <w:t>Sprinkart</w:t>
      </w:r>
      <w:proofErr w:type="spellEnd"/>
      <w:r w:rsidRPr="00B23655">
        <w:rPr>
          <w:rFonts w:ascii="Book Antiqua" w:eastAsia="宋体" w:hAnsi="Book Antiqua" w:cs="宋体"/>
        </w:rPr>
        <w:t xml:space="preserve"> AM, </w:t>
      </w:r>
      <w:proofErr w:type="spellStart"/>
      <w:r w:rsidRPr="00B23655">
        <w:rPr>
          <w:rFonts w:ascii="Book Antiqua" w:eastAsia="宋体" w:hAnsi="Book Antiqua" w:cs="宋体"/>
        </w:rPr>
        <w:t>Nadal</w:t>
      </w:r>
      <w:proofErr w:type="spellEnd"/>
      <w:r w:rsidRPr="00B23655">
        <w:rPr>
          <w:rFonts w:ascii="Book Antiqua" w:eastAsia="宋体" w:hAnsi="Book Antiqua" w:cs="宋体"/>
        </w:rPr>
        <w:t xml:space="preserve"> J, </w:t>
      </w:r>
      <w:proofErr w:type="spellStart"/>
      <w:r w:rsidRPr="00B23655">
        <w:rPr>
          <w:rFonts w:ascii="Book Antiqua" w:eastAsia="宋体" w:hAnsi="Book Antiqua" w:cs="宋体"/>
        </w:rPr>
        <w:t>Hippe</w:t>
      </w:r>
      <w:proofErr w:type="spellEnd"/>
      <w:r w:rsidRPr="00B23655">
        <w:rPr>
          <w:rFonts w:ascii="Book Antiqua" w:eastAsia="宋体" w:hAnsi="Book Antiqua" w:cs="宋体"/>
        </w:rPr>
        <w:t xml:space="preserve"> V, Meyer C, </w:t>
      </w:r>
      <w:proofErr w:type="spellStart"/>
      <w:r w:rsidRPr="00B23655">
        <w:rPr>
          <w:rFonts w:ascii="Book Antiqua" w:eastAsia="宋体" w:hAnsi="Book Antiqua" w:cs="宋体"/>
        </w:rPr>
        <w:t>Schild</w:t>
      </w:r>
      <w:proofErr w:type="spellEnd"/>
      <w:r w:rsidRPr="00B23655">
        <w:rPr>
          <w:rFonts w:ascii="Book Antiqua" w:eastAsia="宋体" w:hAnsi="Book Antiqua" w:cs="宋体"/>
        </w:rPr>
        <w:t xml:space="preserve"> HH, Thomas D. </w:t>
      </w:r>
      <w:proofErr w:type="spellStart"/>
      <w:r w:rsidRPr="00B23655">
        <w:rPr>
          <w:rFonts w:ascii="Book Antiqua" w:eastAsia="宋体" w:hAnsi="Book Antiqua" w:cs="宋体"/>
        </w:rPr>
        <w:t>Postinterventional</w:t>
      </w:r>
      <w:proofErr w:type="spellEnd"/>
      <w:r w:rsidRPr="00B23655">
        <w:rPr>
          <w:rFonts w:ascii="Book Antiqua" w:eastAsia="宋体" w:hAnsi="Book Antiqua" w:cs="宋体"/>
        </w:rPr>
        <w:t xml:space="preserve"> passive expansion of partially dilated </w:t>
      </w:r>
      <w:proofErr w:type="spellStart"/>
      <w:r w:rsidRPr="00B23655">
        <w:rPr>
          <w:rFonts w:ascii="Book Antiqua" w:eastAsia="宋体" w:hAnsi="Book Antiqua" w:cs="宋体"/>
        </w:rPr>
        <w:t>transjugular</w:t>
      </w:r>
      <w:proofErr w:type="spellEnd"/>
      <w:r w:rsidRPr="00B23655">
        <w:rPr>
          <w:rFonts w:ascii="Book Antiqua" w:eastAsia="宋体" w:hAnsi="Book Antiqua" w:cs="宋体"/>
        </w:rPr>
        <w:t xml:space="preserve"> intrahepatic </w:t>
      </w:r>
      <w:proofErr w:type="spellStart"/>
      <w:r w:rsidRPr="00B23655">
        <w:rPr>
          <w:rFonts w:ascii="Book Antiqua" w:eastAsia="宋体" w:hAnsi="Book Antiqua" w:cs="宋体"/>
        </w:rPr>
        <w:t>portosystemic</w:t>
      </w:r>
      <w:proofErr w:type="spellEnd"/>
      <w:r w:rsidRPr="00B23655">
        <w:rPr>
          <w:rFonts w:ascii="Book Antiqua" w:eastAsia="宋体" w:hAnsi="Book Antiqua" w:cs="宋体"/>
        </w:rPr>
        <w:t xml:space="preserve"> shunt stents. </w:t>
      </w:r>
      <w:r w:rsidRPr="00B23655">
        <w:rPr>
          <w:rFonts w:ascii="Book Antiqua" w:eastAsia="宋体" w:hAnsi="Book Antiqua" w:cs="宋体"/>
          <w:i/>
          <w:iCs/>
        </w:rPr>
        <w:t xml:space="preserve">J </w:t>
      </w:r>
      <w:proofErr w:type="spellStart"/>
      <w:r w:rsidRPr="00B23655">
        <w:rPr>
          <w:rFonts w:ascii="Book Antiqua" w:eastAsia="宋体" w:hAnsi="Book Antiqua" w:cs="宋体"/>
          <w:i/>
          <w:iCs/>
        </w:rPr>
        <w:t>Vasc</w:t>
      </w:r>
      <w:proofErr w:type="spellEnd"/>
      <w:r w:rsidRPr="00B23655">
        <w:rPr>
          <w:rFonts w:ascii="Book Antiqua" w:eastAsia="宋体" w:hAnsi="Book Antiqua" w:cs="宋体"/>
          <w:i/>
          <w:iCs/>
        </w:rPr>
        <w:t xml:space="preserve"> </w:t>
      </w:r>
      <w:proofErr w:type="spellStart"/>
      <w:r w:rsidRPr="00B23655">
        <w:rPr>
          <w:rFonts w:ascii="Book Antiqua" w:eastAsia="宋体" w:hAnsi="Book Antiqua" w:cs="宋体"/>
          <w:i/>
          <w:iCs/>
        </w:rPr>
        <w:t>Interv</w:t>
      </w:r>
      <w:proofErr w:type="spellEnd"/>
      <w:r w:rsidRPr="00B23655">
        <w:rPr>
          <w:rFonts w:ascii="Book Antiqua" w:eastAsia="宋体" w:hAnsi="Book Antiqua" w:cs="宋体"/>
          <w:i/>
          <w:iCs/>
        </w:rPr>
        <w:t xml:space="preserve"> </w:t>
      </w:r>
      <w:proofErr w:type="spellStart"/>
      <w:r w:rsidRPr="00B23655">
        <w:rPr>
          <w:rFonts w:ascii="Book Antiqua" w:eastAsia="宋体" w:hAnsi="Book Antiqua" w:cs="宋体"/>
          <w:i/>
          <w:iCs/>
        </w:rPr>
        <w:t>Radiol</w:t>
      </w:r>
      <w:proofErr w:type="spellEnd"/>
      <w:r w:rsidRPr="00B23655">
        <w:rPr>
          <w:rFonts w:ascii="Book Antiqua" w:eastAsia="宋体" w:hAnsi="Book Antiqua" w:cs="宋体"/>
        </w:rPr>
        <w:t> 2015; </w:t>
      </w:r>
      <w:r w:rsidRPr="00B23655">
        <w:rPr>
          <w:rFonts w:ascii="Book Antiqua" w:eastAsia="宋体" w:hAnsi="Book Antiqua" w:cs="宋体"/>
          <w:b/>
          <w:bCs/>
        </w:rPr>
        <w:t>26</w:t>
      </w:r>
      <w:r w:rsidRPr="00B23655">
        <w:rPr>
          <w:rFonts w:ascii="Book Antiqua" w:eastAsia="宋体" w:hAnsi="Book Antiqua" w:cs="宋体"/>
        </w:rPr>
        <w:t>: 388-394 [PMID: 25541420 DOI: 10.1016/j.jvir.2014.10.021</w:t>
      </w:r>
      <w:r>
        <w:rPr>
          <w:rFonts w:ascii="Book Antiqua" w:eastAsia="宋体" w:hAnsi="Book Antiqua" w:cs="宋体"/>
        </w:rPr>
        <w:t>]</w:t>
      </w:r>
    </w:p>
    <w:p w14:paraId="7238C3C6"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t>20 </w:t>
      </w:r>
      <w:proofErr w:type="spellStart"/>
      <w:r w:rsidRPr="00B23655">
        <w:rPr>
          <w:rFonts w:ascii="Book Antiqua" w:eastAsia="宋体" w:hAnsi="Book Antiqua" w:cs="宋体"/>
          <w:b/>
          <w:bCs/>
        </w:rPr>
        <w:t>Haskal</w:t>
      </w:r>
      <w:proofErr w:type="spellEnd"/>
      <w:r w:rsidRPr="00B23655">
        <w:rPr>
          <w:rFonts w:ascii="Book Antiqua" w:eastAsia="宋体" w:hAnsi="Book Antiqua" w:cs="宋体"/>
          <w:b/>
          <w:bCs/>
        </w:rPr>
        <w:t xml:space="preserve"> ZJ</w:t>
      </w:r>
      <w:r w:rsidRPr="00B23655">
        <w:rPr>
          <w:rFonts w:ascii="Book Antiqua" w:eastAsia="宋体" w:hAnsi="Book Antiqua" w:cs="宋体"/>
        </w:rPr>
        <w:t xml:space="preserve">, Pentecost MJ, </w:t>
      </w:r>
      <w:proofErr w:type="spellStart"/>
      <w:r w:rsidRPr="00B23655">
        <w:rPr>
          <w:rFonts w:ascii="Book Antiqua" w:eastAsia="宋体" w:hAnsi="Book Antiqua" w:cs="宋体"/>
        </w:rPr>
        <w:t>Soulen</w:t>
      </w:r>
      <w:proofErr w:type="spellEnd"/>
      <w:r w:rsidRPr="00B23655">
        <w:rPr>
          <w:rFonts w:ascii="Book Antiqua" w:eastAsia="宋体" w:hAnsi="Book Antiqua" w:cs="宋体"/>
        </w:rPr>
        <w:t xml:space="preserve"> MC, </w:t>
      </w:r>
      <w:proofErr w:type="spellStart"/>
      <w:r w:rsidRPr="00B23655">
        <w:rPr>
          <w:rFonts w:ascii="Book Antiqua" w:eastAsia="宋体" w:hAnsi="Book Antiqua" w:cs="宋体"/>
        </w:rPr>
        <w:t>Shlansky</w:t>
      </w:r>
      <w:proofErr w:type="spellEnd"/>
      <w:r w:rsidRPr="00B23655">
        <w:rPr>
          <w:rFonts w:ascii="Book Antiqua" w:eastAsia="宋体" w:hAnsi="Book Antiqua" w:cs="宋体"/>
        </w:rPr>
        <w:t xml:space="preserve">-Goldberg RD, Baum RA, Cope C. </w:t>
      </w:r>
      <w:proofErr w:type="spellStart"/>
      <w:r w:rsidRPr="00B23655">
        <w:rPr>
          <w:rFonts w:ascii="Book Antiqua" w:eastAsia="宋体" w:hAnsi="Book Antiqua" w:cs="宋体"/>
        </w:rPr>
        <w:t>Transjugular</w:t>
      </w:r>
      <w:proofErr w:type="spellEnd"/>
      <w:r w:rsidRPr="00B23655">
        <w:rPr>
          <w:rFonts w:ascii="Book Antiqua" w:eastAsia="宋体" w:hAnsi="Book Antiqua" w:cs="宋体"/>
        </w:rPr>
        <w:t xml:space="preserve"> intrahepatic </w:t>
      </w:r>
      <w:proofErr w:type="spellStart"/>
      <w:r w:rsidRPr="00B23655">
        <w:rPr>
          <w:rFonts w:ascii="Book Antiqua" w:eastAsia="宋体" w:hAnsi="Book Antiqua" w:cs="宋体"/>
        </w:rPr>
        <w:t>portosystemic</w:t>
      </w:r>
      <w:proofErr w:type="spellEnd"/>
      <w:r w:rsidRPr="00B23655">
        <w:rPr>
          <w:rFonts w:ascii="Book Antiqua" w:eastAsia="宋体" w:hAnsi="Book Antiqua" w:cs="宋体"/>
        </w:rPr>
        <w:t xml:space="preserve"> shunt stenosis and revision: early and midterm results. </w:t>
      </w:r>
      <w:r w:rsidRPr="00B23655">
        <w:rPr>
          <w:rFonts w:ascii="Book Antiqua" w:eastAsia="宋体" w:hAnsi="Book Antiqua" w:cs="宋体"/>
          <w:i/>
          <w:iCs/>
        </w:rPr>
        <w:t xml:space="preserve">AJR Am J </w:t>
      </w:r>
      <w:proofErr w:type="spellStart"/>
      <w:r w:rsidRPr="00B23655">
        <w:rPr>
          <w:rFonts w:ascii="Book Antiqua" w:eastAsia="宋体" w:hAnsi="Book Antiqua" w:cs="宋体"/>
          <w:i/>
          <w:iCs/>
        </w:rPr>
        <w:t>Roentgenol</w:t>
      </w:r>
      <w:proofErr w:type="spellEnd"/>
      <w:r w:rsidRPr="00B23655">
        <w:rPr>
          <w:rFonts w:ascii="Book Antiqua" w:eastAsia="宋体" w:hAnsi="Book Antiqua" w:cs="宋体"/>
        </w:rPr>
        <w:t> 1994</w:t>
      </w:r>
      <w:proofErr w:type="gramStart"/>
      <w:r w:rsidRPr="00B23655">
        <w:rPr>
          <w:rFonts w:ascii="Book Antiqua" w:eastAsia="宋体" w:hAnsi="Book Antiqua" w:cs="宋体"/>
        </w:rPr>
        <w:t>;</w:t>
      </w:r>
      <w:proofErr w:type="gramEnd"/>
      <w:r w:rsidRPr="00B23655">
        <w:rPr>
          <w:rFonts w:ascii="Book Antiqua" w:eastAsia="宋体" w:hAnsi="Book Antiqua" w:cs="宋体"/>
        </w:rPr>
        <w:t> </w:t>
      </w:r>
      <w:r w:rsidRPr="00B23655">
        <w:rPr>
          <w:rFonts w:ascii="Book Antiqua" w:eastAsia="宋体" w:hAnsi="Book Antiqua" w:cs="宋体"/>
          <w:b/>
          <w:bCs/>
        </w:rPr>
        <w:t>163</w:t>
      </w:r>
      <w:r w:rsidRPr="00B23655">
        <w:rPr>
          <w:rFonts w:ascii="Book Antiqua" w:eastAsia="宋体" w:hAnsi="Book Antiqua" w:cs="宋体"/>
        </w:rPr>
        <w:t>: 439-444 [PMID: 8037046 DOI: 10.2214/ajr.163.2.8037046</w:t>
      </w:r>
      <w:r>
        <w:rPr>
          <w:rFonts w:ascii="Book Antiqua" w:eastAsia="宋体" w:hAnsi="Book Antiqua" w:cs="宋体"/>
        </w:rPr>
        <w:t>]</w:t>
      </w:r>
    </w:p>
    <w:p w14:paraId="06BB865C"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lastRenderedPageBreak/>
        <w:t>21 </w:t>
      </w:r>
      <w:r w:rsidRPr="00B23655">
        <w:rPr>
          <w:rFonts w:ascii="Book Antiqua" w:eastAsia="宋体" w:hAnsi="Book Antiqua" w:cs="宋体"/>
          <w:b/>
          <w:bCs/>
        </w:rPr>
        <w:t>Sharma P</w:t>
      </w:r>
      <w:r w:rsidRPr="00B23655">
        <w:rPr>
          <w:rFonts w:ascii="Book Antiqua" w:eastAsia="宋体" w:hAnsi="Book Antiqua" w:cs="宋体"/>
        </w:rPr>
        <w:t xml:space="preserve">, Sharma BC, </w:t>
      </w:r>
      <w:proofErr w:type="spellStart"/>
      <w:r w:rsidRPr="00B23655">
        <w:rPr>
          <w:rFonts w:ascii="Book Antiqua" w:eastAsia="宋体" w:hAnsi="Book Antiqua" w:cs="宋体"/>
        </w:rPr>
        <w:t>Agrawal</w:t>
      </w:r>
      <w:proofErr w:type="spellEnd"/>
      <w:r w:rsidRPr="00B23655">
        <w:rPr>
          <w:rFonts w:ascii="Book Antiqua" w:eastAsia="宋体" w:hAnsi="Book Antiqua" w:cs="宋体"/>
        </w:rPr>
        <w:t xml:space="preserve"> A, </w:t>
      </w:r>
      <w:proofErr w:type="spellStart"/>
      <w:r w:rsidRPr="00B23655">
        <w:rPr>
          <w:rFonts w:ascii="Book Antiqua" w:eastAsia="宋体" w:hAnsi="Book Antiqua" w:cs="宋体"/>
        </w:rPr>
        <w:t>Sarin</w:t>
      </w:r>
      <w:proofErr w:type="spellEnd"/>
      <w:r w:rsidRPr="00B23655">
        <w:rPr>
          <w:rFonts w:ascii="Book Antiqua" w:eastAsia="宋体" w:hAnsi="Book Antiqua" w:cs="宋体"/>
        </w:rPr>
        <w:t xml:space="preserve"> SK. Primary prophylaxis of overt hepatic encephalopathy in patients with cirrhosis: an open labeled randomized controlled trial of lactulose versus no lactulose. </w:t>
      </w:r>
      <w:r w:rsidRPr="00B23655">
        <w:rPr>
          <w:rFonts w:ascii="Book Antiqua" w:eastAsia="宋体" w:hAnsi="Book Antiqua" w:cs="宋体"/>
          <w:i/>
          <w:iCs/>
        </w:rPr>
        <w:t xml:space="preserve">J </w:t>
      </w:r>
      <w:proofErr w:type="spellStart"/>
      <w:r w:rsidRPr="00B23655">
        <w:rPr>
          <w:rFonts w:ascii="Book Antiqua" w:eastAsia="宋体" w:hAnsi="Book Antiqua" w:cs="宋体"/>
          <w:i/>
          <w:iCs/>
        </w:rPr>
        <w:t>Gastroenterol</w:t>
      </w:r>
      <w:proofErr w:type="spellEnd"/>
      <w:r w:rsidRPr="00B23655">
        <w:rPr>
          <w:rFonts w:ascii="Book Antiqua" w:eastAsia="宋体" w:hAnsi="Book Antiqua" w:cs="宋体"/>
          <w:i/>
          <w:iCs/>
        </w:rPr>
        <w:t xml:space="preserve"> </w:t>
      </w:r>
      <w:proofErr w:type="spellStart"/>
      <w:r w:rsidRPr="00B23655">
        <w:rPr>
          <w:rFonts w:ascii="Book Antiqua" w:eastAsia="宋体" w:hAnsi="Book Antiqua" w:cs="宋体"/>
          <w:i/>
          <w:iCs/>
        </w:rPr>
        <w:t>Hepatol</w:t>
      </w:r>
      <w:proofErr w:type="spellEnd"/>
      <w:r w:rsidRPr="00B23655">
        <w:rPr>
          <w:rFonts w:ascii="Book Antiqua" w:eastAsia="宋体" w:hAnsi="Book Antiqua" w:cs="宋体"/>
        </w:rPr>
        <w:t> 2012; </w:t>
      </w:r>
      <w:r w:rsidRPr="00B23655">
        <w:rPr>
          <w:rFonts w:ascii="Book Antiqua" w:eastAsia="宋体" w:hAnsi="Book Antiqua" w:cs="宋体"/>
          <w:b/>
          <w:bCs/>
        </w:rPr>
        <w:t>27</w:t>
      </w:r>
      <w:r w:rsidRPr="00B23655">
        <w:rPr>
          <w:rFonts w:ascii="Book Antiqua" w:eastAsia="宋体" w:hAnsi="Book Antiqua" w:cs="宋体"/>
        </w:rPr>
        <w:t>: 1329-1335 [PMID: 22606978 DOI: 10.1111/j.1440-1746.2012.07186.x</w:t>
      </w:r>
      <w:r>
        <w:rPr>
          <w:rFonts w:ascii="Book Antiqua" w:eastAsia="宋体" w:hAnsi="Book Antiqua" w:cs="宋体"/>
        </w:rPr>
        <w:t>]</w:t>
      </w:r>
    </w:p>
    <w:p w14:paraId="631E1B76"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t>22 </w:t>
      </w:r>
      <w:proofErr w:type="spellStart"/>
      <w:r w:rsidRPr="00B23655">
        <w:rPr>
          <w:rFonts w:ascii="Book Antiqua" w:eastAsia="宋体" w:hAnsi="Book Antiqua" w:cs="宋体"/>
          <w:b/>
          <w:bCs/>
        </w:rPr>
        <w:t>Madoff</w:t>
      </w:r>
      <w:proofErr w:type="spellEnd"/>
      <w:r w:rsidRPr="00B23655">
        <w:rPr>
          <w:rFonts w:ascii="Book Antiqua" w:eastAsia="宋体" w:hAnsi="Book Antiqua" w:cs="宋体"/>
          <w:b/>
          <w:bCs/>
        </w:rPr>
        <w:t xml:space="preserve"> DC</w:t>
      </w:r>
      <w:r w:rsidRPr="00B23655">
        <w:rPr>
          <w:rFonts w:ascii="Book Antiqua" w:eastAsia="宋体" w:hAnsi="Book Antiqua" w:cs="宋体"/>
        </w:rPr>
        <w:t xml:space="preserve">, Wallace MJ, </w:t>
      </w:r>
      <w:proofErr w:type="spellStart"/>
      <w:r w:rsidRPr="00B23655">
        <w:rPr>
          <w:rFonts w:ascii="Book Antiqua" w:eastAsia="宋体" w:hAnsi="Book Antiqua" w:cs="宋体"/>
        </w:rPr>
        <w:t>Ahrar</w:t>
      </w:r>
      <w:proofErr w:type="spellEnd"/>
      <w:r w:rsidRPr="00B23655">
        <w:rPr>
          <w:rFonts w:ascii="Book Antiqua" w:eastAsia="宋体" w:hAnsi="Book Antiqua" w:cs="宋体"/>
        </w:rPr>
        <w:t xml:space="preserve"> K, Saxon RR. TIPS-related hepatic encephalopathy: management options with novel endovascular techniques. </w:t>
      </w:r>
      <w:proofErr w:type="spellStart"/>
      <w:r w:rsidRPr="00B23655">
        <w:rPr>
          <w:rFonts w:ascii="Book Antiqua" w:eastAsia="宋体" w:hAnsi="Book Antiqua" w:cs="宋体"/>
          <w:i/>
          <w:iCs/>
        </w:rPr>
        <w:t>Radiographics</w:t>
      </w:r>
      <w:proofErr w:type="spellEnd"/>
      <w:r w:rsidRPr="00B23655">
        <w:rPr>
          <w:rFonts w:ascii="Book Antiqua" w:eastAsia="宋体" w:hAnsi="Book Antiqua" w:cs="宋体"/>
        </w:rPr>
        <w:t> </w:t>
      </w:r>
      <w:r>
        <w:rPr>
          <w:rFonts w:ascii="Book Antiqua" w:eastAsia="宋体" w:hAnsi="Book Antiqua" w:cs="宋体" w:hint="eastAsia"/>
        </w:rPr>
        <w:t>2004</w:t>
      </w:r>
      <w:r w:rsidRPr="00B23655">
        <w:rPr>
          <w:rFonts w:ascii="Book Antiqua" w:eastAsia="宋体" w:hAnsi="Book Antiqua" w:cs="宋体"/>
        </w:rPr>
        <w:t>; </w:t>
      </w:r>
      <w:r w:rsidRPr="00B23655">
        <w:rPr>
          <w:rFonts w:ascii="Book Antiqua" w:eastAsia="宋体" w:hAnsi="Book Antiqua" w:cs="宋体"/>
          <w:b/>
          <w:bCs/>
        </w:rPr>
        <w:t>24</w:t>
      </w:r>
      <w:r w:rsidRPr="00B23655">
        <w:rPr>
          <w:rFonts w:ascii="Book Antiqua" w:eastAsia="宋体" w:hAnsi="Book Antiqua" w:cs="宋体"/>
        </w:rPr>
        <w:t>: 21-36; discussion 36-7 [PMID: 14730033 DOI: 10.1148/rg.241035028</w:t>
      </w:r>
      <w:r>
        <w:rPr>
          <w:rFonts w:ascii="Book Antiqua" w:eastAsia="宋体" w:hAnsi="Book Antiqua" w:cs="宋体"/>
        </w:rPr>
        <w:t>]</w:t>
      </w:r>
    </w:p>
    <w:p w14:paraId="151065DF"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t>23 </w:t>
      </w:r>
      <w:proofErr w:type="spellStart"/>
      <w:r w:rsidRPr="00B23655">
        <w:rPr>
          <w:rFonts w:ascii="Book Antiqua" w:eastAsia="宋体" w:hAnsi="Book Antiqua" w:cs="宋体"/>
          <w:b/>
          <w:bCs/>
        </w:rPr>
        <w:t>Riggio</w:t>
      </w:r>
      <w:proofErr w:type="spellEnd"/>
      <w:r w:rsidRPr="00B23655">
        <w:rPr>
          <w:rFonts w:ascii="Book Antiqua" w:eastAsia="宋体" w:hAnsi="Book Antiqua" w:cs="宋体"/>
          <w:b/>
          <w:bCs/>
        </w:rPr>
        <w:t xml:space="preserve"> O</w:t>
      </w:r>
      <w:r w:rsidRPr="00B23655">
        <w:rPr>
          <w:rFonts w:ascii="Book Antiqua" w:eastAsia="宋体" w:hAnsi="Book Antiqua" w:cs="宋体"/>
        </w:rPr>
        <w:t xml:space="preserve">, </w:t>
      </w:r>
      <w:proofErr w:type="spellStart"/>
      <w:r w:rsidRPr="00B23655">
        <w:rPr>
          <w:rFonts w:ascii="Book Antiqua" w:eastAsia="宋体" w:hAnsi="Book Antiqua" w:cs="宋体"/>
        </w:rPr>
        <w:t>Efrati</w:t>
      </w:r>
      <w:proofErr w:type="spellEnd"/>
      <w:r w:rsidRPr="00B23655">
        <w:rPr>
          <w:rFonts w:ascii="Book Antiqua" w:eastAsia="宋体" w:hAnsi="Book Antiqua" w:cs="宋体"/>
        </w:rPr>
        <w:t xml:space="preserve"> C, Catalano C, </w:t>
      </w:r>
      <w:proofErr w:type="spellStart"/>
      <w:r w:rsidRPr="00B23655">
        <w:rPr>
          <w:rFonts w:ascii="Book Antiqua" w:eastAsia="宋体" w:hAnsi="Book Antiqua" w:cs="宋体"/>
        </w:rPr>
        <w:t>Pediconi</w:t>
      </w:r>
      <w:proofErr w:type="spellEnd"/>
      <w:r w:rsidRPr="00B23655">
        <w:rPr>
          <w:rFonts w:ascii="Book Antiqua" w:eastAsia="宋体" w:hAnsi="Book Antiqua" w:cs="宋体"/>
        </w:rPr>
        <w:t xml:space="preserve"> F, </w:t>
      </w:r>
      <w:proofErr w:type="spellStart"/>
      <w:r w:rsidRPr="00B23655">
        <w:rPr>
          <w:rFonts w:ascii="Book Antiqua" w:eastAsia="宋体" w:hAnsi="Book Antiqua" w:cs="宋体"/>
        </w:rPr>
        <w:t>Mecarelli</w:t>
      </w:r>
      <w:proofErr w:type="spellEnd"/>
      <w:r w:rsidRPr="00B23655">
        <w:rPr>
          <w:rFonts w:ascii="Book Antiqua" w:eastAsia="宋体" w:hAnsi="Book Antiqua" w:cs="宋体"/>
        </w:rPr>
        <w:t xml:space="preserve"> O, </w:t>
      </w:r>
      <w:proofErr w:type="spellStart"/>
      <w:r w:rsidRPr="00B23655">
        <w:rPr>
          <w:rFonts w:ascii="Book Antiqua" w:eastAsia="宋体" w:hAnsi="Book Antiqua" w:cs="宋体"/>
        </w:rPr>
        <w:t>Accornero</w:t>
      </w:r>
      <w:proofErr w:type="spellEnd"/>
      <w:r w:rsidRPr="00B23655">
        <w:rPr>
          <w:rFonts w:ascii="Book Antiqua" w:eastAsia="宋体" w:hAnsi="Book Antiqua" w:cs="宋体"/>
        </w:rPr>
        <w:t xml:space="preserve"> N, </w:t>
      </w:r>
      <w:proofErr w:type="spellStart"/>
      <w:r w:rsidRPr="00B23655">
        <w:rPr>
          <w:rFonts w:ascii="Book Antiqua" w:eastAsia="宋体" w:hAnsi="Book Antiqua" w:cs="宋体"/>
        </w:rPr>
        <w:t>Nicolao</w:t>
      </w:r>
      <w:proofErr w:type="spellEnd"/>
      <w:r w:rsidRPr="00B23655">
        <w:rPr>
          <w:rFonts w:ascii="Book Antiqua" w:eastAsia="宋体" w:hAnsi="Book Antiqua" w:cs="宋体"/>
        </w:rPr>
        <w:t xml:space="preserve"> F, </w:t>
      </w:r>
      <w:proofErr w:type="spellStart"/>
      <w:r w:rsidRPr="00B23655">
        <w:rPr>
          <w:rFonts w:ascii="Book Antiqua" w:eastAsia="宋体" w:hAnsi="Book Antiqua" w:cs="宋体"/>
        </w:rPr>
        <w:t>Angeloni</w:t>
      </w:r>
      <w:proofErr w:type="spellEnd"/>
      <w:r w:rsidRPr="00B23655">
        <w:rPr>
          <w:rFonts w:ascii="Book Antiqua" w:eastAsia="宋体" w:hAnsi="Book Antiqua" w:cs="宋体"/>
        </w:rPr>
        <w:t xml:space="preserve"> S, </w:t>
      </w:r>
      <w:proofErr w:type="spellStart"/>
      <w:r w:rsidRPr="00B23655">
        <w:rPr>
          <w:rFonts w:ascii="Book Antiqua" w:eastAsia="宋体" w:hAnsi="Book Antiqua" w:cs="宋体"/>
        </w:rPr>
        <w:t>Masini</w:t>
      </w:r>
      <w:proofErr w:type="spellEnd"/>
      <w:r w:rsidRPr="00B23655">
        <w:rPr>
          <w:rFonts w:ascii="Book Antiqua" w:eastAsia="宋体" w:hAnsi="Book Antiqua" w:cs="宋体"/>
        </w:rPr>
        <w:t xml:space="preserve"> A, </w:t>
      </w:r>
      <w:proofErr w:type="spellStart"/>
      <w:r w:rsidRPr="00B23655">
        <w:rPr>
          <w:rFonts w:ascii="Book Antiqua" w:eastAsia="宋体" w:hAnsi="Book Antiqua" w:cs="宋体"/>
        </w:rPr>
        <w:t>Ridola</w:t>
      </w:r>
      <w:proofErr w:type="spellEnd"/>
      <w:r w:rsidRPr="00B23655">
        <w:rPr>
          <w:rFonts w:ascii="Book Antiqua" w:eastAsia="宋体" w:hAnsi="Book Antiqua" w:cs="宋体"/>
        </w:rPr>
        <w:t xml:space="preserve"> L, </w:t>
      </w:r>
      <w:proofErr w:type="spellStart"/>
      <w:r w:rsidRPr="00B23655">
        <w:rPr>
          <w:rFonts w:ascii="Book Antiqua" w:eastAsia="宋体" w:hAnsi="Book Antiqua" w:cs="宋体"/>
        </w:rPr>
        <w:t>Attili</w:t>
      </w:r>
      <w:proofErr w:type="spellEnd"/>
      <w:r w:rsidRPr="00B23655">
        <w:rPr>
          <w:rFonts w:ascii="Book Antiqua" w:eastAsia="宋体" w:hAnsi="Book Antiqua" w:cs="宋体"/>
        </w:rPr>
        <w:t xml:space="preserve"> AF, </w:t>
      </w:r>
      <w:proofErr w:type="spellStart"/>
      <w:r w:rsidRPr="00B23655">
        <w:rPr>
          <w:rFonts w:ascii="Book Antiqua" w:eastAsia="宋体" w:hAnsi="Book Antiqua" w:cs="宋体"/>
        </w:rPr>
        <w:t>Merli</w:t>
      </w:r>
      <w:proofErr w:type="spellEnd"/>
      <w:r w:rsidRPr="00B23655">
        <w:rPr>
          <w:rFonts w:ascii="Book Antiqua" w:eastAsia="宋体" w:hAnsi="Book Antiqua" w:cs="宋体"/>
        </w:rPr>
        <w:t xml:space="preserve"> M. High prevalence of spontaneous portal-systemic shunts in persistent hepatic encephalopathy: a case-control study. </w:t>
      </w:r>
      <w:proofErr w:type="spellStart"/>
      <w:r w:rsidRPr="00B23655">
        <w:rPr>
          <w:rFonts w:ascii="Book Antiqua" w:eastAsia="宋体" w:hAnsi="Book Antiqua" w:cs="宋体"/>
          <w:i/>
          <w:iCs/>
        </w:rPr>
        <w:t>Hepatology</w:t>
      </w:r>
      <w:proofErr w:type="spellEnd"/>
      <w:r w:rsidRPr="00B23655">
        <w:rPr>
          <w:rFonts w:ascii="Book Antiqua" w:eastAsia="宋体" w:hAnsi="Book Antiqua" w:cs="宋体"/>
        </w:rPr>
        <w:t> 2005; </w:t>
      </w:r>
      <w:r w:rsidRPr="00B23655">
        <w:rPr>
          <w:rFonts w:ascii="Book Antiqua" w:eastAsia="宋体" w:hAnsi="Book Antiqua" w:cs="宋体"/>
          <w:b/>
          <w:bCs/>
        </w:rPr>
        <w:t>42</w:t>
      </w:r>
      <w:r w:rsidRPr="00B23655">
        <w:rPr>
          <w:rFonts w:ascii="Book Antiqua" w:eastAsia="宋体" w:hAnsi="Book Antiqua" w:cs="宋体"/>
        </w:rPr>
        <w:t>: 1158-1165 [PMID: 16250033 DOI: 10.1002/hep.20905</w:t>
      </w:r>
      <w:r>
        <w:rPr>
          <w:rFonts w:ascii="Book Antiqua" w:eastAsia="宋体" w:hAnsi="Book Antiqua" w:cs="宋体"/>
        </w:rPr>
        <w:t>]</w:t>
      </w:r>
    </w:p>
    <w:p w14:paraId="3120D3FC" w14:textId="77777777" w:rsidR="00D752DB" w:rsidRPr="00B23655" w:rsidRDefault="00D752DB" w:rsidP="00D752DB">
      <w:pPr>
        <w:spacing w:line="360" w:lineRule="auto"/>
        <w:jc w:val="both"/>
        <w:rPr>
          <w:rFonts w:ascii="Book Antiqua" w:eastAsia="宋体" w:hAnsi="Book Antiqua" w:cs="宋体"/>
        </w:rPr>
      </w:pPr>
      <w:proofErr w:type="gramStart"/>
      <w:r w:rsidRPr="00B23655">
        <w:rPr>
          <w:rFonts w:ascii="Book Antiqua" w:eastAsia="宋体" w:hAnsi="Book Antiqua" w:cs="宋体"/>
        </w:rPr>
        <w:t>24 </w:t>
      </w:r>
      <w:r w:rsidRPr="00B23655">
        <w:rPr>
          <w:rFonts w:ascii="Book Antiqua" w:eastAsia="宋体" w:hAnsi="Book Antiqua" w:cs="宋体"/>
          <w:b/>
          <w:bCs/>
        </w:rPr>
        <w:t>Watanabe A</w:t>
      </w:r>
      <w:r w:rsidRPr="00B23655">
        <w:rPr>
          <w:rFonts w:ascii="Book Antiqua" w:eastAsia="宋体" w:hAnsi="Book Antiqua" w:cs="宋体"/>
        </w:rPr>
        <w:t>. Portal-systemic encephalopathy in non-cirrhotic patients</w:t>
      </w:r>
      <w:proofErr w:type="gramEnd"/>
      <w:r w:rsidRPr="00B23655">
        <w:rPr>
          <w:rFonts w:ascii="Book Antiqua" w:eastAsia="宋体" w:hAnsi="Book Antiqua" w:cs="宋体"/>
        </w:rPr>
        <w:t>: classification of clinical types, diagnosis and treatment. </w:t>
      </w:r>
      <w:r w:rsidRPr="00B23655">
        <w:rPr>
          <w:rFonts w:ascii="Book Antiqua" w:eastAsia="宋体" w:hAnsi="Book Antiqua" w:cs="宋体"/>
          <w:i/>
          <w:iCs/>
        </w:rPr>
        <w:t xml:space="preserve">J </w:t>
      </w:r>
      <w:proofErr w:type="spellStart"/>
      <w:r w:rsidRPr="00B23655">
        <w:rPr>
          <w:rFonts w:ascii="Book Antiqua" w:eastAsia="宋体" w:hAnsi="Book Antiqua" w:cs="宋体"/>
          <w:i/>
          <w:iCs/>
        </w:rPr>
        <w:t>Gastroenterol</w:t>
      </w:r>
      <w:proofErr w:type="spellEnd"/>
      <w:r w:rsidRPr="00B23655">
        <w:rPr>
          <w:rFonts w:ascii="Book Antiqua" w:eastAsia="宋体" w:hAnsi="Book Antiqua" w:cs="宋体"/>
          <w:i/>
          <w:iCs/>
        </w:rPr>
        <w:t xml:space="preserve"> </w:t>
      </w:r>
      <w:proofErr w:type="spellStart"/>
      <w:r w:rsidRPr="00B23655">
        <w:rPr>
          <w:rFonts w:ascii="Book Antiqua" w:eastAsia="宋体" w:hAnsi="Book Antiqua" w:cs="宋体"/>
          <w:i/>
          <w:iCs/>
        </w:rPr>
        <w:t>Hepatol</w:t>
      </w:r>
      <w:proofErr w:type="spellEnd"/>
      <w:r w:rsidRPr="00B23655">
        <w:rPr>
          <w:rFonts w:ascii="Book Antiqua" w:eastAsia="宋体" w:hAnsi="Book Antiqua" w:cs="宋体"/>
        </w:rPr>
        <w:t> 2000; </w:t>
      </w:r>
      <w:r w:rsidRPr="00B23655">
        <w:rPr>
          <w:rFonts w:ascii="Book Antiqua" w:eastAsia="宋体" w:hAnsi="Book Antiqua" w:cs="宋体"/>
          <w:b/>
          <w:bCs/>
        </w:rPr>
        <w:t>15</w:t>
      </w:r>
      <w:r w:rsidRPr="00B23655">
        <w:rPr>
          <w:rFonts w:ascii="Book Antiqua" w:eastAsia="宋体" w:hAnsi="Book Antiqua" w:cs="宋体"/>
        </w:rPr>
        <w:t>: 969-979 [PMID: 11059925 DOI: 10.1046/j.1440-1746.2000.02283.x</w:t>
      </w:r>
      <w:r>
        <w:rPr>
          <w:rFonts w:ascii="Book Antiqua" w:eastAsia="宋体" w:hAnsi="Book Antiqua" w:cs="宋体"/>
        </w:rPr>
        <w:t>]</w:t>
      </w:r>
    </w:p>
    <w:p w14:paraId="53713852" w14:textId="77777777" w:rsidR="00D752DB" w:rsidRPr="00B23655" w:rsidRDefault="00D752DB" w:rsidP="00D752DB">
      <w:pPr>
        <w:spacing w:line="360" w:lineRule="auto"/>
        <w:jc w:val="both"/>
        <w:rPr>
          <w:rFonts w:ascii="Book Antiqua" w:eastAsia="宋体" w:hAnsi="Book Antiqua" w:cs="宋体"/>
        </w:rPr>
      </w:pPr>
      <w:proofErr w:type="gramStart"/>
      <w:r w:rsidRPr="00B23655">
        <w:rPr>
          <w:rFonts w:ascii="Book Antiqua" w:eastAsia="宋体" w:hAnsi="Book Antiqua" w:cs="宋体"/>
        </w:rPr>
        <w:t>25 </w:t>
      </w:r>
      <w:proofErr w:type="spellStart"/>
      <w:r w:rsidRPr="00B23655">
        <w:rPr>
          <w:rFonts w:ascii="Book Antiqua" w:eastAsia="宋体" w:hAnsi="Book Antiqua" w:cs="宋体"/>
          <w:b/>
          <w:bCs/>
        </w:rPr>
        <w:t>Sarfeh</w:t>
      </w:r>
      <w:proofErr w:type="spellEnd"/>
      <w:r w:rsidRPr="00B23655">
        <w:rPr>
          <w:rFonts w:ascii="Book Antiqua" w:eastAsia="宋体" w:hAnsi="Book Antiqua" w:cs="宋体"/>
          <w:b/>
          <w:bCs/>
        </w:rPr>
        <w:t xml:space="preserve"> IJ</w:t>
      </w:r>
      <w:r w:rsidRPr="00B23655">
        <w:rPr>
          <w:rFonts w:ascii="Book Antiqua" w:eastAsia="宋体" w:hAnsi="Book Antiqua" w:cs="宋体"/>
        </w:rPr>
        <w:t xml:space="preserve">, </w:t>
      </w:r>
      <w:proofErr w:type="spellStart"/>
      <w:r w:rsidRPr="00B23655">
        <w:rPr>
          <w:rFonts w:ascii="Book Antiqua" w:eastAsia="宋体" w:hAnsi="Book Antiqua" w:cs="宋体"/>
        </w:rPr>
        <w:t>Rypins</w:t>
      </w:r>
      <w:proofErr w:type="spellEnd"/>
      <w:r w:rsidRPr="00B23655">
        <w:rPr>
          <w:rFonts w:ascii="Book Antiqua" w:eastAsia="宋体" w:hAnsi="Book Antiqua" w:cs="宋体"/>
        </w:rPr>
        <w:t xml:space="preserve"> EB.</w:t>
      </w:r>
      <w:proofErr w:type="gramEnd"/>
      <w:r w:rsidRPr="00B23655">
        <w:rPr>
          <w:rFonts w:ascii="Book Antiqua" w:eastAsia="宋体" w:hAnsi="Book Antiqua" w:cs="宋体"/>
        </w:rPr>
        <w:t xml:space="preserve"> </w:t>
      </w:r>
      <w:proofErr w:type="gramStart"/>
      <w:r w:rsidRPr="00B23655">
        <w:rPr>
          <w:rFonts w:ascii="Book Antiqua" w:eastAsia="宋体" w:hAnsi="Book Antiqua" w:cs="宋体"/>
        </w:rPr>
        <w:t xml:space="preserve">Partial versus total </w:t>
      </w:r>
      <w:proofErr w:type="spellStart"/>
      <w:r w:rsidRPr="00B23655">
        <w:rPr>
          <w:rFonts w:ascii="Book Antiqua" w:eastAsia="宋体" w:hAnsi="Book Antiqua" w:cs="宋体"/>
        </w:rPr>
        <w:t>portacaval</w:t>
      </w:r>
      <w:proofErr w:type="spellEnd"/>
      <w:r w:rsidRPr="00B23655">
        <w:rPr>
          <w:rFonts w:ascii="Book Antiqua" w:eastAsia="宋体" w:hAnsi="Book Antiqua" w:cs="宋体"/>
        </w:rPr>
        <w:t xml:space="preserve"> shunt in alcoholic cirrhosis.</w:t>
      </w:r>
      <w:proofErr w:type="gramEnd"/>
      <w:r w:rsidRPr="00B23655">
        <w:rPr>
          <w:rFonts w:ascii="Book Antiqua" w:eastAsia="宋体" w:hAnsi="Book Antiqua" w:cs="宋体"/>
        </w:rPr>
        <w:t xml:space="preserve"> Results of a </w:t>
      </w:r>
      <w:proofErr w:type="gramStart"/>
      <w:r w:rsidRPr="00B23655">
        <w:rPr>
          <w:rFonts w:ascii="Book Antiqua" w:eastAsia="宋体" w:hAnsi="Book Antiqua" w:cs="宋体"/>
        </w:rPr>
        <w:t>prospective,</w:t>
      </w:r>
      <w:proofErr w:type="gramEnd"/>
      <w:r w:rsidRPr="00B23655">
        <w:rPr>
          <w:rFonts w:ascii="Book Antiqua" w:eastAsia="宋体" w:hAnsi="Book Antiqua" w:cs="宋体"/>
        </w:rPr>
        <w:t xml:space="preserve"> randomized clinical trial. </w:t>
      </w:r>
      <w:r w:rsidRPr="00B23655">
        <w:rPr>
          <w:rFonts w:ascii="Book Antiqua" w:eastAsia="宋体" w:hAnsi="Book Antiqua" w:cs="宋体"/>
          <w:i/>
          <w:iCs/>
        </w:rPr>
        <w:t xml:space="preserve">Ann </w:t>
      </w:r>
      <w:proofErr w:type="spellStart"/>
      <w:r w:rsidRPr="00B23655">
        <w:rPr>
          <w:rFonts w:ascii="Book Antiqua" w:eastAsia="宋体" w:hAnsi="Book Antiqua" w:cs="宋体"/>
          <w:i/>
          <w:iCs/>
        </w:rPr>
        <w:t>Surg</w:t>
      </w:r>
      <w:proofErr w:type="spellEnd"/>
      <w:r w:rsidRPr="00B23655">
        <w:rPr>
          <w:rFonts w:ascii="Book Antiqua" w:eastAsia="宋体" w:hAnsi="Book Antiqua" w:cs="宋体"/>
        </w:rPr>
        <w:t> 1994; </w:t>
      </w:r>
      <w:r w:rsidRPr="00B23655">
        <w:rPr>
          <w:rFonts w:ascii="Book Antiqua" w:eastAsia="宋体" w:hAnsi="Book Antiqua" w:cs="宋体"/>
          <w:b/>
          <w:bCs/>
        </w:rPr>
        <w:t>219</w:t>
      </w:r>
      <w:r w:rsidRPr="00B23655">
        <w:rPr>
          <w:rFonts w:ascii="Book Antiqua" w:eastAsia="宋体" w:hAnsi="Book Antiqua" w:cs="宋体"/>
        </w:rPr>
        <w:t>: 353-361 [PMID: 8161260]</w:t>
      </w:r>
    </w:p>
    <w:p w14:paraId="398A9075"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t>26 </w:t>
      </w:r>
      <w:proofErr w:type="spellStart"/>
      <w:r w:rsidRPr="00B23655">
        <w:rPr>
          <w:rFonts w:ascii="Book Antiqua" w:eastAsia="宋体" w:hAnsi="Book Antiqua" w:cs="宋体"/>
          <w:b/>
          <w:bCs/>
        </w:rPr>
        <w:t>Wróblewski</w:t>
      </w:r>
      <w:proofErr w:type="spellEnd"/>
      <w:r w:rsidRPr="00B23655">
        <w:rPr>
          <w:rFonts w:ascii="Book Antiqua" w:eastAsia="宋体" w:hAnsi="Book Antiqua" w:cs="宋体"/>
          <w:b/>
          <w:bCs/>
        </w:rPr>
        <w:t xml:space="preserve"> T</w:t>
      </w:r>
      <w:r w:rsidRPr="00B23655">
        <w:rPr>
          <w:rFonts w:ascii="Book Antiqua" w:eastAsia="宋体" w:hAnsi="Book Antiqua" w:cs="宋体"/>
        </w:rPr>
        <w:t xml:space="preserve">, </w:t>
      </w:r>
      <w:proofErr w:type="spellStart"/>
      <w:r w:rsidRPr="00B23655">
        <w:rPr>
          <w:rFonts w:ascii="Book Antiqua" w:eastAsia="宋体" w:hAnsi="Book Antiqua" w:cs="宋体"/>
        </w:rPr>
        <w:t>Rowiński</w:t>
      </w:r>
      <w:proofErr w:type="spellEnd"/>
      <w:r w:rsidRPr="00B23655">
        <w:rPr>
          <w:rFonts w:ascii="Book Antiqua" w:eastAsia="宋体" w:hAnsi="Book Antiqua" w:cs="宋体"/>
        </w:rPr>
        <w:t xml:space="preserve"> O, </w:t>
      </w:r>
      <w:proofErr w:type="spellStart"/>
      <w:r w:rsidRPr="00B23655">
        <w:rPr>
          <w:rFonts w:ascii="Book Antiqua" w:eastAsia="宋体" w:hAnsi="Book Antiqua" w:cs="宋体"/>
        </w:rPr>
        <w:t>Ziarkiewicz-Wróblewska</w:t>
      </w:r>
      <w:proofErr w:type="spellEnd"/>
      <w:r w:rsidRPr="00B23655">
        <w:rPr>
          <w:rFonts w:ascii="Book Antiqua" w:eastAsia="宋体" w:hAnsi="Book Antiqua" w:cs="宋体"/>
        </w:rPr>
        <w:t xml:space="preserve"> B, </w:t>
      </w:r>
      <w:proofErr w:type="spellStart"/>
      <w:r w:rsidRPr="00B23655">
        <w:rPr>
          <w:rFonts w:ascii="Book Antiqua" w:eastAsia="宋体" w:hAnsi="Book Antiqua" w:cs="宋体"/>
        </w:rPr>
        <w:t>Górnicka</w:t>
      </w:r>
      <w:proofErr w:type="spellEnd"/>
      <w:r w:rsidRPr="00B23655">
        <w:rPr>
          <w:rFonts w:ascii="Book Antiqua" w:eastAsia="宋体" w:hAnsi="Book Antiqua" w:cs="宋体"/>
        </w:rPr>
        <w:t xml:space="preserve"> B, Albrecht J, Jones EA, </w:t>
      </w:r>
      <w:proofErr w:type="spellStart"/>
      <w:r w:rsidRPr="00B23655">
        <w:rPr>
          <w:rFonts w:ascii="Book Antiqua" w:eastAsia="宋体" w:hAnsi="Book Antiqua" w:cs="宋体"/>
        </w:rPr>
        <w:t>Krawczyk</w:t>
      </w:r>
      <w:proofErr w:type="spellEnd"/>
      <w:r w:rsidRPr="00B23655">
        <w:rPr>
          <w:rFonts w:ascii="Book Antiqua" w:eastAsia="宋体" w:hAnsi="Book Antiqua" w:cs="宋体"/>
        </w:rPr>
        <w:t xml:space="preserve"> M. Two-stage </w:t>
      </w:r>
      <w:proofErr w:type="spellStart"/>
      <w:r w:rsidRPr="00B23655">
        <w:rPr>
          <w:rFonts w:ascii="Book Antiqua" w:eastAsia="宋体" w:hAnsi="Book Antiqua" w:cs="宋体"/>
        </w:rPr>
        <w:t>transjugular</w:t>
      </w:r>
      <w:proofErr w:type="spellEnd"/>
      <w:r w:rsidRPr="00B23655">
        <w:rPr>
          <w:rFonts w:ascii="Book Antiqua" w:eastAsia="宋体" w:hAnsi="Book Antiqua" w:cs="宋体"/>
        </w:rPr>
        <w:t xml:space="preserve"> intrahepatic </w:t>
      </w:r>
      <w:proofErr w:type="spellStart"/>
      <w:r w:rsidRPr="00B23655">
        <w:rPr>
          <w:rFonts w:ascii="Book Antiqua" w:eastAsia="宋体" w:hAnsi="Book Antiqua" w:cs="宋体"/>
        </w:rPr>
        <w:t>porta</w:t>
      </w:r>
      <w:proofErr w:type="spellEnd"/>
      <w:r w:rsidRPr="00B23655">
        <w:rPr>
          <w:rFonts w:ascii="Book Antiqua" w:eastAsia="宋体" w:hAnsi="Book Antiqua" w:cs="宋体"/>
        </w:rPr>
        <w:t xml:space="preserve">-systemic shunt for patients with cirrhosis and a high risk of portal-systemic encephalopathy patients as a bridge to </w:t>
      </w:r>
      <w:proofErr w:type="spellStart"/>
      <w:r w:rsidRPr="00B23655">
        <w:rPr>
          <w:rFonts w:ascii="Book Antiqua" w:eastAsia="宋体" w:hAnsi="Book Antiqua" w:cs="宋体"/>
        </w:rPr>
        <w:t>orthotopic</w:t>
      </w:r>
      <w:proofErr w:type="spellEnd"/>
      <w:r w:rsidRPr="00B23655">
        <w:rPr>
          <w:rFonts w:ascii="Book Antiqua" w:eastAsia="宋体" w:hAnsi="Book Antiqua" w:cs="宋体"/>
        </w:rPr>
        <w:t xml:space="preserve"> liver transplantation: a preliminary report. </w:t>
      </w:r>
      <w:r w:rsidRPr="00B23655">
        <w:rPr>
          <w:rFonts w:ascii="Book Antiqua" w:eastAsia="宋体" w:hAnsi="Book Antiqua" w:cs="宋体"/>
          <w:i/>
          <w:iCs/>
        </w:rPr>
        <w:t xml:space="preserve">Transplant </w:t>
      </w:r>
      <w:proofErr w:type="spellStart"/>
      <w:r w:rsidRPr="00B23655">
        <w:rPr>
          <w:rFonts w:ascii="Book Antiqua" w:eastAsia="宋体" w:hAnsi="Book Antiqua" w:cs="宋体"/>
          <w:i/>
          <w:iCs/>
        </w:rPr>
        <w:t>Proc</w:t>
      </w:r>
      <w:proofErr w:type="spellEnd"/>
      <w:r w:rsidRPr="00B23655">
        <w:rPr>
          <w:rFonts w:ascii="Book Antiqua" w:eastAsia="宋体" w:hAnsi="Book Antiqua" w:cs="宋体"/>
        </w:rPr>
        <w:t> </w:t>
      </w:r>
      <w:r>
        <w:rPr>
          <w:rFonts w:ascii="Book Antiqua" w:eastAsia="宋体" w:hAnsi="Book Antiqua" w:cs="宋体" w:hint="eastAsia"/>
        </w:rPr>
        <w:t>2006</w:t>
      </w:r>
      <w:r w:rsidRPr="00B23655">
        <w:rPr>
          <w:rFonts w:ascii="Book Antiqua" w:eastAsia="宋体" w:hAnsi="Book Antiqua" w:cs="宋体"/>
        </w:rPr>
        <w:t>; </w:t>
      </w:r>
      <w:r w:rsidRPr="00B23655">
        <w:rPr>
          <w:rFonts w:ascii="Book Antiqua" w:eastAsia="宋体" w:hAnsi="Book Antiqua" w:cs="宋体"/>
          <w:b/>
          <w:bCs/>
        </w:rPr>
        <w:t>38</w:t>
      </w:r>
      <w:r w:rsidRPr="00B23655">
        <w:rPr>
          <w:rFonts w:ascii="Book Antiqua" w:eastAsia="宋体" w:hAnsi="Book Antiqua" w:cs="宋体"/>
        </w:rPr>
        <w:t>: 204-208 [PMID: 16504703 DOI: 10.1016/j.transproceed.2005.12.019</w:t>
      </w:r>
      <w:r>
        <w:rPr>
          <w:rFonts w:ascii="Book Antiqua" w:eastAsia="宋体" w:hAnsi="Book Antiqua" w:cs="宋体"/>
        </w:rPr>
        <w:t>]</w:t>
      </w:r>
    </w:p>
    <w:p w14:paraId="13D4BD36"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t>27 </w:t>
      </w:r>
      <w:r w:rsidRPr="00B23655">
        <w:rPr>
          <w:rFonts w:ascii="Book Antiqua" w:eastAsia="宋体" w:hAnsi="Book Antiqua" w:cs="宋体"/>
          <w:b/>
          <w:bCs/>
        </w:rPr>
        <w:t>Zhao HQ</w:t>
      </w:r>
      <w:r w:rsidRPr="00B23655">
        <w:rPr>
          <w:rFonts w:ascii="Book Antiqua" w:eastAsia="宋体" w:hAnsi="Book Antiqua" w:cs="宋体"/>
        </w:rPr>
        <w:t xml:space="preserve">, </w:t>
      </w:r>
      <w:proofErr w:type="spellStart"/>
      <w:r w:rsidRPr="00B23655">
        <w:rPr>
          <w:rFonts w:ascii="Book Antiqua" w:eastAsia="宋体" w:hAnsi="Book Antiqua" w:cs="宋体"/>
        </w:rPr>
        <w:t>Nikanorov</w:t>
      </w:r>
      <w:proofErr w:type="spellEnd"/>
      <w:r w:rsidRPr="00B23655">
        <w:rPr>
          <w:rFonts w:ascii="Book Antiqua" w:eastAsia="宋体" w:hAnsi="Book Antiqua" w:cs="宋体"/>
        </w:rPr>
        <w:t xml:space="preserve"> A, </w:t>
      </w:r>
      <w:proofErr w:type="spellStart"/>
      <w:r w:rsidRPr="00B23655">
        <w:rPr>
          <w:rFonts w:ascii="Book Antiqua" w:eastAsia="宋体" w:hAnsi="Book Antiqua" w:cs="宋体"/>
        </w:rPr>
        <w:t>Virmani</w:t>
      </w:r>
      <w:proofErr w:type="spellEnd"/>
      <w:r w:rsidRPr="00B23655">
        <w:rPr>
          <w:rFonts w:ascii="Book Antiqua" w:eastAsia="宋体" w:hAnsi="Book Antiqua" w:cs="宋体"/>
        </w:rPr>
        <w:t xml:space="preserve"> R, Jones R, Pacheco E, Schwartz LB. Late stent expansion and </w:t>
      </w:r>
      <w:proofErr w:type="spellStart"/>
      <w:r w:rsidRPr="00B23655">
        <w:rPr>
          <w:rFonts w:ascii="Book Antiqua" w:eastAsia="宋体" w:hAnsi="Book Antiqua" w:cs="宋体"/>
        </w:rPr>
        <w:t>neointimal</w:t>
      </w:r>
      <w:proofErr w:type="spellEnd"/>
      <w:r w:rsidRPr="00B23655">
        <w:rPr>
          <w:rFonts w:ascii="Book Antiqua" w:eastAsia="宋体" w:hAnsi="Book Antiqua" w:cs="宋体"/>
        </w:rPr>
        <w:t xml:space="preserve"> proliferation of oversized </w:t>
      </w:r>
      <w:proofErr w:type="spellStart"/>
      <w:r w:rsidRPr="00B23655">
        <w:rPr>
          <w:rFonts w:ascii="Book Antiqua" w:eastAsia="宋体" w:hAnsi="Book Antiqua" w:cs="宋体"/>
        </w:rPr>
        <w:t>Nitinol</w:t>
      </w:r>
      <w:proofErr w:type="spellEnd"/>
      <w:r w:rsidRPr="00B23655">
        <w:rPr>
          <w:rFonts w:ascii="Book Antiqua" w:eastAsia="宋体" w:hAnsi="Book Antiqua" w:cs="宋体"/>
        </w:rPr>
        <w:t xml:space="preserve"> stents in peripheral arteries. </w:t>
      </w:r>
      <w:proofErr w:type="spellStart"/>
      <w:r w:rsidRPr="00B23655">
        <w:rPr>
          <w:rFonts w:ascii="Book Antiqua" w:eastAsia="宋体" w:hAnsi="Book Antiqua" w:cs="宋体"/>
          <w:i/>
          <w:iCs/>
        </w:rPr>
        <w:t>Cardiovasc</w:t>
      </w:r>
      <w:proofErr w:type="spellEnd"/>
      <w:r w:rsidRPr="00B23655">
        <w:rPr>
          <w:rFonts w:ascii="Book Antiqua" w:eastAsia="宋体" w:hAnsi="Book Antiqua" w:cs="宋体"/>
          <w:i/>
          <w:iCs/>
        </w:rPr>
        <w:t xml:space="preserve"> </w:t>
      </w:r>
      <w:proofErr w:type="spellStart"/>
      <w:r w:rsidRPr="00B23655">
        <w:rPr>
          <w:rFonts w:ascii="Book Antiqua" w:eastAsia="宋体" w:hAnsi="Book Antiqua" w:cs="宋体"/>
          <w:i/>
          <w:iCs/>
        </w:rPr>
        <w:t>Intervent</w:t>
      </w:r>
      <w:proofErr w:type="spellEnd"/>
      <w:r w:rsidRPr="00B23655">
        <w:rPr>
          <w:rFonts w:ascii="Book Antiqua" w:eastAsia="宋体" w:hAnsi="Book Antiqua" w:cs="宋体"/>
          <w:i/>
          <w:iCs/>
        </w:rPr>
        <w:t xml:space="preserve"> </w:t>
      </w:r>
      <w:proofErr w:type="spellStart"/>
      <w:r w:rsidRPr="00B23655">
        <w:rPr>
          <w:rFonts w:ascii="Book Antiqua" w:eastAsia="宋体" w:hAnsi="Book Antiqua" w:cs="宋体"/>
          <w:i/>
          <w:iCs/>
        </w:rPr>
        <w:t>Radiol</w:t>
      </w:r>
      <w:proofErr w:type="spellEnd"/>
      <w:r w:rsidRPr="00B23655">
        <w:rPr>
          <w:rFonts w:ascii="Book Antiqua" w:eastAsia="宋体" w:hAnsi="Book Antiqua" w:cs="宋体"/>
        </w:rPr>
        <w:t> 2009; </w:t>
      </w:r>
      <w:r w:rsidRPr="00B23655">
        <w:rPr>
          <w:rFonts w:ascii="Book Antiqua" w:eastAsia="宋体" w:hAnsi="Book Antiqua" w:cs="宋体"/>
          <w:b/>
          <w:bCs/>
        </w:rPr>
        <w:t>32</w:t>
      </w:r>
      <w:r w:rsidRPr="00B23655">
        <w:rPr>
          <w:rFonts w:ascii="Book Antiqua" w:eastAsia="宋体" w:hAnsi="Book Antiqua" w:cs="宋体"/>
        </w:rPr>
        <w:t>: 720-726 [PMID: 19484292 DOI: 10.1007/s00270-009-9601-z</w:t>
      </w:r>
      <w:r>
        <w:rPr>
          <w:rFonts w:ascii="Book Antiqua" w:eastAsia="宋体" w:hAnsi="Book Antiqua" w:cs="宋体"/>
        </w:rPr>
        <w:t>]</w:t>
      </w:r>
    </w:p>
    <w:p w14:paraId="636B78E3" w14:textId="77777777" w:rsidR="00D752DB" w:rsidRPr="00B23655" w:rsidRDefault="00D752DB" w:rsidP="00D752DB">
      <w:pPr>
        <w:spacing w:line="360" w:lineRule="auto"/>
        <w:jc w:val="both"/>
        <w:rPr>
          <w:rFonts w:ascii="Book Antiqua" w:eastAsia="宋体" w:hAnsi="Book Antiqua" w:cs="宋体"/>
        </w:rPr>
      </w:pPr>
      <w:r w:rsidRPr="00B23655">
        <w:rPr>
          <w:rFonts w:ascii="Book Antiqua" w:eastAsia="宋体" w:hAnsi="Book Antiqua" w:cs="宋体"/>
        </w:rPr>
        <w:lastRenderedPageBreak/>
        <w:t>28 </w:t>
      </w:r>
      <w:proofErr w:type="spellStart"/>
      <w:r w:rsidRPr="00B23655">
        <w:rPr>
          <w:rFonts w:ascii="Book Antiqua" w:eastAsia="宋体" w:hAnsi="Book Antiqua" w:cs="宋体"/>
          <w:b/>
          <w:bCs/>
        </w:rPr>
        <w:t>Gaba</w:t>
      </w:r>
      <w:proofErr w:type="spellEnd"/>
      <w:r w:rsidRPr="00B23655">
        <w:rPr>
          <w:rFonts w:ascii="Book Antiqua" w:eastAsia="宋体" w:hAnsi="Book Antiqua" w:cs="宋体"/>
          <w:b/>
          <w:bCs/>
        </w:rPr>
        <w:t xml:space="preserve"> RC</w:t>
      </w:r>
      <w:r w:rsidRPr="00B23655">
        <w:rPr>
          <w:rFonts w:ascii="Book Antiqua" w:eastAsia="宋体" w:hAnsi="Book Antiqua" w:cs="宋体"/>
        </w:rPr>
        <w:t xml:space="preserve">, </w:t>
      </w:r>
      <w:proofErr w:type="spellStart"/>
      <w:r w:rsidRPr="00B23655">
        <w:rPr>
          <w:rFonts w:ascii="Book Antiqua" w:eastAsia="宋体" w:hAnsi="Book Antiqua" w:cs="宋体"/>
        </w:rPr>
        <w:t>Parvinian</w:t>
      </w:r>
      <w:proofErr w:type="spellEnd"/>
      <w:r w:rsidRPr="00B23655">
        <w:rPr>
          <w:rFonts w:ascii="Book Antiqua" w:eastAsia="宋体" w:hAnsi="Book Antiqua" w:cs="宋体"/>
        </w:rPr>
        <w:t xml:space="preserve"> A, </w:t>
      </w:r>
      <w:proofErr w:type="spellStart"/>
      <w:r w:rsidRPr="00B23655">
        <w:rPr>
          <w:rFonts w:ascii="Book Antiqua" w:eastAsia="宋体" w:hAnsi="Book Antiqua" w:cs="宋体"/>
        </w:rPr>
        <w:t>Minocha</w:t>
      </w:r>
      <w:proofErr w:type="spellEnd"/>
      <w:r w:rsidRPr="00B23655">
        <w:rPr>
          <w:rFonts w:ascii="Book Antiqua" w:eastAsia="宋体" w:hAnsi="Book Antiqua" w:cs="宋体"/>
        </w:rPr>
        <w:t xml:space="preserve"> J, </w:t>
      </w:r>
      <w:proofErr w:type="spellStart"/>
      <w:r w:rsidRPr="00B23655">
        <w:rPr>
          <w:rFonts w:ascii="Book Antiqua" w:eastAsia="宋体" w:hAnsi="Book Antiqua" w:cs="宋体"/>
        </w:rPr>
        <w:t>Casadaban</w:t>
      </w:r>
      <w:proofErr w:type="spellEnd"/>
      <w:r w:rsidRPr="00B23655">
        <w:rPr>
          <w:rFonts w:ascii="Book Antiqua" w:eastAsia="宋体" w:hAnsi="Book Antiqua" w:cs="宋体"/>
        </w:rPr>
        <w:t xml:space="preserve"> LC, </w:t>
      </w:r>
      <w:proofErr w:type="spellStart"/>
      <w:r w:rsidRPr="00B23655">
        <w:rPr>
          <w:rFonts w:ascii="Book Antiqua" w:eastAsia="宋体" w:hAnsi="Book Antiqua" w:cs="宋体"/>
        </w:rPr>
        <w:t>Knuttinen</w:t>
      </w:r>
      <w:proofErr w:type="spellEnd"/>
      <w:r w:rsidRPr="00B23655">
        <w:rPr>
          <w:rFonts w:ascii="Book Antiqua" w:eastAsia="宋体" w:hAnsi="Book Antiqua" w:cs="宋体"/>
        </w:rPr>
        <w:t xml:space="preserve"> MG, Ray CE, Bui JT. Should </w:t>
      </w:r>
      <w:proofErr w:type="spellStart"/>
      <w:r w:rsidRPr="00B23655">
        <w:rPr>
          <w:rFonts w:ascii="Book Antiqua" w:eastAsia="宋体" w:hAnsi="Book Antiqua" w:cs="宋体"/>
        </w:rPr>
        <w:t>transjugular</w:t>
      </w:r>
      <w:proofErr w:type="spellEnd"/>
      <w:r w:rsidRPr="00B23655">
        <w:rPr>
          <w:rFonts w:ascii="Book Antiqua" w:eastAsia="宋体" w:hAnsi="Book Antiqua" w:cs="宋体"/>
        </w:rPr>
        <w:t xml:space="preserve"> intrahepatic </w:t>
      </w:r>
      <w:proofErr w:type="spellStart"/>
      <w:r w:rsidRPr="00B23655">
        <w:rPr>
          <w:rFonts w:ascii="Book Antiqua" w:eastAsia="宋体" w:hAnsi="Book Antiqua" w:cs="宋体"/>
        </w:rPr>
        <w:t>portosystemic</w:t>
      </w:r>
      <w:proofErr w:type="spellEnd"/>
      <w:r w:rsidRPr="00B23655">
        <w:rPr>
          <w:rFonts w:ascii="Book Antiqua" w:eastAsia="宋体" w:hAnsi="Book Antiqua" w:cs="宋体"/>
        </w:rPr>
        <w:t xml:space="preserve"> shunt stent grafts be </w:t>
      </w:r>
      <w:proofErr w:type="spellStart"/>
      <w:r w:rsidRPr="00B23655">
        <w:rPr>
          <w:rFonts w:ascii="Book Antiqua" w:eastAsia="宋体" w:hAnsi="Book Antiqua" w:cs="宋体"/>
        </w:rPr>
        <w:t>underdilated</w:t>
      </w:r>
      <w:proofErr w:type="spellEnd"/>
      <w:r w:rsidRPr="00B23655">
        <w:rPr>
          <w:rFonts w:ascii="Book Antiqua" w:eastAsia="宋体" w:hAnsi="Book Antiqua" w:cs="宋体"/>
        </w:rPr>
        <w:t>? </w:t>
      </w:r>
      <w:r w:rsidRPr="00B23655">
        <w:rPr>
          <w:rFonts w:ascii="Book Antiqua" w:eastAsia="宋体" w:hAnsi="Book Antiqua" w:cs="宋体"/>
          <w:i/>
          <w:iCs/>
        </w:rPr>
        <w:t xml:space="preserve">J </w:t>
      </w:r>
      <w:proofErr w:type="spellStart"/>
      <w:r w:rsidRPr="00B23655">
        <w:rPr>
          <w:rFonts w:ascii="Book Antiqua" w:eastAsia="宋体" w:hAnsi="Book Antiqua" w:cs="宋体"/>
          <w:i/>
          <w:iCs/>
        </w:rPr>
        <w:t>Vasc</w:t>
      </w:r>
      <w:proofErr w:type="spellEnd"/>
      <w:r w:rsidRPr="00B23655">
        <w:rPr>
          <w:rFonts w:ascii="Book Antiqua" w:eastAsia="宋体" w:hAnsi="Book Antiqua" w:cs="宋体"/>
          <w:i/>
          <w:iCs/>
        </w:rPr>
        <w:t xml:space="preserve"> </w:t>
      </w:r>
      <w:proofErr w:type="spellStart"/>
      <w:r w:rsidRPr="00B23655">
        <w:rPr>
          <w:rFonts w:ascii="Book Antiqua" w:eastAsia="宋体" w:hAnsi="Book Antiqua" w:cs="宋体"/>
          <w:i/>
          <w:iCs/>
        </w:rPr>
        <w:t>Interv</w:t>
      </w:r>
      <w:proofErr w:type="spellEnd"/>
      <w:r w:rsidRPr="00B23655">
        <w:rPr>
          <w:rFonts w:ascii="Book Antiqua" w:eastAsia="宋体" w:hAnsi="Book Antiqua" w:cs="宋体"/>
          <w:i/>
          <w:iCs/>
        </w:rPr>
        <w:t xml:space="preserve"> </w:t>
      </w:r>
      <w:proofErr w:type="spellStart"/>
      <w:r w:rsidRPr="00B23655">
        <w:rPr>
          <w:rFonts w:ascii="Book Antiqua" w:eastAsia="宋体" w:hAnsi="Book Antiqua" w:cs="宋体"/>
          <w:i/>
          <w:iCs/>
        </w:rPr>
        <w:t>Radiol</w:t>
      </w:r>
      <w:proofErr w:type="spellEnd"/>
      <w:r w:rsidRPr="00B23655">
        <w:rPr>
          <w:rFonts w:ascii="Book Antiqua" w:eastAsia="宋体" w:hAnsi="Book Antiqua" w:cs="宋体"/>
        </w:rPr>
        <w:t> 2015; </w:t>
      </w:r>
      <w:r w:rsidRPr="00B23655">
        <w:rPr>
          <w:rFonts w:ascii="Book Antiqua" w:eastAsia="宋体" w:hAnsi="Book Antiqua" w:cs="宋体"/>
          <w:b/>
          <w:bCs/>
        </w:rPr>
        <w:t>26</w:t>
      </w:r>
      <w:r w:rsidRPr="00B23655">
        <w:rPr>
          <w:rFonts w:ascii="Book Antiqua" w:eastAsia="宋体" w:hAnsi="Book Antiqua" w:cs="宋体"/>
        </w:rPr>
        <w:t>: 382-387 [PMID: 25735521 DOI: 10.1016/j.jvir.2014.08.012</w:t>
      </w:r>
      <w:r>
        <w:rPr>
          <w:rFonts w:ascii="Book Antiqua" w:eastAsia="宋体" w:hAnsi="Book Antiqua" w:cs="宋体"/>
        </w:rPr>
        <w:t>]</w:t>
      </w:r>
    </w:p>
    <w:p w14:paraId="5AE5C08D" w14:textId="77777777" w:rsidR="00863E51" w:rsidRPr="008D0A08" w:rsidRDefault="00863E51" w:rsidP="008D0A08">
      <w:pPr>
        <w:spacing w:line="360" w:lineRule="auto"/>
        <w:jc w:val="both"/>
        <w:rPr>
          <w:rFonts w:ascii="Book Antiqua" w:hAnsi="Book Antiqua"/>
        </w:rPr>
      </w:pPr>
    </w:p>
    <w:p w14:paraId="50A5C7CD" w14:textId="35462BED" w:rsidR="00AE2B32" w:rsidRPr="00AE2B32" w:rsidRDefault="00AE2B32" w:rsidP="00AE2B32">
      <w:pPr>
        <w:spacing w:line="360" w:lineRule="auto"/>
        <w:ind w:right="120"/>
        <w:rPr>
          <w:rFonts w:ascii="Book Antiqua" w:eastAsia="宋体" w:hAnsi="Book Antiqua"/>
          <w:b/>
          <w:bCs/>
          <w:lang w:eastAsia="zh-CN"/>
        </w:rPr>
      </w:pPr>
      <w:r w:rsidRPr="00AE2B32">
        <w:rPr>
          <w:rStyle w:val="Strong"/>
          <w:rFonts w:ascii="Book Antiqua" w:hAnsi="Book Antiqua" w:cs="Arial"/>
          <w:bCs w:val="0"/>
          <w:noProof/>
          <w:color w:val="000000"/>
        </w:rPr>
        <w:t>P-Reviewer</w:t>
      </w:r>
      <w:r w:rsidRPr="00AE2B32">
        <w:rPr>
          <w:rStyle w:val="Strong"/>
          <w:rFonts w:ascii="Book Antiqua" w:eastAsia="宋体" w:hAnsi="Book Antiqua" w:cs="Arial"/>
          <w:bCs w:val="0"/>
          <w:noProof/>
          <w:color w:val="000000"/>
          <w:lang w:eastAsia="zh-CN"/>
        </w:rPr>
        <w:t>:</w:t>
      </w:r>
      <w:r w:rsidRPr="00AE2B32">
        <w:rPr>
          <w:rFonts w:ascii="Book Antiqua" w:hAnsi="Book Antiqua"/>
          <w:bCs/>
        </w:rPr>
        <w:t xml:space="preserve"> </w:t>
      </w:r>
      <w:proofErr w:type="spellStart"/>
      <w:r w:rsidR="003D1F57" w:rsidRPr="003D1F57">
        <w:rPr>
          <w:rFonts w:ascii="Book Antiqua" w:hAnsi="Book Antiqua"/>
          <w:bCs/>
        </w:rPr>
        <w:t>Fouad</w:t>
      </w:r>
      <w:proofErr w:type="spellEnd"/>
      <w:r w:rsidR="003D1F57">
        <w:rPr>
          <w:rFonts w:ascii="Book Antiqua" w:eastAsia="宋体" w:hAnsi="Book Antiqua" w:hint="eastAsia"/>
          <w:bCs/>
          <w:lang w:eastAsia="zh-CN"/>
        </w:rPr>
        <w:t xml:space="preserve"> YM,</w:t>
      </w:r>
      <w:r w:rsidRPr="00AE2B32">
        <w:rPr>
          <w:rFonts w:ascii="Book Antiqua" w:hAnsi="Book Antiqua"/>
          <w:bCs/>
        </w:rPr>
        <w:t xml:space="preserve"> </w:t>
      </w:r>
      <w:r w:rsidR="003D1F57" w:rsidRPr="003D1F57">
        <w:rPr>
          <w:rFonts w:ascii="Book Antiqua" w:hAnsi="Book Antiqua"/>
          <w:bCs/>
        </w:rPr>
        <w:t>Chen</w:t>
      </w:r>
      <w:r w:rsidR="003D1F57">
        <w:rPr>
          <w:rFonts w:ascii="Book Antiqua" w:eastAsia="宋体" w:hAnsi="Book Antiqua" w:hint="eastAsia"/>
          <w:bCs/>
          <w:lang w:eastAsia="zh-CN"/>
        </w:rPr>
        <w:t xml:space="preserve"> JL</w:t>
      </w:r>
      <w:r w:rsidR="00D752DB">
        <w:rPr>
          <w:rFonts w:ascii="Book Antiqua" w:hAnsi="Book Antiqua"/>
          <w:bCs/>
        </w:rPr>
        <w:t xml:space="preserve"> </w:t>
      </w:r>
      <w:r w:rsidRPr="00AE2B32">
        <w:rPr>
          <w:rFonts w:ascii="Book Antiqua" w:hAnsi="Book Antiqua"/>
          <w:b/>
          <w:bCs/>
        </w:rPr>
        <w:t>S-Editor</w:t>
      </w:r>
      <w:r w:rsidRPr="00AE2B32">
        <w:rPr>
          <w:rFonts w:ascii="Book Antiqua" w:eastAsia="宋体" w:hAnsi="Book Antiqua"/>
          <w:b/>
          <w:bCs/>
          <w:lang w:eastAsia="zh-CN"/>
        </w:rPr>
        <w:t>:</w:t>
      </w:r>
      <w:r w:rsidRPr="00AE2B32">
        <w:rPr>
          <w:rFonts w:ascii="Book Antiqua" w:hAnsi="Book Antiqua"/>
          <w:bCs/>
        </w:rPr>
        <w:t xml:space="preserve"> </w:t>
      </w:r>
      <w:r w:rsidRPr="00AE2B32">
        <w:rPr>
          <w:rFonts w:ascii="Book Antiqua" w:eastAsia="宋体" w:hAnsi="Book Antiqua"/>
          <w:bCs/>
          <w:lang w:eastAsia="zh-CN"/>
        </w:rPr>
        <w:t>Qi Y</w:t>
      </w:r>
      <w:r w:rsidR="006D232F">
        <w:rPr>
          <w:rFonts w:ascii="Book Antiqua" w:hAnsi="Book Antiqua"/>
          <w:b/>
          <w:bCs/>
        </w:rPr>
        <w:t xml:space="preserve"> </w:t>
      </w:r>
      <w:r w:rsidRPr="00AE2B32">
        <w:rPr>
          <w:rFonts w:ascii="Book Antiqua" w:hAnsi="Book Antiqua"/>
          <w:b/>
          <w:bCs/>
        </w:rPr>
        <w:t>L-Editor</w:t>
      </w:r>
      <w:r w:rsidRPr="00AE2B32">
        <w:rPr>
          <w:rFonts w:ascii="Book Antiqua" w:eastAsia="宋体" w:hAnsi="Book Antiqua"/>
          <w:b/>
          <w:bCs/>
          <w:lang w:eastAsia="zh-CN"/>
        </w:rPr>
        <w:t>:</w:t>
      </w:r>
      <w:r w:rsidR="006D232F">
        <w:rPr>
          <w:rFonts w:ascii="Book Antiqua" w:hAnsi="Book Antiqua"/>
          <w:b/>
          <w:bCs/>
        </w:rPr>
        <w:t xml:space="preserve"> </w:t>
      </w:r>
      <w:r w:rsidRPr="00AE2B32">
        <w:rPr>
          <w:rFonts w:ascii="Book Antiqua" w:hAnsi="Book Antiqua"/>
          <w:b/>
          <w:bCs/>
        </w:rPr>
        <w:t xml:space="preserve"> E-Editor</w:t>
      </w:r>
      <w:r w:rsidRPr="00AE2B32">
        <w:rPr>
          <w:rFonts w:ascii="Book Antiqua" w:eastAsia="宋体" w:hAnsi="Book Antiqua"/>
          <w:b/>
          <w:bCs/>
          <w:lang w:eastAsia="zh-CN"/>
        </w:rPr>
        <w:t>:</w:t>
      </w:r>
    </w:p>
    <w:p w14:paraId="35D0CD4C" w14:textId="0E934131" w:rsidR="003F4C91" w:rsidRPr="006D1E0D" w:rsidRDefault="006D1E0D" w:rsidP="008D0A08">
      <w:pPr>
        <w:spacing w:line="360" w:lineRule="auto"/>
        <w:jc w:val="both"/>
        <w:rPr>
          <w:rFonts w:ascii="Book Antiqua" w:eastAsia="宋体" w:hAnsi="Book Antiqua" w:cs="Arial"/>
          <w:lang w:eastAsia="zh-CN"/>
        </w:rPr>
      </w:pPr>
      <w:r>
        <w:rPr>
          <w:rFonts w:ascii="Book Antiqua" w:eastAsia="宋体" w:hAnsi="Book Antiqua" w:hint="eastAsia"/>
          <w:lang w:eastAsia="zh-CN"/>
        </w:rPr>
        <w:t xml:space="preserve"> </w:t>
      </w:r>
    </w:p>
    <w:p w14:paraId="22C1C563" w14:textId="77777777" w:rsidR="003F4C91" w:rsidRPr="008D0A08" w:rsidRDefault="003F4C91" w:rsidP="008D0A08">
      <w:pPr>
        <w:spacing w:line="360" w:lineRule="auto"/>
        <w:jc w:val="both"/>
        <w:rPr>
          <w:rFonts w:ascii="Book Antiqua" w:hAnsi="Book Antiqua" w:cs="Arial"/>
        </w:rPr>
      </w:pPr>
    </w:p>
    <w:p w14:paraId="7EBE1BF0" w14:textId="77777777" w:rsidR="003F4C91" w:rsidRPr="008D0A08" w:rsidRDefault="003F4C91" w:rsidP="008D0A08">
      <w:pPr>
        <w:spacing w:line="360" w:lineRule="auto"/>
        <w:jc w:val="both"/>
        <w:rPr>
          <w:rFonts w:ascii="Book Antiqua" w:hAnsi="Book Antiqua" w:cs="Arial"/>
        </w:rPr>
      </w:pPr>
    </w:p>
    <w:p w14:paraId="145169CF" w14:textId="77777777" w:rsidR="006D1E0D" w:rsidRDefault="006D1E0D" w:rsidP="008D0A08">
      <w:pPr>
        <w:spacing w:line="360" w:lineRule="auto"/>
        <w:jc w:val="both"/>
        <w:rPr>
          <w:rFonts w:ascii="Book Antiqua" w:hAnsi="Book Antiqua" w:cs="Arial"/>
        </w:rPr>
        <w:sectPr w:rsidR="006D1E0D" w:rsidSect="00C86A5F">
          <w:pgSz w:w="12240" w:h="15840"/>
          <w:pgMar w:top="1440" w:right="1800" w:bottom="1440" w:left="1800" w:header="720" w:footer="720" w:gutter="0"/>
          <w:cols w:space="720"/>
          <w:docGrid w:linePitch="360"/>
        </w:sectPr>
      </w:pPr>
    </w:p>
    <w:tbl>
      <w:tblPr>
        <w:tblStyle w:val="TableGrid"/>
        <w:tblpPr w:leftFromText="180" w:rightFromText="180" w:vertAnchor="page" w:horzAnchor="page" w:tblpX="1453" w:tblpY="1441"/>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3624"/>
        <w:gridCol w:w="1980"/>
        <w:gridCol w:w="1890"/>
        <w:gridCol w:w="1260"/>
      </w:tblGrid>
      <w:tr w:rsidR="006D1E0D" w:rsidRPr="008D0A08" w14:paraId="7692F366" w14:textId="77777777" w:rsidTr="00D752DB">
        <w:tc>
          <w:tcPr>
            <w:tcW w:w="8754" w:type="dxa"/>
            <w:gridSpan w:val="4"/>
            <w:tcBorders>
              <w:bottom w:val="single" w:sz="4" w:space="0" w:color="auto"/>
            </w:tcBorders>
            <w:vAlign w:val="center"/>
          </w:tcPr>
          <w:p w14:paraId="6979893E" w14:textId="084AA386" w:rsidR="006D1E0D" w:rsidRPr="008D0A08" w:rsidRDefault="006D1E0D" w:rsidP="00D752DB">
            <w:pPr>
              <w:spacing w:line="360" w:lineRule="auto"/>
              <w:jc w:val="both"/>
              <w:rPr>
                <w:rFonts w:ascii="Book Antiqua" w:hAnsi="Book Antiqua" w:cs="Arial"/>
                <w:b/>
              </w:rPr>
            </w:pPr>
            <w:r>
              <w:rPr>
                <w:rFonts w:ascii="Book Antiqua" w:hAnsi="Book Antiqua" w:cs="Arial"/>
                <w:b/>
              </w:rPr>
              <w:lastRenderedPageBreak/>
              <w:t>Table 1</w:t>
            </w:r>
            <w:r w:rsidRPr="008D0A08">
              <w:rPr>
                <w:rFonts w:ascii="Book Antiqua" w:hAnsi="Book Antiqua" w:cs="Arial"/>
                <w:b/>
              </w:rPr>
              <w:t xml:space="preserve"> Demographics and clinical characteristics</w:t>
            </w:r>
          </w:p>
        </w:tc>
      </w:tr>
      <w:tr w:rsidR="006D1E0D" w:rsidRPr="008D0A08" w14:paraId="14C1BB75" w14:textId="77777777" w:rsidTr="00D752DB">
        <w:tc>
          <w:tcPr>
            <w:tcW w:w="3624" w:type="dxa"/>
            <w:tcBorders>
              <w:top w:val="single" w:sz="4" w:space="0" w:color="auto"/>
              <w:bottom w:val="single" w:sz="4" w:space="0" w:color="auto"/>
              <w:right w:val="nil"/>
            </w:tcBorders>
            <w:vAlign w:val="center"/>
          </w:tcPr>
          <w:p w14:paraId="7E909520" w14:textId="77777777" w:rsidR="006D1E0D" w:rsidRPr="008D0A08" w:rsidRDefault="006D1E0D" w:rsidP="00D752DB">
            <w:pPr>
              <w:spacing w:line="360" w:lineRule="auto"/>
              <w:jc w:val="both"/>
              <w:rPr>
                <w:rFonts w:ascii="Book Antiqua" w:hAnsi="Book Antiqua" w:cs="Arial"/>
              </w:rPr>
            </w:pPr>
          </w:p>
        </w:tc>
        <w:tc>
          <w:tcPr>
            <w:tcW w:w="1980" w:type="dxa"/>
            <w:tcBorders>
              <w:top w:val="single" w:sz="4" w:space="0" w:color="auto"/>
              <w:left w:val="nil"/>
              <w:bottom w:val="single" w:sz="4" w:space="0" w:color="auto"/>
              <w:right w:val="nil"/>
            </w:tcBorders>
            <w:vAlign w:val="center"/>
          </w:tcPr>
          <w:p w14:paraId="0BB5DD3F"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b/>
                <w:bCs/>
              </w:rPr>
              <w:t>Sub-maximally dilated</w:t>
            </w:r>
          </w:p>
        </w:tc>
        <w:tc>
          <w:tcPr>
            <w:tcW w:w="1890" w:type="dxa"/>
            <w:tcBorders>
              <w:top w:val="single" w:sz="4" w:space="0" w:color="auto"/>
              <w:left w:val="nil"/>
              <w:bottom w:val="single" w:sz="4" w:space="0" w:color="auto"/>
              <w:right w:val="nil"/>
            </w:tcBorders>
            <w:vAlign w:val="center"/>
          </w:tcPr>
          <w:p w14:paraId="5AF56DA9"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b/>
                <w:bCs/>
              </w:rPr>
              <w:t>Maximally dilated</w:t>
            </w:r>
          </w:p>
        </w:tc>
        <w:tc>
          <w:tcPr>
            <w:tcW w:w="1260" w:type="dxa"/>
            <w:tcBorders>
              <w:top w:val="single" w:sz="4" w:space="0" w:color="auto"/>
              <w:left w:val="nil"/>
              <w:bottom w:val="single" w:sz="4" w:space="0" w:color="auto"/>
            </w:tcBorders>
            <w:vAlign w:val="center"/>
          </w:tcPr>
          <w:p w14:paraId="147CD9F1" w14:textId="12860654" w:rsidR="006D1E0D" w:rsidRPr="008D0A08" w:rsidRDefault="006D1E0D" w:rsidP="00D752DB">
            <w:pPr>
              <w:spacing w:line="360" w:lineRule="auto"/>
              <w:jc w:val="both"/>
              <w:rPr>
                <w:rFonts w:ascii="Book Antiqua" w:hAnsi="Book Antiqua" w:cs="Arial"/>
              </w:rPr>
            </w:pPr>
            <w:r w:rsidRPr="006D1E0D">
              <w:rPr>
                <w:rFonts w:ascii="Book Antiqua" w:hAnsi="Book Antiqua" w:cs="Arial"/>
                <w:b/>
                <w:bCs/>
                <w:i/>
              </w:rPr>
              <w:t>P</w:t>
            </w:r>
            <w:r>
              <w:rPr>
                <w:rFonts w:ascii="Book Antiqua" w:eastAsia="宋体" w:hAnsi="Book Antiqua" w:cs="Arial" w:hint="eastAsia"/>
                <w:b/>
                <w:bCs/>
                <w:lang w:eastAsia="zh-CN"/>
              </w:rPr>
              <w:t xml:space="preserve"> </w:t>
            </w:r>
            <w:r w:rsidRPr="008D0A08">
              <w:rPr>
                <w:rFonts w:ascii="Book Antiqua" w:hAnsi="Book Antiqua" w:cs="Arial"/>
                <w:b/>
                <w:bCs/>
              </w:rPr>
              <w:t>value</w:t>
            </w:r>
          </w:p>
        </w:tc>
      </w:tr>
      <w:tr w:rsidR="006D1E0D" w:rsidRPr="008D0A08" w14:paraId="4C908CBA" w14:textId="77777777" w:rsidTr="00D752DB">
        <w:tc>
          <w:tcPr>
            <w:tcW w:w="3624" w:type="dxa"/>
            <w:tcBorders>
              <w:top w:val="single" w:sz="4" w:space="0" w:color="auto"/>
              <w:bottom w:val="nil"/>
              <w:right w:val="nil"/>
            </w:tcBorders>
            <w:vAlign w:val="center"/>
          </w:tcPr>
          <w:p w14:paraId="6741473A"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Total patients</w:t>
            </w:r>
          </w:p>
        </w:tc>
        <w:tc>
          <w:tcPr>
            <w:tcW w:w="1980" w:type="dxa"/>
            <w:tcBorders>
              <w:top w:val="single" w:sz="4" w:space="0" w:color="auto"/>
              <w:left w:val="nil"/>
              <w:bottom w:val="nil"/>
              <w:right w:val="nil"/>
            </w:tcBorders>
            <w:vAlign w:val="center"/>
          </w:tcPr>
          <w:p w14:paraId="4E566019"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43</w:t>
            </w:r>
          </w:p>
        </w:tc>
        <w:tc>
          <w:tcPr>
            <w:tcW w:w="1890" w:type="dxa"/>
            <w:tcBorders>
              <w:top w:val="single" w:sz="4" w:space="0" w:color="auto"/>
              <w:left w:val="nil"/>
              <w:bottom w:val="nil"/>
              <w:right w:val="nil"/>
            </w:tcBorders>
            <w:vAlign w:val="center"/>
          </w:tcPr>
          <w:p w14:paraId="62B18BBA"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230</w:t>
            </w:r>
          </w:p>
        </w:tc>
        <w:tc>
          <w:tcPr>
            <w:tcW w:w="1260" w:type="dxa"/>
            <w:tcBorders>
              <w:top w:val="single" w:sz="4" w:space="0" w:color="auto"/>
              <w:left w:val="nil"/>
              <w:bottom w:val="nil"/>
            </w:tcBorders>
            <w:vAlign w:val="center"/>
          </w:tcPr>
          <w:p w14:paraId="504A46F2"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NA</w:t>
            </w:r>
          </w:p>
        </w:tc>
      </w:tr>
      <w:tr w:rsidR="006D1E0D" w:rsidRPr="008D0A08" w14:paraId="112E7878" w14:textId="77777777" w:rsidTr="00D752DB">
        <w:tc>
          <w:tcPr>
            <w:tcW w:w="3624" w:type="dxa"/>
            <w:tcBorders>
              <w:bottom w:val="nil"/>
              <w:right w:val="nil"/>
            </w:tcBorders>
            <w:vAlign w:val="center"/>
          </w:tcPr>
          <w:p w14:paraId="60739B1A"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Male</w:t>
            </w:r>
          </w:p>
        </w:tc>
        <w:tc>
          <w:tcPr>
            <w:tcW w:w="1980" w:type="dxa"/>
            <w:tcBorders>
              <w:left w:val="nil"/>
              <w:bottom w:val="nil"/>
              <w:right w:val="nil"/>
            </w:tcBorders>
            <w:vAlign w:val="center"/>
          </w:tcPr>
          <w:p w14:paraId="4E1224FD"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23</w:t>
            </w:r>
          </w:p>
        </w:tc>
        <w:tc>
          <w:tcPr>
            <w:tcW w:w="1890" w:type="dxa"/>
            <w:tcBorders>
              <w:left w:val="nil"/>
              <w:bottom w:val="nil"/>
              <w:right w:val="nil"/>
            </w:tcBorders>
            <w:vAlign w:val="center"/>
          </w:tcPr>
          <w:p w14:paraId="2921D102"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150</w:t>
            </w:r>
          </w:p>
        </w:tc>
        <w:tc>
          <w:tcPr>
            <w:tcW w:w="1260" w:type="dxa"/>
            <w:vMerge w:val="restart"/>
            <w:tcBorders>
              <w:left w:val="nil"/>
              <w:bottom w:val="nil"/>
            </w:tcBorders>
            <w:vAlign w:val="center"/>
          </w:tcPr>
          <w:p w14:paraId="115BFE10"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0.17</w:t>
            </w:r>
          </w:p>
        </w:tc>
      </w:tr>
      <w:tr w:rsidR="006D1E0D" w:rsidRPr="008D0A08" w14:paraId="67C85513" w14:textId="77777777" w:rsidTr="00D752DB">
        <w:tc>
          <w:tcPr>
            <w:tcW w:w="3624" w:type="dxa"/>
            <w:tcBorders>
              <w:bottom w:val="nil"/>
              <w:right w:val="nil"/>
            </w:tcBorders>
            <w:vAlign w:val="center"/>
          </w:tcPr>
          <w:p w14:paraId="3ED0401A"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Female</w:t>
            </w:r>
          </w:p>
        </w:tc>
        <w:tc>
          <w:tcPr>
            <w:tcW w:w="1980" w:type="dxa"/>
            <w:tcBorders>
              <w:left w:val="nil"/>
              <w:bottom w:val="nil"/>
              <w:right w:val="nil"/>
            </w:tcBorders>
            <w:vAlign w:val="center"/>
          </w:tcPr>
          <w:p w14:paraId="5637FB3D"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20</w:t>
            </w:r>
          </w:p>
        </w:tc>
        <w:tc>
          <w:tcPr>
            <w:tcW w:w="1890" w:type="dxa"/>
            <w:tcBorders>
              <w:left w:val="nil"/>
              <w:bottom w:val="nil"/>
              <w:right w:val="nil"/>
            </w:tcBorders>
            <w:vAlign w:val="center"/>
          </w:tcPr>
          <w:p w14:paraId="3CAE2C2D"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80</w:t>
            </w:r>
          </w:p>
        </w:tc>
        <w:tc>
          <w:tcPr>
            <w:tcW w:w="1260" w:type="dxa"/>
            <w:vMerge/>
            <w:tcBorders>
              <w:left w:val="nil"/>
              <w:bottom w:val="nil"/>
            </w:tcBorders>
            <w:vAlign w:val="center"/>
          </w:tcPr>
          <w:p w14:paraId="00E18C19" w14:textId="77777777" w:rsidR="006D1E0D" w:rsidRPr="008D0A08" w:rsidRDefault="006D1E0D" w:rsidP="00D752DB">
            <w:pPr>
              <w:spacing w:line="360" w:lineRule="auto"/>
              <w:jc w:val="both"/>
              <w:rPr>
                <w:rFonts w:ascii="Book Antiqua" w:hAnsi="Book Antiqua" w:cs="Arial"/>
              </w:rPr>
            </w:pPr>
          </w:p>
        </w:tc>
      </w:tr>
      <w:tr w:rsidR="006D1E0D" w:rsidRPr="008D0A08" w14:paraId="11D4EB07" w14:textId="77777777" w:rsidTr="00D752DB">
        <w:tc>
          <w:tcPr>
            <w:tcW w:w="3624" w:type="dxa"/>
            <w:tcBorders>
              <w:bottom w:val="nil"/>
              <w:right w:val="nil"/>
            </w:tcBorders>
            <w:vAlign w:val="center"/>
          </w:tcPr>
          <w:p w14:paraId="0B74AA60" w14:textId="3919BC82" w:rsidR="006D1E0D" w:rsidRPr="008D0A08" w:rsidRDefault="006D1E0D" w:rsidP="00D752DB">
            <w:pPr>
              <w:spacing w:line="360" w:lineRule="auto"/>
              <w:jc w:val="both"/>
              <w:rPr>
                <w:rFonts w:ascii="Book Antiqua" w:hAnsi="Book Antiqua" w:cs="Arial"/>
              </w:rPr>
            </w:pPr>
            <w:r w:rsidRPr="008D0A08">
              <w:rPr>
                <w:rFonts w:ascii="Book Antiqua" w:hAnsi="Book Antiqua" w:cs="Arial"/>
              </w:rPr>
              <w:t>Mean Age (</w:t>
            </w:r>
            <w:proofErr w:type="spellStart"/>
            <w:r>
              <w:rPr>
                <w:rFonts w:ascii="Book Antiqua" w:eastAsia="宋体" w:hAnsi="Book Antiqua" w:cs="Arial" w:hint="eastAsia"/>
                <w:lang w:eastAsia="zh-CN"/>
              </w:rPr>
              <w:t>yr</w:t>
            </w:r>
            <w:proofErr w:type="spellEnd"/>
            <w:r w:rsidRPr="008D0A08">
              <w:rPr>
                <w:rFonts w:ascii="Book Antiqua" w:hAnsi="Book Antiqua" w:cs="Arial"/>
              </w:rPr>
              <w:t>)</w:t>
            </w:r>
          </w:p>
        </w:tc>
        <w:tc>
          <w:tcPr>
            <w:tcW w:w="1980" w:type="dxa"/>
            <w:tcBorders>
              <w:left w:val="nil"/>
              <w:bottom w:val="nil"/>
              <w:right w:val="nil"/>
            </w:tcBorders>
            <w:vAlign w:val="center"/>
          </w:tcPr>
          <w:p w14:paraId="15B8D61B"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56.5 ± 2.3</w:t>
            </w:r>
          </w:p>
          <w:p w14:paraId="6EFA8A3F"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(Range 10-83)</w:t>
            </w:r>
          </w:p>
        </w:tc>
        <w:tc>
          <w:tcPr>
            <w:tcW w:w="1890" w:type="dxa"/>
            <w:tcBorders>
              <w:left w:val="nil"/>
              <w:bottom w:val="nil"/>
              <w:right w:val="nil"/>
            </w:tcBorders>
            <w:vAlign w:val="center"/>
          </w:tcPr>
          <w:p w14:paraId="1C9674D2"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54.5 ± 0.7</w:t>
            </w:r>
          </w:p>
          <w:p w14:paraId="530C5F59"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(Range 20-81)</w:t>
            </w:r>
          </w:p>
        </w:tc>
        <w:tc>
          <w:tcPr>
            <w:tcW w:w="1260" w:type="dxa"/>
            <w:tcBorders>
              <w:left w:val="nil"/>
              <w:bottom w:val="nil"/>
            </w:tcBorders>
            <w:vAlign w:val="center"/>
          </w:tcPr>
          <w:p w14:paraId="1CB2C8FA"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0.29</w:t>
            </w:r>
          </w:p>
        </w:tc>
      </w:tr>
      <w:tr w:rsidR="006D1E0D" w:rsidRPr="008D0A08" w14:paraId="117FCA44" w14:textId="77777777" w:rsidTr="00D752DB">
        <w:tc>
          <w:tcPr>
            <w:tcW w:w="3624" w:type="dxa"/>
            <w:tcBorders>
              <w:bottom w:val="nil"/>
              <w:right w:val="nil"/>
            </w:tcBorders>
            <w:vAlign w:val="center"/>
          </w:tcPr>
          <w:p w14:paraId="3049149B"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Mean MELD</w:t>
            </w:r>
          </w:p>
        </w:tc>
        <w:tc>
          <w:tcPr>
            <w:tcW w:w="1980" w:type="dxa"/>
            <w:tcBorders>
              <w:left w:val="nil"/>
              <w:bottom w:val="nil"/>
              <w:right w:val="nil"/>
            </w:tcBorders>
            <w:vAlign w:val="center"/>
          </w:tcPr>
          <w:p w14:paraId="7EA84676"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13.6 ± 0.6</w:t>
            </w:r>
          </w:p>
          <w:p w14:paraId="18A41A00"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(Range 6-25)</w:t>
            </w:r>
          </w:p>
        </w:tc>
        <w:tc>
          <w:tcPr>
            <w:tcW w:w="1890" w:type="dxa"/>
            <w:tcBorders>
              <w:left w:val="nil"/>
              <w:bottom w:val="nil"/>
              <w:right w:val="nil"/>
            </w:tcBorders>
            <w:vAlign w:val="center"/>
          </w:tcPr>
          <w:p w14:paraId="6A863283"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13.5 ± 0.3</w:t>
            </w:r>
          </w:p>
          <w:p w14:paraId="394CB47D"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(Range 6-28)</w:t>
            </w:r>
          </w:p>
        </w:tc>
        <w:tc>
          <w:tcPr>
            <w:tcW w:w="1260" w:type="dxa"/>
            <w:tcBorders>
              <w:left w:val="nil"/>
              <w:bottom w:val="nil"/>
            </w:tcBorders>
            <w:vAlign w:val="center"/>
          </w:tcPr>
          <w:p w14:paraId="4EB504A3"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0.82</w:t>
            </w:r>
          </w:p>
        </w:tc>
      </w:tr>
      <w:tr w:rsidR="006D1E0D" w:rsidRPr="008D0A08" w14:paraId="789576F8" w14:textId="77777777" w:rsidTr="00D752DB">
        <w:tc>
          <w:tcPr>
            <w:tcW w:w="3624" w:type="dxa"/>
            <w:tcBorders>
              <w:bottom w:val="nil"/>
              <w:right w:val="nil"/>
            </w:tcBorders>
            <w:vAlign w:val="center"/>
          </w:tcPr>
          <w:p w14:paraId="6E7F5F81"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Mean Pre-TIPS PSG (mmHg)</w:t>
            </w:r>
          </w:p>
        </w:tc>
        <w:tc>
          <w:tcPr>
            <w:tcW w:w="1980" w:type="dxa"/>
            <w:tcBorders>
              <w:left w:val="nil"/>
              <w:bottom w:val="nil"/>
              <w:right w:val="nil"/>
            </w:tcBorders>
            <w:vAlign w:val="center"/>
          </w:tcPr>
          <w:p w14:paraId="277FB8AC"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19.4 ± 6.8 (Range 8-45)</w:t>
            </w:r>
          </w:p>
        </w:tc>
        <w:tc>
          <w:tcPr>
            <w:tcW w:w="1890" w:type="dxa"/>
            <w:tcBorders>
              <w:left w:val="nil"/>
              <w:bottom w:val="nil"/>
              <w:right w:val="nil"/>
            </w:tcBorders>
            <w:vAlign w:val="center"/>
          </w:tcPr>
          <w:p w14:paraId="69DC6C08"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22.4 ± 7.1 (Range 9-73)</w:t>
            </w:r>
          </w:p>
        </w:tc>
        <w:tc>
          <w:tcPr>
            <w:tcW w:w="1260" w:type="dxa"/>
            <w:tcBorders>
              <w:left w:val="nil"/>
              <w:bottom w:val="nil"/>
            </w:tcBorders>
            <w:vAlign w:val="center"/>
          </w:tcPr>
          <w:p w14:paraId="48296F09"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0.01</w:t>
            </w:r>
          </w:p>
        </w:tc>
      </w:tr>
      <w:tr w:rsidR="006D1E0D" w:rsidRPr="008D0A08" w14:paraId="32385F50" w14:textId="77777777" w:rsidTr="00D752DB">
        <w:tc>
          <w:tcPr>
            <w:tcW w:w="3624" w:type="dxa"/>
            <w:tcBorders>
              <w:bottom w:val="nil"/>
              <w:right w:val="nil"/>
            </w:tcBorders>
            <w:vAlign w:val="center"/>
          </w:tcPr>
          <w:p w14:paraId="19020BF8"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Median Post-TIPS PSG (mmHg)</w:t>
            </w:r>
          </w:p>
        </w:tc>
        <w:tc>
          <w:tcPr>
            <w:tcW w:w="1980" w:type="dxa"/>
            <w:tcBorders>
              <w:left w:val="nil"/>
              <w:bottom w:val="nil"/>
              <w:right w:val="nil"/>
            </w:tcBorders>
            <w:vAlign w:val="center"/>
          </w:tcPr>
          <w:p w14:paraId="7E91F6F1"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8</w:t>
            </w:r>
          </w:p>
          <w:p w14:paraId="40BB7130"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(Range 1-13)</w:t>
            </w:r>
          </w:p>
        </w:tc>
        <w:tc>
          <w:tcPr>
            <w:tcW w:w="1890" w:type="dxa"/>
            <w:tcBorders>
              <w:left w:val="nil"/>
              <w:bottom w:val="nil"/>
              <w:right w:val="nil"/>
            </w:tcBorders>
            <w:vAlign w:val="center"/>
          </w:tcPr>
          <w:p w14:paraId="71F21F04"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8</w:t>
            </w:r>
          </w:p>
          <w:p w14:paraId="709CE1D3"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(Range 2-20)</w:t>
            </w:r>
          </w:p>
        </w:tc>
        <w:tc>
          <w:tcPr>
            <w:tcW w:w="1260" w:type="dxa"/>
            <w:tcBorders>
              <w:left w:val="nil"/>
              <w:bottom w:val="nil"/>
            </w:tcBorders>
            <w:vAlign w:val="center"/>
          </w:tcPr>
          <w:p w14:paraId="4D9041C7"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0.13</w:t>
            </w:r>
          </w:p>
        </w:tc>
      </w:tr>
      <w:tr w:rsidR="006D1E0D" w:rsidRPr="008D0A08" w14:paraId="3E85FDDD" w14:textId="77777777" w:rsidTr="00D752DB">
        <w:tc>
          <w:tcPr>
            <w:tcW w:w="3624" w:type="dxa"/>
            <w:tcBorders>
              <w:bottom w:val="single" w:sz="4" w:space="0" w:color="auto"/>
              <w:right w:val="nil"/>
            </w:tcBorders>
            <w:vAlign w:val="center"/>
          </w:tcPr>
          <w:p w14:paraId="37AD48BE"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Mean Percent Change in PSG (%)</w:t>
            </w:r>
          </w:p>
        </w:tc>
        <w:tc>
          <w:tcPr>
            <w:tcW w:w="1980" w:type="dxa"/>
            <w:tcBorders>
              <w:left w:val="nil"/>
              <w:bottom w:val="single" w:sz="4" w:space="0" w:color="auto"/>
              <w:right w:val="nil"/>
            </w:tcBorders>
            <w:vAlign w:val="center"/>
          </w:tcPr>
          <w:p w14:paraId="0DCC8235"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59.1 ± 15.9 (Range 0-95)</w:t>
            </w:r>
          </w:p>
        </w:tc>
        <w:tc>
          <w:tcPr>
            <w:tcW w:w="1890" w:type="dxa"/>
            <w:tcBorders>
              <w:left w:val="nil"/>
              <w:bottom w:val="single" w:sz="4" w:space="0" w:color="auto"/>
              <w:right w:val="nil"/>
            </w:tcBorders>
            <w:vAlign w:val="center"/>
          </w:tcPr>
          <w:p w14:paraId="79ABF548"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61.0 ± 12.4 (Range 0-89)</w:t>
            </w:r>
          </w:p>
        </w:tc>
        <w:tc>
          <w:tcPr>
            <w:tcW w:w="1260" w:type="dxa"/>
            <w:tcBorders>
              <w:left w:val="nil"/>
              <w:bottom w:val="single" w:sz="4" w:space="0" w:color="auto"/>
            </w:tcBorders>
            <w:vAlign w:val="center"/>
          </w:tcPr>
          <w:p w14:paraId="54EDB6AD" w14:textId="77777777" w:rsidR="006D1E0D" w:rsidRPr="008D0A08" w:rsidRDefault="006D1E0D" w:rsidP="00D752DB">
            <w:pPr>
              <w:spacing w:line="360" w:lineRule="auto"/>
              <w:jc w:val="both"/>
              <w:rPr>
                <w:rFonts w:ascii="Book Antiqua" w:hAnsi="Book Antiqua" w:cs="Arial"/>
              </w:rPr>
            </w:pPr>
            <w:r w:rsidRPr="008D0A08">
              <w:rPr>
                <w:rFonts w:ascii="Book Antiqua" w:hAnsi="Book Antiqua" w:cs="Arial"/>
              </w:rPr>
              <w:t>0.53</w:t>
            </w:r>
          </w:p>
        </w:tc>
      </w:tr>
    </w:tbl>
    <w:p w14:paraId="1F1E0641" w14:textId="14499F16" w:rsidR="00BC54A4" w:rsidRPr="006D1E0D" w:rsidRDefault="0032369C" w:rsidP="008D0A08">
      <w:pPr>
        <w:spacing w:line="360" w:lineRule="auto"/>
        <w:jc w:val="both"/>
        <w:rPr>
          <w:rFonts w:ascii="Book Antiqua" w:eastAsia="宋体" w:hAnsi="Book Antiqua" w:cs="Arial"/>
          <w:lang w:eastAsia="zh-CN"/>
        </w:rPr>
      </w:pPr>
      <w:r w:rsidRPr="008D0A08">
        <w:rPr>
          <w:rFonts w:ascii="Book Antiqua" w:hAnsi="Book Antiqua" w:cs="Arial"/>
        </w:rPr>
        <w:t>MELD</w:t>
      </w:r>
      <w:r w:rsidR="006D1E0D">
        <w:rPr>
          <w:rFonts w:ascii="Book Antiqua" w:eastAsia="宋体" w:hAnsi="Book Antiqua" w:cs="Arial" w:hint="eastAsia"/>
          <w:lang w:eastAsia="zh-CN"/>
        </w:rPr>
        <w:t xml:space="preserve">: </w:t>
      </w:r>
      <w:r w:rsidRPr="008D0A08">
        <w:rPr>
          <w:rFonts w:ascii="Book Antiqua" w:hAnsi="Book Antiqua" w:cs="Arial"/>
        </w:rPr>
        <w:t>Model for</w:t>
      </w:r>
      <w:r w:rsidR="006D1E0D" w:rsidRPr="008D0A08">
        <w:rPr>
          <w:rFonts w:ascii="Book Antiqua" w:hAnsi="Book Antiqua" w:cs="Arial"/>
        </w:rPr>
        <w:t xml:space="preserve"> end-stage liver dis</w:t>
      </w:r>
      <w:r w:rsidRPr="008D0A08">
        <w:rPr>
          <w:rFonts w:ascii="Book Antiqua" w:hAnsi="Book Antiqua" w:cs="Arial"/>
        </w:rPr>
        <w:t>ease;</w:t>
      </w:r>
      <w:r w:rsidR="00F87A55" w:rsidRPr="008D0A08">
        <w:rPr>
          <w:rFonts w:ascii="Book Antiqua" w:hAnsi="Book Antiqua" w:cs="Arial"/>
        </w:rPr>
        <w:t xml:space="preserve"> TIPS</w:t>
      </w:r>
      <w:r w:rsidR="006D1E0D">
        <w:rPr>
          <w:rFonts w:ascii="Book Antiqua" w:eastAsia="宋体" w:hAnsi="Book Antiqua" w:cs="Arial" w:hint="eastAsia"/>
          <w:lang w:eastAsia="zh-CN"/>
        </w:rPr>
        <w:t>:</w:t>
      </w:r>
      <w:r w:rsidR="00F87A55" w:rsidRPr="008D0A08">
        <w:rPr>
          <w:rFonts w:ascii="Book Antiqua" w:hAnsi="Book Antiqua" w:cs="Arial"/>
        </w:rPr>
        <w:t xml:space="preserve"> </w:t>
      </w:r>
      <w:proofErr w:type="spellStart"/>
      <w:r w:rsidR="006D1E0D" w:rsidRPr="008D0A08">
        <w:rPr>
          <w:rFonts w:ascii="Book Antiqua" w:hAnsi="Book Antiqua" w:cs="Arial"/>
        </w:rPr>
        <w:t>Transjugular</w:t>
      </w:r>
      <w:proofErr w:type="spellEnd"/>
      <w:r w:rsidR="006D1E0D" w:rsidRPr="008D0A08">
        <w:rPr>
          <w:rFonts w:ascii="Book Antiqua" w:hAnsi="Book Antiqua" w:cs="Arial"/>
        </w:rPr>
        <w:t xml:space="preserve"> </w:t>
      </w:r>
      <w:r w:rsidRPr="008D0A08">
        <w:rPr>
          <w:rFonts w:ascii="Book Antiqua" w:hAnsi="Book Antiqua" w:cs="Arial"/>
        </w:rPr>
        <w:t xml:space="preserve">intrahepatic </w:t>
      </w:r>
      <w:proofErr w:type="spellStart"/>
      <w:r w:rsidRPr="008D0A08">
        <w:rPr>
          <w:rFonts w:ascii="Book Antiqua" w:hAnsi="Book Antiqua" w:cs="Arial"/>
        </w:rPr>
        <w:t>portosystemic</w:t>
      </w:r>
      <w:proofErr w:type="spellEnd"/>
      <w:r w:rsidRPr="008D0A08">
        <w:rPr>
          <w:rFonts w:ascii="Book Antiqua" w:hAnsi="Book Antiqua" w:cs="Arial"/>
        </w:rPr>
        <w:t xml:space="preserve"> shunt;</w:t>
      </w:r>
      <w:r w:rsidR="00F87A55" w:rsidRPr="008D0A08">
        <w:rPr>
          <w:rFonts w:ascii="Book Antiqua" w:hAnsi="Book Antiqua" w:cs="Arial"/>
        </w:rPr>
        <w:t xml:space="preserve"> PSG</w:t>
      </w:r>
      <w:r w:rsidR="006D1E0D">
        <w:rPr>
          <w:rFonts w:ascii="Book Antiqua" w:eastAsia="宋体" w:hAnsi="Book Antiqua" w:cs="Arial" w:hint="eastAsia"/>
          <w:lang w:eastAsia="zh-CN"/>
        </w:rPr>
        <w:t>:</w:t>
      </w:r>
      <w:r w:rsidR="00F87A55" w:rsidRPr="008D0A08">
        <w:rPr>
          <w:rFonts w:ascii="Book Antiqua" w:hAnsi="Book Antiqua" w:cs="Arial"/>
        </w:rPr>
        <w:t xml:space="preserve"> </w:t>
      </w:r>
      <w:proofErr w:type="spellStart"/>
      <w:r w:rsidR="006D1E0D" w:rsidRPr="008D0A08">
        <w:rPr>
          <w:rFonts w:ascii="Book Antiqua" w:hAnsi="Book Antiqua" w:cs="Arial"/>
        </w:rPr>
        <w:t>Portosystemic</w:t>
      </w:r>
      <w:proofErr w:type="spellEnd"/>
      <w:r w:rsidR="006D1E0D" w:rsidRPr="008D0A08">
        <w:rPr>
          <w:rFonts w:ascii="Book Antiqua" w:hAnsi="Book Antiqua" w:cs="Arial"/>
        </w:rPr>
        <w:t xml:space="preserve"> </w:t>
      </w:r>
      <w:r w:rsidRPr="008D0A08">
        <w:rPr>
          <w:rFonts w:ascii="Book Antiqua" w:hAnsi="Book Antiqua" w:cs="Arial"/>
        </w:rPr>
        <w:t>gradient</w:t>
      </w:r>
      <w:r w:rsidR="006D1E0D">
        <w:rPr>
          <w:rFonts w:ascii="Book Antiqua" w:eastAsia="宋体" w:hAnsi="Book Antiqua" w:cs="Arial" w:hint="eastAsia"/>
          <w:lang w:eastAsia="zh-CN"/>
        </w:rPr>
        <w:t>.</w:t>
      </w:r>
    </w:p>
    <w:p w14:paraId="5DE2A9BA" w14:textId="77777777" w:rsidR="00476110" w:rsidRPr="008D0A08" w:rsidRDefault="00476110" w:rsidP="008D0A08">
      <w:pPr>
        <w:spacing w:line="360" w:lineRule="auto"/>
        <w:jc w:val="both"/>
        <w:rPr>
          <w:rFonts w:ascii="Book Antiqua" w:hAnsi="Book Antiqua" w:cs="Arial"/>
        </w:rPr>
      </w:pPr>
      <w:r w:rsidRPr="008D0A08">
        <w:rPr>
          <w:rFonts w:ascii="Book Antiqua" w:hAnsi="Book Antiqua" w:cs="Arial"/>
        </w:rPr>
        <w:br w:type="page"/>
      </w:r>
    </w:p>
    <w:tbl>
      <w:tblPr>
        <w:tblStyle w:val="TableGrid"/>
        <w:tblpPr w:leftFromText="180" w:rightFromText="180" w:vertAnchor="page" w:horzAnchor="margin" w:tblpY="1092"/>
        <w:tblW w:w="838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3168"/>
        <w:gridCol w:w="2250"/>
        <w:gridCol w:w="1890"/>
        <w:gridCol w:w="1080"/>
      </w:tblGrid>
      <w:tr w:rsidR="00476110" w:rsidRPr="008D0A08" w14:paraId="2C6F2D68" w14:textId="77777777" w:rsidTr="006D1E0D">
        <w:tc>
          <w:tcPr>
            <w:tcW w:w="8388" w:type="dxa"/>
            <w:gridSpan w:val="4"/>
            <w:tcBorders>
              <w:bottom w:val="single" w:sz="4" w:space="0" w:color="auto"/>
            </w:tcBorders>
            <w:vAlign w:val="center"/>
          </w:tcPr>
          <w:p w14:paraId="5B9634A9" w14:textId="76D64CC6" w:rsidR="00476110" w:rsidRPr="008D0A08" w:rsidRDefault="00476110" w:rsidP="006D1E0D">
            <w:pPr>
              <w:spacing w:line="360" w:lineRule="auto"/>
              <w:jc w:val="both"/>
              <w:rPr>
                <w:rFonts w:ascii="Book Antiqua" w:hAnsi="Book Antiqua" w:cs="Arial"/>
                <w:b/>
                <w:bCs/>
                <w:color w:val="000000" w:themeColor="text1"/>
                <w:kern w:val="24"/>
              </w:rPr>
            </w:pPr>
            <w:r w:rsidRPr="008D0A08">
              <w:rPr>
                <w:rFonts w:ascii="Book Antiqua" w:hAnsi="Book Antiqua" w:cs="Arial"/>
                <w:b/>
                <w:bCs/>
                <w:color w:val="000000" w:themeColor="text1"/>
                <w:kern w:val="24"/>
              </w:rPr>
              <w:lastRenderedPageBreak/>
              <w:t>Table 2</w:t>
            </w:r>
            <w:r w:rsidR="006D1E0D">
              <w:rPr>
                <w:rFonts w:ascii="Book Antiqua" w:eastAsia="宋体" w:hAnsi="Book Antiqua" w:cs="Arial" w:hint="eastAsia"/>
                <w:b/>
                <w:bCs/>
                <w:color w:val="000000" w:themeColor="text1"/>
                <w:kern w:val="24"/>
                <w:lang w:eastAsia="zh-CN"/>
              </w:rPr>
              <w:t xml:space="preserve"> </w:t>
            </w:r>
            <w:r w:rsidRPr="008D0A08">
              <w:rPr>
                <w:rFonts w:ascii="Book Antiqua" w:hAnsi="Book Antiqua" w:cs="Arial"/>
                <w:b/>
                <w:bCs/>
                <w:color w:val="000000" w:themeColor="text1"/>
                <w:kern w:val="24"/>
              </w:rPr>
              <w:t>Mean pre-</w:t>
            </w:r>
            <w:proofErr w:type="spellStart"/>
            <w:r w:rsidR="006D1E0D" w:rsidRPr="006D1E0D">
              <w:rPr>
                <w:rFonts w:ascii="Book Antiqua" w:hAnsi="Book Antiqua" w:cs="Arial"/>
                <w:b/>
                <w:bCs/>
                <w:color w:val="000000" w:themeColor="text1"/>
                <w:kern w:val="24"/>
              </w:rPr>
              <w:t>transjugular</w:t>
            </w:r>
            <w:proofErr w:type="spellEnd"/>
            <w:r w:rsidR="006D1E0D" w:rsidRPr="006D1E0D">
              <w:rPr>
                <w:rFonts w:ascii="Book Antiqua" w:hAnsi="Book Antiqua" w:cs="Arial"/>
                <w:b/>
                <w:bCs/>
                <w:color w:val="000000" w:themeColor="text1"/>
                <w:kern w:val="24"/>
              </w:rPr>
              <w:t xml:space="preserve"> intrahepatic </w:t>
            </w:r>
            <w:proofErr w:type="spellStart"/>
            <w:r w:rsidR="006D1E0D" w:rsidRPr="006D1E0D">
              <w:rPr>
                <w:rFonts w:ascii="Book Antiqua" w:hAnsi="Book Antiqua" w:cs="Arial"/>
                <w:b/>
                <w:bCs/>
                <w:color w:val="000000" w:themeColor="text1"/>
                <w:kern w:val="24"/>
              </w:rPr>
              <w:t>portosystemic</w:t>
            </w:r>
            <w:proofErr w:type="spellEnd"/>
            <w:r w:rsidR="006D1E0D" w:rsidRPr="006D1E0D">
              <w:rPr>
                <w:rFonts w:ascii="Book Antiqua" w:hAnsi="Book Antiqua" w:cs="Arial"/>
                <w:b/>
                <w:bCs/>
                <w:color w:val="000000" w:themeColor="text1"/>
                <w:kern w:val="24"/>
              </w:rPr>
              <w:t xml:space="preserve"> shunt </w:t>
            </w:r>
            <w:proofErr w:type="spellStart"/>
            <w:r w:rsidR="006D1E0D" w:rsidRPr="006D1E0D">
              <w:rPr>
                <w:rFonts w:ascii="Book Antiqua" w:hAnsi="Book Antiqua" w:cs="Arial"/>
                <w:b/>
                <w:bCs/>
                <w:color w:val="000000" w:themeColor="text1"/>
                <w:kern w:val="24"/>
              </w:rPr>
              <w:t>portosystemic</w:t>
            </w:r>
            <w:proofErr w:type="spellEnd"/>
            <w:r w:rsidR="006D1E0D" w:rsidRPr="006D1E0D">
              <w:rPr>
                <w:rFonts w:ascii="Book Antiqua" w:hAnsi="Book Antiqua" w:cs="Arial"/>
                <w:b/>
                <w:bCs/>
                <w:color w:val="000000" w:themeColor="text1"/>
                <w:kern w:val="24"/>
              </w:rPr>
              <w:t xml:space="preserve"> gradient </w:t>
            </w:r>
            <w:r w:rsidRPr="008D0A08">
              <w:rPr>
                <w:rFonts w:ascii="Book Antiqua" w:hAnsi="Book Antiqua" w:cs="Arial"/>
                <w:b/>
                <w:bCs/>
                <w:color w:val="000000" w:themeColor="text1"/>
                <w:kern w:val="24"/>
              </w:rPr>
              <w:t>and percent change in</w:t>
            </w:r>
            <w:r w:rsidR="006D232F">
              <w:rPr>
                <w:rFonts w:ascii="Book Antiqua" w:hAnsi="Book Antiqua" w:cs="Arial"/>
                <w:b/>
                <w:bCs/>
                <w:color w:val="000000" w:themeColor="text1"/>
                <w:kern w:val="24"/>
              </w:rPr>
              <w:t xml:space="preserve"> </w:t>
            </w:r>
            <w:proofErr w:type="spellStart"/>
            <w:r w:rsidR="006D1E0D" w:rsidRPr="006D1E0D">
              <w:rPr>
                <w:rFonts w:ascii="Book Antiqua" w:hAnsi="Book Antiqua" w:cs="Arial"/>
                <w:b/>
                <w:bCs/>
                <w:color w:val="000000" w:themeColor="text1"/>
                <w:kern w:val="24"/>
              </w:rPr>
              <w:t>portosystemic</w:t>
            </w:r>
            <w:proofErr w:type="spellEnd"/>
            <w:r w:rsidR="006D1E0D" w:rsidRPr="006D1E0D">
              <w:rPr>
                <w:rFonts w:ascii="Book Antiqua" w:hAnsi="Book Antiqua" w:cs="Arial"/>
                <w:b/>
                <w:bCs/>
                <w:color w:val="000000" w:themeColor="text1"/>
                <w:kern w:val="24"/>
              </w:rPr>
              <w:t xml:space="preserve"> gradient </w:t>
            </w:r>
            <w:r w:rsidRPr="008D0A08">
              <w:rPr>
                <w:rFonts w:ascii="Book Antiqua" w:hAnsi="Book Antiqua" w:cs="Arial"/>
                <w:b/>
                <w:bCs/>
                <w:color w:val="000000" w:themeColor="text1"/>
                <w:kern w:val="24"/>
              </w:rPr>
              <w:t>in patients with post-TIPS</w:t>
            </w:r>
            <w:r w:rsidR="006D232F">
              <w:rPr>
                <w:rFonts w:ascii="Book Antiqua" w:hAnsi="Book Antiqua" w:cs="Arial"/>
                <w:b/>
                <w:bCs/>
                <w:color w:val="000000" w:themeColor="text1"/>
                <w:kern w:val="24"/>
              </w:rPr>
              <w:t xml:space="preserve"> </w:t>
            </w:r>
            <w:proofErr w:type="spellStart"/>
            <w:r w:rsidR="006D1E0D" w:rsidRPr="006D1E0D">
              <w:rPr>
                <w:rFonts w:ascii="Book Antiqua" w:hAnsi="Book Antiqua" w:cs="Arial"/>
                <w:b/>
                <w:bCs/>
                <w:color w:val="000000" w:themeColor="text1"/>
                <w:kern w:val="24"/>
              </w:rPr>
              <w:t>portosystemic</w:t>
            </w:r>
            <w:proofErr w:type="spellEnd"/>
            <w:r w:rsidR="006D1E0D" w:rsidRPr="006D1E0D">
              <w:rPr>
                <w:rFonts w:ascii="Book Antiqua" w:hAnsi="Book Antiqua" w:cs="Arial"/>
                <w:b/>
                <w:bCs/>
                <w:color w:val="000000" w:themeColor="text1"/>
                <w:kern w:val="24"/>
              </w:rPr>
              <w:t xml:space="preserve"> gradient </w:t>
            </w:r>
            <w:r w:rsidRPr="008D0A08">
              <w:rPr>
                <w:rFonts w:ascii="Book Antiqua" w:hAnsi="Book Antiqua" w:cs="Arial"/>
                <w:b/>
                <w:bCs/>
                <w:color w:val="000000" w:themeColor="text1"/>
                <w:kern w:val="24"/>
              </w:rPr>
              <w:t>above and below 12 mmHg</w:t>
            </w:r>
          </w:p>
        </w:tc>
      </w:tr>
      <w:tr w:rsidR="00476110" w:rsidRPr="008D0A08" w14:paraId="59D13E5F" w14:textId="77777777" w:rsidTr="006D1E0D">
        <w:tc>
          <w:tcPr>
            <w:tcW w:w="3168" w:type="dxa"/>
            <w:tcBorders>
              <w:top w:val="single" w:sz="4" w:space="0" w:color="auto"/>
              <w:bottom w:val="single" w:sz="4" w:space="0" w:color="auto"/>
              <w:right w:val="nil"/>
            </w:tcBorders>
            <w:vAlign w:val="center"/>
          </w:tcPr>
          <w:p w14:paraId="402DCBD8" w14:textId="77777777" w:rsidR="00476110" w:rsidRPr="008D0A08" w:rsidRDefault="00476110" w:rsidP="008D0A08">
            <w:pPr>
              <w:spacing w:line="360" w:lineRule="auto"/>
              <w:jc w:val="both"/>
              <w:rPr>
                <w:rFonts w:ascii="Book Antiqua" w:hAnsi="Book Antiqua" w:cs="Arial"/>
                <w:b/>
                <w:color w:val="000000" w:themeColor="text1"/>
              </w:rPr>
            </w:pPr>
          </w:p>
        </w:tc>
        <w:tc>
          <w:tcPr>
            <w:tcW w:w="2250" w:type="dxa"/>
            <w:tcBorders>
              <w:top w:val="single" w:sz="4" w:space="0" w:color="auto"/>
              <w:left w:val="nil"/>
              <w:bottom w:val="single" w:sz="4" w:space="0" w:color="auto"/>
              <w:right w:val="nil"/>
            </w:tcBorders>
            <w:vAlign w:val="center"/>
          </w:tcPr>
          <w:p w14:paraId="37F1E7E0" w14:textId="77777777" w:rsidR="00476110" w:rsidRPr="008D0A08" w:rsidRDefault="00476110" w:rsidP="008D0A08">
            <w:pPr>
              <w:spacing w:line="360" w:lineRule="auto"/>
              <w:jc w:val="both"/>
              <w:rPr>
                <w:rFonts w:ascii="Book Antiqua" w:hAnsi="Book Antiqua" w:cs="Arial"/>
                <w:b/>
                <w:color w:val="000000" w:themeColor="text1"/>
              </w:rPr>
            </w:pPr>
            <w:r w:rsidRPr="008D0A08">
              <w:rPr>
                <w:rFonts w:ascii="Book Antiqua" w:hAnsi="Book Antiqua" w:cs="Arial"/>
                <w:b/>
                <w:bCs/>
              </w:rPr>
              <w:t>&gt; 12 mmHg</w:t>
            </w:r>
          </w:p>
        </w:tc>
        <w:tc>
          <w:tcPr>
            <w:tcW w:w="1890" w:type="dxa"/>
            <w:tcBorders>
              <w:top w:val="single" w:sz="4" w:space="0" w:color="auto"/>
              <w:left w:val="nil"/>
              <w:bottom w:val="single" w:sz="4" w:space="0" w:color="auto"/>
              <w:right w:val="nil"/>
            </w:tcBorders>
            <w:vAlign w:val="center"/>
          </w:tcPr>
          <w:p w14:paraId="56593E03" w14:textId="77777777" w:rsidR="00476110" w:rsidRPr="008D0A08" w:rsidRDefault="00E96C73" w:rsidP="008D0A08">
            <w:pPr>
              <w:spacing w:line="360" w:lineRule="auto"/>
              <w:jc w:val="both"/>
              <w:rPr>
                <w:rFonts w:ascii="Book Antiqua" w:hAnsi="Book Antiqua" w:cs="Arial"/>
                <w:b/>
                <w:color w:val="000000" w:themeColor="text1"/>
              </w:rPr>
            </w:pPr>
            <w:r w:rsidRPr="008D0A08">
              <w:rPr>
                <w:rFonts w:ascii="Book Antiqua" w:hAnsi="Book Antiqua" w:cs="Arial"/>
                <w:b/>
                <w:bCs/>
              </w:rPr>
              <w:t>≤</w:t>
            </w:r>
            <w:r w:rsidR="00476110" w:rsidRPr="008D0A08">
              <w:rPr>
                <w:rFonts w:ascii="Book Antiqua" w:hAnsi="Book Antiqua" w:cs="Arial"/>
                <w:b/>
                <w:bCs/>
              </w:rPr>
              <w:t xml:space="preserve"> 12 mmHg</w:t>
            </w:r>
          </w:p>
        </w:tc>
        <w:tc>
          <w:tcPr>
            <w:tcW w:w="1080" w:type="dxa"/>
            <w:tcBorders>
              <w:top w:val="single" w:sz="4" w:space="0" w:color="auto"/>
              <w:left w:val="nil"/>
              <w:bottom w:val="single" w:sz="4" w:space="0" w:color="auto"/>
            </w:tcBorders>
            <w:vAlign w:val="center"/>
          </w:tcPr>
          <w:p w14:paraId="38ACD76D" w14:textId="3C186350" w:rsidR="00476110" w:rsidRPr="008D0A08" w:rsidRDefault="00476110" w:rsidP="006D1E0D">
            <w:pPr>
              <w:spacing w:line="360" w:lineRule="auto"/>
              <w:jc w:val="both"/>
              <w:rPr>
                <w:rFonts w:ascii="Book Antiqua" w:hAnsi="Book Antiqua" w:cs="Arial"/>
                <w:b/>
                <w:color w:val="000000" w:themeColor="text1"/>
              </w:rPr>
            </w:pPr>
            <w:r w:rsidRPr="006D1E0D">
              <w:rPr>
                <w:rFonts w:ascii="Book Antiqua" w:hAnsi="Book Antiqua" w:cs="Arial"/>
                <w:b/>
                <w:bCs/>
                <w:i/>
                <w:color w:val="000000" w:themeColor="text1"/>
                <w:kern w:val="24"/>
              </w:rPr>
              <w:t>P</w:t>
            </w:r>
            <w:r w:rsidR="006D1E0D" w:rsidRPr="006D1E0D">
              <w:rPr>
                <w:rFonts w:ascii="Book Antiqua" w:eastAsia="宋体" w:hAnsi="Book Antiqua" w:cs="Arial" w:hint="eastAsia"/>
                <w:b/>
                <w:bCs/>
                <w:i/>
                <w:color w:val="000000" w:themeColor="text1"/>
                <w:kern w:val="24"/>
                <w:lang w:eastAsia="zh-CN"/>
              </w:rPr>
              <w:t xml:space="preserve"> </w:t>
            </w:r>
            <w:r w:rsidRPr="008D0A08">
              <w:rPr>
                <w:rFonts w:ascii="Book Antiqua" w:hAnsi="Book Antiqua" w:cs="Arial"/>
                <w:b/>
                <w:bCs/>
                <w:color w:val="000000" w:themeColor="text1"/>
                <w:kern w:val="24"/>
              </w:rPr>
              <w:t>value</w:t>
            </w:r>
          </w:p>
        </w:tc>
      </w:tr>
      <w:tr w:rsidR="00476110" w:rsidRPr="008D0A08" w14:paraId="413817F9" w14:textId="77777777" w:rsidTr="006D1E0D">
        <w:tc>
          <w:tcPr>
            <w:tcW w:w="3168" w:type="dxa"/>
            <w:tcBorders>
              <w:top w:val="single" w:sz="4" w:space="0" w:color="auto"/>
              <w:bottom w:val="nil"/>
              <w:right w:val="nil"/>
            </w:tcBorders>
            <w:vAlign w:val="center"/>
          </w:tcPr>
          <w:p w14:paraId="4B52B12E" w14:textId="77777777" w:rsidR="00476110" w:rsidRPr="008D0A08" w:rsidRDefault="00476110" w:rsidP="008D0A08">
            <w:pPr>
              <w:spacing w:line="360" w:lineRule="auto"/>
              <w:jc w:val="both"/>
              <w:rPr>
                <w:rFonts w:ascii="Book Antiqua" w:hAnsi="Book Antiqua" w:cs="Arial"/>
                <w:color w:val="000000" w:themeColor="text1"/>
              </w:rPr>
            </w:pPr>
            <w:r w:rsidRPr="008D0A08">
              <w:rPr>
                <w:rFonts w:ascii="Book Antiqua" w:hAnsi="Book Antiqua" w:cs="Arial"/>
                <w:color w:val="000000" w:themeColor="text1"/>
                <w:kern w:val="24"/>
              </w:rPr>
              <w:t>Mean pre-TIPS PSG (mmHg)</w:t>
            </w:r>
          </w:p>
        </w:tc>
        <w:tc>
          <w:tcPr>
            <w:tcW w:w="2250" w:type="dxa"/>
            <w:tcBorders>
              <w:top w:val="single" w:sz="4" w:space="0" w:color="auto"/>
              <w:left w:val="nil"/>
              <w:bottom w:val="nil"/>
              <w:right w:val="nil"/>
            </w:tcBorders>
            <w:vAlign w:val="center"/>
          </w:tcPr>
          <w:p w14:paraId="3E64166A" w14:textId="77777777" w:rsidR="00476110" w:rsidRPr="008D0A08" w:rsidRDefault="00476110" w:rsidP="008D0A08">
            <w:pPr>
              <w:spacing w:line="360" w:lineRule="auto"/>
              <w:jc w:val="both"/>
              <w:rPr>
                <w:rFonts w:ascii="Book Antiqua" w:hAnsi="Book Antiqua" w:cs="Arial"/>
              </w:rPr>
            </w:pPr>
            <w:r w:rsidRPr="008D0A08">
              <w:rPr>
                <w:rFonts w:ascii="Book Antiqua" w:hAnsi="Book Antiqua" w:cs="Arial"/>
                <w:color w:val="000000" w:themeColor="text1"/>
                <w:kern w:val="24"/>
              </w:rPr>
              <w:t xml:space="preserve">33 </w:t>
            </w:r>
            <w:r w:rsidRPr="008D0A08">
              <w:rPr>
                <w:rFonts w:ascii="Book Antiqua" w:hAnsi="Book Antiqua" w:cs="Arial"/>
              </w:rPr>
              <w:t>± 13.2</w:t>
            </w:r>
          </w:p>
          <w:p w14:paraId="20BCBF25" w14:textId="77777777" w:rsidR="00476110" w:rsidRPr="008D0A08" w:rsidRDefault="00476110" w:rsidP="008D0A08">
            <w:pPr>
              <w:spacing w:line="360" w:lineRule="auto"/>
              <w:jc w:val="both"/>
              <w:rPr>
                <w:rFonts w:ascii="Book Antiqua" w:hAnsi="Book Antiqua" w:cs="Arial"/>
                <w:color w:val="000000" w:themeColor="text1"/>
              </w:rPr>
            </w:pPr>
            <w:r w:rsidRPr="008D0A08">
              <w:rPr>
                <w:rFonts w:ascii="Book Antiqua" w:hAnsi="Book Antiqua" w:cs="Arial"/>
              </w:rPr>
              <w:t>(Range 20-73)</w:t>
            </w:r>
          </w:p>
        </w:tc>
        <w:tc>
          <w:tcPr>
            <w:tcW w:w="1890" w:type="dxa"/>
            <w:tcBorders>
              <w:top w:val="single" w:sz="4" w:space="0" w:color="auto"/>
              <w:left w:val="nil"/>
              <w:bottom w:val="nil"/>
              <w:right w:val="nil"/>
            </w:tcBorders>
            <w:vAlign w:val="center"/>
          </w:tcPr>
          <w:p w14:paraId="03FDB1BB" w14:textId="77777777" w:rsidR="00476110" w:rsidRPr="008D0A08" w:rsidRDefault="00476110" w:rsidP="008D0A08">
            <w:pPr>
              <w:spacing w:line="360" w:lineRule="auto"/>
              <w:jc w:val="both"/>
              <w:rPr>
                <w:rFonts w:ascii="Book Antiqua" w:hAnsi="Book Antiqua" w:cs="Arial"/>
              </w:rPr>
            </w:pPr>
            <w:r w:rsidRPr="008D0A08">
              <w:rPr>
                <w:rFonts w:ascii="Book Antiqua" w:hAnsi="Book Antiqua" w:cs="Arial"/>
              </w:rPr>
              <w:t>21.1 ± 5.7</w:t>
            </w:r>
          </w:p>
          <w:p w14:paraId="36980AC2" w14:textId="77777777" w:rsidR="00476110" w:rsidRPr="008D0A08" w:rsidRDefault="00476110" w:rsidP="008D0A08">
            <w:pPr>
              <w:spacing w:line="360" w:lineRule="auto"/>
              <w:jc w:val="both"/>
              <w:rPr>
                <w:rFonts w:ascii="Book Antiqua" w:hAnsi="Book Antiqua" w:cs="Arial"/>
                <w:color w:val="000000" w:themeColor="text1"/>
              </w:rPr>
            </w:pPr>
            <w:r w:rsidRPr="008D0A08">
              <w:rPr>
                <w:rFonts w:ascii="Book Antiqua" w:hAnsi="Book Antiqua" w:cs="Arial"/>
              </w:rPr>
              <w:t>(Range 8-53)</w:t>
            </w:r>
          </w:p>
        </w:tc>
        <w:tc>
          <w:tcPr>
            <w:tcW w:w="1080" w:type="dxa"/>
            <w:tcBorders>
              <w:top w:val="single" w:sz="4" w:space="0" w:color="auto"/>
              <w:left w:val="nil"/>
              <w:bottom w:val="nil"/>
            </w:tcBorders>
            <w:vAlign w:val="center"/>
          </w:tcPr>
          <w:p w14:paraId="01E17452" w14:textId="77777777" w:rsidR="00476110" w:rsidRPr="008D0A08" w:rsidRDefault="00476110" w:rsidP="008D0A08">
            <w:pPr>
              <w:spacing w:line="360" w:lineRule="auto"/>
              <w:jc w:val="both"/>
              <w:rPr>
                <w:rFonts w:ascii="Book Antiqua" w:hAnsi="Book Antiqua" w:cs="Arial"/>
                <w:color w:val="000000" w:themeColor="text1"/>
              </w:rPr>
            </w:pPr>
            <w:r w:rsidRPr="008D0A08">
              <w:rPr>
                <w:rFonts w:ascii="Book Antiqua" w:hAnsi="Book Antiqua" w:cs="Arial"/>
                <w:color w:val="000000" w:themeColor="text1"/>
              </w:rPr>
              <w:t>&lt;</w:t>
            </w:r>
            <w:r w:rsidR="00AC38F9" w:rsidRPr="008D0A08">
              <w:rPr>
                <w:rFonts w:ascii="Book Antiqua" w:hAnsi="Book Antiqua" w:cs="Arial"/>
                <w:color w:val="000000" w:themeColor="text1"/>
              </w:rPr>
              <w:t xml:space="preserve"> </w:t>
            </w:r>
            <w:r w:rsidRPr="008D0A08">
              <w:rPr>
                <w:rFonts w:ascii="Book Antiqua" w:hAnsi="Book Antiqua" w:cs="Arial"/>
                <w:color w:val="000000" w:themeColor="text1"/>
              </w:rPr>
              <w:t>0.01</w:t>
            </w:r>
          </w:p>
        </w:tc>
      </w:tr>
      <w:tr w:rsidR="00476110" w:rsidRPr="008D0A08" w14:paraId="5F663194" w14:textId="77777777" w:rsidTr="006D1E0D">
        <w:tc>
          <w:tcPr>
            <w:tcW w:w="3168" w:type="dxa"/>
            <w:tcBorders>
              <w:bottom w:val="single" w:sz="4" w:space="0" w:color="auto"/>
              <w:right w:val="nil"/>
            </w:tcBorders>
            <w:vAlign w:val="center"/>
          </w:tcPr>
          <w:p w14:paraId="1FFC8F6A" w14:textId="77777777" w:rsidR="00476110" w:rsidRPr="008D0A08" w:rsidRDefault="00476110" w:rsidP="008D0A08">
            <w:pPr>
              <w:spacing w:line="360" w:lineRule="auto"/>
              <w:jc w:val="both"/>
              <w:rPr>
                <w:rFonts w:ascii="Book Antiqua" w:hAnsi="Book Antiqua" w:cs="Arial"/>
                <w:color w:val="000000" w:themeColor="text1"/>
              </w:rPr>
            </w:pPr>
            <w:r w:rsidRPr="008D0A08">
              <w:rPr>
                <w:rFonts w:ascii="Book Antiqua" w:hAnsi="Book Antiqua" w:cs="Arial"/>
                <w:color w:val="000000" w:themeColor="text1"/>
                <w:kern w:val="24"/>
              </w:rPr>
              <w:t>Mean percent change in PSG (%)</w:t>
            </w:r>
          </w:p>
        </w:tc>
        <w:tc>
          <w:tcPr>
            <w:tcW w:w="2250" w:type="dxa"/>
            <w:tcBorders>
              <w:left w:val="nil"/>
              <w:bottom w:val="single" w:sz="4" w:space="0" w:color="auto"/>
              <w:right w:val="nil"/>
            </w:tcBorders>
            <w:vAlign w:val="center"/>
          </w:tcPr>
          <w:p w14:paraId="3716ABD3" w14:textId="77777777" w:rsidR="00476110" w:rsidRPr="008D0A08" w:rsidRDefault="00476110" w:rsidP="008D0A08">
            <w:pPr>
              <w:spacing w:line="360" w:lineRule="auto"/>
              <w:jc w:val="both"/>
              <w:rPr>
                <w:rFonts w:ascii="Book Antiqua" w:hAnsi="Book Antiqua" w:cs="Arial"/>
              </w:rPr>
            </w:pPr>
            <w:r w:rsidRPr="008D0A08">
              <w:rPr>
                <w:rFonts w:ascii="Book Antiqua" w:hAnsi="Book Antiqua" w:cs="Arial"/>
              </w:rPr>
              <w:t>48.3 ± 13.1</w:t>
            </w:r>
          </w:p>
          <w:p w14:paraId="7BCAA114" w14:textId="77777777" w:rsidR="00476110" w:rsidRPr="008D0A08" w:rsidRDefault="00476110" w:rsidP="008D0A08">
            <w:pPr>
              <w:spacing w:line="360" w:lineRule="auto"/>
              <w:jc w:val="both"/>
              <w:rPr>
                <w:rFonts w:ascii="Book Antiqua" w:hAnsi="Book Antiqua" w:cs="Arial"/>
                <w:color w:val="000000" w:themeColor="text1"/>
              </w:rPr>
            </w:pPr>
            <w:r w:rsidRPr="008D0A08">
              <w:rPr>
                <w:rFonts w:ascii="Book Antiqua" w:hAnsi="Book Antiqua" w:cs="Arial"/>
              </w:rPr>
              <w:t>(Range 30.8-82.2)</w:t>
            </w:r>
          </w:p>
        </w:tc>
        <w:tc>
          <w:tcPr>
            <w:tcW w:w="1890" w:type="dxa"/>
            <w:tcBorders>
              <w:left w:val="nil"/>
              <w:bottom w:val="single" w:sz="4" w:space="0" w:color="auto"/>
              <w:right w:val="nil"/>
            </w:tcBorders>
            <w:vAlign w:val="center"/>
          </w:tcPr>
          <w:p w14:paraId="27927DE5" w14:textId="77777777" w:rsidR="00476110" w:rsidRPr="008D0A08" w:rsidRDefault="00476110" w:rsidP="008D0A08">
            <w:pPr>
              <w:spacing w:line="360" w:lineRule="auto"/>
              <w:jc w:val="both"/>
              <w:rPr>
                <w:rFonts w:ascii="Book Antiqua" w:hAnsi="Book Antiqua" w:cs="Arial"/>
              </w:rPr>
            </w:pPr>
            <w:r w:rsidRPr="008D0A08">
              <w:rPr>
                <w:rFonts w:ascii="Book Antiqua" w:hAnsi="Book Antiqua" w:cs="Arial"/>
              </w:rPr>
              <w:t>61.6 ± 12.6</w:t>
            </w:r>
          </w:p>
          <w:p w14:paraId="39F476F5" w14:textId="77777777" w:rsidR="00476110" w:rsidRPr="008D0A08" w:rsidRDefault="00476110" w:rsidP="008D0A08">
            <w:pPr>
              <w:spacing w:line="360" w:lineRule="auto"/>
              <w:jc w:val="both"/>
              <w:rPr>
                <w:rFonts w:ascii="Book Antiqua" w:hAnsi="Book Antiqua" w:cs="Arial"/>
                <w:color w:val="000000" w:themeColor="text1"/>
              </w:rPr>
            </w:pPr>
            <w:r w:rsidRPr="008D0A08">
              <w:rPr>
                <w:rFonts w:ascii="Book Antiqua" w:hAnsi="Book Antiqua" w:cs="Arial"/>
              </w:rPr>
              <w:t>(Range 0-95)</w:t>
            </w:r>
          </w:p>
        </w:tc>
        <w:tc>
          <w:tcPr>
            <w:tcW w:w="1080" w:type="dxa"/>
            <w:tcBorders>
              <w:left w:val="nil"/>
              <w:bottom w:val="single" w:sz="4" w:space="0" w:color="auto"/>
            </w:tcBorders>
            <w:vAlign w:val="center"/>
          </w:tcPr>
          <w:p w14:paraId="72847AC1" w14:textId="77777777" w:rsidR="00476110" w:rsidRPr="008D0A08" w:rsidRDefault="00476110" w:rsidP="008D0A08">
            <w:pPr>
              <w:spacing w:line="360" w:lineRule="auto"/>
              <w:jc w:val="both"/>
              <w:rPr>
                <w:rFonts w:ascii="Book Antiqua" w:hAnsi="Book Antiqua" w:cs="Arial"/>
                <w:color w:val="000000" w:themeColor="text1"/>
              </w:rPr>
            </w:pPr>
            <w:r w:rsidRPr="008D0A08">
              <w:rPr>
                <w:rFonts w:ascii="Book Antiqua" w:hAnsi="Book Antiqua" w:cs="Arial"/>
                <w:color w:val="000000" w:themeColor="text1"/>
              </w:rPr>
              <w:t>&lt;</w:t>
            </w:r>
            <w:r w:rsidR="00AC38F9" w:rsidRPr="008D0A08">
              <w:rPr>
                <w:rFonts w:ascii="Book Antiqua" w:hAnsi="Book Antiqua" w:cs="Arial"/>
                <w:color w:val="000000" w:themeColor="text1"/>
              </w:rPr>
              <w:t xml:space="preserve"> </w:t>
            </w:r>
            <w:r w:rsidRPr="008D0A08">
              <w:rPr>
                <w:rFonts w:ascii="Book Antiqua" w:hAnsi="Book Antiqua" w:cs="Arial"/>
                <w:color w:val="000000" w:themeColor="text1"/>
              </w:rPr>
              <w:t>0.01</w:t>
            </w:r>
          </w:p>
        </w:tc>
      </w:tr>
    </w:tbl>
    <w:p w14:paraId="64902F4A" w14:textId="77777777" w:rsidR="00AE2B32" w:rsidRPr="00AE2B32" w:rsidRDefault="00AE2B32" w:rsidP="00AE2B32">
      <w:pPr>
        <w:spacing w:line="360" w:lineRule="auto"/>
        <w:jc w:val="both"/>
        <w:rPr>
          <w:rFonts w:ascii="Book Antiqua" w:eastAsia="宋体" w:hAnsi="Book Antiqua" w:cs="Arial"/>
          <w:lang w:eastAsia="zh-CN"/>
        </w:rPr>
      </w:pPr>
      <w:r w:rsidRPr="00AE2B32">
        <w:rPr>
          <w:rFonts w:ascii="Book Antiqua" w:hAnsi="Book Antiqua" w:cs="Arial"/>
          <w:bCs/>
          <w:color w:val="000000" w:themeColor="text1"/>
          <w:kern w:val="24"/>
        </w:rPr>
        <w:t>TIPS</w:t>
      </w:r>
      <w:r w:rsidRPr="00AE2B32">
        <w:rPr>
          <w:rFonts w:ascii="Book Antiqua" w:eastAsia="宋体" w:hAnsi="Book Antiqua" w:cs="Arial" w:hint="eastAsia"/>
          <w:bCs/>
          <w:color w:val="000000" w:themeColor="text1"/>
          <w:kern w:val="24"/>
          <w:lang w:eastAsia="zh-CN"/>
        </w:rPr>
        <w:t xml:space="preserve">: </w:t>
      </w:r>
      <w:proofErr w:type="spellStart"/>
      <w:r w:rsidRPr="00AE2B32">
        <w:rPr>
          <w:rFonts w:ascii="Book Antiqua" w:hAnsi="Book Antiqua" w:cs="Arial"/>
        </w:rPr>
        <w:t>Transjugular</w:t>
      </w:r>
      <w:proofErr w:type="spellEnd"/>
      <w:r w:rsidRPr="00AE2B32">
        <w:rPr>
          <w:rFonts w:ascii="Book Antiqua" w:hAnsi="Book Antiqua" w:cs="Arial"/>
        </w:rPr>
        <w:t xml:space="preserve"> intrahepatic </w:t>
      </w:r>
      <w:proofErr w:type="spellStart"/>
      <w:r w:rsidRPr="00AE2B32">
        <w:rPr>
          <w:rFonts w:ascii="Book Antiqua" w:hAnsi="Book Antiqua" w:cs="Arial"/>
        </w:rPr>
        <w:t>portosystemic</w:t>
      </w:r>
      <w:proofErr w:type="spellEnd"/>
      <w:r w:rsidRPr="00AE2B32">
        <w:rPr>
          <w:rFonts w:ascii="Book Antiqua" w:hAnsi="Book Antiqua" w:cs="Arial"/>
        </w:rPr>
        <w:t xml:space="preserve"> shunt</w:t>
      </w:r>
      <w:r>
        <w:rPr>
          <w:rFonts w:ascii="Book Antiqua" w:eastAsia="宋体" w:hAnsi="Book Antiqua" w:cs="Arial" w:hint="eastAsia"/>
          <w:lang w:eastAsia="zh-CN"/>
        </w:rPr>
        <w:t>.</w:t>
      </w:r>
    </w:p>
    <w:p w14:paraId="6E88D128" w14:textId="77777777" w:rsidR="003E3586" w:rsidRPr="008D0A08" w:rsidRDefault="003E3586" w:rsidP="008D0A08">
      <w:pPr>
        <w:spacing w:line="360" w:lineRule="auto"/>
        <w:jc w:val="both"/>
        <w:rPr>
          <w:rFonts w:ascii="Book Antiqua" w:hAnsi="Book Antiqua" w:cs="Arial"/>
        </w:rPr>
      </w:pPr>
    </w:p>
    <w:p w14:paraId="11CCD5EF" w14:textId="77777777" w:rsidR="00456926" w:rsidRPr="008D0A08" w:rsidRDefault="00456926" w:rsidP="008D0A08">
      <w:pPr>
        <w:spacing w:line="360" w:lineRule="auto"/>
        <w:jc w:val="both"/>
        <w:rPr>
          <w:rFonts w:ascii="Book Antiqua" w:hAnsi="Book Antiqua" w:cs="Arial"/>
        </w:rPr>
      </w:pPr>
    </w:p>
    <w:p w14:paraId="7A37E299" w14:textId="77777777" w:rsidR="00476110" w:rsidRPr="008D0A08" w:rsidRDefault="00476110" w:rsidP="008D0A08">
      <w:pPr>
        <w:spacing w:line="360" w:lineRule="auto"/>
        <w:jc w:val="both"/>
        <w:rPr>
          <w:rFonts w:ascii="Book Antiqua" w:hAnsi="Book Antiqua" w:cs="Arial"/>
        </w:rPr>
      </w:pPr>
    </w:p>
    <w:p w14:paraId="4CFD114D" w14:textId="77777777" w:rsidR="00476110" w:rsidRPr="008D0A08" w:rsidRDefault="00476110" w:rsidP="008D0A08">
      <w:pPr>
        <w:spacing w:line="360" w:lineRule="auto"/>
        <w:jc w:val="both"/>
        <w:rPr>
          <w:rFonts w:ascii="Book Antiqua" w:hAnsi="Book Antiqua" w:cs="Arial"/>
        </w:rPr>
      </w:pPr>
      <w:r w:rsidRPr="008D0A08">
        <w:rPr>
          <w:rFonts w:ascii="Book Antiqua" w:hAnsi="Book Antiqua" w:cs="Arial"/>
        </w:rPr>
        <w:br w:type="page"/>
      </w:r>
    </w:p>
    <w:tbl>
      <w:tblPr>
        <w:tblStyle w:val="TableGrid"/>
        <w:tblpPr w:leftFromText="180" w:rightFromText="180" w:vertAnchor="page" w:horzAnchor="margin" w:tblpXSpec="center" w:tblpY="2588"/>
        <w:tblW w:w="10364"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634"/>
        <w:gridCol w:w="2250"/>
        <w:gridCol w:w="2610"/>
        <w:gridCol w:w="1620"/>
        <w:gridCol w:w="2250"/>
      </w:tblGrid>
      <w:tr w:rsidR="00476110" w:rsidRPr="008D0A08" w14:paraId="082A568D" w14:textId="77777777" w:rsidTr="006D1E0D">
        <w:tc>
          <w:tcPr>
            <w:tcW w:w="10364" w:type="dxa"/>
            <w:gridSpan w:val="5"/>
            <w:tcBorders>
              <w:bottom w:val="single" w:sz="4" w:space="0" w:color="auto"/>
            </w:tcBorders>
          </w:tcPr>
          <w:p w14:paraId="238D8B6B" w14:textId="0778121A" w:rsidR="00476110" w:rsidRPr="008D0A08" w:rsidRDefault="00476110" w:rsidP="006D1E0D">
            <w:pPr>
              <w:spacing w:line="360" w:lineRule="auto"/>
              <w:jc w:val="both"/>
              <w:rPr>
                <w:rFonts w:ascii="Book Antiqua" w:hAnsi="Book Antiqua" w:cs="Arial"/>
                <w:b/>
                <w:bCs/>
                <w:color w:val="000000" w:themeColor="text1"/>
                <w:kern w:val="24"/>
              </w:rPr>
            </w:pPr>
            <w:r w:rsidRPr="008D0A08">
              <w:rPr>
                <w:rFonts w:ascii="Book Antiqua" w:hAnsi="Book Antiqua" w:cs="Arial"/>
                <w:b/>
                <w:bCs/>
                <w:color w:val="000000" w:themeColor="text1"/>
                <w:kern w:val="24"/>
              </w:rPr>
              <w:lastRenderedPageBreak/>
              <w:t>Table 3</w:t>
            </w:r>
            <w:r w:rsidR="006D1E0D">
              <w:rPr>
                <w:rFonts w:ascii="Book Antiqua" w:eastAsia="宋体" w:hAnsi="Book Antiqua" w:cs="Arial" w:hint="eastAsia"/>
                <w:b/>
                <w:bCs/>
                <w:color w:val="000000" w:themeColor="text1"/>
                <w:kern w:val="24"/>
                <w:lang w:eastAsia="zh-CN"/>
              </w:rPr>
              <w:t xml:space="preserve"> </w:t>
            </w:r>
            <w:r w:rsidRPr="008D0A08">
              <w:rPr>
                <w:rFonts w:ascii="Book Antiqua" w:hAnsi="Book Antiqua" w:cs="Arial"/>
                <w:b/>
                <w:bCs/>
                <w:color w:val="000000" w:themeColor="text1"/>
                <w:kern w:val="24"/>
              </w:rPr>
              <w:t>Measurements of 8 mm</w:t>
            </w:r>
            <w:r w:rsidR="006D232F">
              <w:rPr>
                <w:rFonts w:ascii="Book Antiqua" w:hAnsi="Book Antiqua" w:cs="Arial"/>
                <w:b/>
                <w:bCs/>
                <w:color w:val="000000" w:themeColor="text1"/>
                <w:kern w:val="24"/>
              </w:rPr>
              <w:t xml:space="preserve"> </w:t>
            </w:r>
            <w:proofErr w:type="spellStart"/>
            <w:r w:rsidR="006D1E0D" w:rsidRPr="006D1E0D">
              <w:rPr>
                <w:rFonts w:ascii="Book Antiqua" w:hAnsi="Book Antiqua" w:cs="Arial"/>
                <w:b/>
                <w:bCs/>
                <w:color w:val="000000" w:themeColor="text1"/>
                <w:kern w:val="24"/>
              </w:rPr>
              <w:t>transjugular</w:t>
            </w:r>
            <w:proofErr w:type="spellEnd"/>
            <w:r w:rsidR="006D1E0D" w:rsidRPr="006D1E0D">
              <w:rPr>
                <w:rFonts w:ascii="Book Antiqua" w:hAnsi="Book Antiqua" w:cs="Arial"/>
                <w:b/>
                <w:bCs/>
                <w:color w:val="000000" w:themeColor="text1"/>
                <w:kern w:val="24"/>
              </w:rPr>
              <w:t xml:space="preserve"> intrahepatic </w:t>
            </w:r>
            <w:proofErr w:type="spellStart"/>
            <w:r w:rsidR="006D1E0D" w:rsidRPr="006D1E0D">
              <w:rPr>
                <w:rFonts w:ascii="Book Antiqua" w:hAnsi="Book Antiqua" w:cs="Arial"/>
                <w:b/>
                <w:bCs/>
                <w:color w:val="000000" w:themeColor="text1"/>
                <w:kern w:val="24"/>
              </w:rPr>
              <w:t>portosystemic</w:t>
            </w:r>
            <w:proofErr w:type="spellEnd"/>
            <w:r w:rsidR="006D1E0D" w:rsidRPr="006D1E0D">
              <w:rPr>
                <w:rFonts w:ascii="Book Antiqua" w:hAnsi="Book Antiqua" w:cs="Arial"/>
                <w:b/>
                <w:bCs/>
                <w:color w:val="000000" w:themeColor="text1"/>
                <w:kern w:val="24"/>
              </w:rPr>
              <w:t xml:space="preserve"> shunt </w:t>
            </w:r>
            <w:r w:rsidRPr="008D0A08">
              <w:rPr>
                <w:rFonts w:ascii="Book Antiqua" w:hAnsi="Book Antiqua" w:cs="Arial"/>
                <w:b/>
                <w:bCs/>
                <w:color w:val="000000" w:themeColor="text1"/>
                <w:kern w:val="24"/>
              </w:rPr>
              <w:t>stents on CT imaging follow-up</w:t>
            </w:r>
          </w:p>
        </w:tc>
      </w:tr>
      <w:tr w:rsidR="00476110" w:rsidRPr="008D0A08" w14:paraId="0FD49C02" w14:textId="77777777" w:rsidTr="006D1E0D">
        <w:tc>
          <w:tcPr>
            <w:tcW w:w="1634" w:type="dxa"/>
            <w:tcBorders>
              <w:top w:val="single" w:sz="4" w:space="0" w:color="auto"/>
              <w:bottom w:val="single" w:sz="4" w:space="0" w:color="auto"/>
              <w:right w:val="nil"/>
            </w:tcBorders>
          </w:tcPr>
          <w:p w14:paraId="5B47080F" w14:textId="77777777" w:rsidR="00476110" w:rsidRPr="008D0A08" w:rsidRDefault="00476110" w:rsidP="008D0A08">
            <w:pPr>
              <w:spacing w:line="360" w:lineRule="auto"/>
              <w:jc w:val="both"/>
              <w:rPr>
                <w:rFonts w:ascii="Book Antiqua" w:hAnsi="Book Antiqua" w:cs="Arial"/>
                <w:color w:val="000000" w:themeColor="text1"/>
              </w:rPr>
            </w:pPr>
          </w:p>
        </w:tc>
        <w:tc>
          <w:tcPr>
            <w:tcW w:w="2250" w:type="dxa"/>
            <w:tcBorders>
              <w:top w:val="single" w:sz="4" w:space="0" w:color="auto"/>
              <w:left w:val="nil"/>
              <w:bottom w:val="single" w:sz="4" w:space="0" w:color="auto"/>
              <w:right w:val="nil"/>
            </w:tcBorders>
          </w:tcPr>
          <w:p w14:paraId="4F0D0110" w14:textId="77777777" w:rsidR="00476110" w:rsidRPr="008D0A08" w:rsidRDefault="00476110" w:rsidP="008D0A08">
            <w:pPr>
              <w:spacing w:line="360" w:lineRule="auto"/>
              <w:jc w:val="both"/>
              <w:rPr>
                <w:rFonts w:ascii="Book Antiqua" w:hAnsi="Book Antiqua" w:cs="Arial"/>
                <w:color w:val="000000" w:themeColor="text1"/>
              </w:rPr>
            </w:pPr>
            <w:r w:rsidRPr="008D0A08">
              <w:rPr>
                <w:rFonts w:ascii="Book Antiqua" w:hAnsi="Book Antiqua" w:cs="Arial"/>
                <w:b/>
                <w:bCs/>
                <w:color w:val="000000" w:themeColor="text1"/>
                <w:kern w:val="24"/>
              </w:rPr>
              <w:t>Median diameter (mm)</w:t>
            </w:r>
          </w:p>
        </w:tc>
        <w:tc>
          <w:tcPr>
            <w:tcW w:w="2610" w:type="dxa"/>
            <w:tcBorders>
              <w:top w:val="single" w:sz="4" w:space="0" w:color="auto"/>
              <w:left w:val="nil"/>
              <w:bottom w:val="single" w:sz="4" w:space="0" w:color="auto"/>
              <w:right w:val="nil"/>
            </w:tcBorders>
          </w:tcPr>
          <w:p w14:paraId="40EEA5F1" w14:textId="51C7C0B5" w:rsidR="00476110" w:rsidRPr="006D1E0D" w:rsidRDefault="00476110" w:rsidP="006D1E0D">
            <w:pPr>
              <w:spacing w:line="360" w:lineRule="auto"/>
              <w:jc w:val="both"/>
              <w:rPr>
                <w:rFonts w:ascii="Book Antiqua" w:eastAsia="宋体" w:hAnsi="Book Antiqua" w:cs="Arial"/>
                <w:color w:val="000000" w:themeColor="text1"/>
                <w:lang w:eastAsia="zh-CN"/>
              </w:rPr>
            </w:pPr>
            <w:r w:rsidRPr="008D0A08">
              <w:rPr>
                <w:rFonts w:ascii="Book Antiqua" w:hAnsi="Book Antiqua" w:cs="Arial"/>
                <w:b/>
                <w:bCs/>
                <w:color w:val="000000" w:themeColor="text1"/>
                <w:kern w:val="24"/>
              </w:rPr>
              <w:t>Median percent diameter change</w:t>
            </w:r>
            <w:r w:rsidR="006D1E0D">
              <w:rPr>
                <w:rFonts w:ascii="Book Antiqua" w:eastAsia="宋体" w:hAnsi="Book Antiqua" w:cs="Arial" w:hint="eastAsia"/>
                <w:b/>
                <w:bCs/>
                <w:color w:val="000000" w:themeColor="text1"/>
                <w:kern w:val="24"/>
                <w:lang w:eastAsia="zh-CN"/>
              </w:rPr>
              <w:t xml:space="preserve"> </w:t>
            </w:r>
          </w:p>
        </w:tc>
        <w:tc>
          <w:tcPr>
            <w:tcW w:w="1620" w:type="dxa"/>
            <w:tcBorders>
              <w:top w:val="single" w:sz="4" w:space="0" w:color="auto"/>
              <w:left w:val="nil"/>
              <w:bottom w:val="single" w:sz="4" w:space="0" w:color="auto"/>
              <w:right w:val="nil"/>
            </w:tcBorders>
          </w:tcPr>
          <w:p w14:paraId="1E60F44E" w14:textId="77777777" w:rsidR="00476110" w:rsidRPr="008D0A08" w:rsidRDefault="00476110" w:rsidP="008D0A08">
            <w:pPr>
              <w:spacing w:line="360" w:lineRule="auto"/>
              <w:jc w:val="both"/>
              <w:rPr>
                <w:rFonts w:ascii="Book Antiqua" w:hAnsi="Book Antiqua" w:cs="Arial"/>
                <w:color w:val="000000" w:themeColor="text1"/>
              </w:rPr>
            </w:pPr>
            <w:r w:rsidRPr="008D0A08">
              <w:rPr>
                <w:rFonts w:ascii="Book Antiqua" w:hAnsi="Book Antiqua" w:cs="Arial"/>
                <w:b/>
                <w:bCs/>
                <w:color w:val="000000" w:themeColor="text1"/>
                <w:kern w:val="24"/>
              </w:rPr>
              <w:t>Median area (mm</w:t>
            </w:r>
            <w:r w:rsidRPr="008D0A08">
              <w:rPr>
                <w:rFonts w:ascii="Book Antiqua" w:hAnsi="Book Antiqua" w:cs="Arial"/>
                <w:b/>
                <w:bCs/>
                <w:color w:val="000000" w:themeColor="text1"/>
                <w:kern w:val="24"/>
                <w:vertAlign w:val="superscript"/>
              </w:rPr>
              <w:t>2</w:t>
            </w:r>
            <w:r w:rsidRPr="008D0A08">
              <w:rPr>
                <w:rFonts w:ascii="Book Antiqua" w:hAnsi="Book Antiqua" w:cs="Arial"/>
                <w:b/>
                <w:bCs/>
                <w:color w:val="000000" w:themeColor="text1"/>
                <w:kern w:val="24"/>
              </w:rPr>
              <w:t>)</w:t>
            </w:r>
          </w:p>
        </w:tc>
        <w:tc>
          <w:tcPr>
            <w:tcW w:w="2250" w:type="dxa"/>
            <w:tcBorders>
              <w:top w:val="single" w:sz="4" w:space="0" w:color="auto"/>
              <w:left w:val="nil"/>
              <w:bottom w:val="single" w:sz="4" w:space="0" w:color="auto"/>
            </w:tcBorders>
          </w:tcPr>
          <w:p w14:paraId="08892171" w14:textId="5768600D" w:rsidR="00476110" w:rsidRPr="006D1E0D" w:rsidRDefault="00476110" w:rsidP="006D1E0D">
            <w:pPr>
              <w:spacing w:line="360" w:lineRule="auto"/>
              <w:jc w:val="both"/>
              <w:rPr>
                <w:rFonts w:ascii="Book Antiqua" w:eastAsia="宋体" w:hAnsi="Book Antiqua" w:cs="Arial"/>
                <w:color w:val="000000" w:themeColor="text1"/>
                <w:lang w:eastAsia="zh-CN"/>
              </w:rPr>
            </w:pPr>
            <w:r w:rsidRPr="008D0A08">
              <w:rPr>
                <w:rFonts w:ascii="Book Antiqua" w:hAnsi="Book Antiqua" w:cs="Arial"/>
                <w:b/>
                <w:bCs/>
                <w:color w:val="000000" w:themeColor="text1"/>
                <w:kern w:val="24"/>
              </w:rPr>
              <w:t>Median percent area change</w:t>
            </w:r>
            <w:r w:rsidR="006D1E0D">
              <w:rPr>
                <w:rFonts w:ascii="Book Antiqua" w:eastAsia="宋体" w:hAnsi="Book Antiqua" w:cs="Arial" w:hint="eastAsia"/>
                <w:b/>
                <w:bCs/>
                <w:color w:val="000000" w:themeColor="text1"/>
                <w:kern w:val="24"/>
                <w:lang w:eastAsia="zh-CN"/>
              </w:rPr>
              <w:t xml:space="preserve"> </w:t>
            </w:r>
          </w:p>
        </w:tc>
      </w:tr>
      <w:tr w:rsidR="00476110" w:rsidRPr="008D0A08" w14:paraId="5E3B2D18" w14:textId="77777777" w:rsidTr="006D1E0D">
        <w:tc>
          <w:tcPr>
            <w:tcW w:w="1634" w:type="dxa"/>
            <w:tcBorders>
              <w:top w:val="single" w:sz="4" w:space="0" w:color="auto"/>
              <w:bottom w:val="nil"/>
              <w:right w:val="nil"/>
            </w:tcBorders>
            <w:vAlign w:val="center"/>
          </w:tcPr>
          <w:p w14:paraId="6A71B5CA" w14:textId="7316B1BF" w:rsidR="00476110" w:rsidRPr="008D0A08" w:rsidRDefault="00476110" w:rsidP="006D1E0D">
            <w:pPr>
              <w:spacing w:line="360" w:lineRule="auto"/>
              <w:jc w:val="both"/>
              <w:rPr>
                <w:rFonts w:ascii="Book Antiqua" w:hAnsi="Book Antiqua" w:cs="Arial"/>
                <w:color w:val="000000" w:themeColor="text1"/>
              </w:rPr>
            </w:pPr>
            <w:r w:rsidRPr="008D0A08">
              <w:rPr>
                <w:rFonts w:ascii="Book Antiqua" w:hAnsi="Book Antiqua" w:cs="Arial"/>
                <w:color w:val="000000" w:themeColor="text1"/>
                <w:kern w:val="24"/>
              </w:rPr>
              <w:t xml:space="preserve">&lt; 6 </w:t>
            </w:r>
            <w:proofErr w:type="spellStart"/>
            <w:r w:rsidR="006D1E0D">
              <w:rPr>
                <w:rFonts w:ascii="Book Antiqua" w:eastAsia="宋体" w:hAnsi="Book Antiqua" w:cs="Arial" w:hint="eastAsia"/>
                <w:color w:val="000000" w:themeColor="text1"/>
                <w:kern w:val="24"/>
                <w:lang w:eastAsia="zh-CN"/>
              </w:rPr>
              <w:t>mo</w:t>
            </w:r>
            <w:proofErr w:type="spellEnd"/>
            <w:r w:rsidRPr="008D0A08">
              <w:rPr>
                <w:rFonts w:ascii="Book Antiqua" w:hAnsi="Book Antiqua" w:cs="Arial"/>
                <w:color w:val="000000" w:themeColor="text1"/>
                <w:kern w:val="24"/>
              </w:rPr>
              <w:t xml:space="preserve"> (</w:t>
            </w:r>
            <w:r w:rsidRPr="006D1E0D">
              <w:rPr>
                <w:rFonts w:ascii="Book Antiqua" w:hAnsi="Book Antiqua" w:cs="Arial"/>
                <w:i/>
                <w:color w:val="000000" w:themeColor="text1"/>
                <w:kern w:val="24"/>
              </w:rPr>
              <w:t>n</w:t>
            </w:r>
            <w:r w:rsidRPr="008D0A08">
              <w:rPr>
                <w:rFonts w:ascii="Book Antiqua" w:hAnsi="Book Antiqua" w:cs="Arial"/>
                <w:color w:val="000000" w:themeColor="text1"/>
                <w:kern w:val="24"/>
              </w:rPr>
              <w:t xml:space="preserve"> = 7)</w:t>
            </w:r>
          </w:p>
        </w:tc>
        <w:tc>
          <w:tcPr>
            <w:tcW w:w="2250" w:type="dxa"/>
            <w:tcBorders>
              <w:top w:val="single" w:sz="4" w:space="0" w:color="auto"/>
              <w:left w:val="nil"/>
              <w:bottom w:val="nil"/>
              <w:right w:val="nil"/>
            </w:tcBorders>
            <w:vAlign w:val="center"/>
          </w:tcPr>
          <w:p w14:paraId="27580803" w14:textId="77777777" w:rsidR="00476110" w:rsidRPr="008D0A08" w:rsidRDefault="00476110" w:rsidP="008D0A08">
            <w:pPr>
              <w:spacing w:line="360" w:lineRule="auto"/>
              <w:jc w:val="both"/>
              <w:rPr>
                <w:rFonts w:ascii="Book Antiqua" w:hAnsi="Book Antiqua" w:cs="Arial"/>
                <w:color w:val="000000" w:themeColor="text1"/>
                <w:kern w:val="24"/>
              </w:rPr>
            </w:pPr>
            <w:r w:rsidRPr="008D0A08">
              <w:rPr>
                <w:rFonts w:ascii="Book Antiqua" w:hAnsi="Book Antiqua" w:cs="Arial"/>
                <w:color w:val="000000" w:themeColor="text1"/>
                <w:kern w:val="24"/>
              </w:rPr>
              <w:t>8.05</w:t>
            </w:r>
          </w:p>
          <w:p w14:paraId="773817B4" w14:textId="77777777" w:rsidR="00785892" w:rsidRPr="008D0A08" w:rsidRDefault="00785892" w:rsidP="008D0A08">
            <w:pPr>
              <w:spacing w:line="360" w:lineRule="auto"/>
              <w:jc w:val="both"/>
              <w:rPr>
                <w:rFonts w:ascii="Book Antiqua" w:hAnsi="Book Antiqua" w:cs="Arial"/>
                <w:color w:val="000000" w:themeColor="text1"/>
              </w:rPr>
            </w:pPr>
            <w:r w:rsidRPr="008D0A08">
              <w:rPr>
                <w:rFonts w:ascii="Book Antiqua" w:hAnsi="Book Antiqua" w:cs="Arial"/>
                <w:color w:val="000000" w:themeColor="text1"/>
                <w:kern w:val="24"/>
              </w:rPr>
              <w:t>(Range 7.84-</w:t>
            </w:r>
            <w:r w:rsidR="00D67A2E" w:rsidRPr="008D0A08">
              <w:rPr>
                <w:rFonts w:ascii="Book Antiqua" w:hAnsi="Book Antiqua" w:cs="Arial"/>
                <w:color w:val="000000" w:themeColor="text1"/>
                <w:kern w:val="24"/>
              </w:rPr>
              <w:t>8.43)</w:t>
            </w:r>
          </w:p>
        </w:tc>
        <w:tc>
          <w:tcPr>
            <w:tcW w:w="2610" w:type="dxa"/>
            <w:tcBorders>
              <w:top w:val="single" w:sz="4" w:space="0" w:color="auto"/>
              <w:left w:val="nil"/>
              <w:bottom w:val="nil"/>
              <w:right w:val="nil"/>
            </w:tcBorders>
            <w:vAlign w:val="center"/>
          </w:tcPr>
          <w:p w14:paraId="3DF25292" w14:textId="5B78A88E" w:rsidR="00476110" w:rsidRPr="006D1E0D" w:rsidRDefault="00476110" w:rsidP="008D0A08">
            <w:pPr>
              <w:spacing w:line="360" w:lineRule="auto"/>
              <w:jc w:val="both"/>
              <w:rPr>
                <w:rFonts w:ascii="Book Antiqua" w:eastAsia="宋体" w:hAnsi="Book Antiqua" w:cs="Arial"/>
                <w:color w:val="000000" w:themeColor="text1"/>
                <w:lang w:eastAsia="zh-CN"/>
              </w:rPr>
            </w:pPr>
            <w:r w:rsidRPr="008D0A08">
              <w:rPr>
                <w:rFonts w:ascii="Book Antiqua" w:hAnsi="Book Antiqua" w:cs="Arial"/>
                <w:color w:val="000000" w:themeColor="text1"/>
                <w:kern w:val="24"/>
              </w:rPr>
              <w:t>0.67</w:t>
            </w:r>
            <w:r w:rsidR="006D1E0D">
              <w:rPr>
                <w:rFonts w:ascii="Book Antiqua" w:eastAsia="宋体" w:hAnsi="Book Antiqua" w:cs="Arial" w:hint="eastAsia"/>
                <w:color w:val="000000" w:themeColor="text1"/>
                <w:kern w:val="24"/>
                <w:lang w:eastAsia="zh-CN"/>
              </w:rPr>
              <w:t>%</w:t>
            </w:r>
          </w:p>
        </w:tc>
        <w:tc>
          <w:tcPr>
            <w:tcW w:w="1620" w:type="dxa"/>
            <w:tcBorders>
              <w:top w:val="single" w:sz="4" w:space="0" w:color="auto"/>
              <w:left w:val="nil"/>
              <w:bottom w:val="nil"/>
              <w:right w:val="nil"/>
            </w:tcBorders>
            <w:vAlign w:val="center"/>
          </w:tcPr>
          <w:p w14:paraId="14568063" w14:textId="77777777" w:rsidR="00476110" w:rsidRPr="008D0A08" w:rsidRDefault="00476110" w:rsidP="008D0A08">
            <w:pPr>
              <w:spacing w:line="360" w:lineRule="auto"/>
              <w:jc w:val="both"/>
              <w:rPr>
                <w:rFonts w:ascii="Book Antiqua" w:hAnsi="Book Antiqua" w:cs="Arial"/>
                <w:color w:val="000000" w:themeColor="text1"/>
              </w:rPr>
            </w:pPr>
            <w:r w:rsidRPr="008D0A08">
              <w:rPr>
                <w:rFonts w:ascii="Book Antiqua" w:hAnsi="Book Antiqua" w:cs="Arial"/>
                <w:color w:val="000000" w:themeColor="text1"/>
                <w:kern w:val="24"/>
              </w:rPr>
              <w:t>50.94</w:t>
            </w:r>
          </w:p>
        </w:tc>
        <w:tc>
          <w:tcPr>
            <w:tcW w:w="2250" w:type="dxa"/>
            <w:tcBorders>
              <w:top w:val="single" w:sz="4" w:space="0" w:color="auto"/>
              <w:left w:val="nil"/>
              <w:bottom w:val="nil"/>
            </w:tcBorders>
            <w:vAlign w:val="center"/>
          </w:tcPr>
          <w:p w14:paraId="5588052B" w14:textId="3148FE3F" w:rsidR="00476110" w:rsidRPr="006D1E0D" w:rsidRDefault="00476110" w:rsidP="008D0A08">
            <w:pPr>
              <w:spacing w:line="360" w:lineRule="auto"/>
              <w:jc w:val="both"/>
              <w:rPr>
                <w:rFonts w:ascii="Book Antiqua" w:eastAsia="宋体" w:hAnsi="Book Antiqua" w:cs="Arial"/>
                <w:color w:val="000000" w:themeColor="text1"/>
                <w:lang w:eastAsia="zh-CN"/>
              </w:rPr>
            </w:pPr>
            <w:r w:rsidRPr="008D0A08">
              <w:rPr>
                <w:rFonts w:ascii="Book Antiqua" w:hAnsi="Book Antiqua" w:cs="Arial"/>
                <w:color w:val="000000" w:themeColor="text1"/>
                <w:kern w:val="24"/>
              </w:rPr>
              <w:t>1.34</w:t>
            </w:r>
            <w:r w:rsidR="006D1E0D">
              <w:rPr>
                <w:rFonts w:ascii="Book Antiqua" w:eastAsia="宋体" w:hAnsi="Book Antiqua" w:cs="Arial" w:hint="eastAsia"/>
                <w:color w:val="000000" w:themeColor="text1"/>
                <w:kern w:val="24"/>
                <w:lang w:eastAsia="zh-CN"/>
              </w:rPr>
              <w:t>%</w:t>
            </w:r>
          </w:p>
        </w:tc>
      </w:tr>
      <w:tr w:rsidR="00476110" w:rsidRPr="008D0A08" w14:paraId="0B29E205" w14:textId="77777777" w:rsidTr="006D1E0D">
        <w:tc>
          <w:tcPr>
            <w:tcW w:w="1634" w:type="dxa"/>
            <w:tcBorders>
              <w:bottom w:val="nil"/>
              <w:right w:val="nil"/>
            </w:tcBorders>
            <w:vAlign w:val="center"/>
          </w:tcPr>
          <w:p w14:paraId="1F3DCFD5" w14:textId="29B4DEE1" w:rsidR="00476110" w:rsidRPr="008D0A08" w:rsidRDefault="00476110" w:rsidP="008D0A08">
            <w:pPr>
              <w:spacing w:line="360" w:lineRule="auto"/>
              <w:jc w:val="both"/>
              <w:rPr>
                <w:rFonts w:ascii="Book Antiqua" w:hAnsi="Book Antiqua" w:cs="Arial"/>
                <w:color w:val="000000" w:themeColor="text1"/>
              </w:rPr>
            </w:pPr>
            <w:r w:rsidRPr="008D0A08">
              <w:rPr>
                <w:rFonts w:ascii="Book Antiqua" w:hAnsi="Book Antiqua" w:cs="Arial"/>
                <w:color w:val="000000" w:themeColor="text1"/>
                <w:kern w:val="24"/>
              </w:rPr>
              <w:t>&gt; 6 months (</w:t>
            </w:r>
            <w:r w:rsidR="006D1E0D" w:rsidRPr="006D1E0D">
              <w:rPr>
                <w:rFonts w:ascii="Book Antiqua" w:hAnsi="Book Antiqua" w:cs="Arial"/>
                <w:i/>
                <w:color w:val="000000" w:themeColor="text1"/>
                <w:kern w:val="24"/>
              </w:rPr>
              <w:t>n</w:t>
            </w:r>
            <w:r w:rsidR="006D1E0D" w:rsidRPr="008D0A08">
              <w:rPr>
                <w:rFonts w:ascii="Book Antiqua" w:hAnsi="Book Antiqua" w:cs="Arial"/>
                <w:color w:val="000000" w:themeColor="text1"/>
                <w:kern w:val="24"/>
              </w:rPr>
              <w:t xml:space="preserve"> </w:t>
            </w:r>
            <w:r w:rsidRPr="008D0A08">
              <w:rPr>
                <w:rFonts w:ascii="Book Antiqua" w:hAnsi="Book Antiqua" w:cs="Arial"/>
                <w:color w:val="000000" w:themeColor="text1"/>
                <w:kern w:val="24"/>
              </w:rPr>
              <w:t>= 7)</w:t>
            </w:r>
          </w:p>
        </w:tc>
        <w:tc>
          <w:tcPr>
            <w:tcW w:w="2250" w:type="dxa"/>
            <w:tcBorders>
              <w:left w:val="nil"/>
              <w:bottom w:val="nil"/>
              <w:right w:val="nil"/>
            </w:tcBorders>
            <w:vAlign w:val="center"/>
          </w:tcPr>
          <w:p w14:paraId="215AD740" w14:textId="77777777" w:rsidR="00476110" w:rsidRPr="008D0A08" w:rsidRDefault="00476110" w:rsidP="008D0A08">
            <w:pPr>
              <w:spacing w:line="360" w:lineRule="auto"/>
              <w:jc w:val="both"/>
              <w:rPr>
                <w:rFonts w:ascii="Book Antiqua" w:hAnsi="Book Antiqua" w:cs="Arial"/>
                <w:color w:val="000000" w:themeColor="text1"/>
                <w:kern w:val="24"/>
              </w:rPr>
            </w:pPr>
            <w:r w:rsidRPr="008D0A08">
              <w:rPr>
                <w:rFonts w:ascii="Book Antiqua" w:hAnsi="Book Antiqua" w:cs="Arial"/>
                <w:color w:val="000000" w:themeColor="text1"/>
                <w:kern w:val="24"/>
              </w:rPr>
              <w:t>8.45</w:t>
            </w:r>
          </w:p>
          <w:p w14:paraId="350086EC" w14:textId="77777777" w:rsidR="00D67A2E" w:rsidRPr="008D0A08" w:rsidRDefault="00D67A2E" w:rsidP="008D0A08">
            <w:pPr>
              <w:spacing w:line="360" w:lineRule="auto"/>
              <w:jc w:val="both"/>
              <w:rPr>
                <w:rFonts w:ascii="Book Antiqua" w:hAnsi="Book Antiqua" w:cs="Arial"/>
                <w:color w:val="000000" w:themeColor="text1"/>
              </w:rPr>
            </w:pPr>
            <w:r w:rsidRPr="008D0A08">
              <w:rPr>
                <w:rFonts w:ascii="Book Antiqua" w:hAnsi="Book Antiqua" w:cs="Arial"/>
                <w:color w:val="000000" w:themeColor="text1"/>
                <w:kern w:val="24"/>
              </w:rPr>
              <w:t>(Range 8.23-8.72)</w:t>
            </w:r>
          </w:p>
        </w:tc>
        <w:tc>
          <w:tcPr>
            <w:tcW w:w="2610" w:type="dxa"/>
            <w:tcBorders>
              <w:left w:val="nil"/>
              <w:bottom w:val="nil"/>
              <w:right w:val="nil"/>
            </w:tcBorders>
            <w:vAlign w:val="center"/>
          </w:tcPr>
          <w:p w14:paraId="7044C8F3" w14:textId="3EE73D22" w:rsidR="00476110" w:rsidRPr="006D1E0D" w:rsidRDefault="00476110" w:rsidP="008D0A08">
            <w:pPr>
              <w:spacing w:line="360" w:lineRule="auto"/>
              <w:jc w:val="both"/>
              <w:rPr>
                <w:rFonts w:ascii="Book Antiqua" w:eastAsia="宋体" w:hAnsi="Book Antiqua" w:cs="Arial"/>
                <w:color w:val="000000" w:themeColor="text1"/>
                <w:lang w:eastAsia="zh-CN"/>
              </w:rPr>
            </w:pPr>
            <w:r w:rsidRPr="008D0A08">
              <w:rPr>
                <w:rFonts w:ascii="Book Antiqua" w:hAnsi="Book Antiqua" w:cs="Arial"/>
                <w:color w:val="000000" w:themeColor="text1"/>
                <w:kern w:val="24"/>
              </w:rPr>
              <w:t>5.58</w:t>
            </w:r>
            <w:r w:rsidR="006D1E0D">
              <w:rPr>
                <w:rFonts w:ascii="Book Antiqua" w:eastAsia="宋体" w:hAnsi="Book Antiqua" w:cs="Arial" w:hint="eastAsia"/>
                <w:color w:val="000000" w:themeColor="text1"/>
                <w:kern w:val="24"/>
                <w:lang w:eastAsia="zh-CN"/>
              </w:rPr>
              <w:t>%</w:t>
            </w:r>
          </w:p>
        </w:tc>
        <w:tc>
          <w:tcPr>
            <w:tcW w:w="1620" w:type="dxa"/>
            <w:tcBorders>
              <w:left w:val="nil"/>
              <w:bottom w:val="nil"/>
              <w:right w:val="nil"/>
            </w:tcBorders>
            <w:vAlign w:val="center"/>
          </w:tcPr>
          <w:p w14:paraId="19DDFB7B" w14:textId="77777777" w:rsidR="00476110" w:rsidRPr="008D0A08" w:rsidRDefault="00476110" w:rsidP="008D0A08">
            <w:pPr>
              <w:spacing w:line="360" w:lineRule="auto"/>
              <w:jc w:val="both"/>
              <w:rPr>
                <w:rFonts w:ascii="Book Antiqua" w:hAnsi="Book Antiqua" w:cs="Arial"/>
                <w:color w:val="000000" w:themeColor="text1"/>
              </w:rPr>
            </w:pPr>
            <w:r w:rsidRPr="008D0A08">
              <w:rPr>
                <w:rFonts w:ascii="Book Antiqua" w:hAnsi="Book Antiqua" w:cs="Arial"/>
                <w:color w:val="000000" w:themeColor="text1"/>
                <w:kern w:val="24"/>
              </w:rPr>
              <w:t>56.04</w:t>
            </w:r>
          </w:p>
        </w:tc>
        <w:tc>
          <w:tcPr>
            <w:tcW w:w="2250" w:type="dxa"/>
            <w:tcBorders>
              <w:left w:val="nil"/>
              <w:bottom w:val="nil"/>
            </w:tcBorders>
            <w:vAlign w:val="center"/>
          </w:tcPr>
          <w:p w14:paraId="7405520E" w14:textId="584E784C" w:rsidR="00476110" w:rsidRPr="006D1E0D" w:rsidRDefault="00476110" w:rsidP="008D0A08">
            <w:pPr>
              <w:spacing w:line="360" w:lineRule="auto"/>
              <w:jc w:val="both"/>
              <w:rPr>
                <w:rFonts w:ascii="Book Antiqua" w:eastAsia="宋体" w:hAnsi="Book Antiqua" w:cs="Arial"/>
                <w:color w:val="000000" w:themeColor="text1"/>
                <w:lang w:eastAsia="zh-CN"/>
              </w:rPr>
            </w:pPr>
            <w:r w:rsidRPr="008D0A08">
              <w:rPr>
                <w:rFonts w:ascii="Book Antiqua" w:hAnsi="Book Antiqua" w:cs="Arial"/>
                <w:color w:val="000000" w:themeColor="text1"/>
                <w:kern w:val="24"/>
              </w:rPr>
              <w:t>11.48</w:t>
            </w:r>
            <w:r w:rsidR="006D1E0D">
              <w:rPr>
                <w:rFonts w:ascii="Book Antiqua" w:eastAsia="宋体" w:hAnsi="Book Antiqua" w:cs="Arial" w:hint="eastAsia"/>
                <w:color w:val="000000" w:themeColor="text1"/>
                <w:kern w:val="24"/>
                <w:lang w:eastAsia="zh-CN"/>
              </w:rPr>
              <w:t>%</w:t>
            </w:r>
          </w:p>
        </w:tc>
      </w:tr>
      <w:tr w:rsidR="00476110" w:rsidRPr="008D0A08" w14:paraId="3D741DA9" w14:textId="77777777" w:rsidTr="006D1E0D">
        <w:trPr>
          <w:trHeight w:val="350"/>
        </w:trPr>
        <w:tc>
          <w:tcPr>
            <w:tcW w:w="1634" w:type="dxa"/>
            <w:tcBorders>
              <w:bottom w:val="single" w:sz="4" w:space="0" w:color="auto"/>
              <w:right w:val="nil"/>
            </w:tcBorders>
            <w:vAlign w:val="center"/>
          </w:tcPr>
          <w:p w14:paraId="60D081E7" w14:textId="77777777" w:rsidR="00476110" w:rsidRPr="008D0A08" w:rsidRDefault="00476110" w:rsidP="008D0A08">
            <w:pPr>
              <w:spacing w:line="360" w:lineRule="auto"/>
              <w:jc w:val="both"/>
              <w:rPr>
                <w:rFonts w:ascii="Book Antiqua" w:hAnsi="Book Antiqua" w:cs="Arial"/>
                <w:color w:val="000000" w:themeColor="text1"/>
              </w:rPr>
            </w:pPr>
            <w:r w:rsidRPr="001A0AD7">
              <w:rPr>
                <w:rFonts w:ascii="Book Antiqua" w:hAnsi="Book Antiqua" w:cs="Arial"/>
                <w:i/>
                <w:color w:val="000000" w:themeColor="text1"/>
                <w:kern w:val="24"/>
              </w:rPr>
              <w:t>P</w:t>
            </w:r>
            <w:r w:rsidRPr="008D0A08">
              <w:rPr>
                <w:rFonts w:ascii="Book Antiqua" w:hAnsi="Book Antiqua" w:cs="Arial"/>
                <w:color w:val="000000" w:themeColor="text1"/>
                <w:kern w:val="24"/>
              </w:rPr>
              <w:t>-value</w:t>
            </w:r>
          </w:p>
        </w:tc>
        <w:tc>
          <w:tcPr>
            <w:tcW w:w="2250" w:type="dxa"/>
            <w:tcBorders>
              <w:left w:val="nil"/>
              <w:bottom w:val="single" w:sz="4" w:space="0" w:color="auto"/>
              <w:right w:val="nil"/>
            </w:tcBorders>
            <w:vAlign w:val="center"/>
          </w:tcPr>
          <w:p w14:paraId="3A145B93" w14:textId="77777777" w:rsidR="00476110" w:rsidRPr="008D0A08" w:rsidRDefault="00476110" w:rsidP="008D0A08">
            <w:pPr>
              <w:spacing w:line="360" w:lineRule="auto"/>
              <w:jc w:val="both"/>
              <w:rPr>
                <w:rFonts w:ascii="Book Antiqua" w:hAnsi="Book Antiqua" w:cs="Arial"/>
                <w:color w:val="000000" w:themeColor="text1"/>
              </w:rPr>
            </w:pPr>
            <w:r w:rsidRPr="008D0A08">
              <w:rPr>
                <w:rFonts w:ascii="Book Antiqua" w:hAnsi="Book Antiqua" w:cs="Arial"/>
                <w:color w:val="000000" w:themeColor="text1"/>
                <w:kern w:val="24"/>
              </w:rPr>
              <w:t>0.01</w:t>
            </w:r>
          </w:p>
        </w:tc>
        <w:tc>
          <w:tcPr>
            <w:tcW w:w="2610" w:type="dxa"/>
            <w:tcBorders>
              <w:left w:val="nil"/>
              <w:bottom w:val="single" w:sz="4" w:space="0" w:color="auto"/>
              <w:right w:val="nil"/>
            </w:tcBorders>
            <w:vAlign w:val="center"/>
          </w:tcPr>
          <w:p w14:paraId="3A09FC61" w14:textId="48210A42" w:rsidR="00476110" w:rsidRPr="006D1E0D" w:rsidRDefault="00476110" w:rsidP="008D0A08">
            <w:pPr>
              <w:spacing w:line="360" w:lineRule="auto"/>
              <w:jc w:val="both"/>
              <w:rPr>
                <w:rFonts w:ascii="Book Antiqua" w:eastAsia="宋体" w:hAnsi="Book Antiqua" w:cs="Arial"/>
                <w:color w:val="000000" w:themeColor="text1"/>
                <w:lang w:eastAsia="zh-CN"/>
              </w:rPr>
            </w:pPr>
            <w:r w:rsidRPr="008D0A08">
              <w:rPr>
                <w:rFonts w:ascii="Book Antiqua" w:hAnsi="Book Antiqua" w:cs="Arial"/>
                <w:color w:val="000000" w:themeColor="text1"/>
                <w:kern w:val="24"/>
              </w:rPr>
              <w:t>0.01</w:t>
            </w:r>
            <w:r w:rsidR="006D1E0D">
              <w:rPr>
                <w:rFonts w:ascii="Book Antiqua" w:eastAsia="宋体" w:hAnsi="Book Antiqua" w:cs="Arial" w:hint="eastAsia"/>
                <w:color w:val="000000" w:themeColor="text1"/>
                <w:kern w:val="24"/>
                <w:lang w:eastAsia="zh-CN"/>
              </w:rPr>
              <w:t>%</w:t>
            </w:r>
          </w:p>
        </w:tc>
        <w:tc>
          <w:tcPr>
            <w:tcW w:w="1620" w:type="dxa"/>
            <w:tcBorders>
              <w:left w:val="nil"/>
              <w:bottom w:val="single" w:sz="4" w:space="0" w:color="auto"/>
              <w:right w:val="nil"/>
            </w:tcBorders>
            <w:vAlign w:val="center"/>
          </w:tcPr>
          <w:p w14:paraId="2C23F73F" w14:textId="77777777" w:rsidR="00476110" w:rsidRPr="008D0A08" w:rsidRDefault="00476110" w:rsidP="008D0A08">
            <w:pPr>
              <w:spacing w:line="360" w:lineRule="auto"/>
              <w:jc w:val="both"/>
              <w:rPr>
                <w:rFonts w:ascii="Book Antiqua" w:hAnsi="Book Antiqua" w:cs="Arial"/>
                <w:color w:val="000000" w:themeColor="text1"/>
              </w:rPr>
            </w:pPr>
            <w:r w:rsidRPr="008D0A08">
              <w:rPr>
                <w:rFonts w:ascii="Book Antiqua" w:hAnsi="Book Antiqua" w:cs="Arial"/>
                <w:color w:val="000000" w:themeColor="text1"/>
                <w:kern w:val="24"/>
              </w:rPr>
              <w:t>0.01</w:t>
            </w:r>
          </w:p>
        </w:tc>
        <w:tc>
          <w:tcPr>
            <w:tcW w:w="2250" w:type="dxa"/>
            <w:tcBorders>
              <w:left w:val="nil"/>
              <w:bottom w:val="single" w:sz="4" w:space="0" w:color="auto"/>
            </w:tcBorders>
            <w:vAlign w:val="center"/>
          </w:tcPr>
          <w:p w14:paraId="7AD0F5D6" w14:textId="5569EB67" w:rsidR="00476110" w:rsidRPr="006D1E0D" w:rsidRDefault="00476110" w:rsidP="008D0A08">
            <w:pPr>
              <w:spacing w:line="360" w:lineRule="auto"/>
              <w:jc w:val="both"/>
              <w:rPr>
                <w:rFonts w:ascii="Book Antiqua" w:eastAsia="宋体" w:hAnsi="Book Antiqua" w:cs="Arial"/>
                <w:color w:val="000000" w:themeColor="text1"/>
                <w:lang w:eastAsia="zh-CN"/>
              </w:rPr>
            </w:pPr>
            <w:r w:rsidRPr="008D0A08">
              <w:rPr>
                <w:rFonts w:ascii="Book Antiqua" w:hAnsi="Book Antiqua" w:cs="Arial"/>
                <w:color w:val="000000" w:themeColor="text1"/>
                <w:kern w:val="24"/>
              </w:rPr>
              <w:t>0.01</w:t>
            </w:r>
            <w:r w:rsidR="006D1E0D">
              <w:rPr>
                <w:rFonts w:ascii="Book Antiqua" w:eastAsia="宋体" w:hAnsi="Book Antiqua" w:cs="Arial" w:hint="eastAsia"/>
                <w:color w:val="000000" w:themeColor="text1"/>
                <w:kern w:val="24"/>
                <w:lang w:eastAsia="zh-CN"/>
              </w:rPr>
              <w:t>%</w:t>
            </w:r>
          </w:p>
        </w:tc>
      </w:tr>
    </w:tbl>
    <w:p w14:paraId="2AA2AD3E" w14:textId="77777777" w:rsidR="00476110" w:rsidRPr="008D0A08" w:rsidRDefault="00476110" w:rsidP="008D0A08">
      <w:pPr>
        <w:spacing w:line="360" w:lineRule="auto"/>
        <w:jc w:val="both"/>
        <w:rPr>
          <w:rFonts w:ascii="Book Antiqua" w:hAnsi="Book Antiqua" w:cs="Arial"/>
        </w:rPr>
      </w:pPr>
      <w:r w:rsidRPr="008D0A08">
        <w:rPr>
          <w:rFonts w:ascii="Book Antiqua" w:hAnsi="Book Antiqua" w:cs="Arial"/>
        </w:rPr>
        <w:br w:type="page"/>
      </w:r>
    </w:p>
    <w:p w14:paraId="4F375E83" w14:textId="77777777" w:rsidR="0032369C" w:rsidRDefault="0032369C" w:rsidP="008D0A08">
      <w:pPr>
        <w:spacing w:line="360" w:lineRule="auto"/>
        <w:jc w:val="both"/>
        <w:rPr>
          <w:rFonts w:ascii="Book Antiqua" w:eastAsia="宋体" w:hAnsi="Book Antiqua" w:cs="Arial"/>
          <w:lang w:eastAsia="zh-CN"/>
        </w:rPr>
      </w:pPr>
    </w:p>
    <w:p w14:paraId="3E183321" w14:textId="77777777" w:rsidR="006D1E0D" w:rsidRDefault="006D1E0D" w:rsidP="008D0A08">
      <w:pPr>
        <w:spacing w:line="360" w:lineRule="auto"/>
        <w:jc w:val="both"/>
        <w:rPr>
          <w:rFonts w:ascii="Book Antiqua" w:eastAsia="宋体" w:hAnsi="Book Antiqua" w:cs="Arial"/>
          <w:lang w:eastAsia="zh-CN"/>
        </w:rPr>
      </w:pPr>
    </w:p>
    <w:tbl>
      <w:tblPr>
        <w:tblStyle w:val="TableGrid"/>
        <w:tblpPr w:leftFromText="180" w:rightFromText="180" w:vertAnchor="page" w:horzAnchor="margin" w:tblpXSpec="center" w:tblpY="1371"/>
        <w:tblW w:w="7020"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810"/>
        <w:gridCol w:w="2790"/>
        <w:gridCol w:w="2340"/>
        <w:gridCol w:w="1080"/>
      </w:tblGrid>
      <w:tr w:rsidR="006D1E0D" w:rsidRPr="008D0A08" w14:paraId="6A82E9B7" w14:textId="77777777" w:rsidTr="006D232F">
        <w:trPr>
          <w:trHeight w:val="276"/>
        </w:trPr>
        <w:tc>
          <w:tcPr>
            <w:tcW w:w="7020" w:type="dxa"/>
            <w:gridSpan w:val="4"/>
            <w:tcBorders>
              <w:bottom w:val="single" w:sz="4" w:space="0" w:color="auto"/>
            </w:tcBorders>
            <w:vAlign w:val="center"/>
          </w:tcPr>
          <w:p w14:paraId="0DD2C958" w14:textId="6C908406" w:rsidR="006D1E0D" w:rsidRPr="006D1E0D" w:rsidRDefault="006D1E0D" w:rsidP="006D232F">
            <w:pPr>
              <w:spacing w:line="360" w:lineRule="auto"/>
              <w:jc w:val="both"/>
              <w:rPr>
                <w:rFonts w:ascii="Book Antiqua" w:eastAsia="宋体" w:hAnsi="Book Antiqua" w:cs="Arial"/>
                <w:lang w:eastAsia="zh-CN"/>
              </w:rPr>
            </w:pPr>
            <w:r>
              <w:rPr>
                <w:rFonts w:ascii="Book Antiqua" w:hAnsi="Book Antiqua" w:cs="Arial"/>
                <w:b/>
              </w:rPr>
              <w:t>Table 4</w:t>
            </w:r>
            <w:r w:rsidR="00AE2B32">
              <w:rPr>
                <w:rFonts w:ascii="Book Antiqua" w:hAnsi="Book Antiqua" w:cs="Arial"/>
                <w:b/>
              </w:rPr>
              <w:t xml:space="preserve"> Clinical Success of</w:t>
            </w:r>
            <w:r w:rsidR="00AE2B32">
              <w:rPr>
                <w:rFonts w:eastAsia="宋体" w:hint="eastAsia"/>
                <w:lang w:eastAsia="zh-CN"/>
              </w:rPr>
              <w:t xml:space="preserve"> </w:t>
            </w:r>
            <w:proofErr w:type="spellStart"/>
            <w:r w:rsidR="00AE2B32">
              <w:rPr>
                <w:rFonts w:ascii="Book Antiqua" w:hAnsi="Book Antiqua" w:cs="Arial"/>
                <w:b/>
              </w:rPr>
              <w:t>transjugular</w:t>
            </w:r>
            <w:proofErr w:type="spellEnd"/>
            <w:r w:rsidR="00AE2B32">
              <w:rPr>
                <w:rFonts w:ascii="Book Antiqua" w:eastAsia="宋体" w:hAnsi="Book Antiqua" w:cs="Arial" w:hint="eastAsia"/>
                <w:b/>
                <w:lang w:eastAsia="zh-CN"/>
              </w:rPr>
              <w:t xml:space="preserve"> </w:t>
            </w:r>
            <w:r w:rsidRPr="006D1E0D">
              <w:rPr>
                <w:rFonts w:ascii="Book Antiqua" w:hAnsi="Book Antiqua" w:cs="Arial"/>
                <w:b/>
              </w:rPr>
              <w:t xml:space="preserve">intrahepatic </w:t>
            </w:r>
            <w:proofErr w:type="spellStart"/>
            <w:r w:rsidRPr="006D1E0D">
              <w:rPr>
                <w:rFonts w:ascii="Book Antiqua" w:hAnsi="Book Antiqua" w:cs="Arial"/>
                <w:b/>
              </w:rPr>
              <w:t>portosystemic</w:t>
            </w:r>
            <w:proofErr w:type="spellEnd"/>
            <w:r w:rsidRPr="006D1E0D">
              <w:rPr>
                <w:rFonts w:ascii="Book Antiqua" w:hAnsi="Book Antiqua" w:cs="Arial"/>
                <w:b/>
              </w:rPr>
              <w:t xml:space="preserve"> shunt </w:t>
            </w:r>
            <w:r w:rsidRPr="006D1E0D">
              <w:rPr>
                <w:rFonts w:ascii="Book Antiqua" w:eastAsia="宋体" w:hAnsi="Book Antiqua" w:cs="Arial" w:hint="eastAsia"/>
                <w:b/>
                <w:i/>
                <w:lang w:eastAsia="zh-CN"/>
              </w:rPr>
              <w:t>n</w:t>
            </w:r>
            <w:r>
              <w:rPr>
                <w:rFonts w:ascii="Book Antiqua" w:eastAsia="宋体" w:hAnsi="Book Antiqua" w:cs="Arial" w:hint="eastAsia"/>
                <w:b/>
                <w:lang w:eastAsia="zh-CN"/>
              </w:rPr>
              <w:t xml:space="preserve"> (%)</w:t>
            </w:r>
          </w:p>
        </w:tc>
      </w:tr>
      <w:tr w:rsidR="006D1E0D" w:rsidRPr="008D0A08" w14:paraId="59874FF4" w14:textId="77777777" w:rsidTr="006D232F">
        <w:trPr>
          <w:trHeight w:val="276"/>
        </w:trPr>
        <w:tc>
          <w:tcPr>
            <w:tcW w:w="810" w:type="dxa"/>
            <w:tcBorders>
              <w:top w:val="single" w:sz="4" w:space="0" w:color="auto"/>
              <w:bottom w:val="single" w:sz="4" w:space="0" w:color="auto"/>
              <w:right w:val="nil"/>
            </w:tcBorders>
            <w:vAlign w:val="center"/>
          </w:tcPr>
          <w:p w14:paraId="3B4D0CE3" w14:textId="77777777" w:rsidR="006D1E0D" w:rsidRPr="008D0A08" w:rsidRDefault="006D1E0D" w:rsidP="006D232F">
            <w:pPr>
              <w:tabs>
                <w:tab w:val="center" w:pos="4320"/>
                <w:tab w:val="right" w:pos="8640"/>
              </w:tabs>
              <w:spacing w:line="360" w:lineRule="auto"/>
              <w:jc w:val="both"/>
              <w:rPr>
                <w:rFonts w:ascii="Book Antiqua" w:hAnsi="Book Antiqua" w:cs="Arial"/>
              </w:rPr>
            </w:pPr>
          </w:p>
        </w:tc>
        <w:tc>
          <w:tcPr>
            <w:tcW w:w="2790" w:type="dxa"/>
            <w:tcBorders>
              <w:top w:val="single" w:sz="4" w:space="0" w:color="auto"/>
              <w:left w:val="nil"/>
              <w:bottom w:val="single" w:sz="4" w:space="0" w:color="auto"/>
              <w:right w:val="nil"/>
            </w:tcBorders>
            <w:vAlign w:val="center"/>
          </w:tcPr>
          <w:p w14:paraId="15F44087" w14:textId="77777777" w:rsidR="006D1E0D" w:rsidRPr="008D0A08" w:rsidRDefault="006D1E0D" w:rsidP="006D232F">
            <w:pPr>
              <w:tabs>
                <w:tab w:val="center" w:pos="4320"/>
                <w:tab w:val="right" w:pos="8640"/>
              </w:tabs>
              <w:spacing w:line="360" w:lineRule="auto"/>
              <w:jc w:val="both"/>
              <w:rPr>
                <w:rFonts w:ascii="Book Antiqua" w:hAnsi="Book Antiqua" w:cs="Arial"/>
              </w:rPr>
            </w:pPr>
            <w:r w:rsidRPr="008D0A08">
              <w:rPr>
                <w:rFonts w:ascii="Book Antiqua" w:hAnsi="Book Antiqua" w:cs="Arial"/>
                <w:b/>
                <w:bCs/>
              </w:rPr>
              <w:t>Sub-maximally dilated</w:t>
            </w:r>
          </w:p>
        </w:tc>
        <w:tc>
          <w:tcPr>
            <w:tcW w:w="2340" w:type="dxa"/>
            <w:tcBorders>
              <w:top w:val="single" w:sz="4" w:space="0" w:color="auto"/>
              <w:left w:val="nil"/>
              <w:bottom w:val="single" w:sz="4" w:space="0" w:color="auto"/>
              <w:right w:val="nil"/>
            </w:tcBorders>
            <w:vAlign w:val="center"/>
          </w:tcPr>
          <w:p w14:paraId="565C2946" w14:textId="77777777" w:rsidR="006D1E0D" w:rsidRPr="008D0A08" w:rsidRDefault="006D1E0D" w:rsidP="006D232F">
            <w:pPr>
              <w:tabs>
                <w:tab w:val="center" w:pos="4320"/>
                <w:tab w:val="right" w:pos="8640"/>
              </w:tabs>
              <w:spacing w:line="360" w:lineRule="auto"/>
              <w:jc w:val="both"/>
              <w:rPr>
                <w:rFonts w:ascii="Book Antiqua" w:hAnsi="Book Antiqua" w:cs="Arial"/>
              </w:rPr>
            </w:pPr>
            <w:r w:rsidRPr="008D0A08">
              <w:rPr>
                <w:rFonts w:ascii="Book Antiqua" w:hAnsi="Book Antiqua" w:cs="Arial"/>
                <w:b/>
                <w:bCs/>
              </w:rPr>
              <w:t>Maximally dilated</w:t>
            </w:r>
          </w:p>
        </w:tc>
        <w:tc>
          <w:tcPr>
            <w:tcW w:w="1080" w:type="dxa"/>
            <w:tcBorders>
              <w:top w:val="single" w:sz="4" w:space="0" w:color="auto"/>
              <w:left w:val="nil"/>
              <w:bottom w:val="single" w:sz="4" w:space="0" w:color="auto"/>
            </w:tcBorders>
            <w:vAlign w:val="center"/>
          </w:tcPr>
          <w:p w14:paraId="28A83F0B" w14:textId="77777777" w:rsidR="006D1E0D" w:rsidRPr="008D0A08" w:rsidRDefault="006D1E0D" w:rsidP="006D232F">
            <w:pPr>
              <w:tabs>
                <w:tab w:val="center" w:pos="4320"/>
                <w:tab w:val="right" w:pos="8640"/>
              </w:tabs>
              <w:spacing w:line="360" w:lineRule="auto"/>
              <w:jc w:val="both"/>
              <w:rPr>
                <w:rFonts w:ascii="Book Antiqua" w:hAnsi="Book Antiqua" w:cs="Arial"/>
              </w:rPr>
            </w:pPr>
            <w:r w:rsidRPr="006D1E0D">
              <w:rPr>
                <w:rFonts w:ascii="Book Antiqua" w:hAnsi="Book Antiqua" w:cs="Arial"/>
                <w:b/>
                <w:bCs/>
                <w:i/>
                <w:color w:val="000000"/>
                <w:kern w:val="24"/>
              </w:rPr>
              <w:t>P</w:t>
            </w:r>
            <w:r>
              <w:rPr>
                <w:rFonts w:ascii="Book Antiqua" w:eastAsia="宋体" w:hAnsi="Book Antiqua" w:cs="Arial" w:hint="eastAsia"/>
                <w:b/>
                <w:bCs/>
                <w:color w:val="000000"/>
                <w:kern w:val="24"/>
                <w:lang w:eastAsia="zh-CN"/>
              </w:rPr>
              <w:t xml:space="preserve"> </w:t>
            </w:r>
            <w:r w:rsidRPr="008D0A08">
              <w:rPr>
                <w:rFonts w:ascii="Book Antiqua" w:hAnsi="Book Antiqua" w:cs="Arial"/>
                <w:b/>
                <w:bCs/>
                <w:color w:val="000000"/>
                <w:kern w:val="24"/>
              </w:rPr>
              <w:t>value</w:t>
            </w:r>
          </w:p>
        </w:tc>
      </w:tr>
      <w:tr w:rsidR="006D1E0D" w:rsidRPr="008D0A08" w14:paraId="7372E873" w14:textId="77777777" w:rsidTr="006D232F">
        <w:trPr>
          <w:trHeight w:val="276"/>
        </w:trPr>
        <w:tc>
          <w:tcPr>
            <w:tcW w:w="7020" w:type="dxa"/>
            <w:gridSpan w:val="4"/>
            <w:tcBorders>
              <w:top w:val="single" w:sz="4" w:space="0" w:color="auto"/>
              <w:bottom w:val="nil"/>
            </w:tcBorders>
            <w:vAlign w:val="center"/>
          </w:tcPr>
          <w:p w14:paraId="37131E01" w14:textId="77777777" w:rsidR="006D1E0D" w:rsidRPr="008D0A08" w:rsidRDefault="006D1E0D" w:rsidP="006D232F">
            <w:pPr>
              <w:spacing w:line="360" w:lineRule="auto"/>
              <w:jc w:val="both"/>
              <w:rPr>
                <w:rFonts w:ascii="Book Antiqua" w:hAnsi="Book Antiqua" w:cs="Arial"/>
                <w:i/>
              </w:rPr>
            </w:pPr>
            <w:r w:rsidRPr="008D0A08">
              <w:rPr>
                <w:rFonts w:ascii="Book Antiqua" w:hAnsi="Book Antiqua" w:cs="Arial"/>
                <w:bCs/>
                <w:i/>
                <w:color w:val="000000" w:themeColor="text1"/>
                <w:kern w:val="24"/>
              </w:rPr>
              <w:t>Complete Clinical Success of TIPS for Ascites</w:t>
            </w:r>
          </w:p>
        </w:tc>
      </w:tr>
      <w:tr w:rsidR="006D1E0D" w:rsidRPr="008D0A08" w14:paraId="471D280D" w14:textId="77777777" w:rsidTr="006D232F">
        <w:trPr>
          <w:trHeight w:val="276"/>
        </w:trPr>
        <w:tc>
          <w:tcPr>
            <w:tcW w:w="810" w:type="dxa"/>
            <w:tcBorders>
              <w:bottom w:val="nil"/>
              <w:right w:val="nil"/>
            </w:tcBorders>
            <w:vAlign w:val="center"/>
          </w:tcPr>
          <w:p w14:paraId="1A4C66AF" w14:textId="77777777" w:rsidR="006D1E0D" w:rsidRPr="008D0A08" w:rsidRDefault="006D1E0D" w:rsidP="006D232F">
            <w:pPr>
              <w:spacing w:line="360" w:lineRule="auto"/>
              <w:jc w:val="both"/>
              <w:rPr>
                <w:rFonts w:ascii="Book Antiqua" w:hAnsi="Book Antiqua" w:cs="Arial"/>
              </w:rPr>
            </w:pPr>
            <w:r w:rsidRPr="008D0A08">
              <w:rPr>
                <w:rFonts w:ascii="Book Antiqua" w:hAnsi="Book Antiqua" w:cs="Arial"/>
                <w:color w:val="000000"/>
                <w:kern w:val="24"/>
              </w:rPr>
              <w:t>Yes</w:t>
            </w:r>
          </w:p>
        </w:tc>
        <w:tc>
          <w:tcPr>
            <w:tcW w:w="2790" w:type="dxa"/>
            <w:tcBorders>
              <w:left w:val="nil"/>
              <w:bottom w:val="nil"/>
              <w:right w:val="nil"/>
            </w:tcBorders>
            <w:vAlign w:val="center"/>
          </w:tcPr>
          <w:p w14:paraId="000C186D" w14:textId="77777777" w:rsidR="006D1E0D" w:rsidRPr="008D0A08" w:rsidRDefault="006D1E0D" w:rsidP="006D232F">
            <w:pPr>
              <w:spacing w:line="360" w:lineRule="auto"/>
              <w:jc w:val="both"/>
              <w:rPr>
                <w:rFonts w:ascii="Book Antiqua" w:hAnsi="Book Antiqua" w:cs="Arial"/>
              </w:rPr>
            </w:pPr>
            <w:r w:rsidRPr="008D0A08">
              <w:rPr>
                <w:rFonts w:ascii="Book Antiqua" w:hAnsi="Book Antiqua" w:cs="Arial"/>
                <w:color w:val="000000"/>
                <w:kern w:val="24"/>
              </w:rPr>
              <w:t>9 (64)</w:t>
            </w:r>
          </w:p>
        </w:tc>
        <w:tc>
          <w:tcPr>
            <w:tcW w:w="2340" w:type="dxa"/>
            <w:tcBorders>
              <w:left w:val="nil"/>
              <w:bottom w:val="nil"/>
              <w:right w:val="nil"/>
            </w:tcBorders>
            <w:vAlign w:val="center"/>
          </w:tcPr>
          <w:p w14:paraId="6B11C0B2" w14:textId="77777777" w:rsidR="006D1E0D" w:rsidRPr="008D0A08" w:rsidRDefault="006D1E0D" w:rsidP="006D232F">
            <w:pPr>
              <w:spacing w:line="360" w:lineRule="auto"/>
              <w:jc w:val="both"/>
              <w:rPr>
                <w:rFonts w:ascii="Book Antiqua" w:hAnsi="Book Antiqua" w:cs="Arial"/>
              </w:rPr>
            </w:pPr>
            <w:r>
              <w:rPr>
                <w:rFonts w:ascii="Book Antiqua" w:hAnsi="Book Antiqua" w:cs="Arial"/>
                <w:color w:val="000000"/>
                <w:kern w:val="24"/>
              </w:rPr>
              <w:t>63 (64</w:t>
            </w:r>
            <w:r w:rsidRPr="008D0A08">
              <w:rPr>
                <w:rFonts w:ascii="Book Antiqua" w:hAnsi="Book Antiqua" w:cs="Arial"/>
                <w:color w:val="000000"/>
                <w:kern w:val="24"/>
              </w:rPr>
              <w:t>)</w:t>
            </w:r>
          </w:p>
        </w:tc>
        <w:tc>
          <w:tcPr>
            <w:tcW w:w="1080" w:type="dxa"/>
            <w:vMerge w:val="restart"/>
            <w:tcBorders>
              <w:left w:val="nil"/>
              <w:bottom w:val="nil"/>
            </w:tcBorders>
            <w:vAlign w:val="center"/>
          </w:tcPr>
          <w:p w14:paraId="231A6839" w14:textId="77777777" w:rsidR="006D1E0D" w:rsidRPr="008D0A08" w:rsidRDefault="006D1E0D" w:rsidP="006D232F">
            <w:pPr>
              <w:spacing w:line="360" w:lineRule="auto"/>
              <w:jc w:val="both"/>
              <w:rPr>
                <w:rFonts w:ascii="Book Antiqua" w:hAnsi="Book Antiqua" w:cs="Arial"/>
              </w:rPr>
            </w:pPr>
            <w:r w:rsidRPr="008D0A08">
              <w:rPr>
                <w:rFonts w:ascii="Book Antiqua" w:hAnsi="Book Antiqua" w:cs="Arial"/>
                <w:color w:val="000000"/>
                <w:kern w:val="24"/>
              </w:rPr>
              <w:t>1</w:t>
            </w:r>
          </w:p>
        </w:tc>
      </w:tr>
      <w:tr w:rsidR="006D1E0D" w:rsidRPr="008D0A08" w14:paraId="7B455439" w14:textId="77777777" w:rsidTr="006D232F">
        <w:trPr>
          <w:trHeight w:val="276"/>
        </w:trPr>
        <w:tc>
          <w:tcPr>
            <w:tcW w:w="810" w:type="dxa"/>
            <w:tcBorders>
              <w:bottom w:val="nil"/>
              <w:right w:val="nil"/>
            </w:tcBorders>
            <w:vAlign w:val="center"/>
          </w:tcPr>
          <w:p w14:paraId="4496504A" w14:textId="77777777" w:rsidR="006D1E0D" w:rsidRPr="008D0A08" w:rsidRDefault="006D1E0D" w:rsidP="006D232F">
            <w:pPr>
              <w:spacing w:line="360" w:lineRule="auto"/>
              <w:jc w:val="both"/>
              <w:rPr>
                <w:rFonts w:ascii="Book Antiqua" w:hAnsi="Book Antiqua" w:cs="Arial"/>
              </w:rPr>
            </w:pPr>
            <w:r w:rsidRPr="008D0A08">
              <w:rPr>
                <w:rFonts w:ascii="Book Antiqua" w:hAnsi="Book Antiqua" w:cs="Arial"/>
                <w:color w:val="000000"/>
                <w:kern w:val="24"/>
              </w:rPr>
              <w:t>No</w:t>
            </w:r>
          </w:p>
        </w:tc>
        <w:tc>
          <w:tcPr>
            <w:tcW w:w="2790" w:type="dxa"/>
            <w:tcBorders>
              <w:left w:val="nil"/>
              <w:bottom w:val="nil"/>
              <w:right w:val="nil"/>
            </w:tcBorders>
            <w:vAlign w:val="center"/>
          </w:tcPr>
          <w:p w14:paraId="5593115B" w14:textId="77777777" w:rsidR="006D1E0D" w:rsidRPr="008D0A08" w:rsidRDefault="006D1E0D" w:rsidP="006D232F">
            <w:pPr>
              <w:spacing w:line="360" w:lineRule="auto"/>
              <w:jc w:val="both"/>
              <w:rPr>
                <w:rFonts w:ascii="Book Antiqua" w:hAnsi="Book Antiqua" w:cs="Arial"/>
              </w:rPr>
            </w:pPr>
            <w:r>
              <w:rPr>
                <w:rFonts w:ascii="Book Antiqua" w:hAnsi="Book Antiqua" w:cs="Arial"/>
                <w:color w:val="000000"/>
                <w:kern w:val="24"/>
              </w:rPr>
              <w:t>5 (36</w:t>
            </w:r>
            <w:r w:rsidRPr="008D0A08">
              <w:rPr>
                <w:rFonts w:ascii="Book Antiqua" w:hAnsi="Book Antiqua" w:cs="Arial"/>
                <w:color w:val="000000"/>
                <w:kern w:val="24"/>
              </w:rPr>
              <w:t>)</w:t>
            </w:r>
          </w:p>
        </w:tc>
        <w:tc>
          <w:tcPr>
            <w:tcW w:w="2340" w:type="dxa"/>
            <w:tcBorders>
              <w:left w:val="nil"/>
              <w:bottom w:val="nil"/>
              <w:right w:val="nil"/>
            </w:tcBorders>
            <w:vAlign w:val="center"/>
          </w:tcPr>
          <w:p w14:paraId="060DAE2C" w14:textId="77777777" w:rsidR="006D1E0D" w:rsidRPr="008D0A08" w:rsidRDefault="006D1E0D" w:rsidP="006D232F">
            <w:pPr>
              <w:spacing w:line="360" w:lineRule="auto"/>
              <w:jc w:val="both"/>
              <w:rPr>
                <w:rFonts w:ascii="Book Antiqua" w:hAnsi="Book Antiqua" w:cs="Arial"/>
              </w:rPr>
            </w:pPr>
            <w:r>
              <w:rPr>
                <w:rFonts w:ascii="Book Antiqua" w:hAnsi="Book Antiqua" w:cs="Arial"/>
                <w:color w:val="000000"/>
                <w:kern w:val="24"/>
              </w:rPr>
              <w:t>35 (36</w:t>
            </w:r>
            <w:r w:rsidRPr="008D0A08">
              <w:rPr>
                <w:rFonts w:ascii="Book Antiqua" w:hAnsi="Book Antiqua" w:cs="Arial"/>
                <w:color w:val="000000"/>
                <w:kern w:val="24"/>
              </w:rPr>
              <w:t>)</w:t>
            </w:r>
          </w:p>
        </w:tc>
        <w:tc>
          <w:tcPr>
            <w:tcW w:w="1080" w:type="dxa"/>
            <w:vMerge/>
            <w:tcBorders>
              <w:left w:val="nil"/>
              <w:bottom w:val="nil"/>
            </w:tcBorders>
            <w:vAlign w:val="center"/>
          </w:tcPr>
          <w:p w14:paraId="55DF86DB" w14:textId="77777777" w:rsidR="006D1E0D" w:rsidRPr="008D0A08" w:rsidRDefault="006D1E0D" w:rsidP="006D232F">
            <w:pPr>
              <w:spacing w:line="360" w:lineRule="auto"/>
              <w:jc w:val="both"/>
              <w:rPr>
                <w:rFonts w:ascii="Book Antiqua" w:hAnsi="Book Antiqua" w:cs="Arial"/>
              </w:rPr>
            </w:pPr>
          </w:p>
        </w:tc>
      </w:tr>
      <w:tr w:rsidR="006D1E0D" w:rsidRPr="008D0A08" w14:paraId="4A678194" w14:textId="77777777" w:rsidTr="006D232F">
        <w:trPr>
          <w:trHeight w:val="276"/>
        </w:trPr>
        <w:tc>
          <w:tcPr>
            <w:tcW w:w="7020" w:type="dxa"/>
            <w:gridSpan w:val="4"/>
            <w:tcBorders>
              <w:bottom w:val="nil"/>
            </w:tcBorders>
          </w:tcPr>
          <w:p w14:paraId="2DBD18A7" w14:textId="77777777" w:rsidR="006D1E0D" w:rsidRPr="008D0A08" w:rsidRDefault="006D1E0D" w:rsidP="006D232F">
            <w:pPr>
              <w:spacing w:line="360" w:lineRule="auto"/>
              <w:jc w:val="both"/>
              <w:rPr>
                <w:rFonts w:ascii="Book Antiqua" w:hAnsi="Book Antiqua" w:cs="Arial"/>
                <w:i/>
              </w:rPr>
            </w:pPr>
            <w:r w:rsidRPr="008D0A08">
              <w:rPr>
                <w:rFonts w:ascii="Book Antiqua" w:hAnsi="Book Antiqua" w:cs="Arial"/>
                <w:bCs/>
                <w:i/>
                <w:color w:val="000000" w:themeColor="text1"/>
                <w:kern w:val="24"/>
              </w:rPr>
              <w:t>Partial Clinical Success of TIPS for Ascites</w:t>
            </w:r>
          </w:p>
        </w:tc>
      </w:tr>
      <w:tr w:rsidR="006D1E0D" w:rsidRPr="008D0A08" w14:paraId="61AA0DE0" w14:textId="77777777" w:rsidTr="006D232F">
        <w:trPr>
          <w:trHeight w:val="276"/>
        </w:trPr>
        <w:tc>
          <w:tcPr>
            <w:tcW w:w="810" w:type="dxa"/>
            <w:tcBorders>
              <w:bottom w:val="nil"/>
              <w:right w:val="nil"/>
            </w:tcBorders>
          </w:tcPr>
          <w:p w14:paraId="7FE2EC78" w14:textId="77777777" w:rsidR="006D1E0D" w:rsidRPr="008D0A08" w:rsidRDefault="006D1E0D" w:rsidP="006D232F">
            <w:pPr>
              <w:spacing w:line="360" w:lineRule="auto"/>
              <w:jc w:val="both"/>
              <w:rPr>
                <w:rFonts w:ascii="Book Antiqua" w:hAnsi="Book Antiqua" w:cs="Arial"/>
              </w:rPr>
            </w:pPr>
            <w:r w:rsidRPr="008D0A08">
              <w:rPr>
                <w:rFonts w:ascii="Book Antiqua" w:hAnsi="Book Antiqua" w:cs="Arial"/>
                <w:color w:val="000000" w:themeColor="text1"/>
                <w:kern w:val="24"/>
              </w:rPr>
              <w:t>Yes</w:t>
            </w:r>
          </w:p>
        </w:tc>
        <w:tc>
          <w:tcPr>
            <w:tcW w:w="2790" w:type="dxa"/>
            <w:tcBorders>
              <w:left w:val="nil"/>
              <w:bottom w:val="nil"/>
              <w:right w:val="nil"/>
            </w:tcBorders>
          </w:tcPr>
          <w:p w14:paraId="3F96B267" w14:textId="77777777" w:rsidR="006D1E0D" w:rsidRPr="008D0A08" w:rsidRDefault="006D1E0D" w:rsidP="006D232F">
            <w:pPr>
              <w:spacing w:line="360" w:lineRule="auto"/>
              <w:jc w:val="both"/>
              <w:rPr>
                <w:rFonts w:ascii="Book Antiqua" w:hAnsi="Book Antiqua" w:cs="Arial"/>
              </w:rPr>
            </w:pPr>
            <w:r w:rsidRPr="008D0A08">
              <w:rPr>
                <w:rFonts w:ascii="Book Antiqua" w:hAnsi="Book Antiqua" w:cs="Arial"/>
                <w:color w:val="000000" w:themeColor="text1"/>
                <w:kern w:val="24"/>
              </w:rPr>
              <w:t xml:space="preserve">11 </w:t>
            </w:r>
            <w:r>
              <w:rPr>
                <w:rFonts w:ascii="Book Antiqua" w:hAnsi="Book Antiqua" w:cs="Arial"/>
                <w:color w:val="000000" w:themeColor="text1"/>
                <w:kern w:val="24"/>
              </w:rPr>
              <w:t>(79</w:t>
            </w:r>
            <w:r w:rsidRPr="008D0A08">
              <w:rPr>
                <w:rFonts w:ascii="Book Antiqua" w:hAnsi="Book Antiqua" w:cs="Arial"/>
                <w:color w:val="000000" w:themeColor="text1"/>
                <w:kern w:val="24"/>
              </w:rPr>
              <w:t>)</w:t>
            </w:r>
          </w:p>
        </w:tc>
        <w:tc>
          <w:tcPr>
            <w:tcW w:w="2340" w:type="dxa"/>
            <w:tcBorders>
              <w:left w:val="nil"/>
              <w:bottom w:val="nil"/>
              <w:right w:val="nil"/>
            </w:tcBorders>
          </w:tcPr>
          <w:p w14:paraId="1346E82C" w14:textId="77777777" w:rsidR="006D1E0D" w:rsidRPr="008D0A08" w:rsidRDefault="006D1E0D" w:rsidP="006D232F">
            <w:pPr>
              <w:spacing w:line="360" w:lineRule="auto"/>
              <w:jc w:val="both"/>
              <w:rPr>
                <w:rFonts w:ascii="Book Antiqua" w:hAnsi="Book Antiqua" w:cs="Arial"/>
              </w:rPr>
            </w:pPr>
            <w:r>
              <w:rPr>
                <w:rFonts w:ascii="Book Antiqua" w:hAnsi="Book Antiqua" w:cs="Arial"/>
                <w:color w:val="000000" w:themeColor="text1"/>
                <w:kern w:val="24"/>
              </w:rPr>
              <w:t>89 (91</w:t>
            </w:r>
            <w:r w:rsidRPr="008D0A08">
              <w:rPr>
                <w:rFonts w:ascii="Book Antiqua" w:hAnsi="Book Antiqua" w:cs="Arial"/>
                <w:color w:val="000000" w:themeColor="text1"/>
                <w:kern w:val="24"/>
              </w:rPr>
              <w:t>)</w:t>
            </w:r>
          </w:p>
        </w:tc>
        <w:tc>
          <w:tcPr>
            <w:tcW w:w="1080" w:type="dxa"/>
            <w:vMerge w:val="restart"/>
            <w:tcBorders>
              <w:left w:val="nil"/>
              <w:bottom w:val="nil"/>
            </w:tcBorders>
            <w:vAlign w:val="center"/>
          </w:tcPr>
          <w:p w14:paraId="22458FCA" w14:textId="77777777" w:rsidR="006D1E0D" w:rsidRPr="008D0A08" w:rsidRDefault="006D1E0D" w:rsidP="006D232F">
            <w:pPr>
              <w:spacing w:line="360" w:lineRule="auto"/>
              <w:jc w:val="both"/>
              <w:rPr>
                <w:rFonts w:ascii="Book Antiqua" w:hAnsi="Book Antiqua" w:cs="Arial"/>
              </w:rPr>
            </w:pPr>
            <w:r w:rsidRPr="008D0A08">
              <w:rPr>
                <w:rFonts w:ascii="Book Antiqua" w:hAnsi="Book Antiqua" w:cs="Arial"/>
                <w:color w:val="000000" w:themeColor="text1"/>
                <w:kern w:val="24"/>
              </w:rPr>
              <w:t>0.17</w:t>
            </w:r>
          </w:p>
        </w:tc>
      </w:tr>
      <w:tr w:rsidR="006D1E0D" w:rsidRPr="008D0A08" w14:paraId="21C38734" w14:textId="77777777" w:rsidTr="006D232F">
        <w:trPr>
          <w:trHeight w:val="276"/>
        </w:trPr>
        <w:tc>
          <w:tcPr>
            <w:tcW w:w="810" w:type="dxa"/>
            <w:tcBorders>
              <w:bottom w:val="nil"/>
              <w:right w:val="nil"/>
            </w:tcBorders>
          </w:tcPr>
          <w:p w14:paraId="53E32DE1" w14:textId="77777777" w:rsidR="006D1E0D" w:rsidRPr="008D0A08" w:rsidRDefault="006D1E0D" w:rsidP="006D232F">
            <w:pPr>
              <w:spacing w:line="360" w:lineRule="auto"/>
              <w:jc w:val="both"/>
              <w:rPr>
                <w:rFonts w:ascii="Book Antiqua" w:hAnsi="Book Antiqua" w:cs="Arial"/>
              </w:rPr>
            </w:pPr>
            <w:r w:rsidRPr="008D0A08">
              <w:rPr>
                <w:rFonts w:ascii="Book Antiqua" w:hAnsi="Book Antiqua" w:cs="Arial"/>
                <w:color w:val="000000" w:themeColor="text1"/>
                <w:kern w:val="24"/>
              </w:rPr>
              <w:t>No</w:t>
            </w:r>
          </w:p>
        </w:tc>
        <w:tc>
          <w:tcPr>
            <w:tcW w:w="2790" w:type="dxa"/>
            <w:tcBorders>
              <w:left w:val="nil"/>
              <w:bottom w:val="nil"/>
              <w:right w:val="nil"/>
            </w:tcBorders>
          </w:tcPr>
          <w:p w14:paraId="4D63F2F8" w14:textId="77777777" w:rsidR="006D1E0D" w:rsidRPr="008D0A08" w:rsidRDefault="006D1E0D" w:rsidP="006D232F">
            <w:pPr>
              <w:spacing w:line="360" w:lineRule="auto"/>
              <w:jc w:val="both"/>
              <w:rPr>
                <w:rFonts w:ascii="Book Antiqua" w:hAnsi="Book Antiqua" w:cs="Arial"/>
              </w:rPr>
            </w:pPr>
            <w:r>
              <w:rPr>
                <w:rFonts w:ascii="Book Antiqua" w:hAnsi="Book Antiqua" w:cs="Arial"/>
                <w:color w:val="000000" w:themeColor="text1"/>
                <w:kern w:val="24"/>
              </w:rPr>
              <w:t>3 (21</w:t>
            </w:r>
            <w:r w:rsidRPr="008D0A08">
              <w:rPr>
                <w:rFonts w:ascii="Book Antiqua" w:hAnsi="Book Antiqua" w:cs="Arial"/>
                <w:color w:val="000000" w:themeColor="text1"/>
                <w:kern w:val="24"/>
              </w:rPr>
              <w:t>)</w:t>
            </w:r>
          </w:p>
        </w:tc>
        <w:tc>
          <w:tcPr>
            <w:tcW w:w="2340" w:type="dxa"/>
            <w:tcBorders>
              <w:left w:val="nil"/>
              <w:bottom w:val="nil"/>
              <w:right w:val="nil"/>
            </w:tcBorders>
          </w:tcPr>
          <w:p w14:paraId="0E6CF2F5" w14:textId="77777777" w:rsidR="006D1E0D" w:rsidRPr="008D0A08" w:rsidRDefault="006D1E0D" w:rsidP="006D232F">
            <w:pPr>
              <w:spacing w:line="360" w:lineRule="auto"/>
              <w:jc w:val="both"/>
              <w:rPr>
                <w:rFonts w:ascii="Book Antiqua" w:hAnsi="Book Antiqua" w:cs="Arial"/>
              </w:rPr>
            </w:pPr>
            <w:r>
              <w:rPr>
                <w:rFonts w:ascii="Book Antiqua" w:hAnsi="Book Antiqua" w:cs="Arial"/>
                <w:color w:val="000000" w:themeColor="text1"/>
                <w:kern w:val="24"/>
              </w:rPr>
              <w:t>9 (9</w:t>
            </w:r>
            <w:r w:rsidRPr="008D0A08">
              <w:rPr>
                <w:rFonts w:ascii="Book Antiqua" w:hAnsi="Book Antiqua" w:cs="Arial"/>
                <w:color w:val="000000" w:themeColor="text1"/>
                <w:kern w:val="24"/>
              </w:rPr>
              <w:t>)</w:t>
            </w:r>
          </w:p>
        </w:tc>
        <w:tc>
          <w:tcPr>
            <w:tcW w:w="1080" w:type="dxa"/>
            <w:vMerge/>
            <w:tcBorders>
              <w:left w:val="nil"/>
              <w:bottom w:val="nil"/>
            </w:tcBorders>
          </w:tcPr>
          <w:p w14:paraId="04B152D6" w14:textId="77777777" w:rsidR="006D1E0D" w:rsidRPr="008D0A08" w:rsidRDefault="006D1E0D" w:rsidP="006D232F">
            <w:pPr>
              <w:spacing w:line="360" w:lineRule="auto"/>
              <w:jc w:val="both"/>
              <w:rPr>
                <w:rFonts w:ascii="Book Antiqua" w:hAnsi="Book Antiqua" w:cs="Arial"/>
              </w:rPr>
            </w:pPr>
          </w:p>
        </w:tc>
      </w:tr>
      <w:tr w:rsidR="006D1E0D" w:rsidRPr="008D0A08" w14:paraId="1476158B" w14:textId="77777777" w:rsidTr="006D232F">
        <w:trPr>
          <w:trHeight w:val="276"/>
        </w:trPr>
        <w:tc>
          <w:tcPr>
            <w:tcW w:w="7020" w:type="dxa"/>
            <w:gridSpan w:val="4"/>
            <w:tcBorders>
              <w:bottom w:val="nil"/>
            </w:tcBorders>
          </w:tcPr>
          <w:p w14:paraId="652696DA" w14:textId="77777777" w:rsidR="006D1E0D" w:rsidRPr="008D0A08" w:rsidRDefault="006D1E0D" w:rsidP="006D232F">
            <w:pPr>
              <w:spacing w:line="360" w:lineRule="auto"/>
              <w:jc w:val="both"/>
              <w:rPr>
                <w:rFonts w:ascii="Book Antiqua" w:hAnsi="Book Antiqua" w:cs="Arial"/>
                <w:i/>
              </w:rPr>
            </w:pPr>
            <w:r w:rsidRPr="008D0A08">
              <w:rPr>
                <w:rFonts w:ascii="Book Antiqua" w:hAnsi="Book Antiqua" w:cs="Arial"/>
                <w:bCs/>
                <w:i/>
                <w:color w:val="000000" w:themeColor="text1"/>
                <w:kern w:val="24"/>
              </w:rPr>
              <w:t xml:space="preserve">Clinical Success of TIPS for </w:t>
            </w:r>
            <w:proofErr w:type="spellStart"/>
            <w:r w:rsidRPr="008D0A08">
              <w:rPr>
                <w:rFonts w:ascii="Book Antiqua" w:hAnsi="Book Antiqua" w:cs="Arial"/>
                <w:bCs/>
                <w:i/>
                <w:color w:val="000000" w:themeColor="text1"/>
                <w:kern w:val="24"/>
              </w:rPr>
              <w:t>Varices</w:t>
            </w:r>
            <w:proofErr w:type="spellEnd"/>
          </w:p>
        </w:tc>
      </w:tr>
      <w:tr w:rsidR="006D1E0D" w:rsidRPr="008D0A08" w14:paraId="2C9FEE3B" w14:textId="77777777" w:rsidTr="006D232F">
        <w:trPr>
          <w:trHeight w:val="276"/>
        </w:trPr>
        <w:tc>
          <w:tcPr>
            <w:tcW w:w="810" w:type="dxa"/>
            <w:tcBorders>
              <w:bottom w:val="nil"/>
              <w:right w:val="nil"/>
            </w:tcBorders>
            <w:vAlign w:val="center"/>
          </w:tcPr>
          <w:p w14:paraId="11254200" w14:textId="77777777" w:rsidR="006D1E0D" w:rsidRPr="008D0A08" w:rsidRDefault="006D1E0D" w:rsidP="006D232F">
            <w:pPr>
              <w:spacing w:line="360" w:lineRule="auto"/>
              <w:jc w:val="both"/>
              <w:rPr>
                <w:rFonts w:ascii="Book Antiqua" w:hAnsi="Book Antiqua" w:cs="Arial"/>
              </w:rPr>
            </w:pPr>
            <w:r w:rsidRPr="008D0A08">
              <w:rPr>
                <w:rFonts w:ascii="Book Antiqua" w:hAnsi="Book Antiqua" w:cs="Arial"/>
                <w:color w:val="000000"/>
                <w:kern w:val="24"/>
              </w:rPr>
              <w:t>Yes</w:t>
            </w:r>
          </w:p>
        </w:tc>
        <w:tc>
          <w:tcPr>
            <w:tcW w:w="2790" w:type="dxa"/>
            <w:tcBorders>
              <w:left w:val="nil"/>
              <w:bottom w:val="nil"/>
              <w:right w:val="nil"/>
            </w:tcBorders>
            <w:vAlign w:val="center"/>
          </w:tcPr>
          <w:p w14:paraId="5D61BEEF" w14:textId="77777777" w:rsidR="006D1E0D" w:rsidRPr="008D0A08" w:rsidRDefault="006D1E0D" w:rsidP="006D232F">
            <w:pPr>
              <w:spacing w:line="360" w:lineRule="auto"/>
              <w:jc w:val="both"/>
              <w:rPr>
                <w:rFonts w:ascii="Book Antiqua" w:hAnsi="Book Antiqua" w:cs="Arial"/>
              </w:rPr>
            </w:pPr>
            <w:r>
              <w:rPr>
                <w:rFonts w:ascii="Book Antiqua" w:hAnsi="Book Antiqua" w:cs="Arial"/>
                <w:color w:val="000000"/>
                <w:kern w:val="24"/>
              </w:rPr>
              <w:t>7 (78</w:t>
            </w:r>
            <w:r w:rsidRPr="008D0A08">
              <w:rPr>
                <w:rFonts w:ascii="Book Antiqua" w:hAnsi="Book Antiqua" w:cs="Arial"/>
                <w:color w:val="000000"/>
                <w:kern w:val="24"/>
              </w:rPr>
              <w:t>)</w:t>
            </w:r>
          </w:p>
        </w:tc>
        <w:tc>
          <w:tcPr>
            <w:tcW w:w="2340" w:type="dxa"/>
            <w:tcBorders>
              <w:left w:val="nil"/>
              <w:bottom w:val="nil"/>
              <w:right w:val="nil"/>
            </w:tcBorders>
            <w:vAlign w:val="center"/>
          </w:tcPr>
          <w:p w14:paraId="09E6B4DD" w14:textId="77777777" w:rsidR="006D1E0D" w:rsidRPr="008D0A08" w:rsidRDefault="006D1E0D" w:rsidP="006D232F">
            <w:pPr>
              <w:spacing w:line="360" w:lineRule="auto"/>
              <w:jc w:val="both"/>
              <w:rPr>
                <w:rFonts w:ascii="Book Antiqua" w:hAnsi="Book Antiqua" w:cs="Arial"/>
              </w:rPr>
            </w:pPr>
            <w:r>
              <w:rPr>
                <w:rFonts w:ascii="Book Antiqua" w:hAnsi="Book Antiqua" w:cs="Arial"/>
                <w:color w:val="000000"/>
                <w:kern w:val="24"/>
              </w:rPr>
              <w:t>64 (85</w:t>
            </w:r>
            <w:r w:rsidRPr="008D0A08">
              <w:rPr>
                <w:rFonts w:ascii="Book Antiqua" w:hAnsi="Book Antiqua" w:cs="Arial"/>
                <w:color w:val="000000"/>
                <w:kern w:val="24"/>
              </w:rPr>
              <w:t>)</w:t>
            </w:r>
          </w:p>
        </w:tc>
        <w:tc>
          <w:tcPr>
            <w:tcW w:w="1080" w:type="dxa"/>
            <w:vMerge w:val="restart"/>
            <w:tcBorders>
              <w:left w:val="nil"/>
              <w:bottom w:val="nil"/>
            </w:tcBorders>
            <w:vAlign w:val="center"/>
          </w:tcPr>
          <w:p w14:paraId="72B5342F" w14:textId="77777777" w:rsidR="006D1E0D" w:rsidRPr="008D0A08" w:rsidRDefault="006D1E0D" w:rsidP="006D232F">
            <w:pPr>
              <w:spacing w:line="360" w:lineRule="auto"/>
              <w:jc w:val="both"/>
              <w:rPr>
                <w:rFonts w:ascii="Book Antiqua" w:hAnsi="Book Antiqua" w:cs="Arial"/>
              </w:rPr>
            </w:pPr>
            <w:r w:rsidRPr="008D0A08">
              <w:rPr>
                <w:rFonts w:ascii="Book Antiqua" w:hAnsi="Book Antiqua" w:cs="Arial"/>
                <w:color w:val="000000"/>
                <w:kern w:val="24"/>
              </w:rPr>
              <w:t>0.62</w:t>
            </w:r>
          </w:p>
        </w:tc>
      </w:tr>
      <w:tr w:rsidR="006D1E0D" w:rsidRPr="008D0A08" w14:paraId="5B6FCC6A" w14:textId="77777777" w:rsidTr="006D232F">
        <w:trPr>
          <w:trHeight w:val="276"/>
        </w:trPr>
        <w:tc>
          <w:tcPr>
            <w:tcW w:w="810" w:type="dxa"/>
            <w:tcBorders>
              <w:bottom w:val="single" w:sz="4" w:space="0" w:color="auto"/>
              <w:right w:val="nil"/>
            </w:tcBorders>
            <w:vAlign w:val="center"/>
          </w:tcPr>
          <w:p w14:paraId="0E830A5B" w14:textId="77777777" w:rsidR="006D1E0D" w:rsidRPr="008D0A08" w:rsidRDefault="006D1E0D" w:rsidP="006D232F">
            <w:pPr>
              <w:spacing w:line="360" w:lineRule="auto"/>
              <w:jc w:val="both"/>
              <w:rPr>
                <w:rFonts w:ascii="Book Antiqua" w:hAnsi="Book Antiqua" w:cs="Arial"/>
              </w:rPr>
            </w:pPr>
            <w:r w:rsidRPr="008D0A08">
              <w:rPr>
                <w:rFonts w:ascii="Book Antiqua" w:hAnsi="Book Antiqua" w:cs="Arial"/>
                <w:color w:val="000000"/>
                <w:kern w:val="24"/>
              </w:rPr>
              <w:t>No</w:t>
            </w:r>
          </w:p>
        </w:tc>
        <w:tc>
          <w:tcPr>
            <w:tcW w:w="2790" w:type="dxa"/>
            <w:tcBorders>
              <w:left w:val="nil"/>
              <w:bottom w:val="single" w:sz="4" w:space="0" w:color="auto"/>
              <w:right w:val="nil"/>
            </w:tcBorders>
            <w:vAlign w:val="center"/>
          </w:tcPr>
          <w:p w14:paraId="5430EC05" w14:textId="77777777" w:rsidR="006D1E0D" w:rsidRPr="008D0A08" w:rsidRDefault="006D1E0D" w:rsidP="006D232F">
            <w:pPr>
              <w:spacing w:line="360" w:lineRule="auto"/>
              <w:jc w:val="both"/>
              <w:rPr>
                <w:rFonts w:ascii="Book Antiqua" w:hAnsi="Book Antiqua" w:cs="Arial"/>
              </w:rPr>
            </w:pPr>
            <w:r>
              <w:rPr>
                <w:rFonts w:ascii="Book Antiqua" w:hAnsi="Book Antiqua" w:cs="Arial"/>
                <w:color w:val="000000"/>
                <w:kern w:val="24"/>
              </w:rPr>
              <w:t>2 (22</w:t>
            </w:r>
            <w:r w:rsidRPr="008D0A08">
              <w:rPr>
                <w:rFonts w:ascii="Book Antiqua" w:hAnsi="Book Antiqua" w:cs="Arial"/>
                <w:color w:val="000000"/>
                <w:kern w:val="24"/>
              </w:rPr>
              <w:t>)</w:t>
            </w:r>
          </w:p>
        </w:tc>
        <w:tc>
          <w:tcPr>
            <w:tcW w:w="2340" w:type="dxa"/>
            <w:tcBorders>
              <w:left w:val="nil"/>
              <w:bottom w:val="single" w:sz="4" w:space="0" w:color="auto"/>
              <w:right w:val="nil"/>
            </w:tcBorders>
            <w:vAlign w:val="center"/>
          </w:tcPr>
          <w:p w14:paraId="73DB6709" w14:textId="77777777" w:rsidR="006D1E0D" w:rsidRPr="008D0A08" w:rsidRDefault="006D1E0D" w:rsidP="006D232F">
            <w:pPr>
              <w:spacing w:line="360" w:lineRule="auto"/>
              <w:jc w:val="both"/>
              <w:rPr>
                <w:rFonts w:ascii="Book Antiqua" w:hAnsi="Book Antiqua" w:cs="Arial"/>
              </w:rPr>
            </w:pPr>
            <w:r>
              <w:rPr>
                <w:rFonts w:ascii="Book Antiqua" w:hAnsi="Book Antiqua" w:cs="Arial"/>
                <w:color w:val="000000"/>
                <w:kern w:val="24"/>
              </w:rPr>
              <w:t>11 (15</w:t>
            </w:r>
            <w:r w:rsidRPr="008D0A08">
              <w:rPr>
                <w:rFonts w:ascii="Book Antiqua" w:hAnsi="Book Antiqua" w:cs="Arial"/>
                <w:color w:val="000000"/>
                <w:kern w:val="24"/>
              </w:rPr>
              <w:t>)</w:t>
            </w:r>
          </w:p>
        </w:tc>
        <w:tc>
          <w:tcPr>
            <w:tcW w:w="1080" w:type="dxa"/>
            <w:vMerge/>
            <w:tcBorders>
              <w:left w:val="nil"/>
              <w:bottom w:val="single" w:sz="4" w:space="0" w:color="auto"/>
            </w:tcBorders>
            <w:vAlign w:val="center"/>
          </w:tcPr>
          <w:p w14:paraId="430CC1B3" w14:textId="77777777" w:rsidR="006D1E0D" w:rsidRPr="008D0A08" w:rsidRDefault="006D1E0D" w:rsidP="006D232F">
            <w:pPr>
              <w:spacing w:line="360" w:lineRule="auto"/>
              <w:jc w:val="both"/>
              <w:rPr>
                <w:rFonts w:ascii="Book Antiqua" w:hAnsi="Book Antiqua" w:cs="Arial"/>
              </w:rPr>
            </w:pPr>
          </w:p>
        </w:tc>
      </w:tr>
    </w:tbl>
    <w:p w14:paraId="416E48F0" w14:textId="77777777" w:rsidR="006D1E0D" w:rsidRPr="006D1E0D" w:rsidRDefault="006D1E0D" w:rsidP="008D0A08">
      <w:pPr>
        <w:spacing w:line="360" w:lineRule="auto"/>
        <w:jc w:val="both"/>
        <w:rPr>
          <w:rFonts w:ascii="Book Antiqua" w:eastAsia="宋体" w:hAnsi="Book Antiqua" w:cs="Arial"/>
          <w:lang w:eastAsia="zh-CN"/>
        </w:rPr>
      </w:pPr>
    </w:p>
    <w:p w14:paraId="1A31A0C2" w14:textId="77777777" w:rsidR="0032369C" w:rsidRPr="008D0A08" w:rsidRDefault="0032369C" w:rsidP="008D0A08">
      <w:pPr>
        <w:spacing w:line="360" w:lineRule="auto"/>
        <w:jc w:val="both"/>
        <w:rPr>
          <w:rFonts w:ascii="Book Antiqua" w:hAnsi="Book Antiqua" w:cs="Arial"/>
        </w:rPr>
      </w:pPr>
    </w:p>
    <w:p w14:paraId="7CF0EBCB" w14:textId="77777777" w:rsidR="00B5438D" w:rsidRPr="008D0A08" w:rsidRDefault="00B5438D" w:rsidP="008D0A08">
      <w:pPr>
        <w:spacing w:line="360" w:lineRule="auto"/>
        <w:jc w:val="both"/>
        <w:rPr>
          <w:rFonts w:ascii="Book Antiqua" w:hAnsi="Book Antiqua" w:cs="Arial"/>
        </w:rPr>
      </w:pPr>
    </w:p>
    <w:p w14:paraId="4192C93A" w14:textId="77777777" w:rsidR="00B5438D" w:rsidRPr="008D0A08" w:rsidRDefault="00B5438D" w:rsidP="008D0A08">
      <w:pPr>
        <w:spacing w:line="360" w:lineRule="auto"/>
        <w:jc w:val="both"/>
        <w:rPr>
          <w:rFonts w:ascii="Book Antiqua" w:hAnsi="Book Antiqua" w:cs="Arial"/>
        </w:rPr>
      </w:pPr>
    </w:p>
    <w:p w14:paraId="373E80ED" w14:textId="77777777" w:rsidR="00B5438D" w:rsidRPr="008D0A08" w:rsidRDefault="00B5438D" w:rsidP="008D0A08">
      <w:pPr>
        <w:spacing w:line="360" w:lineRule="auto"/>
        <w:jc w:val="both"/>
        <w:rPr>
          <w:rFonts w:ascii="Book Antiqua" w:hAnsi="Book Antiqua" w:cs="Arial"/>
        </w:rPr>
      </w:pPr>
    </w:p>
    <w:p w14:paraId="73E4C92E" w14:textId="77777777" w:rsidR="0032369C" w:rsidRPr="008D0A08" w:rsidRDefault="0032369C" w:rsidP="008D0A08">
      <w:pPr>
        <w:spacing w:line="360" w:lineRule="auto"/>
        <w:jc w:val="both"/>
        <w:rPr>
          <w:rFonts w:ascii="Book Antiqua" w:hAnsi="Book Antiqua" w:cs="Arial"/>
        </w:rPr>
      </w:pPr>
    </w:p>
    <w:p w14:paraId="2B06D5AF" w14:textId="77777777" w:rsidR="00B5438D" w:rsidRPr="008D0A08" w:rsidRDefault="00B5438D" w:rsidP="008D0A08">
      <w:pPr>
        <w:spacing w:line="360" w:lineRule="auto"/>
        <w:jc w:val="both"/>
        <w:rPr>
          <w:rFonts w:ascii="Book Antiqua" w:hAnsi="Book Antiqua" w:cs="Arial"/>
        </w:rPr>
      </w:pPr>
    </w:p>
    <w:p w14:paraId="40406AAC" w14:textId="77777777" w:rsidR="00B5438D" w:rsidRPr="008D0A08" w:rsidRDefault="00B5438D" w:rsidP="008D0A08">
      <w:pPr>
        <w:spacing w:line="360" w:lineRule="auto"/>
        <w:jc w:val="both"/>
        <w:rPr>
          <w:rFonts w:ascii="Book Antiqua" w:hAnsi="Book Antiqua" w:cs="Arial"/>
        </w:rPr>
      </w:pPr>
    </w:p>
    <w:p w14:paraId="024928FF" w14:textId="77777777" w:rsidR="00B5438D" w:rsidRPr="008D0A08" w:rsidRDefault="00B5438D" w:rsidP="008D0A08">
      <w:pPr>
        <w:spacing w:line="360" w:lineRule="auto"/>
        <w:jc w:val="both"/>
        <w:rPr>
          <w:rFonts w:ascii="Book Antiqua" w:hAnsi="Book Antiqua" w:cs="Arial"/>
        </w:rPr>
      </w:pPr>
    </w:p>
    <w:p w14:paraId="4BB67050" w14:textId="77777777" w:rsidR="004F4719" w:rsidRPr="008D0A08" w:rsidRDefault="004F4719" w:rsidP="008D0A08">
      <w:pPr>
        <w:spacing w:line="360" w:lineRule="auto"/>
        <w:jc w:val="both"/>
        <w:rPr>
          <w:rFonts w:ascii="Book Antiqua" w:hAnsi="Book Antiqua" w:cs="Arial"/>
        </w:rPr>
      </w:pPr>
    </w:p>
    <w:p w14:paraId="4F3FFB15" w14:textId="77777777" w:rsidR="00AE2B32" w:rsidRPr="00AE2B32" w:rsidRDefault="00AE2B32" w:rsidP="00AE2B32">
      <w:pPr>
        <w:spacing w:line="360" w:lineRule="auto"/>
        <w:jc w:val="both"/>
        <w:rPr>
          <w:rFonts w:ascii="Book Antiqua" w:eastAsia="宋体" w:hAnsi="Book Antiqua" w:cs="Arial"/>
          <w:lang w:eastAsia="zh-CN"/>
        </w:rPr>
      </w:pPr>
      <w:r w:rsidRPr="00AE2B32">
        <w:rPr>
          <w:rFonts w:ascii="Book Antiqua" w:hAnsi="Book Antiqua" w:cs="Arial"/>
          <w:bCs/>
          <w:color w:val="000000" w:themeColor="text1"/>
          <w:kern w:val="24"/>
        </w:rPr>
        <w:t>TIPS</w:t>
      </w:r>
      <w:r w:rsidRPr="00AE2B32">
        <w:rPr>
          <w:rFonts w:ascii="Book Antiqua" w:eastAsia="宋体" w:hAnsi="Book Antiqua" w:cs="Arial" w:hint="eastAsia"/>
          <w:bCs/>
          <w:color w:val="000000" w:themeColor="text1"/>
          <w:kern w:val="24"/>
          <w:lang w:eastAsia="zh-CN"/>
        </w:rPr>
        <w:t xml:space="preserve">: </w:t>
      </w:r>
      <w:proofErr w:type="spellStart"/>
      <w:r w:rsidRPr="00AE2B32">
        <w:rPr>
          <w:rFonts w:ascii="Book Antiqua" w:hAnsi="Book Antiqua" w:cs="Arial"/>
        </w:rPr>
        <w:t>Transjugular</w:t>
      </w:r>
      <w:proofErr w:type="spellEnd"/>
      <w:r w:rsidRPr="00AE2B32">
        <w:rPr>
          <w:rFonts w:ascii="Book Antiqua" w:hAnsi="Book Antiqua" w:cs="Arial"/>
        </w:rPr>
        <w:t xml:space="preserve"> intrahepatic </w:t>
      </w:r>
      <w:proofErr w:type="spellStart"/>
      <w:r w:rsidRPr="00AE2B32">
        <w:rPr>
          <w:rFonts w:ascii="Book Antiqua" w:hAnsi="Book Antiqua" w:cs="Arial"/>
        </w:rPr>
        <w:t>portosystemic</w:t>
      </w:r>
      <w:proofErr w:type="spellEnd"/>
      <w:r w:rsidRPr="00AE2B32">
        <w:rPr>
          <w:rFonts w:ascii="Book Antiqua" w:hAnsi="Book Antiqua" w:cs="Arial"/>
        </w:rPr>
        <w:t xml:space="preserve"> shunt</w:t>
      </w:r>
      <w:r>
        <w:rPr>
          <w:rFonts w:ascii="Book Antiqua" w:eastAsia="宋体" w:hAnsi="Book Antiqua" w:cs="Arial" w:hint="eastAsia"/>
          <w:lang w:eastAsia="zh-CN"/>
        </w:rPr>
        <w:t>.</w:t>
      </w:r>
    </w:p>
    <w:p w14:paraId="30FF9750" w14:textId="77777777" w:rsidR="004F4719" w:rsidRPr="008D0A08" w:rsidRDefault="004F4719" w:rsidP="008D0A08">
      <w:pPr>
        <w:spacing w:line="360" w:lineRule="auto"/>
        <w:jc w:val="both"/>
        <w:rPr>
          <w:rFonts w:ascii="Book Antiqua" w:hAnsi="Book Antiqua" w:cs="Arial"/>
        </w:rPr>
      </w:pPr>
    </w:p>
    <w:p w14:paraId="585CB845" w14:textId="77777777" w:rsidR="004F4719" w:rsidRPr="008D0A08" w:rsidRDefault="004F4719" w:rsidP="008D0A08">
      <w:pPr>
        <w:spacing w:line="360" w:lineRule="auto"/>
        <w:jc w:val="both"/>
        <w:rPr>
          <w:rFonts w:ascii="Book Antiqua" w:hAnsi="Book Antiqua" w:cs="Arial"/>
        </w:rPr>
      </w:pPr>
    </w:p>
    <w:p w14:paraId="78161198" w14:textId="77777777" w:rsidR="004F4719" w:rsidRPr="008D0A08" w:rsidRDefault="004F4719" w:rsidP="008D0A08">
      <w:pPr>
        <w:spacing w:line="360" w:lineRule="auto"/>
        <w:jc w:val="both"/>
        <w:rPr>
          <w:rFonts w:ascii="Book Antiqua" w:hAnsi="Book Antiqua" w:cs="Arial"/>
        </w:rPr>
      </w:pPr>
    </w:p>
    <w:p w14:paraId="01ADEEF5" w14:textId="77777777" w:rsidR="000A6FBC" w:rsidRPr="008D0A08" w:rsidRDefault="000A6FBC" w:rsidP="008D0A08">
      <w:pPr>
        <w:spacing w:line="360" w:lineRule="auto"/>
        <w:jc w:val="both"/>
        <w:rPr>
          <w:rFonts w:ascii="Book Antiqua" w:hAnsi="Book Antiqua" w:cs="Arial"/>
        </w:rPr>
      </w:pPr>
    </w:p>
    <w:p w14:paraId="08B4CE80" w14:textId="77777777" w:rsidR="000A6FBC" w:rsidRPr="008D0A08" w:rsidRDefault="000A6FBC" w:rsidP="008D0A08">
      <w:pPr>
        <w:spacing w:line="360" w:lineRule="auto"/>
        <w:jc w:val="both"/>
        <w:rPr>
          <w:rFonts w:ascii="Book Antiqua" w:hAnsi="Book Antiqua" w:cs="Arial"/>
        </w:rPr>
      </w:pPr>
    </w:p>
    <w:p w14:paraId="1B62BF66" w14:textId="77777777" w:rsidR="000A6FBC" w:rsidRPr="008D0A08" w:rsidRDefault="000A6FBC" w:rsidP="008D0A08">
      <w:pPr>
        <w:spacing w:line="360" w:lineRule="auto"/>
        <w:jc w:val="both"/>
        <w:rPr>
          <w:rFonts w:ascii="Book Antiqua" w:hAnsi="Book Antiqua" w:cs="Arial"/>
        </w:rPr>
      </w:pPr>
    </w:p>
    <w:p w14:paraId="36556DAF" w14:textId="77777777" w:rsidR="00476110" w:rsidRPr="008D0A08" w:rsidRDefault="00476110" w:rsidP="008D0A08">
      <w:pPr>
        <w:spacing w:line="360" w:lineRule="auto"/>
        <w:jc w:val="both"/>
        <w:rPr>
          <w:rFonts w:ascii="Book Antiqua" w:hAnsi="Book Antiqua" w:cs="Arial"/>
        </w:rPr>
      </w:pPr>
      <w:r w:rsidRPr="008D0A08">
        <w:rPr>
          <w:rFonts w:ascii="Book Antiqua" w:hAnsi="Book Antiqua" w:cs="Arial"/>
        </w:rPr>
        <w:br w:type="page"/>
      </w:r>
    </w:p>
    <w:p w14:paraId="065DA1AA" w14:textId="77777777" w:rsidR="000A6FBC" w:rsidRPr="008D0A08" w:rsidRDefault="000A6FBC" w:rsidP="008D0A08">
      <w:pPr>
        <w:spacing w:line="360" w:lineRule="auto"/>
        <w:jc w:val="both"/>
        <w:rPr>
          <w:rFonts w:ascii="Book Antiqua" w:hAnsi="Book Antiqua" w:cs="Arial"/>
        </w:rPr>
      </w:pPr>
    </w:p>
    <w:p w14:paraId="510FB2B3" w14:textId="1BF68EAF" w:rsidR="000A6FBC" w:rsidRPr="00AE2B32" w:rsidRDefault="00AE2B32" w:rsidP="008D0A08">
      <w:pPr>
        <w:spacing w:line="360" w:lineRule="auto"/>
        <w:jc w:val="both"/>
        <w:rPr>
          <w:rFonts w:ascii="Book Antiqua" w:eastAsia="宋体" w:hAnsi="Book Antiqua" w:cs="Arial"/>
          <w:lang w:eastAsia="zh-CN"/>
        </w:rPr>
      </w:pPr>
      <w:r w:rsidRPr="00AE2B32">
        <w:rPr>
          <w:rFonts w:ascii="Book Antiqua" w:hAnsi="Book Antiqua" w:cs="Arial"/>
          <w:bCs/>
          <w:color w:val="000000" w:themeColor="text1"/>
          <w:kern w:val="24"/>
        </w:rPr>
        <w:t>TIPS</w:t>
      </w:r>
      <w:r w:rsidRPr="00AE2B32">
        <w:rPr>
          <w:rFonts w:ascii="Book Antiqua" w:eastAsia="宋体" w:hAnsi="Book Antiqua" w:cs="Arial" w:hint="eastAsia"/>
          <w:bCs/>
          <w:color w:val="000000" w:themeColor="text1"/>
          <w:kern w:val="24"/>
          <w:lang w:eastAsia="zh-CN"/>
        </w:rPr>
        <w:t xml:space="preserve">: </w:t>
      </w:r>
      <w:proofErr w:type="spellStart"/>
      <w:r w:rsidRPr="00AE2B32">
        <w:rPr>
          <w:rFonts w:ascii="Book Antiqua" w:hAnsi="Book Antiqua" w:cs="Arial"/>
        </w:rPr>
        <w:t>Transjugular</w:t>
      </w:r>
      <w:proofErr w:type="spellEnd"/>
      <w:r w:rsidRPr="00AE2B32">
        <w:rPr>
          <w:rFonts w:ascii="Book Antiqua" w:hAnsi="Book Antiqua" w:cs="Arial"/>
        </w:rPr>
        <w:t xml:space="preserve"> intrahepatic </w:t>
      </w:r>
      <w:proofErr w:type="spellStart"/>
      <w:r w:rsidRPr="00AE2B32">
        <w:rPr>
          <w:rFonts w:ascii="Book Antiqua" w:hAnsi="Book Antiqua" w:cs="Arial"/>
        </w:rPr>
        <w:t>portosystemic</w:t>
      </w:r>
      <w:proofErr w:type="spellEnd"/>
      <w:r w:rsidRPr="00AE2B32">
        <w:rPr>
          <w:rFonts w:ascii="Book Antiqua" w:hAnsi="Book Antiqua" w:cs="Arial"/>
        </w:rPr>
        <w:t xml:space="preserve"> shunt</w:t>
      </w:r>
      <w:r>
        <w:rPr>
          <w:rFonts w:ascii="Book Antiqua" w:eastAsia="宋体" w:hAnsi="Book Antiqua" w:cs="Arial" w:hint="eastAsia"/>
          <w:lang w:eastAsia="zh-CN"/>
        </w:rPr>
        <w:t>.</w:t>
      </w:r>
    </w:p>
    <w:tbl>
      <w:tblPr>
        <w:tblStyle w:val="TableGrid"/>
        <w:tblpPr w:leftFromText="180" w:rightFromText="180" w:vertAnchor="page" w:horzAnchor="margin" w:tblpY="1958"/>
        <w:tblW w:w="901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2700"/>
        <w:gridCol w:w="2808"/>
        <w:gridCol w:w="2340"/>
        <w:gridCol w:w="1170"/>
      </w:tblGrid>
      <w:tr w:rsidR="00476110" w:rsidRPr="008D0A08" w14:paraId="67A83FA0" w14:textId="77777777" w:rsidTr="006D1E0D">
        <w:tc>
          <w:tcPr>
            <w:tcW w:w="9018" w:type="dxa"/>
            <w:gridSpan w:val="4"/>
            <w:tcBorders>
              <w:bottom w:val="single" w:sz="4" w:space="0" w:color="auto"/>
            </w:tcBorders>
            <w:vAlign w:val="center"/>
          </w:tcPr>
          <w:p w14:paraId="624762DA" w14:textId="0A4F508E" w:rsidR="00476110" w:rsidRPr="006D1E0D" w:rsidRDefault="00476110" w:rsidP="006D1E0D">
            <w:pPr>
              <w:spacing w:line="360" w:lineRule="auto"/>
              <w:jc w:val="both"/>
              <w:rPr>
                <w:rFonts w:ascii="Book Antiqua" w:eastAsia="宋体" w:hAnsi="Book Antiqua" w:cs="Arial"/>
                <w:b/>
                <w:bCs/>
                <w:color w:val="000000" w:themeColor="text1"/>
                <w:kern w:val="24"/>
                <w:lang w:eastAsia="zh-CN"/>
              </w:rPr>
            </w:pPr>
            <w:r w:rsidRPr="008D0A08">
              <w:rPr>
                <w:rFonts w:ascii="Book Antiqua" w:hAnsi="Book Antiqua" w:cs="Arial"/>
                <w:b/>
                <w:bCs/>
                <w:color w:val="000000" w:themeColor="text1"/>
                <w:kern w:val="24"/>
              </w:rPr>
              <w:t xml:space="preserve">Table </w:t>
            </w:r>
            <w:proofErr w:type="gramStart"/>
            <w:r w:rsidRPr="008D0A08">
              <w:rPr>
                <w:rFonts w:ascii="Book Antiqua" w:hAnsi="Book Antiqua" w:cs="Arial"/>
                <w:b/>
                <w:bCs/>
                <w:color w:val="000000" w:themeColor="text1"/>
                <w:kern w:val="24"/>
              </w:rPr>
              <w:t>5 Severe post-</w:t>
            </w:r>
            <w:r w:rsidR="006D1E0D">
              <w:t xml:space="preserve"> </w:t>
            </w:r>
            <w:proofErr w:type="spellStart"/>
            <w:r w:rsidR="006D1E0D" w:rsidRPr="006D1E0D">
              <w:rPr>
                <w:rFonts w:ascii="Book Antiqua" w:hAnsi="Book Antiqua" w:cs="Arial"/>
                <w:b/>
                <w:bCs/>
                <w:color w:val="000000" w:themeColor="text1"/>
                <w:kern w:val="24"/>
              </w:rPr>
              <w:t>transjugular</w:t>
            </w:r>
            <w:proofErr w:type="spellEnd"/>
            <w:r w:rsidR="006D1E0D" w:rsidRPr="006D1E0D">
              <w:rPr>
                <w:rFonts w:ascii="Book Antiqua" w:hAnsi="Book Antiqua" w:cs="Arial"/>
                <w:b/>
                <w:bCs/>
                <w:color w:val="000000" w:themeColor="text1"/>
                <w:kern w:val="24"/>
              </w:rPr>
              <w:t xml:space="preserve"> intrahepatic </w:t>
            </w:r>
            <w:proofErr w:type="spellStart"/>
            <w:r w:rsidR="006D1E0D" w:rsidRPr="006D1E0D">
              <w:rPr>
                <w:rFonts w:ascii="Book Antiqua" w:hAnsi="Book Antiqua" w:cs="Arial"/>
                <w:b/>
                <w:bCs/>
                <w:color w:val="000000" w:themeColor="text1"/>
                <w:kern w:val="24"/>
              </w:rPr>
              <w:t>portosystemic</w:t>
            </w:r>
            <w:proofErr w:type="spellEnd"/>
            <w:r w:rsidR="006D1E0D" w:rsidRPr="006D1E0D">
              <w:rPr>
                <w:rFonts w:ascii="Book Antiqua" w:hAnsi="Book Antiqua" w:cs="Arial"/>
                <w:b/>
                <w:bCs/>
                <w:color w:val="000000" w:themeColor="text1"/>
                <w:kern w:val="24"/>
              </w:rPr>
              <w:t xml:space="preserve"> shunt </w:t>
            </w:r>
            <w:r w:rsidRPr="008D0A08">
              <w:rPr>
                <w:rFonts w:ascii="Book Antiqua" w:hAnsi="Book Antiqua" w:cs="Arial"/>
                <w:b/>
                <w:bCs/>
                <w:color w:val="000000" w:themeColor="text1"/>
                <w:kern w:val="24"/>
              </w:rPr>
              <w:t>HE</w:t>
            </w:r>
            <w:r w:rsidR="006D1E0D">
              <w:rPr>
                <w:rFonts w:ascii="Book Antiqua" w:eastAsia="宋体" w:hAnsi="Book Antiqua" w:cs="Arial" w:hint="eastAsia"/>
                <w:b/>
                <w:bCs/>
                <w:color w:val="000000" w:themeColor="text1"/>
                <w:kern w:val="24"/>
                <w:lang w:eastAsia="zh-CN"/>
              </w:rPr>
              <w:t xml:space="preserve"> </w:t>
            </w:r>
            <w:r w:rsidR="006D1E0D" w:rsidRPr="006D1E0D">
              <w:rPr>
                <w:rFonts w:ascii="Book Antiqua" w:eastAsia="宋体" w:hAnsi="Book Antiqua" w:cs="Arial" w:hint="eastAsia"/>
                <w:b/>
                <w:bCs/>
                <w:i/>
                <w:color w:val="000000" w:themeColor="text1"/>
                <w:kern w:val="24"/>
                <w:lang w:eastAsia="zh-CN"/>
              </w:rPr>
              <w:t>n</w:t>
            </w:r>
            <w:proofErr w:type="gramEnd"/>
            <w:r w:rsidR="006D1E0D">
              <w:rPr>
                <w:rFonts w:ascii="Book Antiqua" w:eastAsia="宋体" w:hAnsi="Book Antiqua" w:cs="Arial" w:hint="eastAsia"/>
                <w:b/>
                <w:bCs/>
                <w:color w:val="000000" w:themeColor="text1"/>
                <w:kern w:val="24"/>
                <w:lang w:eastAsia="zh-CN"/>
              </w:rPr>
              <w:t xml:space="preserve"> (%)</w:t>
            </w:r>
          </w:p>
        </w:tc>
      </w:tr>
      <w:tr w:rsidR="00476110" w:rsidRPr="008D0A08" w14:paraId="31ACFCA4" w14:textId="77777777" w:rsidTr="006D1E0D">
        <w:tc>
          <w:tcPr>
            <w:tcW w:w="2700" w:type="dxa"/>
            <w:tcBorders>
              <w:top w:val="single" w:sz="4" w:space="0" w:color="auto"/>
              <w:bottom w:val="single" w:sz="4" w:space="0" w:color="auto"/>
              <w:right w:val="nil"/>
            </w:tcBorders>
            <w:vAlign w:val="center"/>
          </w:tcPr>
          <w:p w14:paraId="3C9DD5AF" w14:textId="77777777" w:rsidR="00476110" w:rsidRPr="008D0A08" w:rsidRDefault="00476110" w:rsidP="008D0A08">
            <w:pPr>
              <w:spacing w:line="360" w:lineRule="auto"/>
              <w:jc w:val="both"/>
              <w:rPr>
                <w:rFonts w:ascii="Book Antiqua" w:hAnsi="Book Antiqua" w:cs="Arial"/>
                <w:b/>
                <w:color w:val="000000" w:themeColor="text1"/>
              </w:rPr>
            </w:pPr>
            <w:r w:rsidRPr="008D0A08">
              <w:rPr>
                <w:rFonts w:ascii="Book Antiqua" w:hAnsi="Book Antiqua" w:cs="Arial"/>
                <w:b/>
                <w:bCs/>
                <w:color w:val="000000" w:themeColor="text1"/>
                <w:kern w:val="24"/>
              </w:rPr>
              <w:t>Severe post-TIPS HE</w:t>
            </w:r>
          </w:p>
        </w:tc>
        <w:tc>
          <w:tcPr>
            <w:tcW w:w="2808" w:type="dxa"/>
            <w:tcBorders>
              <w:top w:val="single" w:sz="4" w:space="0" w:color="auto"/>
              <w:left w:val="nil"/>
              <w:bottom w:val="single" w:sz="4" w:space="0" w:color="auto"/>
              <w:right w:val="nil"/>
            </w:tcBorders>
            <w:vAlign w:val="center"/>
          </w:tcPr>
          <w:p w14:paraId="0E1B7E62" w14:textId="77777777" w:rsidR="00476110" w:rsidRPr="008D0A08" w:rsidRDefault="00476110" w:rsidP="008D0A08">
            <w:pPr>
              <w:spacing w:line="360" w:lineRule="auto"/>
              <w:jc w:val="both"/>
              <w:rPr>
                <w:rFonts w:ascii="Book Antiqua" w:hAnsi="Book Antiqua" w:cs="Arial"/>
                <w:b/>
                <w:color w:val="000000" w:themeColor="text1"/>
              </w:rPr>
            </w:pPr>
            <w:r w:rsidRPr="008D0A08">
              <w:rPr>
                <w:rFonts w:ascii="Book Antiqua" w:hAnsi="Book Antiqua" w:cs="Arial"/>
                <w:b/>
                <w:bCs/>
              </w:rPr>
              <w:t>Sub-maximally dilated</w:t>
            </w:r>
          </w:p>
        </w:tc>
        <w:tc>
          <w:tcPr>
            <w:tcW w:w="2340" w:type="dxa"/>
            <w:tcBorders>
              <w:top w:val="single" w:sz="4" w:space="0" w:color="auto"/>
              <w:left w:val="nil"/>
              <w:bottom w:val="single" w:sz="4" w:space="0" w:color="auto"/>
              <w:right w:val="nil"/>
            </w:tcBorders>
            <w:vAlign w:val="center"/>
          </w:tcPr>
          <w:p w14:paraId="4FCC26FB" w14:textId="77777777" w:rsidR="00476110" w:rsidRPr="008D0A08" w:rsidRDefault="00476110" w:rsidP="008D0A08">
            <w:pPr>
              <w:spacing w:line="360" w:lineRule="auto"/>
              <w:jc w:val="both"/>
              <w:rPr>
                <w:rFonts w:ascii="Book Antiqua" w:hAnsi="Book Antiqua" w:cs="Arial"/>
                <w:b/>
                <w:color w:val="000000" w:themeColor="text1"/>
              </w:rPr>
            </w:pPr>
            <w:r w:rsidRPr="008D0A08">
              <w:rPr>
                <w:rFonts w:ascii="Book Antiqua" w:hAnsi="Book Antiqua" w:cs="Arial"/>
                <w:b/>
                <w:bCs/>
              </w:rPr>
              <w:t>Maximally dilated</w:t>
            </w:r>
          </w:p>
        </w:tc>
        <w:tc>
          <w:tcPr>
            <w:tcW w:w="1170" w:type="dxa"/>
            <w:tcBorders>
              <w:top w:val="single" w:sz="4" w:space="0" w:color="auto"/>
              <w:left w:val="nil"/>
              <w:bottom w:val="single" w:sz="4" w:space="0" w:color="auto"/>
            </w:tcBorders>
            <w:vAlign w:val="center"/>
          </w:tcPr>
          <w:p w14:paraId="6600398E" w14:textId="409F0276" w:rsidR="00476110" w:rsidRPr="008D0A08" w:rsidRDefault="00476110" w:rsidP="006D1E0D">
            <w:pPr>
              <w:spacing w:line="360" w:lineRule="auto"/>
              <w:jc w:val="both"/>
              <w:rPr>
                <w:rFonts w:ascii="Book Antiqua" w:hAnsi="Book Antiqua" w:cs="Arial"/>
                <w:b/>
                <w:color w:val="000000" w:themeColor="text1"/>
              </w:rPr>
            </w:pPr>
            <w:r w:rsidRPr="006D1E0D">
              <w:rPr>
                <w:rFonts w:ascii="Book Antiqua" w:hAnsi="Book Antiqua" w:cs="Arial"/>
                <w:b/>
                <w:bCs/>
                <w:i/>
                <w:color w:val="000000" w:themeColor="text1"/>
                <w:kern w:val="24"/>
              </w:rPr>
              <w:t>P</w:t>
            </w:r>
            <w:r w:rsidR="006D1E0D" w:rsidRPr="006D1E0D">
              <w:rPr>
                <w:rFonts w:ascii="Book Antiqua" w:eastAsia="宋体" w:hAnsi="Book Antiqua" w:cs="Arial" w:hint="eastAsia"/>
                <w:b/>
                <w:bCs/>
                <w:i/>
                <w:color w:val="000000" w:themeColor="text1"/>
                <w:kern w:val="24"/>
                <w:lang w:eastAsia="zh-CN"/>
              </w:rPr>
              <w:t xml:space="preserve"> </w:t>
            </w:r>
            <w:r w:rsidRPr="008D0A08">
              <w:rPr>
                <w:rFonts w:ascii="Book Antiqua" w:hAnsi="Book Antiqua" w:cs="Arial"/>
                <w:b/>
                <w:bCs/>
                <w:color w:val="000000" w:themeColor="text1"/>
                <w:kern w:val="24"/>
              </w:rPr>
              <w:t>value</w:t>
            </w:r>
          </w:p>
        </w:tc>
      </w:tr>
      <w:tr w:rsidR="00476110" w:rsidRPr="008D0A08" w14:paraId="6EA5CE32" w14:textId="77777777" w:rsidTr="006D1E0D">
        <w:tc>
          <w:tcPr>
            <w:tcW w:w="2700" w:type="dxa"/>
            <w:tcBorders>
              <w:top w:val="single" w:sz="4" w:space="0" w:color="auto"/>
              <w:bottom w:val="nil"/>
              <w:right w:val="nil"/>
            </w:tcBorders>
            <w:vAlign w:val="center"/>
          </w:tcPr>
          <w:p w14:paraId="5464E350" w14:textId="77777777" w:rsidR="00476110" w:rsidRPr="008D0A08" w:rsidRDefault="00476110" w:rsidP="008D0A08">
            <w:pPr>
              <w:spacing w:line="360" w:lineRule="auto"/>
              <w:jc w:val="both"/>
              <w:rPr>
                <w:rFonts w:ascii="Book Antiqua" w:hAnsi="Book Antiqua" w:cs="Arial"/>
                <w:color w:val="000000" w:themeColor="text1"/>
              </w:rPr>
            </w:pPr>
            <w:r w:rsidRPr="008D0A08">
              <w:rPr>
                <w:rFonts w:ascii="Book Antiqua" w:hAnsi="Book Antiqua" w:cs="Arial"/>
                <w:color w:val="000000" w:themeColor="text1"/>
                <w:kern w:val="24"/>
              </w:rPr>
              <w:t>Yes</w:t>
            </w:r>
          </w:p>
        </w:tc>
        <w:tc>
          <w:tcPr>
            <w:tcW w:w="2808" w:type="dxa"/>
            <w:tcBorders>
              <w:top w:val="single" w:sz="4" w:space="0" w:color="auto"/>
              <w:left w:val="nil"/>
              <w:bottom w:val="nil"/>
              <w:right w:val="nil"/>
            </w:tcBorders>
            <w:vAlign w:val="center"/>
          </w:tcPr>
          <w:p w14:paraId="3D7155B2" w14:textId="29A5AB97" w:rsidR="00476110" w:rsidRPr="008D0A08" w:rsidRDefault="006D1E0D" w:rsidP="008D0A08">
            <w:pPr>
              <w:spacing w:line="360" w:lineRule="auto"/>
              <w:jc w:val="both"/>
              <w:rPr>
                <w:rFonts w:ascii="Book Antiqua" w:hAnsi="Book Antiqua" w:cs="Arial"/>
                <w:color w:val="000000" w:themeColor="text1"/>
              </w:rPr>
            </w:pPr>
            <w:r>
              <w:rPr>
                <w:rFonts w:ascii="Book Antiqua" w:hAnsi="Book Antiqua" w:cs="Arial"/>
                <w:color w:val="000000" w:themeColor="text1"/>
                <w:kern w:val="24"/>
              </w:rPr>
              <w:t>4 (7</w:t>
            </w:r>
            <w:r w:rsidR="00476110" w:rsidRPr="008D0A08">
              <w:rPr>
                <w:rFonts w:ascii="Book Antiqua" w:hAnsi="Book Antiqua" w:cs="Arial"/>
                <w:color w:val="000000" w:themeColor="text1"/>
                <w:kern w:val="24"/>
              </w:rPr>
              <w:t>)</w:t>
            </w:r>
          </w:p>
        </w:tc>
        <w:tc>
          <w:tcPr>
            <w:tcW w:w="2340" w:type="dxa"/>
            <w:tcBorders>
              <w:top w:val="single" w:sz="4" w:space="0" w:color="auto"/>
              <w:left w:val="nil"/>
              <w:bottom w:val="nil"/>
              <w:right w:val="nil"/>
            </w:tcBorders>
            <w:vAlign w:val="center"/>
          </w:tcPr>
          <w:p w14:paraId="3FF15B24" w14:textId="7733EC19" w:rsidR="00476110" w:rsidRPr="008D0A08" w:rsidRDefault="006D1E0D" w:rsidP="008D0A08">
            <w:pPr>
              <w:spacing w:line="360" w:lineRule="auto"/>
              <w:jc w:val="both"/>
              <w:rPr>
                <w:rFonts w:ascii="Book Antiqua" w:hAnsi="Book Antiqua" w:cs="Arial"/>
                <w:color w:val="000000" w:themeColor="text1"/>
              </w:rPr>
            </w:pPr>
            <w:r>
              <w:rPr>
                <w:rFonts w:ascii="Book Antiqua" w:hAnsi="Book Antiqua" w:cs="Arial"/>
                <w:color w:val="000000" w:themeColor="text1"/>
                <w:kern w:val="24"/>
              </w:rPr>
              <w:t>6 (3</w:t>
            </w:r>
            <w:r w:rsidR="00476110" w:rsidRPr="008D0A08">
              <w:rPr>
                <w:rFonts w:ascii="Book Antiqua" w:hAnsi="Book Antiqua" w:cs="Arial"/>
                <w:color w:val="000000" w:themeColor="text1"/>
                <w:kern w:val="24"/>
              </w:rPr>
              <w:t>)</w:t>
            </w:r>
          </w:p>
        </w:tc>
        <w:tc>
          <w:tcPr>
            <w:tcW w:w="1170" w:type="dxa"/>
            <w:vMerge w:val="restart"/>
            <w:tcBorders>
              <w:top w:val="single" w:sz="4" w:space="0" w:color="auto"/>
              <w:left w:val="nil"/>
              <w:bottom w:val="nil"/>
            </w:tcBorders>
            <w:vAlign w:val="center"/>
          </w:tcPr>
          <w:p w14:paraId="294246E0" w14:textId="77777777" w:rsidR="00476110" w:rsidRPr="008D0A08" w:rsidRDefault="00476110" w:rsidP="008D0A08">
            <w:pPr>
              <w:spacing w:line="360" w:lineRule="auto"/>
              <w:jc w:val="both"/>
              <w:rPr>
                <w:rFonts w:ascii="Book Antiqua" w:hAnsi="Book Antiqua" w:cs="Arial"/>
                <w:color w:val="000000" w:themeColor="text1"/>
              </w:rPr>
            </w:pPr>
            <w:r w:rsidRPr="008D0A08">
              <w:rPr>
                <w:rFonts w:ascii="Book Antiqua" w:hAnsi="Book Antiqua" w:cs="Arial"/>
                <w:color w:val="000000" w:themeColor="text1"/>
              </w:rPr>
              <w:t>0.12</w:t>
            </w:r>
          </w:p>
        </w:tc>
      </w:tr>
      <w:tr w:rsidR="00476110" w:rsidRPr="008D0A08" w14:paraId="2366159F" w14:textId="77777777" w:rsidTr="006D1E0D">
        <w:tc>
          <w:tcPr>
            <w:tcW w:w="2700" w:type="dxa"/>
            <w:tcBorders>
              <w:bottom w:val="single" w:sz="4" w:space="0" w:color="auto"/>
              <w:right w:val="nil"/>
            </w:tcBorders>
            <w:vAlign w:val="center"/>
          </w:tcPr>
          <w:p w14:paraId="69E457A9" w14:textId="77777777" w:rsidR="00476110" w:rsidRPr="008D0A08" w:rsidRDefault="00476110" w:rsidP="008D0A08">
            <w:pPr>
              <w:spacing w:line="360" w:lineRule="auto"/>
              <w:jc w:val="both"/>
              <w:rPr>
                <w:rFonts w:ascii="Book Antiqua" w:hAnsi="Book Antiqua" w:cs="Arial"/>
                <w:color w:val="000000" w:themeColor="text1"/>
              </w:rPr>
            </w:pPr>
            <w:r w:rsidRPr="008D0A08">
              <w:rPr>
                <w:rFonts w:ascii="Book Antiqua" w:hAnsi="Book Antiqua" w:cs="Arial"/>
                <w:color w:val="000000" w:themeColor="text1"/>
                <w:kern w:val="24"/>
              </w:rPr>
              <w:t>No</w:t>
            </w:r>
          </w:p>
        </w:tc>
        <w:tc>
          <w:tcPr>
            <w:tcW w:w="2808" w:type="dxa"/>
            <w:tcBorders>
              <w:left w:val="nil"/>
              <w:bottom w:val="single" w:sz="4" w:space="0" w:color="auto"/>
              <w:right w:val="nil"/>
            </w:tcBorders>
            <w:vAlign w:val="center"/>
          </w:tcPr>
          <w:p w14:paraId="7803E634" w14:textId="4E79C160" w:rsidR="00476110" w:rsidRPr="008D0A08" w:rsidRDefault="006D1E0D" w:rsidP="008D0A08">
            <w:pPr>
              <w:spacing w:line="360" w:lineRule="auto"/>
              <w:jc w:val="both"/>
              <w:rPr>
                <w:rFonts w:ascii="Book Antiqua" w:hAnsi="Book Antiqua" w:cs="Arial"/>
                <w:color w:val="000000" w:themeColor="text1"/>
              </w:rPr>
            </w:pPr>
            <w:r>
              <w:rPr>
                <w:rFonts w:ascii="Book Antiqua" w:hAnsi="Book Antiqua" w:cs="Arial"/>
                <w:color w:val="000000" w:themeColor="text1"/>
                <w:kern w:val="24"/>
              </w:rPr>
              <w:t>51 (93</w:t>
            </w:r>
            <w:r w:rsidR="00476110" w:rsidRPr="008D0A08">
              <w:rPr>
                <w:rFonts w:ascii="Book Antiqua" w:hAnsi="Book Antiqua" w:cs="Arial"/>
                <w:color w:val="000000" w:themeColor="text1"/>
                <w:kern w:val="24"/>
              </w:rPr>
              <w:t>)</w:t>
            </w:r>
          </w:p>
        </w:tc>
        <w:tc>
          <w:tcPr>
            <w:tcW w:w="2340" w:type="dxa"/>
            <w:tcBorders>
              <w:left w:val="nil"/>
              <w:bottom w:val="single" w:sz="4" w:space="0" w:color="auto"/>
              <w:right w:val="nil"/>
            </w:tcBorders>
            <w:vAlign w:val="center"/>
          </w:tcPr>
          <w:p w14:paraId="48A343BD" w14:textId="005DC3E5" w:rsidR="00476110" w:rsidRPr="008D0A08" w:rsidRDefault="006D1E0D" w:rsidP="008D0A08">
            <w:pPr>
              <w:spacing w:line="360" w:lineRule="auto"/>
              <w:jc w:val="both"/>
              <w:rPr>
                <w:rFonts w:ascii="Book Antiqua" w:hAnsi="Book Antiqua" w:cs="Arial"/>
                <w:color w:val="000000" w:themeColor="text1"/>
              </w:rPr>
            </w:pPr>
            <w:r>
              <w:rPr>
                <w:rFonts w:ascii="Book Antiqua" w:hAnsi="Book Antiqua" w:cs="Arial"/>
                <w:color w:val="000000" w:themeColor="text1"/>
                <w:kern w:val="24"/>
              </w:rPr>
              <w:t>212 (97</w:t>
            </w:r>
            <w:r w:rsidR="00476110" w:rsidRPr="008D0A08">
              <w:rPr>
                <w:rFonts w:ascii="Book Antiqua" w:hAnsi="Book Antiqua" w:cs="Arial"/>
                <w:color w:val="000000" w:themeColor="text1"/>
                <w:kern w:val="24"/>
              </w:rPr>
              <w:t>)</w:t>
            </w:r>
          </w:p>
        </w:tc>
        <w:tc>
          <w:tcPr>
            <w:tcW w:w="1170" w:type="dxa"/>
            <w:vMerge/>
            <w:tcBorders>
              <w:left w:val="nil"/>
              <w:bottom w:val="single" w:sz="4" w:space="0" w:color="auto"/>
            </w:tcBorders>
            <w:vAlign w:val="center"/>
          </w:tcPr>
          <w:p w14:paraId="3A6A8466" w14:textId="77777777" w:rsidR="00476110" w:rsidRPr="008D0A08" w:rsidRDefault="00476110" w:rsidP="008D0A08">
            <w:pPr>
              <w:spacing w:line="360" w:lineRule="auto"/>
              <w:jc w:val="both"/>
              <w:rPr>
                <w:rFonts w:ascii="Book Antiqua" w:hAnsi="Book Antiqua" w:cs="Arial"/>
                <w:color w:val="000000" w:themeColor="text1"/>
              </w:rPr>
            </w:pPr>
          </w:p>
        </w:tc>
      </w:tr>
    </w:tbl>
    <w:p w14:paraId="1E584310" w14:textId="77777777" w:rsidR="000A6FBC" w:rsidRPr="008D0A08" w:rsidRDefault="000A6FBC" w:rsidP="008D0A08">
      <w:pPr>
        <w:spacing w:line="360" w:lineRule="auto"/>
        <w:jc w:val="both"/>
        <w:rPr>
          <w:rFonts w:ascii="Book Antiqua" w:hAnsi="Book Antiqua" w:cs="Arial"/>
        </w:rPr>
      </w:pPr>
      <w:r w:rsidRPr="008D0A08">
        <w:rPr>
          <w:rFonts w:ascii="Book Antiqua" w:hAnsi="Book Antiqua" w:cs="Arial"/>
        </w:rPr>
        <w:t xml:space="preserve"> </w:t>
      </w:r>
    </w:p>
    <w:p w14:paraId="3B118F89" w14:textId="77777777" w:rsidR="00F87A55" w:rsidRPr="008D0A08" w:rsidRDefault="00F87A55" w:rsidP="008D0A08">
      <w:pPr>
        <w:spacing w:line="360" w:lineRule="auto"/>
        <w:jc w:val="both"/>
        <w:rPr>
          <w:rFonts w:ascii="Book Antiqua" w:hAnsi="Book Antiqua" w:cs="Arial"/>
        </w:rPr>
      </w:pPr>
    </w:p>
    <w:p w14:paraId="2BBC42A1" w14:textId="77777777" w:rsidR="0051399B" w:rsidRPr="008D0A08" w:rsidRDefault="0051399B" w:rsidP="008D0A08">
      <w:pPr>
        <w:spacing w:line="360" w:lineRule="auto"/>
        <w:jc w:val="both"/>
        <w:rPr>
          <w:rFonts w:ascii="Book Antiqua" w:hAnsi="Book Antiqua" w:cs="Arial"/>
        </w:rPr>
      </w:pPr>
    </w:p>
    <w:p w14:paraId="7054D561" w14:textId="77777777" w:rsidR="00F87A55" w:rsidRPr="008D0A08" w:rsidRDefault="00F87A55" w:rsidP="008D0A08">
      <w:pPr>
        <w:spacing w:line="360" w:lineRule="auto"/>
        <w:jc w:val="both"/>
        <w:rPr>
          <w:rFonts w:ascii="Book Antiqua" w:hAnsi="Book Antiqua" w:cs="Arial"/>
        </w:rPr>
      </w:pPr>
    </w:p>
    <w:p w14:paraId="5920201E" w14:textId="77777777" w:rsidR="00194B32" w:rsidRDefault="00194B32">
      <w:pPr>
        <w:rPr>
          <w:rFonts w:ascii="Book Antiqua" w:hAnsi="Book Antiqua" w:cs="Arial"/>
          <w:b/>
        </w:rPr>
      </w:pPr>
      <w:r>
        <w:rPr>
          <w:rFonts w:ascii="Book Antiqua" w:hAnsi="Book Antiqua" w:cs="Arial"/>
          <w:b/>
        </w:rPr>
        <w:br w:type="page"/>
      </w:r>
    </w:p>
    <w:p w14:paraId="5548953C" w14:textId="39219A10" w:rsidR="00644808" w:rsidRPr="00194B32" w:rsidRDefault="00194B32" w:rsidP="008D0A08">
      <w:pPr>
        <w:spacing w:line="360" w:lineRule="auto"/>
        <w:jc w:val="both"/>
        <w:rPr>
          <w:rFonts w:ascii="Book Antiqua" w:eastAsia="宋体" w:hAnsi="Book Antiqua" w:cs="Arial"/>
          <w:lang w:eastAsia="zh-CN"/>
        </w:rPr>
      </w:pPr>
      <w:r w:rsidRPr="00DC618A">
        <w:rPr>
          <w:rFonts w:ascii="Book Antiqua" w:hAnsi="Book Antiqua" w:cs="Arial"/>
          <w:b/>
        </w:rPr>
        <w:lastRenderedPageBreak/>
        <w:t>Table 6</w:t>
      </w:r>
      <w:r>
        <w:rPr>
          <w:rFonts w:ascii="Book Antiqua" w:eastAsia="宋体" w:hAnsi="Book Antiqua" w:cs="Arial" w:hint="eastAsia"/>
          <w:b/>
          <w:lang w:eastAsia="zh-CN"/>
        </w:rPr>
        <w:t xml:space="preserve"> </w:t>
      </w:r>
      <w:r w:rsidRPr="00DC618A">
        <w:rPr>
          <w:rFonts w:ascii="Book Antiqua" w:hAnsi="Book Antiqua" w:cs="Arial"/>
          <w:b/>
        </w:rPr>
        <w:t>MELD and post-TIPS PSG for patients with and without severe post-TIPS HE</w:t>
      </w:r>
    </w:p>
    <w:tbl>
      <w:tblPr>
        <w:tblStyle w:val="TableGrid"/>
        <w:tblpPr w:leftFromText="180" w:rightFromText="180" w:vertAnchor="text" w:horzAnchor="margin" w:tblpXSpec="center" w:tblpY="1631"/>
        <w:tblW w:w="114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800"/>
        <w:gridCol w:w="1710"/>
        <w:gridCol w:w="1080"/>
        <w:gridCol w:w="1890"/>
        <w:gridCol w:w="1980"/>
        <w:gridCol w:w="1080"/>
      </w:tblGrid>
      <w:tr w:rsidR="00194B32" w:rsidRPr="00DC618A" w14:paraId="6B7B921D" w14:textId="77777777" w:rsidTr="00B23950">
        <w:tc>
          <w:tcPr>
            <w:tcW w:w="1890" w:type="dxa"/>
            <w:tcBorders>
              <w:top w:val="single" w:sz="4" w:space="0" w:color="auto"/>
              <w:bottom w:val="single" w:sz="4" w:space="0" w:color="auto"/>
            </w:tcBorders>
            <w:vAlign w:val="center"/>
          </w:tcPr>
          <w:p w14:paraId="5A61C46B" w14:textId="77777777" w:rsidR="00194B32" w:rsidRPr="00DC618A" w:rsidRDefault="00194B32" w:rsidP="00B23950">
            <w:pPr>
              <w:spacing w:line="360" w:lineRule="auto"/>
              <w:jc w:val="both"/>
              <w:rPr>
                <w:rFonts w:ascii="Book Antiqua" w:hAnsi="Book Antiqua" w:cs="Arial"/>
              </w:rPr>
            </w:pPr>
          </w:p>
        </w:tc>
        <w:tc>
          <w:tcPr>
            <w:tcW w:w="1800" w:type="dxa"/>
            <w:tcBorders>
              <w:top w:val="single" w:sz="4" w:space="0" w:color="auto"/>
              <w:bottom w:val="single" w:sz="4" w:space="0" w:color="auto"/>
            </w:tcBorders>
            <w:vAlign w:val="center"/>
          </w:tcPr>
          <w:p w14:paraId="73B91F8C" w14:textId="77777777" w:rsidR="00194B32" w:rsidRPr="00DC618A" w:rsidRDefault="00194B32" w:rsidP="00B23950">
            <w:pPr>
              <w:spacing w:line="360" w:lineRule="auto"/>
              <w:jc w:val="both"/>
              <w:rPr>
                <w:rFonts w:ascii="Book Antiqua" w:hAnsi="Book Antiqua" w:cs="Arial"/>
                <w:b/>
              </w:rPr>
            </w:pPr>
            <w:r w:rsidRPr="00DC618A">
              <w:rPr>
                <w:rFonts w:ascii="Book Antiqua" w:hAnsi="Book Antiqua" w:cs="Arial"/>
                <w:b/>
              </w:rPr>
              <w:t>Mean MELD with HE</w:t>
            </w:r>
          </w:p>
        </w:tc>
        <w:tc>
          <w:tcPr>
            <w:tcW w:w="1710" w:type="dxa"/>
            <w:tcBorders>
              <w:top w:val="single" w:sz="4" w:space="0" w:color="auto"/>
              <w:bottom w:val="single" w:sz="4" w:space="0" w:color="auto"/>
            </w:tcBorders>
            <w:vAlign w:val="center"/>
          </w:tcPr>
          <w:p w14:paraId="1FFC4688" w14:textId="77777777" w:rsidR="00194B32" w:rsidRPr="00DC618A" w:rsidRDefault="00194B32" w:rsidP="00B23950">
            <w:pPr>
              <w:spacing w:line="360" w:lineRule="auto"/>
              <w:jc w:val="both"/>
              <w:rPr>
                <w:rFonts w:ascii="Book Antiqua" w:hAnsi="Book Antiqua" w:cs="Arial"/>
                <w:b/>
              </w:rPr>
            </w:pPr>
            <w:r w:rsidRPr="00DC618A">
              <w:rPr>
                <w:rFonts w:ascii="Book Antiqua" w:hAnsi="Book Antiqua" w:cs="Arial"/>
                <w:b/>
              </w:rPr>
              <w:t>Mean MELD without HE</w:t>
            </w:r>
          </w:p>
        </w:tc>
        <w:tc>
          <w:tcPr>
            <w:tcW w:w="1080" w:type="dxa"/>
            <w:tcBorders>
              <w:top w:val="single" w:sz="4" w:space="0" w:color="auto"/>
              <w:bottom w:val="single" w:sz="4" w:space="0" w:color="auto"/>
            </w:tcBorders>
            <w:vAlign w:val="center"/>
          </w:tcPr>
          <w:p w14:paraId="2C2A8EDF" w14:textId="030D0E9C" w:rsidR="00194B32" w:rsidRPr="00DC618A" w:rsidRDefault="00194B32" w:rsidP="00B23950">
            <w:pPr>
              <w:spacing w:line="360" w:lineRule="auto"/>
              <w:jc w:val="both"/>
              <w:rPr>
                <w:rFonts w:ascii="Book Antiqua" w:hAnsi="Book Antiqua" w:cs="Arial"/>
                <w:b/>
              </w:rPr>
            </w:pPr>
            <w:r w:rsidRPr="001A0AD7">
              <w:rPr>
                <w:rFonts w:ascii="Book Antiqua" w:hAnsi="Book Antiqua" w:cs="Arial"/>
                <w:b/>
                <w:i/>
              </w:rPr>
              <w:t>P</w:t>
            </w:r>
            <w:r w:rsidR="001A0AD7">
              <w:rPr>
                <w:rFonts w:ascii="Book Antiqua" w:hAnsi="Book Antiqua" w:cs="Arial"/>
                <w:b/>
              </w:rPr>
              <w:t xml:space="preserve"> </w:t>
            </w:r>
            <w:r w:rsidRPr="00DC618A">
              <w:rPr>
                <w:rFonts w:ascii="Book Antiqua" w:hAnsi="Book Antiqua" w:cs="Arial"/>
                <w:b/>
              </w:rPr>
              <w:t>value</w:t>
            </w:r>
          </w:p>
        </w:tc>
        <w:tc>
          <w:tcPr>
            <w:tcW w:w="1890" w:type="dxa"/>
            <w:tcBorders>
              <w:top w:val="single" w:sz="4" w:space="0" w:color="auto"/>
              <w:bottom w:val="single" w:sz="4" w:space="0" w:color="auto"/>
            </w:tcBorders>
            <w:vAlign w:val="center"/>
          </w:tcPr>
          <w:p w14:paraId="77B7D514" w14:textId="77777777" w:rsidR="00194B32" w:rsidRPr="00DC618A" w:rsidRDefault="00194B32" w:rsidP="00B23950">
            <w:pPr>
              <w:spacing w:line="360" w:lineRule="auto"/>
              <w:jc w:val="both"/>
              <w:rPr>
                <w:rFonts w:ascii="Book Antiqua" w:hAnsi="Book Antiqua" w:cs="Arial"/>
                <w:b/>
              </w:rPr>
            </w:pPr>
            <w:r w:rsidRPr="00DC618A">
              <w:rPr>
                <w:rFonts w:ascii="Book Antiqua" w:hAnsi="Book Antiqua" w:cs="Arial"/>
                <w:b/>
              </w:rPr>
              <w:t>Median Post-TIPS PSG with HE (mmHg)</w:t>
            </w:r>
          </w:p>
        </w:tc>
        <w:tc>
          <w:tcPr>
            <w:tcW w:w="1980" w:type="dxa"/>
            <w:tcBorders>
              <w:top w:val="single" w:sz="4" w:space="0" w:color="auto"/>
              <w:bottom w:val="single" w:sz="4" w:space="0" w:color="auto"/>
            </w:tcBorders>
            <w:vAlign w:val="center"/>
          </w:tcPr>
          <w:p w14:paraId="627658D3" w14:textId="77777777" w:rsidR="00194B32" w:rsidRPr="00DC618A" w:rsidRDefault="00194B32" w:rsidP="00B23950">
            <w:pPr>
              <w:spacing w:line="360" w:lineRule="auto"/>
              <w:jc w:val="both"/>
              <w:rPr>
                <w:rFonts w:ascii="Book Antiqua" w:hAnsi="Book Antiqua" w:cs="Arial"/>
                <w:b/>
              </w:rPr>
            </w:pPr>
            <w:r w:rsidRPr="00DC618A">
              <w:rPr>
                <w:rFonts w:ascii="Book Antiqua" w:hAnsi="Book Antiqua" w:cs="Arial"/>
                <w:b/>
              </w:rPr>
              <w:t>Median Post-TIPS PSG without HE (mmHg)</w:t>
            </w:r>
          </w:p>
        </w:tc>
        <w:tc>
          <w:tcPr>
            <w:tcW w:w="1080" w:type="dxa"/>
            <w:tcBorders>
              <w:top w:val="single" w:sz="4" w:space="0" w:color="auto"/>
              <w:bottom w:val="single" w:sz="4" w:space="0" w:color="auto"/>
            </w:tcBorders>
            <w:vAlign w:val="center"/>
          </w:tcPr>
          <w:p w14:paraId="713A7A87" w14:textId="77777777" w:rsidR="00194B32" w:rsidRPr="00DC618A" w:rsidRDefault="00194B32" w:rsidP="00B23950">
            <w:pPr>
              <w:spacing w:line="360" w:lineRule="auto"/>
              <w:jc w:val="both"/>
              <w:rPr>
                <w:rFonts w:ascii="Book Antiqua" w:hAnsi="Book Antiqua" w:cs="Arial"/>
                <w:b/>
              </w:rPr>
            </w:pPr>
            <w:r w:rsidRPr="00194B32">
              <w:rPr>
                <w:rFonts w:ascii="Book Antiqua" w:hAnsi="Book Antiqua" w:cs="Arial"/>
                <w:b/>
                <w:i/>
              </w:rPr>
              <w:t>P</w:t>
            </w:r>
            <w:r>
              <w:rPr>
                <w:rFonts w:ascii="Book Antiqua" w:eastAsia="宋体" w:hAnsi="Book Antiqua" w:cs="Arial" w:hint="eastAsia"/>
                <w:b/>
                <w:lang w:eastAsia="zh-CN"/>
              </w:rPr>
              <w:t xml:space="preserve"> </w:t>
            </w:r>
            <w:r w:rsidRPr="00DC618A">
              <w:rPr>
                <w:rFonts w:ascii="Book Antiqua" w:hAnsi="Book Antiqua" w:cs="Arial"/>
                <w:b/>
              </w:rPr>
              <w:t>value</w:t>
            </w:r>
          </w:p>
        </w:tc>
      </w:tr>
      <w:tr w:rsidR="00194B32" w:rsidRPr="00DC618A" w14:paraId="65879CAF" w14:textId="77777777" w:rsidTr="00B23950">
        <w:tc>
          <w:tcPr>
            <w:tcW w:w="1890" w:type="dxa"/>
            <w:tcBorders>
              <w:top w:val="single" w:sz="4" w:space="0" w:color="auto"/>
            </w:tcBorders>
            <w:vAlign w:val="center"/>
          </w:tcPr>
          <w:p w14:paraId="7EA15326" w14:textId="77777777" w:rsidR="00194B32" w:rsidRPr="00DC618A" w:rsidRDefault="00194B32" w:rsidP="00B23950">
            <w:pPr>
              <w:spacing w:line="360" w:lineRule="auto"/>
              <w:jc w:val="both"/>
              <w:rPr>
                <w:rFonts w:ascii="Book Antiqua" w:hAnsi="Book Antiqua" w:cs="Arial"/>
              </w:rPr>
            </w:pPr>
            <w:r w:rsidRPr="00DC618A">
              <w:rPr>
                <w:rFonts w:ascii="Book Antiqua" w:hAnsi="Book Antiqua" w:cs="Arial"/>
              </w:rPr>
              <w:t>Sub-maximally dilated</w:t>
            </w:r>
          </w:p>
        </w:tc>
        <w:tc>
          <w:tcPr>
            <w:tcW w:w="1800" w:type="dxa"/>
            <w:tcBorders>
              <w:top w:val="single" w:sz="4" w:space="0" w:color="auto"/>
            </w:tcBorders>
            <w:vAlign w:val="center"/>
          </w:tcPr>
          <w:p w14:paraId="0DFFD94F" w14:textId="77777777" w:rsidR="00194B32" w:rsidRPr="00DC618A" w:rsidRDefault="00194B32" w:rsidP="00B23950">
            <w:pPr>
              <w:spacing w:line="360" w:lineRule="auto"/>
              <w:jc w:val="both"/>
              <w:rPr>
                <w:rFonts w:ascii="Book Antiqua" w:hAnsi="Book Antiqua" w:cs="Arial"/>
              </w:rPr>
            </w:pPr>
            <w:r w:rsidRPr="00DC618A">
              <w:rPr>
                <w:rFonts w:ascii="Book Antiqua" w:hAnsi="Book Antiqua" w:cs="Arial"/>
              </w:rPr>
              <w:t>13.3 ± 2.9 (Range 11-17)</w:t>
            </w:r>
          </w:p>
        </w:tc>
        <w:tc>
          <w:tcPr>
            <w:tcW w:w="1710" w:type="dxa"/>
            <w:tcBorders>
              <w:top w:val="single" w:sz="4" w:space="0" w:color="auto"/>
            </w:tcBorders>
            <w:vAlign w:val="center"/>
          </w:tcPr>
          <w:p w14:paraId="2B4072F5" w14:textId="77777777" w:rsidR="00194B32" w:rsidRPr="00DC618A" w:rsidRDefault="00194B32" w:rsidP="00B23950">
            <w:pPr>
              <w:spacing w:line="360" w:lineRule="auto"/>
              <w:jc w:val="both"/>
              <w:rPr>
                <w:rFonts w:ascii="Book Antiqua" w:hAnsi="Book Antiqua" w:cs="Arial"/>
              </w:rPr>
            </w:pPr>
            <w:r w:rsidRPr="00DC618A">
              <w:rPr>
                <w:rFonts w:ascii="Book Antiqua" w:hAnsi="Book Antiqua" w:cs="Arial"/>
              </w:rPr>
              <w:t>13.7 ± 4.3 (Range 6-25)</w:t>
            </w:r>
          </w:p>
        </w:tc>
        <w:tc>
          <w:tcPr>
            <w:tcW w:w="1080" w:type="dxa"/>
            <w:tcBorders>
              <w:top w:val="single" w:sz="4" w:space="0" w:color="auto"/>
            </w:tcBorders>
            <w:vAlign w:val="center"/>
          </w:tcPr>
          <w:p w14:paraId="6286F0E0" w14:textId="77777777" w:rsidR="00194B32" w:rsidRPr="00DC618A" w:rsidRDefault="00194B32" w:rsidP="00B23950">
            <w:pPr>
              <w:spacing w:line="360" w:lineRule="auto"/>
              <w:jc w:val="both"/>
              <w:rPr>
                <w:rFonts w:ascii="Book Antiqua" w:hAnsi="Book Antiqua" w:cs="Arial"/>
              </w:rPr>
            </w:pPr>
            <w:r w:rsidRPr="00DC618A">
              <w:rPr>
                <w:rFonts w:ascii="Book Antiqua" w:hAnsi="Book Antiqua" w:cs="Arial"/>
              </w:rPr>
              <w:t>0.85</w:t>
            </w:r>
          </w:p>
        </w:tc>
        <w:tc>
          <w:tcPr>
            <w:tcW w:w="1890" w:type="dxa"/>
            <w:tcBorders>
              <w:top w:val="single" w:sz="4" w:space="0" w:color="auto"/>
            </w:tcBorders>
            <w:vAlign w:val="center"/>
          </w:tcPr>
          <w:p w14:paraId="6DD3B357" w14:textId="77777777" w:rsidR="00194B32" w:rsidRPr="00DC618A" w:rsidRDefault="00194B32" w:rsidP="00B23950">
            <w:pPr>
              <w:spacing w:line="360" w:lineRule="auto"/>
              <w:jc w:val="both"/>
              <w:rPr>
                <w:rFonts w:ascii="Book Antiqua" w:hAnsi="Book Antiqua" w:cs="Arial"/>
              </w:rPr>
            </w:pPr>
            <w:r w:rsidRPr="00DC618A">
              <w:rPr>
                <w:rFonts w:ascii="Book Antiqua" w:hAnsi="Book Antiqua" w:cs="Arial"/>
              </w:rPr>
              <w:t>7.5</w:t>
            </w:r>
          </w:p>
          <w:p w14:paraId="6D93F502" w14:textId="77777777" w:rsidR="00194B32" w:rsidRPr="00DC618A" w:rsidRDefault="00194B32" w:rsidP="00B23950">
            <w:pPr>
              <w:spacing w:line="360" w:lineRule="auto"/>
              <w:jc w:val="both"/>
              <w:rPr>
                <w:rFonts w:ascii="Book Antiqua" w:hAnsi="Book Antiqua" w:cs="Arial"/>
              </w:rPr>
            </w:pPr>
            <w:r w:rsidRPr="00DC618A">
              <w:rPr>
                <w:rFonts w:ascii="Book Antiqua" w:hAnsi="Book Antiqua" w:cs="Arial"/>
              </w:rPr>
              <w:t>(Range 6-8)</w:t>
            </w:r>
          </w:p>
        </w:tc>
        <w:tc>
          <w:tcPr>
            <w:tcW w:w="1980" w:type="dxa"/>
            <w:tcBorders>
              <w:top w:val="single" w:sz="4" w:space="0" w:color="auto"/>
            </w:tcBorders>
            <w:vAlign w:val="center"/>
          </w:tcPr>
          <w:p w14:paraId="602B36D9" w14:textId="77777777" w:rsidR="00194B32" w:rsidRPr="00DC618A" w:rsidRDefault="00194B32" w:rsidP="00B23950">
            <w:pPr>
              <w:spacing w:line="360" w:lineRule="auto"/>
              <w:jc w:val="both"/>
              <w:rPr>
                <w:rFonts w:ascii="Book Antiqua" w:hAnsi="Book Antiqua" w:cs="Arial"/>
              </w:rPr>
            </w:pPr>
            <w:r w:rsidRPr="00DC618A">
              <w:rPr>
                <w:rFonts w:ascii="Book Antiqua" w:hAnsi="Book Antiqua" w:cs="Arial"/>
              </w:rPr>
              <w:t>8</w:t>
            </w:r>
          </w:p>
          <w:p w14:paraId="74E41D0A" w14:textId="77777777" w:rsidR="00194B32" w:rsidRPr="00DC618A" w:rsidRDefault="00194B32" w:rsidP="00B23950">
            <w:pPr>
              <w:spacing w:line="360" w:lineRule="auto"/>
              <w:jc w:val="both"/>
              <w:rPr>
                <w:rFonts w:ascii="Book Antiqua" w:hAnsi="Book Antiqua" w:cs="Arial"/>
              </w:rPr>
            </w:pPr>
            <w:r w:rsidRPr="00DC618A">
              <w:rPr>
                <w:rFonts w:ascii="Book Antiqua" w:hAnsi="Book Antiqua" w:cs="Arial"/>
              </w:rPr>
              <w:t>(Range 1-13)</w:t>
            </w:r>
          </w:p>
        </w:tc>
        <w:tc>
          <w:tcPr>
            <w:tcW w:w="1080" w:type="dxa"/>
            <w:tcBorders>
              <w:top w:val="single" w:sz="4" w:space="0" w:color="auto"/>
            </w:tcBorders>
            <w:vAlign w:val="center"/>
          </w:tcPr>
          <w:p w14:paraId="6E3AEC49" w14:textId="77777777" w:rsidR="00194B32" w:rsidRPr="00DC618A" w:rsidRDefault="00194B32" w:rsidP="00B23950">
            <w:pPr>
              <w:spacing w:line="360" w:lineRule="auto"/>
              <w:jc w:val="both"/>
              <w:rPr>
                <w:rFonts w:ascii="Book Antiqua" w:hAnsi="Book Antiqua" w:cs="Arial"/>
              </w:rPr>
            </w:pPr>
            <w:r w:rsidRPr="00DC618A">
              <w:rPr>
                <w:rFonts w:ascii="Book Antiqua" w:hAnsi="Book Antiqua" w:cs="Arial"/>
              </w:rPr>
              <w:t>0.67</w:t>
            </w:r>
          </w:p>
        </w:tc>
      </w:tr>
      <w:tr w:rsidR="00194B32" w:rsidRPr="00DC618A" w14:paraId="760422E0" w14:textId="77777777" w:rsidTr="00B23950">
        <w:tc>
          <w:tcPr>
            <w:tcW w:w="1890" w:type="dxa"/>
            <w:vAlign w:val="center"/>
          </w:tcPr>
          <w:p w14:paraId="1E92E2A2" w14:textId="77777777" w:rsidR="00194B32" w:rsidRPr="00DC618A" w:rsidRDefault="00194B32" w:rsidP="00B23950">
            <w:pPr>
              <w:spacing w:line="360" w:lineRule="auto"/>
              <w:jc w:val="both"/>
              <w:rPr>
                <w:rFonts w:ascii="Book Antiqua" w:hAnsi="Book Antiqua" w:cs="Arial"/>
              </w:rPr>
            </w:pPr>
            <w:r w:rsidRPr="00DC618A">
              <w:rPr>
                <w:rFonts w:ascii="Book Antiqua" w:hAnsi="Book Antiqua" w:cs="Arial"/>
              </w:rPr>
              <w:t>Maximally dilated</w:t>
            </w:r>
          </w:p>
        </w:tc>
        <w:tc>
          <w:tcPr>
            <w:tcW w:w="1800" w:type="dxa"/>
            <w:vAlign w:val="center"/>
          </w:tcPr>
          <w:p w14:paraId="040D1A67" w14:textId="77777777" w:rsidR="00194B32" w:rsidRPr="00DC618A" w:rsidRDefault="00194B32" w:rsidP="00B23950">
            <w:pPr>
              <w:spacing w:line="360" w:lineRule="auto"/>
              <w:jc w:val="both"/>
              <w:rPr>
                <w:rFonts w:ascii="Book Antiqua" w:hAnsi="Book Antiqua" w:cs="Arial"/>
              </w:rPr>
            </w:pPr>
            <w:r w:rsidRPr="00DC618A">
              <w:rPr>
                <w:rFonts w:ascii="Book Antiqua" w:hAnsi="Book Antiqua" w:cs="Arial"/>
              </w:rPr>
              <w:t>15.8 ± 4.3 (Range 12-24)</w:t>
            </w:r>
          </w:p>
        </w:tc>
        <w:tc>
          <w:tcPr>
            <w:tcW w:w="1710" w:type="dxa"/>
            <w:vAlign w:val="center"/>
          </w:tcPr>
          <w:p w14:paraId="05BA81B7" w14:textId="77777777" w:rsidR="00194B32" w:rsidRPr="00DC618A" w:rsidRDefault="00194B32" w:rsidP="00B23950">
            <w:pPr>
              <w:spacing w:line="360" w:lineRule="auto"/>
              <w:jc w:val="both"/>
              <w:rPr>
                <w:rFonts w:ascii="Book Antiqua" w:hAnsi="Book Antiqua" w:cs="Arial"/>
              </w:rPr>
            </w:pPr>
            <w:r w:rsidRPr="00DC618A">
              <w:rPr>
                <w:rFonts w:ascii="Book Antiqua" w:hAnsi="Book Antiqua" w:cs="Arial"/>
              </w:rPr>
              <w:t>13.4 ± 4.1 (Range 6-28)</w:t>
            </w:r>
          </w:p>
        </w:tc>
        <w:tc>
          <w:tcPr>
            <w:tcW w:w="1080" w:type="dxa"/>
            <w:vAlign w:val="center"/>
          </w:tcPr>
          <w:p w14:paraId="5F0F07F8" w14:textId="77777777" w:rsidR="00194B32" w:rsidRPr="00DC618A" w:rsidRDefault="00194B32" w:rsidP="00B23950">
            <w:pPr>
              <w:spacing w:line="360" w:lineRule="auto"/>
              <w:jc w:val="both"/>
              <w:rPr>
                <w:rFonts w:ascii="Book Antiqua" w:hAnsi="Book Antiqua" w:cs="Arial"/>
              </w:rPr>
            </w:pPr>
            <w:r w:rsidRPr="00DC618A">
              <w:rPr>
                <w:rFonts w:ascii="Book Antiqua" w:hAnsi="Book Antiqua" w:cs="Arial"/>
              </w:rPr>
              <w:t>0.16</w:t>
            </w:r>
          </w:p>
        </w:tc>
        <w:tc>
          <w:tcPr>
            <w:tcW w:w="1890" w:type="dxa"/>
            <w:vAlign w:val="center"/>
          </w:tcPr>
          <w:p w14:paraId="5EB1A1AA" w14:textId="77777777" w:rsidR="00194B32" w:rsidRPr="00DC618A" w:rsidRDefault="00194B32" w:rsidP="00B23950">
            <w:pPr>
              <w:spacing w:line="360" w:lineRule="auto"/>
              <w:jc w:val="both"/>
              <w:rPr>
                <w:rFonts w:ascii="Book Antiqua" w:hAnsi="Book Antiqua" w:cs="Arial"/>
              </w:rPr>
            </w:pPr>
            <w:r w:rsidRPr="00DC618A">
              <w:rPr>
                <w:rFonts w:ascii="Book Antiqua" w:hAnsi="Book Antiqua" w:cs="Arial"/>
              </w:rPr>
              <w:t>10</w:t>
            </w:r>
          </w:p>
          <w:p w14:paraId="5F93D82A" w14:textId="77777777" w:rsidR="00194B32" w:rsidRPr="00DC618A" w:rsidRDefault="00194B32" w:rsidP="00B23950">
            <w:pPr>
              <w:spacing w:line="360" w:lineRule="auto"/>
              <w:jc w:val="both"/>
              <w:rPr>
                <w:rFonts w:ascii="Book Antiqua" w:hAnsi="Book Antiqua" w:cs="Arial"/>
              </w:rPr>
            </w:pPr>
            <w:r w:rsidRPr="00DC618A">
              <w:rPr>
                <w:rFonts w:ascii="Book Antiqua" w:hAnsi="Book Antiqua" w:cs="Arial"/>
              </w:rPr>
              <w:t>(Range 4-11)</w:t>
            </w:r>
          </w:p>
        </w:tc>
        <w:tc>
          <w:tcPr>
            <w:tcW w:w="1980" w:type="dxa"/>
            <w:vAlign w:val="center"/>
          </w:tcPr>
          <w:p w14:paraId="45D8A231" w14:textId="77777777" w:rsidR="00194B32" w:rsidRPr="00DC618A" w:rsidRDefault="00194B32" w:rsidP="00B23950">
            <w:pPr>
              <w:spacing w:line="360" w:lineRule="auto"/>
              <w:jc w:val="both"/>
              <w:rPr>
                <w:rFonts w:ascii="Book Antiqua" w:hAnsi="Book Antiqua" w:cs="Arial"/>
              </w:rPr>
            </w:pPr>
            <w:r w:rsidRPr="00DC618A">
              <w:rPr>
                <w:rFonts w:ascii="Book Antiqua" w:hAnsi="Book Antiqua" w:cs="Arial"/>
              </w:rPr>
              <w:t>8</w:t>
            </w:r>
          </w:p>
          <w:p w14:paraId="22D310F6" w14:textId="77777777" w:rsidR="00194B32" w:rsidRPr="00DC618A" w:rsidRDefault="00194B32" w:rsidP="00B23950">
            <w:pPr>
              <w:spacing w:line="360" w:lineRule="auto"/>
              <w:jc w:val="both"/>
              <w:rPr>
                <w:rFonts w:ascii="Book Antiqua" w:hAnsi="Book Antiqua" w:cs="Arial"/>
              </w:rPr>
            </w:pPr>
            <w:r w:rsidRPr="00DC618A">
              <w:rPr>
                <w:rFonts w:ascii="Book Antiqua" w:hAnsi="Book Antiqua" w:cs="Arial"/>
              </w:rPr>
              <w:t>(Range 2-20)</w:t>
            </w:r>
          </w:p>
        </w:tc>
        <w:tc>
          <w:tcPr>
            <w:tcW w:w="1080" w:type="dxa"/>
            <w:vAlign w:val="center"/>
          </w:tcPr>
          <w:p w14:paraId="163E7B12" w14:textId="77777777" w:rsidR="00194B32" w:rsidRPr="00DC618A" w:rsidRDefault="00194B32" w:rsidP="00B23950">
            <w:pPr>
              <w:spacing w:line="360" w:lineRule="auto"/>
              <w:jc w:val="both"/>
              <w:rPr>
                <w:rFonts w:ascii="Book Antiqua" w:hAnsi="Book Antiqua" w:cs="Arial"/>
              </w:rPr>
            </w:pPr>
            <w:r w:rsidRPr="00DC618A">
              <w:rPr>
                <w:rFonts w:ascii="Book Antiqua" w:hAnsi="Book Antiqua" w:cs="Arial"/>
              </w:rPr>
              <w:t>0.36</w:t>
            </w:r>
          </w:p>
        </w:tc>
      </w:tr>
    </w:tbl>
    <w:p w14:paraId="43CF678D" w14:textId="17BAD434" w:rsidR="00B2057F" w:rsidRPr="008D0A08" w:rsidRDefault="00194B32" w:rsidP="008D0A08">
      <w:pPr>
        <w:spacing w:line="360" w:lineRule="auto"/>
        <w:jc w:val="both"/>
        <w:rPr>
          <w:rFonts w:ascii="Book Antiqua" w:hAnsi="Book Antiqua" w:cs="Arial"/>
        </w:rPr>
      </w:pPr>
      <w:r w:rsidRPr="008D0A08">
        <w:rPr>
          <w:rFonts w:ascii="Book Antiqua" w:hAnsi="Book Antiqua" w:cs="Arial"/>
        </w:rPr>
        <w:t xml:space="preserve"> </w:t>
      </w:r>
      <w:r w:rsidR="00D829D1" w:rsidRPr="008D0A08">
        <w:rPr>
          <w:rFonts w:ascii="Book Antiqua" w:hAnsi="Book Antiqua" w:cs="Arial"/>
        </w:rPr>
        <w:br w:type="page"/>
      </w:r>
    </w:p>
    <w:p w14:paraId="06C47174" w14:textId="77777777" w:rsidR="00303612" w:rsidRPr="008D0A08" w:rsidRDefault="00303612" w:rsidP="008D0A08">
      <w:pPr>
        <w:spacing w:line="360" w:lineRule="auto"/>
        <w:jc w:val="both"/>
        <w:rPr>
          <w:rFonts w:ascii="Book Antiqua" w:hAnsi="Book Antiqua" w:cs="Arial"/>
        </w:rPr>
      </w:pPr>
      <w:r w:rsidRPr="008D0A08">
        <w:rPr>
          <w:rFonts w:ascii="Book Antiqua" w:hAnsi="Book Antiqua"/>
          <w:noProof/>
        </w:rPr>
        <w:lastRenderedPageBreak/>
        <w:drawing>
          <wp:inline distT="0" distB="0" distL="0" distR="0" wp14:anchorId="1E7414D4" wp14:editId="664FCBDA">
            <wp:extent cx="5600700" cy="2741930"/>
            <wp:effectExtent l="0" t="0" r="12700" b="2667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94131D4" w14:textId="6E8A25A0" w:rsidR="00303612" w:rsidRPr="006D1E0D" w:rsidRDefault="00303612" w:rsidP="008D0A08">
      <w:pPr>
        <w:spacing w:line="360" w:lineRule="auto"/>
        <w:jc w:val="both"/>
        <w:rPr>
          <w:rFonts w:ascii="Book Antiqua" w:hAnsi="Book Antiqua" w:cs="Arial"/>
          <w:b/>
        </w:rPr>
      </w:pPr>
      <w:r w:rsidRPr="006D1E0D">
        <w:rPr>
          <w:rFonts w:ascii="Book Antiqua" w:hAnsi="Book Antiqua" w:cs="Arial"/>
          <w:b/>
        </w:rPr>
        <w:t xml:space="preserve"> Figure 1</w:t>
      </w:r>
      <w:r w:rsidR="006D1E0D" w:rsidRPr="006D1E0D">
        <w:rPr>
          <w:rFonts w:ascii="Book Antiqua" w:eastAsia="宋体" w:hAnsi="Book Antiqua" w:cs="Arial" w:hint="eastAsia"/>
          <w:b/>
          <w:lang w:eastAsia="zh-CN"/>
        </w:rPr>
        <w:t xml:space="preserve"> </w:t>
      </w:r>
      <w:r w:rsidRPr="006D1E0D">
        <w:rPr>
          <w:rFonts w:ascii="Book Antiqua" w:hAnsi="Book Antiqua" w:cs="Arial"/>
          <w:b/>
        </w:rPr>
        <w:t xml:space="preserve">Patient </w:t>
      </w:r>
      <w:r w:rsidR="007E1D1D" w:rsidRPr="006D1E0D">
        <w:rPr>
          <w:rFonts w:ascii="Book Antiqua" w:hAnsi="Book Antiqua" w:cs="Arial"/>
          <w:b/>
        </w:rPr>
        <w:t>selection</w:t>
      </w:r>
      <w:r w:rsidRPr="006D1E0D">
        <w:rPr>
          <w:rFonts w:ascii="Book Antiqua" w:hAnsi="Book Antiqua" w:cs="Arial"/>
          <w:b/>
        </w:rPr>
        <w:t>.</w:t>
      </w:r>
    </w:p>
    <w:p w14:paraId="15215ED2" w14:textId="77777777" w:rsidR="00303612" w:rsidRPr="008D0A08" w:rsidRDefault="00303612" w:rsidP="008D0A08">
      <w:pPr>
        <w:spacing w:line="360" w:lineRule="auto"/>
        <w:jc w:val="both"/>
        <w:rPr>
          <w:rFonts w:ascii="Book Antiqua" w:hAnsi="Book Antiqua" w:cs="Arial"/>
        </w:rPr>
      </w:pPr>
      <w:r w:rsidRPr="008D0A08">
        <w:rPr>
          <w:rFonts w:ascii="Book Antiqua" w:hAnsi="Book Antiqua" w:cs="Arial"/>
        </w:rPr>
        <w:br w:type="page"/>
      </w:r>
    </w:p>
    <w:p w14:paraId="3C3F58BC" w14:textId="77777777" w:rsidR="00B2057F" w:rsidRPr="008D0A08" w:rsidRDefault="00B2057F" w:rsidP="008D0A08">
      <w:pPr>
        <w:spacing w:line="360" w:lineRule="auto"/>
        <w:jc w:val="both"/>
        <w:rPr>
          <w:rFonts w:ascii="Book Antiqua" w:hAnsi="Book Antiqua" w:cs="Arial"/>
        </w:rPr>
      </w:pPr>
    </w:p>
    <w:p w14:paraId="653BF1D9" w14:textId="58519E27" w:rsidR="003C22E1" w:rsidRPr="008D0A08" w:rsidRDefault="003C22E1" w:rsidP="008D0A08">
      <w:pPr>
        <w:spacing w:line="360" w:lineRule="auto"/>
        <w:jc w:val="both"/>
        <w:rPr>
          <w:rFonts w:ascii="Book Antiqua" w:hAnsi="Book Antiqua" w:cs="Arial"/>
        </w:rPr>
      </w:pPr>
      <w:r w:rsidRPr="008D0A08">
        <w:rPr>
          <w:rFonts w:ascii="Book Antiqua" w:hAnsi="Book Antiqua" w:cs="Arial"/>
          <w:noProof/>
        </w:rPr>
        <w:drawing>
          <wp:inline distT="0" distB="0" distL="0" distR="0" wp14:anchorId="1E4C44F0" wp14:editId="6EFD5D63">
            <wp:extent cx="5793016" cy="304133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surement.jpg"/>
                    <pic:cNvPicPr/>
                  </pic:nvPicPr>
                  <pic:blipFill>
                    <a:blip r:embed="rId14">
                      <a:extLst>
                        <a:ext uri="{28A0092B-C50C-407E-A947-70E740481C1C}">
                          <a14:useLocalDpi xmlns:a14="http://schemas.microsoft.com/office/drawing/2010/main" val="0"/>
                        </a:ext>
                      </a:extLst>
                    </a:blip>
                    <a:stretch>
                      <a:fillRect/>
                    </a:stretch>
                  </pic:blipFill>
                  <pic:spPr>
                    <a:xfrm>
                      <a:off x="0" y="0"/>
                      <a:ext cx="5796485" cy="3043154"/>
                    </a:xfrm>
                    <a:prstGeom prst="rect">
                      <a:avLst/>
                    </a:prstGeom>
                  </pic:spPr>
                </pic:pic>
              </a:graphicData>
            </a:graphic>
          </wp:inline>
        </w:drawing>
      </w:r>
      <w:r w:rsidR="00303612" w:rsidRPr="008D0A08">
        <w:rPr>
          <w:rFonts w:ascii="Book Antiqua" w:hAnsi="Book Antiqua" w:cs="Arial"/>
          <w:b/>
        </w:rPr>
        <w:t>Figure 2</w:t>
      </w:r>
      <w:r w:rsidR="006D1E0D">
        <w:rPr>
          <w:rFonts w:ascii="Book Antiqua" w:eastAsia="宋体" w:hAnsi="Book Antiqua" w:cs="Arial" w:hint="eastAsia"/>
          <w:b/>
          <w:lang w:eastAsia="zh-CN"/>
        </w:rPr>
        <w:t xml:space="preserve"> </w:t>
      </w:r>
      <w:proofErr w:type="spellStart"/>
      <w:r w:rsidR="00C94987" w:rsidRPr="006D1E0D">
        <w:rPr>
          <w:rFonts w:ascii="Book Antiqua" w:hAnsi="Book Antiqua" w:cs="Arial"/>
          <w:b/>
        </w:rPr>
        <w:t>TeraRecon</w:t>
      </w:r>
      <w:proofErr w:type="spellEnd"/>
      <w:r w:rsidR="00C94987" w:rsidRPr="006D1E0D">
        <w:rPr>
          <w:rFonts w:ascii="Book Antiqua" w:hAnsi="Book Antiqua" w:cs="Arial"/>
          <w:b/>
        </w:rPr>
        <w:t xml:space="preserve"> measurement of </w:t>
      </w:r>
      <w:proofErr w:type="spellStart"/>
      <w:r w:rsidR="006D1E0D" w:rsidRPr="006D1E0D">
        <w:rPr>
          <w:rFonts w:ascii="Book Antiqua" w:hAnsi="Book Antiqua" w:cs="Arial"/>
          <w:b/>
        </w:rPr>
        <w:t>transjugular</w:t>
      </w:r>
      <w:proofErr w:type="spellEnd"/>
      <w:r w:rsidR="006D1E0D" w:rsidRPr="006D1E0D">
        <w:rPr>
          <w:rFonts w:ascii="Book Antiqua" w:hAnsi="Book Antiqua" w:cs="Arial"/>
          <w:b/>
        </w:rPr>
        <w:t xml:space="preserve"> intrahepatic </w:t>
      </w:r>
      <w:proofErr w:type="spellStart"/>
      <w:r w:rsidR="006D1E0D" w:rsidRPr="006D1E0D">
        <w:rPr>
          <w:rFonts w:ascii="Book Antiqua" w:hAnsi="Book Antiqua" w:cs="Arial"/>
          <w:b/>
        </w:rPr>
        <w:t>portosystemic</w:t>
      </w:r>
      <w:proofErr w:type="spellEnd"/>
      <w:r w:rsidR="006D1E0D" w:rsidRPr="006D1E0D">
        <w:rPr>
          <w:rFonts w:ascii="Book Antiqua" w:hAnsi="Book Antiqua" w:cs="Arial"/>
          <w:b/>
        </w:rPr>
        <w:t xml:space="preserve"> shunt </w:t>
      </w:r>
      <w:r w:rsidR="00C94987" w:rsidRPr="006D1E0D">
        <w:rPr>
          <w:rFonts w:ascii="Book Antiqua" w:hAnsi="Book Antiqua" w:cs="Arial"/>
          <w:b/>
        </w:rPr>
        <w:t>stent at hepatic venous end, mid-stent, and portal venous end.</w:t>
      </w:r>
      <w:r w:rsidR="00C94987" w:rsidRPr="008D0A08">
        <w:rPr>
          <w:rFonts w:ascii="Book Antiqua" w:hAnsi="Book Antiqua" w:cs="Arial"/>
        </w:rPr>
        <w:t xml:space="preserve"> </w:t>
      </w:r>
      <w:r w:rsidR="006D1E0D" w:rsidRPr="006D1E0D">
        <w:rPr>
          <w:rFonts w:ascii="Book Antiqua" w:eastAsia="宋体" w:hAnsi="Book Antiqua" w:cs="Arial" w:hint="eastAsia"/>
          <w:lang w:eastAsia="zh-CN"/>
        </w:rPr>
        <w:t xml:space="preserve">A: </w:t>
      </w:r>
      <w:r w:rsidR="00C94987" w:rsidRPr="006D1E0D">
        <w:rPr>
          <w:rFonts w:ascii="Book Antiqua" w:hAnsi="Book Antiqua" w:cs="Arial"/>
        </w:rPr>
        <w:t>Axial image at the hepatic venous end with cross-sectional diameter</w:t>
      </w:r>
      <w:r w:rsidR="006D1E0D" w:rsidRPr="006D1E0D">
        <w:rPr>
          <w:rFonts w:ascii="Book Antiqua" w:eastAsia="宋体" w:hAnsi="Book Antiqua" w:cs="Arial" w:hint="eastAsia"/>
          <w:lang w:eastAsia="zh-CN"/>
        </w:rPr>
        <w:t>;</w:t>
      </w:r>
      <w:r w:rsidR="006D1E0D">
        <w:rPr>
          <w:rFonts w:ascii="Book Antiqua" w:hAnsi="Book Antiqua" w:cs="Arial"/>
        </w:rPr>
        <w:t xml:space="preserve"> </w:t>
      </w:r>
      <w:r w:rsidR="006D1E0D" w:rsidRPr="006D1E0D">
        <w:rPr>
          <w:rFonts w:ascii="Book Antiqua" w:eastAsia="宋体" w:hAnsi="Book Antiqua" w:cs="Arial" w:hint="eastAsia"/>
          <w:lang w:eastAsia="zh-CN"/>
        </w:rPr>
        <w:t xml:space="preserve">B: </w:t>
      </w:r>
      <w:r w:rsidR="00C94987" w:rsidRPr="006D1E0D">
        <w:rPr>
          <w:rFonts w:ascii="Book Antiqua" w:hAnsi="Book Antiqua" w:cs="Arial"/>
        </w:rPr>
        <w:t>Coronal image at the hepatic venous end with orthogonal plane designation</w:t>
      </w:r>
      <w:r w:rsidR="006D1E0D" w:rsidRPr="006D1E0D">
        <w:rPr>
          <w:rFonts w:ascii="Book Antiqua" w:eastAsia="宋体" w:hAnsi="Book Antiqua" w:cs="Arial" w:hint="eastAsia"/>
          <w:lang w:eastAsia="zh-CN"/>
        </w:rPr>
        <w:t>;</w:t>
      </w:r>
      <w:r w:rsidR="006D1E0D">
        <w:rPr>
          <w:rFonts w:ascii="Book Antiqua" w:hAnsi="Book Antiqua" w:cs="Arial"/>
        </w:rPr>
        <w:t xml:space="preserve"> </w:t>
      </w:r>
      <w:bookmarkStart w:id="113" w:name="_GoBack"/>
      <w:bookmarkEnd w:id="113"/>
      <w:r w:rsidR="006D1E0D" w:rsidRPr="006D1E0D">
        <w:rPr>
          <w:rFonts w:ascii="Book Antiqua" w:eastAsia="宋体" w:hAnsi="Book Antiqua" w:cs="Arial" w:hint="eastAsia"/>
          <w:lang w:eastAsia="zh-CN"/>
        </w:rPr>
        <w:t xml:space="preserve">C: </w:t>
      </w:r>
      <w:r w:rsidR="00C94987" w:rsidRPr="006D1E0D">
        <w:rPr>
          <w:rFonts w:ascii="Book Antiqua" w:hAnsi="Book Antiqua" w:cs="Arial"/>
        </w:rPr>
        <w:t>Sagittal image at the hepatic venous end with orthogonal plane designation</w:t>
      </w:r>
      <w:r w:rsidR="006D1E0D" w:rsidRPr="006D1E0D">
        <w:rPr>
          <w:rFonts w:ascii="Book Antiqua" w:eastAsia="宋体" w:hAnsi="Book Antiqua" w:cs="Arial" w:hint="eastAsia"/>
          <w:lang w:eastAsia="zh-CN"/>
        </w:rPr>
        <w:t>;</w:t>
      </w:r>
      <w:r w:rsidR="00C94987" w:rsidRPr="006D1E0D">
        <w:rPr>
          <w:rFonts w:ascii="Book Antiqua" w:hAnsi="Book Antiqua" w:cs="Arial"/>
        </w:rPr>
        <w:t xml:space="preserve"> </w:t>
      </w:r>
      <w:r w:rsidR="006D1E0D" w:rsidRPr="006D1E0D">
        <w:rPr>
          <w:rFonts w:ascii="Book Antiqua" w:eastAsia="宋体" w:hAnsi="Book Antiqua" w:cs="Arial" w:hint="eastAsia"/>
          <w:lang w:eastAsia="zh-CN"/>
        </w:rPr>
        <w:t xml:space="preserve">D: </w:t>
      </w:r>
      <w:r w:rsidR="00C94987" w:rsidRPr="006D1E0D">
        <w:rPr>
          <w:rFonts w:ascii="Book Antiqua" w:hAnsi="Book Antiqua" w:cs="Arial"/>
        </w:rPr>
        <w:t>Axial image at mid-stent with cross-sectional diameter</w:t>
      </w:r>
      <w:r w:rsidR="006D1E0D" w:rsidRPr="006D1E0D">
        <w:rPr>
          <w:rFonts w:ascii="Book Antiqua" w:eastAsia="宋体" w:hAnsi="Book Antiqua" w:cs="Arial" w:hint="eastAsia"/>
          <w:lang w:eastAsia="zh-CN"/>
        </w:rPr>
        <w:t>;</w:t>
      </w:r>
      <w:r w:rsidR="00C94987" w:rsidRPr="006D1E0D">
        <w:rPr>
          <w:rFonts w:ascii="Book Antiqua" w:hAnsi="Book Antiqua" w:cs="Arial"/>
        </w:rPr>
        <w:t xml:space="preserve"> </w:t>
      </w:r>
      <w:r w:rsidR="006D1E0D" w:rsidRPr="006D1E0D">
        <w:rPr>
          <w:rFonts w:ascii="Book Antiqua" w:eastAsia="宋体" w:hAnsi="Book Antiqua" w:cs="Arial" w:hint="eastAsia"/>
          <w:lang w:eastAsia="zh-CN"/>
        </w:rPr>
        <w:t>E:</w:t>
      </w:r>
      <w:r w:rsidR="006D232F">
        <w:rPr>
          <w:rFonts w:ascii="Book Antiqua" w:eastAsia="宋体" w:hAnsi="Book Antiqua" w:cs="Arial" w:hint="eastAsia"/>
          <w:lang w:eastAsia="zh-CN"/>
        </w:rPr>
        <w:t xml:space="preserve"> </w:t>
      </w:r>
      <w:r w:rsidR="00C94987" w:rsidRPr="006D1E0D">
        <w:rPr>
          <w:rFonts w:ascii="Book Antiqua" w:hAnsi="Book Antiqua" w:cs="Arial"/>
        </w:rPr>
        <w:t>Coronal image at mid-stent with orthogonal plane designation</w:t>
      </w:r>
      <w:r w:rsidR="006D1E0D" w:rsidRPr="006D1E0D">
        <w:rPr>
          <w:rFonts w:ascii="Book Antiqua" w:eastAsia="宋体" w:hAnsi="Book Antiqua" w:cs="Arial" w:hint="eastAsia"/>
          <w:lang w:eastAsia="zh-CN"/>
        </w:rPr>
        <w:t>;</w:t>
      </w:r>
      <w:r w:rsidR="006D1E0D">
        <w:rPr>
          <w:rFonts w:ascii="Book Antiqua" w:eastAsia="宋体" w:hAnsi="Book Antiqua" w:cs="Arial" w:hint="eastAsia"/>
          <w:lang w:eastAsia="zh-CN"/>
        </w:rPr>
        <w:t xml:space="preserve"> </w:t>
      </w:r>
      <w:r w:rsidR="006D1E0D" w:rsidRPr="006D1E0D">
        <w:rPr>
          <w:rFonts w:ascii="Book Antiqua" w:eastAsia="宋体" w:hAnsi="Book Antiqua" w:cs="Arial" w:hint="eastAsia"/>
          <w:lang w:eastAsia="zh-CN"/>
        </w:rPr>
        <w:t xml:space="preserve">F: </w:t>
      </w:r>
      <w:r w:rsidR="00C94987" w:rsidRPr="006D1E0D">
        <w:rPr>
          <w:rFonts w:ascii="Book Antiqua" w:hAnsi="Book Antiqua" w:cs="Arial"/>
        </w:rPr>
        <w:t>Sagittal image at mid-stent with orthogonal plane designation</w:t>
      </w:r>
      <w:r w:rsidR="006D1E0D" w:rsidRPr="006D1E0D">
        <w:rPr>
          <w:rFonts w:ascii="Book Antiqua" w:eastAsia="宋体" w:hAnsi="Book Antiqua" w:cs="Arial" w:hint="eastAsia"/>
          <w:lang w:eastAsia="zh-CN"/>
        </w:rPr>
        <w:t>;</w:t>
      </w:r>
      <w:r w:rsidR="006D1E0D">
        <w:rPr>
          <w:rFonts w:ascii="Book Antiqua" w:hAnsi="Book Antiqua" w:cs="Arial"/>
        </w:rPr>
        <w:t xml:space="preserve"> </w:t>
      </w:r>
      <w:r w:rsidR="006D1E0D" w:rsidRPr="006D1E0D">
        <w:rPr>
          <w:rFonts w:ascii="Book Antiqua" w:eastAsia="宋体" w:hAnsi="Book Antiqua" w:cs="Arial" w:hint="eastAsia"/>
          <w:lang w:eastAsia="zh-CN"/>
        </w:rPr>
        <w:t xml:space="preserve">G: </w:t>
      </w:r>
      <w:r w:rsidR="00C94987" w:rsidRPr="006D1E0D">
        <w:rPr>
          <w:rFonts w:ascii="Book Antiqua" w:hAnsi="Book Antiqua" w:cs="Arial"/>
        </w:rPr>
        <w:t>Axial image at the portal venous end with orthogonal plane designation</w:t>
      </w:r>
      <w:r w:rsidR="006D1E0D" w:rsidRPr="006D1E0D">
        <w:rPr>
          <w:rFonts w:ascii="Book Antiqua" w:eastAsia="宋体" w:hAnsi="Book Antiqua" w:cs="Arial" w:hint="eastAsia"/>
          <w:lang w:eastAsia="zh-CN"/>
        </w:rPr>
        <w:t>;</w:t>
      </w:r>
      <w:r w:rsidR="00C94987" w:rsidRPr="006D1E0D">
        <w:rPr>
          <w:rFonts w:ascii="Book Antiqua" w:hAnsi="Book Antiqua" w:cs="Arial"/>
        </w:rPr>
        <w:t xml:space="preserve"> </w:t>
      </w:r>
      <w:r w:rsidR="006D1E0D" w:rsidRPr="006D1E0D">
        <w:rPr>
          <w:rFonts w:ascii="Book Antiqua" w:eastAsia="宋体" w:hAnsi="Book Antiqua" w:cs="Arial" w:hint="eastAsia"/>
          <w:lang w:eastAsia="zh-CN"/>
        </w:rPr>
        <w:t>H</w:t>
      </w:r>
      <w:r w:rsidR="006D1E0D">
        <w:rPr>
          <w:rFonts w:ascii="Book Antiqua" w:eastAsia="宋体" w:hAnsi="Book Antiqua" w:cs="Arial" w:hint="eastAsia"/>
          <w:lang w:eastAsia="zh-CN"/>
        </w:rPr>
        <w:t xml:space="preserve">: </w:t>
      </w:r>
      <w:r w:rsidR="00C94987" w:rsidRPr="006D1E0D">
        <w:rPr>
          <w:rFonts w:ascii="Book Antiqua" w:hAnsi="Book Antiqua" w:cs="Arial"/>
        </w:rPr>
        <w:t>Coronal image at the portal venous end with cross-sectional diameter</w:t>
      </w:r>
      <w:r w:rsidR="006D1E0D" w:rsidRPr="006D1E0D">
        <w:rPr>
          <w:rFonts w:ascii="Book Antiqua" w:eastAsia="宋体" w:hAnsi="Book Antiqua" w:cs="Arial" w:hint="eastAsia"/>
          <w:lang w:eastAsia="zh-CN"/>
        </w:rPr>
        <w:t>;</w:t>
      </w:r>
      <w:r w:rsidR="00020703" w:rsidRPr="006D1E0D">
        <w:rPr>
          <w:rFonts w:ascii="Book Antiqua" w:hAnsi="Book Antiqua" w:cs="Arial"/>
        </w:rPr>
        <w:t xml:space="preserve"> </w:t>
      </w:r>
      <w:r w:rsidR="006D1E0D" w:rsidRPr="006D1E0D">
        <w:rPr>
          <w:rFonts w:ascii="Book Antiqua" w:eastAsia="宋体" w:hAnsi="Book Antiqua" w:cs="Arial" w:hint="eastAsia"/>
          <w:lang w:eastAsia="zh-CN"/>
        </w:rPr>
        <w:t xml:space="preserve">I: </w:t>
      </w:r>
      <w:r w:rsidR="00020703" w:rsidRPr="006D1E0D">
        <w:rPr>
          <w:rFonts w:ascii="Book Antiqua" w:hAnsi="Book Antiqua" w:cs="Arial"/>
        </w:rPr>
        <w:t>Sagittal image at the portal venous end with orthogonal plane designation.</w:t>
      </w:r>
      <w:r w:rsidR="00C94987" w:rsidRPr="006D1E0D">
        <w:rPr>
          <w:rFonts w:ascii="Book Antiqua" w:hAnsi="Book Antiqua" w:cs="Arial"/>
        </w:rPr>
        <w:t xml:space="preserve"> </w:t>
      </w:r>
      <w:r w:rsidRPr="008D0A08">
        <w:rPr>
          <w:rFonts w:ascii="Book Antiqua" w:hAnsi="Book Antiqua" w:cs="Arial"/>
        </w:rPr>
        <w:br w:type="page"/>
      </w:r>
    </w:p>
    <w:p w14:paraId="47B9EB99" w14:textId="77777777" w:rsidR="00C94987" w:rsidRPr="008D0A08" w:rsidRDefault="00C94987" w:rsidP="008D0A08">
      <w:pPr>
        <w:spacing w:line="360" w:lineRule="auto"/>
        <w:jc w:val="both"/>
        <w:rPr>
          <w:rFonts w:ascii="Book Antiqua" w:hAnsi="Book Antiqua" w:cs="Arial"/>
        </w:rPr>
      </w:pPr>
    </w:p>
    <w:p w14:paraId="42901749" w14:textId="77777777" w:rsidR="00B712A8" w:rsidRPr="008D0A08" w:rsidRDefault="00034397" w:rsidP="008D0A08">
      <w:pPr>
        <w:spacing w:line="360" w:lineRule="auto"/>
        <w:jc w:val="both"/>
        <w:rPr>
          <w:rFonts w:ascii="Book Antiqua" w:hAnsi="Book Antiqua" w:cs="Arial"/>
        </w:rPr>
      </w:pPr>
      <w:r w:rsidRPr="008D0A08">
        <w:rPr>
          <w:rFonts w:ascii="Book Antiqua" w:hAnsi="Book Antiqua" w:cs="Arial"/>
          <w:noProof/>
        </w:rPr>
        <w:drawing>
          <wp:inline distT="0" distB="0" distL="0" distR="0" wp14:anchorId="08F493A2" wp14:editId="29D05A49">
            <wp:extent cx="3594100" cy="31242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6.jpg"/>
                    <pic:cNvPicPr/>
                  </pic:nvPicPr>
                  <pic:blipFill>
                    <a:blip r:embed="rId15">
                      <a:extLst>
                        <a:ext uri="{28A0092B-C50C-407E-A947-70E740481C1C}">
                          <a14:useLocalDpi xmlns:a14="http://schemas.microsoft.com/office/drawing/2010/main" val="0"/>
                        </a:ext>
                      </a:extLst>
                    </a:blip>
                    <a:stretch>
                      <a:fillRect/>
                    </a:stretch>
                  </pic:blipFill>
                  <pic:spPr>
                    <a:xfrm>
                      <a:off x="0" y="0"/>
                      <a:ext cx="3594100" cy="3124200"/>
                    </a:xfrm>
                    <a:prstGeom prst="rect">
                      <a:avLst/>
                    </a:prstGeom>
                  </pic:spPr>
                </pic:pic>
              </a:graphicData>
            </a:graphic>
          </wp:inline>
        </w:drawing>
      </w:r>
    </w:p>
    <w:p w14:paraId="2CDA2908" w14:textId="4035A1C2" w:rsidR="00B712A8" w:rsidRPr="008D0A08" w:rsidRDefault="00B712A8" w:rsidP="008D0A08">
      <w:pPr>
        <w:spacing w:line="360" w:lineRule="auto"/>
        <w:jc w:val="both"/>
        <w:rPr>
          <w:rFonts w:ascii="Book Antiqua" w:hAnsi="Book Antiqua" w:cs="Arial"/>
        </w:rPr>
      </w:pPr>
      <w:r w:rsidRPr="008D0A08">
        <w:rPr>
          <w:rFonts w:ascii="Book Antiqua" w:hAnsi="Book Antiqua" w:cs="Arial"/>
          <w:b/>
        </w:rPr>
        <w:t>Figure 3</w:t>
      </w:r>
      <w:r w:rsidR="006D1E0D" w:rsidRPr="006D1E0D">
        <w:rPr>
          <w:rFonts w:ascii="Book Antiqua" w:eastAsia="宋体" w:hAnsi="Book Antiqua" w:cs="Arial" w:hint="eastAsia"/>
          <w:b/>
          <w:lang w:eastAsia="zh-CN"/>
        </w:rPr>
        <w:t xml:space="preserve"> </w:t>
      </w:r>
      <w:r w:rsidRPr="006D1E0D">
        <w:rPr>
          <w:rFonts w:ascii="Book Antiqua" w:hAnsi="Book Antiqua" w:cs="Arial"/>
          <w:b/>
        </w:rPr>
        <w:t xml:space="preserve">Mid-stent measurement of </w:t>
      </w:r>
      <w:r w:rsidR="00034397" w:rsidRPr="006D1E0D">
        <w:rPr>
          <w:rFonts w:ascii="Book Antiqua" w:hAnsi="Book Antiqua" w:cs="Arial"/>
          <w:b/>
        </w:rPr>
        <w:t xml:space="preserve">sub-maximally dilated </w:t>
      </w:r>
      <w:proofErr w:type="spellStart"/>
      <w:r w:rsidR="006D1E0D" w:rsidRPr="006D1E0D">
        <w:rPr>
          <w:rFonts w:ascii="Book Antiqua" w:hAnsi="Book Antiqua" w:cs="Arial"/>
          <w:b/>
        </w:rPr>
        <w:t>transjugular</w:t>
      </w:r>
      <w:proofErr w:type="spellEnd"/>
      <w:r w:rsidR="006D1E0D" w:rsidRPr="006D1E0D">
        <w:rPr>
          <w:rFonts w:ascii="Book Antiqua" w:hAnsi="Book Antiqua" w:cs="Arial"/>
          <w:b/>
        </w:rPr>
        <w:t xml:space="preserve"> intrahepatic </w:t>
      </w:r>
      <w:proofErr w:type="spellStart"/>
      <w:r w:rsidR="006D1E0D" w:rsidRPr="006D1E0D">
        <w:rPr>
          <w:rFonts w:ascii="Book Antiqua" w:hAnsi="Book Antiqua" w:cs="Arial"/>
          <w:b/>
        </w:rPr>
        <w:t>portosystemic</w:t>
      </w:r>
      <w:proofErr w:type="spellEnd"/>
      <w:r w:rsidR="006D1E0D" w:rsidRPr="006D1E0D">
        <w:rPr>
          <w:rFonts w:ascii="Book Antiqua" w:hAnsi="Book Antiqua" w:cs="Arial"/>
          <w:b/>
        </w:rPr>
        <w:t xml:space="preserve"> shunt </w:t>
      </w:r>
      <w:r w:rsidR="00034397" w:rsidRPr="006D1E0D">
        <w:rPr>
          <w:rFonts w:ascii="Book Antiqua" w:hAnsi="Book Antiqua" w:cs="Arial"/>
          <w:b/>
        </w:rPr>
        <w:t xml:space="preserve">103 </w:t>
      </w:r>
      <w:r w:rsidR="006D1E0D">
        <w:rPr>
          <w:rFonts w:ascii="Book Antiqua" w:eastAsia="宋体" w:hAnsi="Book Antiqua" w:cs="Arial" w:hint="eastAsia"/>
          <w:b/>
          <w:lang w:eastAsia="zh-CN"/>
        </w:rPr>
        <w:t>d</w:t>
      </w:r>
      <w:r w:rsidR="00034397" w:rsidRPr="006D1E0D">
        <w:rPr>
          <w:rFonts w:ascii="Book Antiqua" w:hAnsi="Book Antiqua" w:cs="Arial"/>
          <w:b/>
        </w:rPr>
        <w:t xml:space="preserve"> </w:t>
      </w:r>
      <w:r w:rsidR="00D06BF5" w:rsidRPr="006D1E0D">
        <w:rPr>
          <w:rFonts w:ascii="Book Antiqua" w:hAnsi="Book Antiqua" w:cs="Arial"/>
          <w:b/>
        </w:rPr>
        <w:t xml:space="preserve">(&lt; 6 </w:t>
      </w:r>
      <w:proofErr w:type="spellStart"/>
      <w:r w:rsidR="006D1E0D">
        <w:rPr>
          <w:rFonts w:ascii="Book Antiqua" w:eastAsia="宋体" w:hAnsi="Book Antiqua" w:cs="Arial" w:hint="eastAsia"/>
          <w:b/>
          <w:lang w:eastAsia="zh-CN"/>
        </w:rPr>
        <w:t>mo</w:t>
      </w:r>
      <w:proofErr w:type="spellEnd"/>
      <w:r w:rsidR="00D06BF5" w:rsidRPr="006D1E0D">
        <w:rPr>
          <w:rFonts w:ascii="Book Antiqua" w:hAnsi="Book Antiqua" w:cs="Arial"/>
          <w:b/>
        </w:rPr>
        <w:t xml:space="preserve">) </w:t>
      </w:r>
      <w:r w:rsidR="00034397" w:rsidRPr="006D1E0D">
        <w:rPr>
          <w:rFonts w:ascii="Book Antiqua" w:hAnsi="Book Antiqua" w:cs="Arial"/>
          <w:b/>
        </w:rPr>
        <w:t xml:space="preserve">following creation. </w:t>
      </w:r>
    </w:p>
    <w:p w14:paraId="4864E5C2" w14:textId="77777777" w:rsidR="000A138C" w:rsidRPr="008D0A08" w:rsidRDefault="007B304A" w:rsidP="008D0A08">
      <w:pPr>
        <w:spacing w:line="360" w:lineRule="auto"/>
        <w:jc w:val="both"/>
        <w:rPr>
          <w:rFonts w:ascii="Book Antiqua" w:hAnsi="Book Antiqua" w:cs="Arial"/>
        </w:rPr>
      </w:pPr>
      <w:r w:rsidRPr="008D0A08">
        <w:rPr>
          <w:rFonts w:ascii="Book Antiqua" w:hAnsi="Book Antiqua" w:cs="Arial"/>
        </w:rPr>
        <w:br w:type="page"/>
      </w:r>
    </w:p>
    <w:p w14:paraId="61CF12C0" w14:textId="77777777" w:rsidR="00B712A8" w:rsidRPr="008D0A08" w:rsidRDefault="00034397" w:rsidP="008D0A08">
      <w:pPr>
        <w:spacing w:line="360" w:lineRule="auto"/>
        <w:jc w:val="both"/>
        <w:rPr>
          <w:rFonts w:ascii="Book Antiqua" w:hAnsi="Book Antiqua" w:cs="Arial"/>
        </w:rPr>
      </w:pPr>
      <w:r w:rsidRPr="008D0A08">
        <w:rPr>
          <w:rFonts w:ascii="Book Antiqua" w:hAnsi="Book Antiqua" w:cs="Arial"/>
          <w:noProof/>
        </w:rPr>
        <w:lastRenderedPageBreak/>
        <w:drawing>
          <wp:inline distT="0" distB="0" distL="0" distR="0" wp14:anchorId="39247158" wp14:editId="461D1A1B">
            <wp:extent cx="5486400" cy="22593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6.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2259330"/>
                    </a:xfrm>
                    <a:prstGeom prst="rect">
                      <a:avLst/>
                    </a:prstGeom>
                  </pic:spPr>
                </pic:pic>
              </a:graphicData>
            </a:graphic>
          </wp:inline>
        </w:drawing>
      </w:r>
    </w:p>
    <w:p w14:paraId="600F3055" w14:textId="2FDEF058" w:rsidR="00034397" w:rsidRPr="006D1E0D" w:rsidRDefault="00034397" w:rsidP="008D0A08">
      <w:pPr>
        <w:spacing w:line="360" w:lineRule="auto"/>
        <w:jc w:val="both"/>
        <w:rPr>
          <w:rFonts w:ascii="Book Antiqua" w:hAnsi="Book Antiqua" w:cs="Arial"/>
          <w:b/>
        </w:rPr>
      </w:pPr>
      <w:r w:rsidRPr="008D0A08">
        <w:rPr>
          <w:rFonts w:ascii="Book Antiqua" w:hAnsi="Book Antiqua" w:cs="Arial"/>
          <w:b/>
        </w:rPr>
        <w:t>Figure 4</w:t>
      </w:r>
      <w:r w:rsidR="006D1E0D">
        <w:rPr>
          <w:rFonts w:ascii="Book Antiqua" w:eastAsia="宋体" w:hAnsi="Book Antiqua" w:cs="Arial" w:hint="eastAsia"/>
          <w:b/>
          <w:lang w:eastAsia="zh-CN"/>
        </w:rPr>
        <w:t xml:space="preserve"> </w:t>
      </w:r>
      <w:r w:rsidRPr="006D1E0D">
        <w:rPr>
          <w:rFonts w:ascii="Book Antiqua" w:hAnsi="Book Antiqua" w:cs="Arial"/>
          <w:b/>
        </w:rPr>
        <w:t xml:space="preserve">Mid-stent measurement of sub-maximally dilated </w:t>
      </w:r>
      <w:proofErr w:type="spellStart"/>
      <w:r w:rsidR="006D1E0D" w:rsidRPr="006D1E0D">
        <w:rPr>
          <w:rFonts w:ascii="Book Antiqua" w:hAnsi="Book Antiqua" w:cs="Arial"/>
          <w:b/>
        </w:rPr>
        <w:t>transjugular</w:t>
      </w:r>
      <w:proofErr w:type="spellEnd"/>
      <w:r w:rsidR="006D1E0D" w:rsidRPr="006D1E0D">
        <w:rPr>
          <w:rFonts w:ascii="Book Antiqua" w:hAnsi="Book Antiqua" w:cs="Arial"/>
          <w:b/>
        </w:rPr>
        <w:t xml:space="preserve"> intrahepatic </w:t>
      </w:r>
      <w:proofErr w:type="spellStart"/>
      <w:r w:rsidR="006D1E0D" w:rsidRPr="006D1E0D">
        <w:rPr>
          <w:rFonts w:ascii="Book Antiqua" w:hAnsi="Book Antiqua" w:cs="Arial"/>
          <w:b/>
        </w:rPr>
        <w:t>portosystemic</w:t>
      </w:r>
      <w:proofErr w:type="spellEnd"/>
      <w:r w:rsidR="006D1E0D" w:rsidRPr="006D1E0D">
        <w:rPr>
          <w:rFonts w:ascii="Book Antiqua" w:hAnsi="Book Antiqua" w:cs="Arial"/>
          <w:b/>
        </w:rPr>
        <w:t xml:space="preserve"> shunt </w:t>
      </w:r>
      <w:r w:rsidRPr="006D1E0D">
        <w:rPr>
          <w:rFonts w:ascii="Book Antiqua" w:hAnsi="Book Antiqua" w:cs="Arial"/>
          <w:b/>
        </w:rPr>
        <w:t>(</w:t>
      </w:r>
      <w:r w:rsidR="006D1E0D" w:rsidRPr="006D1E0D">
        <w:rPr>
          <w:rFonts w:ascii="Book Antiqua" w:hAnsi="Book Antiqua" w:cs="Arial"/>
          <w:b/>
        </w:rPr>
        <w:t>A</w:t>
      </w:r>
      <w:r w:rsidRPr="006D1E0D">
        <w:rPr>
          <w:rFonts w:ascii="Book Antiqua" w:hAnsi="Book Antiqua" w:cs="Arial"/>
          <w:b/>
        </w:rPr>
        <w:t>) 182 days and (</w:t>
      </w:r>
      <w:r w:rsidR="006D1E0D" w:rsidRPr="006D1E0D">
        <w:rPr>
          <w:rFonts w:ascii="Book Antiqua" w:hAnsi="Book Antiqua" w:cs="Arial"/>
          <w:b/>
        </w:rPr>
        <w:t>B</w:t>
      </w:r>
      <w:r w:rsidRPr="006D1E0D">
        <w:rPr>
          <w:rFonts w:ascii="Book Antiqua" w:hAnsi="Book Antiqua" w:cs="Arial"/>
          <w:b/>
        </w:rPr>
        <w:t xml:space="preserve">) 573 </w:t>
      </w:r>
      <w:r w:rsidR="000F60A0">
        <w:rPr>
          <w:rFonts w:ascii="Book Antiqua" w:eastAsia="宋体" w:hAnsi="Book Antiqua" w:cs="Arial" w:hint="eastAsia"/>
          <w:b/>
          <w:lang w:eastAsia="zh-CN"/>
        </w:rPr>
        <w:t>d</w:t>
      </w:r>
      <w:r w:rsidRPr="006D1E0D">
        <w:rPr>
          <w:rFonts w:ascii="Book Antiqua" w:hAnsi="Book Antiqua" w:cs="Arial"/>
          <w:b/>
        </w:rPr>
        <w:t xml:space="preserve"> following creation</w:t>
      </w:r>
      <w:r w:rsidR="00D06BF5" w:rsidRPr="006D1E0D">
        <w:rPr>
          <w:rFonts w:ascii="Book Antiqua" w:hAnsi="Book Antiqua" w:cs="Arial"/>
          <w:b/>
        </w:rPr>
        <w:t xml:space="preserve"> (&gt; 6 </w:t>
      </w:r>
      <w:proofErr w:type="spellStart"/>
      <w:r w:rsidR="006D1E0D">
        <w:rPr>
          <w:rFonts w:ascii="Book Antiqua" w:eastAsia="宋体" w:hAnsi="Book Antiqua" w:cs="Arial" w:hint="eastAsia"/>
          <w:b/>
          <w:lang w:eastAsia="zh-CN"/>
        </w:rPr>
        <w:t>mo</w:t>
      </w:r>
      <w:proofErr w:type="spellEnd"/>
      <w:r w:rsidR="00D06BF5" w:rsidRPr="006D1E0D">
        <w:rPr>
          <w:rFonts w:ascii="Book Antiqua" w:hAnsi="Book Antiqua" w:cs="Arial"/>
          <w:b/>
        </w:rPr>
        <w:t>) in the same patient</w:t>
      </w:r>
      <w:r w:rsidRPr="006D1E0D">
        <w:rPr>
          <w:rFonts w:ascii="Book Antiqua" w:hAnsi="Book Antiqua" w:cs="Arial"/>
          <w:b/>
        </w:rPr>
        <w:t>.</w:t>
      </w:r>
    </w:p>
    <w:p w14:paraId="41BE0BE3" w14:textId="77777777" w:rsidR="00034397" w:rsidRPr="008D0A08" w:rsidRDefault="00034397" w:rsidP="008D0A08">
      <w:pPr>
        <w:spacing w:line="360" w:lineRule="auto"/>
        <w:jc w:val="both"/>
        <w:rPr>
          <w:rFonts w:ascii="Book Antiqua" w:hAnsi="Book Antiqua" w:cs="Arial"/>
        </w:rPr>
      </w:pPr>
    </w:p>
    <w:p w14:paraId="3E261B39" w14:textId="77777777" w:rsidR="00034397" w:rsidRPr="008D0A08" w:rsidRDefault="00034397" w:rsidP="008D0A08">
      <w:pPr>
        <w:spacing w:line="360" w:lineRule="auto"/>
        <w:jc w:val="both"/>
        <w:rPr>
          <w:rFonts w:ascii="Book Antiqua" w:hAnsi="Book Antiqua" w:cs="Arial"/>
        </w:rPr>
        <w:sectPr w:rsidR="00034397" w:rsidRPr="008D0A08" w:rsidSect="00C86A5F">
          <w:pgSz w:w="12240" w:h="15840"/>
          <w:pgMar w:top="1440" w:right="1800" w:bottom="1440" w:left="1800" w:header="720" w:footer="720" w:gutter="0"/>
          <w:cols w:space="720"/>
          <w:docGrid w:linePitch="360"/>
        </w:sectPr>
      </w:pPr>
    </w:p>
    <w:p w14:paraId="56EF21A3" w14:textId="77777777" w:rsidR="000A138C" w:rsidRPr="008D0A08" w:rsidRDefault="000A138C" w:rsidP="008D0A08">
      <w:pPr>
        <w:spacing w:line="360" w:lineRule="auto"/>
        <w:jc w:val="both"/>
        <w:rPr>
          <w:rFonts w:ascii="Book Antiqua" w:hAnsi="Book Antiqua" w:cs="Arial"/>
        </w:rPr>
      </w:pPr>
    </w:p>
    <w:p w14:paraId="2EEA5271" w14:textId="77777777" w:rsidR="007B304A" w:rsidRPr="008D0A08" w:rsidRDefault="00224383" w:rsidP="008D0A08">
      <w:pPr>
        <w:spacing w:line="360" w:lineRule="auto"/>
        <w:jc w:val="both"/>
        <w:rPr>
          <w:rFonts w:ascii="Book Antiqua" w:hAnsi="Book Antiqua" w:cs="Arial"/>
        </w:rPr>
      </w:pPr>
      <w:r w:rsidRPr="008D0A08">
        <w:rPr>
          <w:rFonts w:ascii="Book Antiqua" w:hAnsi="Book Antiqua" w:cs="Arial"/>
          <w:noProof/>
        </w:rPr>
        <w:drawing>
          <wp:inline distT="0" distB="0" distL="0" distR="0" wp14:anchorId="657F4F2E" wp14:editId="600D7B97">
            <wp:extent cx="5486400" cy="28092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Patency 030516.tif"/>
                    <pic:cNvPicPr/>
                  </pic:nvPicPr>
                  <pic:blipFill>
                    <a:blip r:embed="rId17">
                      <a:extLst>
                        <a:ext uri="{28A0092B-C50C-407E-A947-70E740481C1C}">
                          <a14:useLocalDpi xmlns:a14="http://schemas.microsoft.com/office/drawing/2010/main" val="0"/>
                        </a:ext>
                      </a:extLst>
                    </a:blip>
                    <a:stretch>
                      <a:fillRect/>
                    </a:stretch>
                  </pic:blipFill>
                  <pic:spPr>
                    <a:xfrm>
                      <a:off x="0" y="0"/>
                      <a:ext cx="5486400" cy="2809240"/>
                    </a:xfrm>
                    <a:prstGeom prst="rect">
                      <a:avLst/>
                    </a:prstGeom>
                  </pic:spPr>
                </pic:pic>
              </a:graphicData>
            </a:graphic>
          </wp:inline>
        </w:drawing>
      </w:r>
    </w:p>
    <w:p w14:paraId="6E6985ED" w14:textId="77777777" w:rsidR="007B304A" w:rsidRPr="008D0A08" w:rsidRDefault="007B304A" w:rsidP="008D0A08">
      <w:pPr>
        <w:spacing w:line="360" w:lineRule="auto"/>
        <w:jc w:val="both"/>
        <w:rPr>
          <w:rFonts w:ascii="Book Antiqua" w:hAnsi="Book Antiqua" w:cs="Arial"/>
        </w:rPr>
      </w:pPr>
    </w:p>
    <w:tbl>
      <w:tblPr>
        <w:tblStyle w:val="TableGrid"/>
        <w:tblW w:w="9018" w:type="dxa"/>
        <w:tblLook w:val="04A0" w:firstRow="1" w:lastRow="0" w:firstColumn="1" w:lastColumn="0" w:noHBand="0" w:noVBand="1"/>
      </w:tblPr>
      <w:tblGrid>
        <w:gridCol w:w="1771"/>
        <w:gridCol w:w="1771"/>
        <w:gridCol w:w="1876"/>
        <w:gridCol w:w="1666"/>
        <w:gridCol w:w="1934"/>
      </w:tblGrid>
      <w:tr w:rsidR="0069629C" w:rsidRPr="008D0A08" w14:paraId="60B3D5E4" w14:textId="77777777" w:rsidTr="00A3108F">
        <w:tc>
          <w:tcPr>
            <w:tcW w:w="1771" w:type="dxa"/>
            <w:vMerge w:val="restart"/>
            <w:vAlign w:val="center"/>
          </w:tcPr>
          <w:p w14:paraId="6143BCDF" w14:textId="77777777" w:rsidR="0069629C" w:rsidRPr="008D0A08" w:rsidRDefault="00A3108F" w:rsidP="008D0A08">
            <w:pPr>
              <w:spacing w:line="360" w:lineRule="auto"/>
              <w:jc w:val="both"/>
              <w:rPr>
                <w:rFonts w:ascii="Book Antiqua" w:hAnsi="Book Antiqua" w:cs="Arial"/>
                <w:color w:val="000000" w:themeColor="text1"/>
              </w:rPr>
            </w:pPr>
            <w:r w:rsidRPr="00AE2B32">
              <w:rPr>
                <w:rFonts w:ascii="Book Antiqua" w:hAnsi="Book Antiqua" w:cs="Arial"/>
                <w:i/>
                <w:color w:val="000000" w:themeColor="text1"/>
              </w:rPr>
              <w:t xml:space="preserve">P </w:t>
            </w:r>
            <w:r w:rsidRPr="008D0A08">
              <w:rPr>
                <w:rFonts w:ascii="Book Antiqua" w:hAnsi="Book Antiqua" w:cs="Arial"/>
                <w:color w:val="000000" w:themeColor="text1"/>
              </w:rPr>
              <w:t>= 0.64</w:t>
            </w:r>
          </w:p>
        </w:tc>
        <w:tc>
          <w:tcPr>
            <w:tcW w:w="3647" w:type="dxa"/>
            <w:gridSpan w:val="2"/>
            <w:vAlign w:val="center"/>
          </w:tcPr>
          <w:p w14:paraId="7EB1A6E0" w14:textId="77777777" w:rsidR="0069629C" w:rsidRPr="008D0A08" w:rsidRDefault="00644808" w:rsidP="008D0A08">
            <w:pPr>
              <w:spacing w:line="360" w:lineRule="auto"/>
              <w:jc w:val="both"/>
              <w:rPr>
                <w:rFonts w:ascii="Book Antiqua" w:hAnsi="Book Antiqua" w:cs="Arial"/>
                <w:color w:val="000000" w:themeColor="text1"/>
              </w:rPr>
            </w:pPr>
            <w:r w:rsidRPr="008D0A08">
              <w:rPr>
                <w:rFonts w:ascii="Book Antiqua" w:eastAsia="MS PGothic" w:hAnsi="Book Antiqua" w:cs="Arial"/>
                <w:bCs/>
                <w:color w:val="000000" w:themeColor="text1"/>
                <w:kern w:val="24"/>
              </w:rPr>
              <w:t>Sub-maximally dilated</w:t>
            </w:r>
          </w:p>
        </w:tc>
        <w:tc>
          <w:tcPr>
            <w:tcW w:w="3600" w:type="dxa"/>
            <w:gridSpan w:val="2"/>
            <w:vAlign w:val="center"/>
          </w:tcPr>
          <w:p w14:paraId="005BE6D9" w14:textId="77777777" w:rsidR="0069629C" w:rsidRPr="008D0A08" w:rsidRDefault="00644808" w:rsidP="008D0A08">
            <w:pPr>
              <w:spacing w:line="360" w:lineRule="auto"/>
              <w:jc w:val="both"/>
              <w:rPr>
                <w:rFonts w:ascii="Book Antiqua" w:hAnsi="Book Antiqua" w:cs="Arial"/>
                <w:color w:val="000000" w:themeColor="text1"/>
              </w:rPr>
            </w:pPr>
            <w:r w:rsidRPr="008D0A08">
              <w:rPr>
                <w:rFonts w:ascii="Book Antiqua" w:eastAsia="MS PGothic" w:hAnsi="Book Antiqua" w:cs="Arial"/>
                <w:bCs/>
                <w:color w:val="000000" w:themeColor="text1"/>
                <w:kern w:val="24"/>
              </w:rPr>
              <w:t>Maximally dilated</w:t>
            </w:r>
          </w:p>
        </w:tc>
      </w:tr>
      <w:tr w:rsidR="0069629C" w:rsidRPr="008D0A08" w14:paraId="26568D24" w14:textId="77777777" w:rsidTr="00F87A55">
        <w:tc>
          <w:tcPr>
            <w:tcW w:w="1771" w:type="dxa"/>
            <w:vMerge/>
          </w:tcPr>
          <w:p w14:paraId="6E217B78" w14:textId="77777777" w:rsidR="0069629C" w:rsidRPr="008D0A08" w:rsidRDefault="0069629C" w:rsidP="008D0A08">
            <w:pPr>
              <w:spacing w:line="360" w:lineRule="auto"/>
              <w:jc w:val="both"/>
              <w:rPr>
                <w:rFonts w:ascii="Book Antiqua" w:hAnsi="Book Antiqua" w:cs="Arial"/>
                <w:color w:val="000000" w:themeColor="text1"/>
              </w:rPr>
            </w:pPr>
          </w:p>
        </w:tc>
        <w:tc>
          <w:tcPr>
            <w:tcW w:w="1771" w:type="dxa"/>
            <w:vAlign w:val="center"/>
          </w:tcPr>
          <w:p w14:paraId="158AAB8C"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bCs/>
                <w:color w:val="000000" w:themeColor="text1"/>
                <w:kern w:val="24"/>
              </w:rPr>
              <w:t>Patency</w:t>
            </w:r>
          </w:p>
        </w:tc>
        <w:tc>
          <w:tcPr>
            <w:tcW w:w="1876" w:type="dxa"/>
            <w:vAlign w:val="center"/>
          </w:tcPr>
          <w:p w14:paraId="03E3E491" w14:textId="77777777" w:rsidR="0069629C" w:rsidRPr="008D0A08" w:rsidRDefault="00F87A55" w:rsidP="008D0A08">
            <w:pPr>
              <w:spacing w:line="360" w:lineRule="auto"/>
              <w:jc w:val="both"/>
              <w:rPr>
                <w:rFonts w:ascii="Book Antiqua" w:hAnsi="Book Antiqua" w:cs="Arial"/>
                <w:color w:val="000000" w:themeColor="text1"/>
              </w:rPr>
            </w:pPr>
            <w:r w:rsidRPr="008D0A08">
              <w:rPr>
                <w:rFonts w:ascii="Book Antiqua" w:eastAsia="MS PGothic" w:hAnsi="Book Antiqua" w:cs="Arial"/>
                <w:bCs/>
                <w:color w:val="000000" w:themeColor="text1"/>
                <w:kern w:val="24"/>
              </w:rPr>
              <w:t>Number</w:t>
            </w:r>
            <w:r w:rsidR="0069629C" w:rsidRPr="008D0A08">
              <w:rPr>
                <w:rFonts w:ascii="Book Antiqua" w:eastAsia="MS PGothic" w:hAnsi="Book Antiqua" w:cs="Arial"/>
                <w:bCs/>
                <w:color w:val="000000" w:themeColor="text1"/>
                <w:kern w:val="24"/>
              </w:rPr>
              <w:t xml:space="preserve"> at Risk</w:t>
            </w:r>
          </w:p>
        </w:tc>
        <w:tc>
          <w:tcPr>
            <w:tcW w:w="1666" w:type="dxa"/>
            <w:vAlign w:val="center"/>
          </w:tcPr>
          <w:p w14:paraId="58C445D2"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bCs/>
                <w:color w:val="000000" w:themeColor="text1"/>
                <w:kern w:val="24"/>
              </w:rPr>
              <w:t>Patency</w:t>
            </w:r>
          </w:p>
        </w:tc>
        <w:tc>
          <w:tcPr>
            <w:tcW w:w="1934" w:type="dxa"/>
            <w:vAlign w:val="center"/>
          </w:tcPr>
          <w:p w14:paraId="7CB77D80" w14:textId="77777777" w:rsidR="0069629C" w:rsidRPr="008D0A08" w:rsidRDefault="00F87A55" w:rsidP="008D0A08">
            <w:pPr>
              <w:spacing w:line="360" w:lineRule="auto"/>
              <w:jc w:val="both"/>
              <w:rPr>
                <w:rFonts w:ascii="Book Antiqua" w:hAnsi="Book Antiqua" w:cs="Arial"/>
                <w:color w:val="000000" w:themeColor="text1"/>
              </w:rPr>
            </w:pPr>
            <w:r w:rsidRPr="008D0A08">
              <w:rPr>
                <w:rFonts w:ascii="Book Antiqua" w:eastAsia="MS PGothic" w:hAnsi="Book Antiqua" w:cs="Arial"/>
                <w:bCs/>
                <w:color w:val="000000" w:themeColor="text1"/>
                <w:kern w:val="24"/>
              </w:rPr>
              <w:t>Number</w:t>
            </w:r>
            <w:r w:rsidR="0069629C" w:rsidRPr="008D0A08">
              <w:rPr>
                <w:rFonts w:ascii="Book Antiqua" w:eastAsia="MS PGothic" w:hAnsi="Book Antiqua" w:cs="Arial"/>
                <w:bCs/>
                <w:color w:val="000000" w:themeColor="text1"/>
                <w:kern w:val="24"/>
              </w:rPr>
              <w:t xml:space="preserve"> at Risk</w:t>
            </w:r>
          </w:p>
        </w:tc>
      </w:tr>
      <w:tr w:rsidR="0069629C" w:rsidRPr="008D0A08" w14:paraId="4C6CC8DC" w14:textId="77777777" w:rsidTr="00F87A55">
        <w:tc>
          <w:tcPr>
            <w:tcW w:w="1771" w:type="dxa"/>
            <w:vAlign w:val="center"/>
          </w:tcPr>
          <w:p w14:paraId="61715872"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1 year</w:t>
            </w:r>
          </w:p>
        </w:tc>
        <w:tc>
          <w:tcPr>
            <w:tcW w:w="1771" w:type="dxa"/>
            <w:vAlign w:val="center"/>
          </w:tcPr>
          <w:p w14:paraId="545AFA5C"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85 ± 9.1%</w:t>
            </w:r>
          </w:p>
        </w:tc>
        <w:tc>
          <w:tcPr>
            <w:tcW w:w="1876" w:type="dxa"/>
            <w:vAlign w:val="center"/>
          </w:tcPr>
          <w:p w14:paraId="4143794F"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13</w:t>
            </w:r>
          </w:p>
        </w:tc>
        <w:tc>
          <w:tcPr>
            <w:tcW w:w="1666" w:type="dxa"/>
            <w:vAlign w:val="center"/>
          </w:tcPr>
          <w:p w14:paraId="54919607"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76 ± 5.9%</w:t>
            </w:r>
          </w:p>
        </w:tc>
        <w:tc>
          <w:tcPr>
            <w:tcW w:w="1934" w:type="dxa"/>
            <w:vAlign w:val="center"/>
          </w:tcPr>
          <w:p w14:paraId="70356B93"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96</w:t>
            </w:r>
          </w:p>
        </w:tc>
      </w:tr>
      <w:tr w:rsidR="0069629C" w:rsidRPr="008D0A08" w14:paraId="21F905E1" w14:textId="77777777" w:rsidTr="00F87A55">
        <w:tc>
          <w:tcPr>
            <w:tcW w:w="1771" w:type="dxa"/>
            <w:vAlign w:val="center"/>
          </w:tcPr>
          <w:p w14:paraId="04626D7A"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2 year</w:t>
            </w:r>
          </w:p>
        </w:tc>
        <w:tc>
          <w:tcPr>
            <w:tcW w:w="1771" w:type="dxa"/>
            <w:vAlign w:val="center"/>
          </w:tcPr>
          <w:p w14:paraId="4F0E94B8"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77 ± 13%</w:t>
            </w:r>
          </w:p>
        </w:tc>
        <w:tc>
          <w:tcPr>
            <w:tcW w:w="1876" w:type="dxa"/>
            <w:vAlign w:val="center"/>
          </w:tcPr>
          <w:p w14:paraId="7D6C47E8"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10</w:t>
            </w:r>
          </w:p>
        </w:tc>
        <w:tc>
          <w:tcPr>
            <w:tcW w:w="1666" w:type="dxa"/>
            <w:vAlign w:val="center"/>
          </w:tcPr>
          <w:p w14:paraId="3E0F9328"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70 ± 6.9%</w:t>
            </w:r>
          </w:p>
        </w:tc>
        <w:tc>
          <w:tcPr>
            <w:tcW w:w="1934" w:type="dxa"/>
            <w:vAlign w:val="center"/>
          </w:tcPr>
          <w:p w14:paraId="768D3361"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66</w:t>
            </w:r>
          </w:p>
        </w:tc>
      </w:tr>
      <w:tr w:rsidR="0069629C" w:rsidRPr="008D0A08" w14:paraId="37952351" w14:textId="77777777" w:rsidTr="00F87A55">
        <w:tc>
          <w:tcPr>
            <w:tcW w:w="1771" w:type="dxa"/>
            <w:vAlign w:val="center"/>
          </w:tcPr>
          <w:p w14:paraId="6963431B"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3 year</w:t>
            </w:r>
          </w:p>
        </w:tc>
        <w:tc>
          <w:tcPr>
            <w:tcW w:w="1771" w:type="dxa"/>
            <w:vAlign w:val="center"/>
          </w:tcPr>
          <w:p w14:paraId="20124FC2"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77 ± 13%</w:t>
            </w:r>
          </w:p>
        </w:tc>
        <w:tc>
          <w:tcPr>
            <w:tcW w:w="1876" w:type="dxa"/>
            <w:vAlign w:val="center"/>
          </w:tcPr>
          <w:p w14:paraId="798A7CFF"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7</w:t>
            </w:r>
          </w:p>
        </w:tc>
        <w:tc>
          <w:tcPr>
            <w:tcW w:w="1666" w:type="dxa"/>
            <w:vAlign w:val="center"/>
          </w:tcPr>
          <w:p w14:paraId="50EA3354"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62 ± 8.3%</w:t>
            </w:r>
          </w:p>
        </w:tc>
        <w:tc>
          <w:tcPr>
            <w:tcW w:w="1934" w:type="dxa"/>
            <w:vAlign w:val="center"/>
          </w:tcPr>
          <w:p w14:paraId="43BFFE8C"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39</w:t>
            </w:r>
          </w:p>
        </w:tc>
      </w:tr>
      <w:tr w:rsidR="0069629C" w:rsidRPr="008D0A08" w14:paraId="0FD7DDCA" w14:textId="77777777" w:rsidTr="00F87A55">
        <w:tc>
          <w:tcPr>
            <w:tcW w:w="1771" w:type="dxa"/>
            <w:vAlign w:val="center"/>
          </w:tcPr>
          <w:p w14:paraId="6F78A7D3"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4 year</w:t>
            </w:r>
          </w:p>
        </w:tc>
        <w:tc>
          <w:tcPr>
            <w:tcW w:w="1771" w:type="dxa"/>
            <w:vAlign w:val="center"/>
          </w:tcPr>
          <w:p w14:paraId="02CB3BD9"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77 ± 13%</w:t>
            </w:r>
          </w:p>
        </w:tc>
        <w:tc>
          <w:tcPr>
            <w:tcW w:w="1876" w:type="dxa"/>
            <w:vAlign w:val="center"/>
          </w:tcPr>
          <w:p w14:paraId="49C3A06A"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6</w:t>
            </w:r>
          </w:p>
        </w:tc>
        <w:tc>
          <w:tcPr>
            <w:tcW w:w="1666" w:type="dxa"/>
            <w:vAlign w:val="center"/>
          </w:tcPr>
          <w:p w14:paraId="70EDDF45"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62 ± 8.3%</w:t>
            </w:r>
          </w:p>
        </w:tc>
        <w:tc>
          <w:tcPr>
            <w:tcW w:w="1934" w:type="dxa"/>
            <w:vAlign w:val="center"/>
          </w:tcPr>
          <w:p w14:paraId="709B45F6"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29</w:t>
            </w:r>
          </w:p>
        </w:tc>
      </w:tr>
      <w:tr w:rsidR="0069629C" w:rsidRPr="008D0A08" w14:paraId="09D814E4" w14:textId="77777777" w:rsidTr="00F87A55">
        <w:tc>
          <w:tcPr>
            <w:tcW w:w="1771" w:type="dxa"/>
            <w:vAlign w:val="center"/>
          </w:tcPr>
          <w:p w14:paraId="676445C1"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5 year</w:t>
            </w:r>
          </w:p>
        </w:tc>
        <w:tc>
          <w:tcPr>
            <w:tcW w:w="1771" w:type="dxa"/>
            <w:vAlign w:val="center"/>
          </w:tcPr>
          <w:p w14:paraId="0CD4DFDF"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77 ± 13%</w:t>
            </w:r>
          </w:p>
        </w:tc>
        <w:tc>
          <w:tcPr>
            <w:tcW w:w="1876" w:type="dxa"/>
            <w:vAlign w:val="center"/>
          </w:tcPr>
          <w:p w14:paraId="5D9D30EC"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4</w:t>
            </w:r>
          </w:p>
        </w:tc>
        <w:tc>
          <w:tcPr>
            <w:tcW w:w="1666" w:type="dxa"/>
            <w:vAlign w:val="center"/>
          </w:tcPr>
          <w:p w14:paraId="726AAF70"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59 ± 10%</w:t>
            </w:r>
          </w:p>
        </w:tc>
        <w:tc>
          <w:tcPr>
            <w:tcW w:w="1934" w:type="dxa"/>
            <w:vAlign w:val="center"/>
          </w:tcPr>
          <w:p w14:paraId="01D95680"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17</w:t>
            </w:r>
          </w:p>
        </w:tc>
      </w:tr>
      <w:tr w:rsidR="0069629C" w:rsidRPr="008D0A08" w14:paraId="099DBE17" w14:textId="77777777" w:rsidTr="00F87A55">
        <w:tc>
          <w:tcPr>
            <w:tcW w:w="1771" w:type="dxa"/>
            <w:vAlign w:val="center"/>
          </w:tcPr>
          <w:p w14:paraId="41A61EA3"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6 year</w:t>
            </w:r>
          </w:p>
        </w:tc>
        <w:tc>
          <w:tcPr>
            <w:tcW w:w="1771" w:type="dxa"/>
            <w:vAlign w:val="center"/>
          </w:tcPr>
          <w:p w14:paraId="1CF21957"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38 ± 42%</w:t>
            </w:r>
          </w:p>
        </w:tc>
        <w:tc>
          <w:tcPr>
            <w:tcW w:w="1876" w:type="dxa"/>
            <w:vAlign w:val="center"/>
          </w:tcPr>
          <w:p w14:paraId="0EC2E9C3"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2</w:t>
            </w:r>
          </w:p>
        </w:tc>
        <w:tc>
          <w:tcPr>
            <w:tcW w:w="1666" w:type="dxa"/>
            <w:vAlign w:val="center"/>
          </w:tcPr>
          <w:p w14:paraId="668E986F"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55 ± 11%</w:t>
            </w:r>
          </w:p>
        </w:tc>
        <w:tc>
          <w:tcPr>
            <w:tcW w:w="1934" w:type="dxa"/>
            <w:vAlign w:val="center"/>
          </w:tcPr>
          <w:p w14:paraId="077AB5D1"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10</w:t>
            </w:r>
          </w:p>
        </w:tc>
      </w:tr>
    </w:tbl>
    <w:p w14:paraId="03921D73" w14:textId="77777777" w:rsidR="007B304A" w:rsidRPr="008D0A08" w:rsidRDefault="007B304A" w:rsidP="008D0A08">
      <w:pPr>
        <w:spacing w:line="360" w:lineRule="auto"/>
        <w:jc w:val="both"/>
        <w:rPr>
          <w:rFonts w:ascii="Book Antiqua" w:hAnsi="Book Antiqua" w:cs="Arial"/>
        </w:rPr>
      </w:pPr>
    </w:p>
    <w:p w14:paraId="178074E2" w14:textId="36B08BDA" w:rsidR="0069629C" w:rsidRPr="008D0A08" w:rsidRDefault="00D0476F" w:rsidP="008D0A08">
      <w:pPr>
        <w:spacing w:line="360" w:lineRule="auto"/>
        <w:jc w:val="both"/>
        <w:rPr>
          <w:rFonts w:ascii="Book Antiqua" w:hAnsi="Book Antiqua" w:cs="Arial"/>
        </w:rPr>
      </w:pPr>
      <w:r w:rsidRPr="008D0A08">
        <w:rPr>
          <w:rFonts w:ascii="Book Antiqua" w:hAnsi="Book Antiqua" w:cs="Arial"/>
          <w:b/>
        </w:rPr>
        <w:t>Figure 5</w:t>
      </w:r>
      <w:r w:rsidR="006D1E0D">
        <w:rPr>
          <w:rFonts w:ascii="Book Antiqua" w:eastAsia="宋体" w:hAnsi="Book Antiqua" w:cs="Arial" w:hint="eastAsia"/>
          <w:b/>
          <w:lang w:eastAsia="zh-CN"/>
        </w:rPr>
        <w:t xml:space="preserve"> </w:t>
      </w:r>
      <w:r w:rsidR="00F87A55" w:rsidRPr="006D1E0D">
        <w:rPr>
          <w:rFonts w:ascii="Book Antiqua" w:hAnsi="Book Antiqua" w:cs="Arial"/>
          <w:b/>
        </w:rPr>
        <w:t xml:space="preserve">Primary patency rates of </w:t>
      </w:r>
      <w:r w:rsidR="003C22E1" w:rsidRPr="006D1E0D">
        <w:rPr>
          <w:rFonts w:ascii="Book Antiqua" w:hAnsi="Book Antiqua" w:cs="Arial"/>
          <w:b/>
        </w:rPr>
        <w:t>sub-maximally dilated (</w:t>
      </w:r>
      <w:r w:rsidR="00F87A55" w:rsidRPr="006D1E0D">
        <w:rPr>
          <w:rFonts w:ascii="Book Antiqua" w:hAnsi="Book Antiqua" w:cs="Arial"/>
          <w:b/>
        </w:rPr>
        <w:t>8 mm</w:t>
      </w:r>
      <w:r w:rsidR="003C22E1" w:rsidRPr="006D1E0D">
        <w:rPr>
          <w:rFonts w:ascii="Book Antiqua" w:hAnsi="Book Antiqua" w:cs="Arial"/>
          <w:b/>
        </w:rPr>
        <w:t>)</w:t>
      </w:r>
      <w:r w:rsidR="00F87A55" w:rsidRPr="006D1E0D">
        <w:rPr>
          <w:rFonts w:ascii="Book Antiqua" w:hAnsi="Book Antiqua" w:cs="Arial"/>
          <w:b/>
        </w:rPr>
        <w:t xml:space="preserve"> </w:t>
      </w:r>
      <w:proofErr w:type="spellStart"/>
      <w:r w:rsidR="006D1E0D" w:rsidRPr="006D1E0D">
        <w:rPr>
          <w:rFonts w:ascii="Book Antiqua" w:eastAsia="宋体" w:hAnsi="Book Antiqua" w:cs="Arial" w:hint="eastAsia"/>
          <w:b/>
          <w:i/>
          <w:lang w:eastAsia="zh-CN"/>
        </w:rPr>
        <w:t>vs</w:t>
      </w:r>
      <w:proofErr w:type="spellEnd"/>
      <w:r w:rsidR="003C22E1" w:rsidRPr="006D1E0D">
        <w:rPr>
          <w:rFonts w:ascii="Book Antiqua" w:hAnsi="Book Antiqua" w:cs="Arial"/>
          <w:b/>
        </w:rPr>
        <w:t xml:space="preserve"> maximally dilated (</w:t>
      </w:r>
      <w:r w:rsidR="00F87A55" w:rsidRPr="006D1E0D">
        <w:rPr>
          <w:rFonts w:ascii="Book Antiqua" w:hAnsi="Book Antiqua" w:cs="Arial"/>
          <w:b/>
        </w:rPr>
        <w:t>10 mm</w:t>
      </w:r>
      <w:r w:rsidR="003C22E1" w:rsidRPr="006D1E0D">
        <w:rPr>
          <w:rFonts w:ascii="Book Antiqua" w:hAnsi="Book Antiqua" w:cs="Arial"/>
          <w:b/>
        </w:rPr>
        <w:t>)</w:t>
      </w:r>
      <w:r w:rsidR="00F87A55" w:rsidRPr="006D1E0D">
        <w:rPr>
          <w:rFonts w:ascii="Book Antiqua" w:hAnsi="Book Antiqua" w:cs="Arial"/>
          <w:b/>
        </w:rPr>
        <w:t xml:space="preserve"> </w:t>
      </w:r>
      <w:proofErr w:type="spellStart"/>
      <w:r w:rsidR="006D1E0D" w:rsidRPr="006D1E0D">
        <w:rPr>
          <w:rFonts w:ascii="Book Antiqua" w:hAnsi="Book Antiqua" w:cs="Arial"/>
          <w:b/>
        </w:rPr>
        <w:t>transjugular</w:t>
      </w:r>
      <w:proofErr w:type="spellEnd"/>
      <w:r w:rsidR="006D1E0D" w:rsidRPr="006D1E0D">
        <w:rPr>
          <w:rFonts w:ascii="Book Antiqua" w:hAnsi="Book Antiqua" w:cs="Arial"/>
          <w:b/>
        </w:rPr>
        <w:t xml:space="preserve"> intrahepatic </w:t>
      </w:r>
      <w:proofErr w:type="spellStart"/>
      <w:r w:rsidR="006D1E0D" w:rsidRPr="006D1E0D">
        <w:rPr>
          <w:rFonts w:ascii="Book Antiqua" w:hAnsi="Book Antiqua" w:cs="Arial"/>
          <w:b/>
        </w:rPr>
        <w:t>portosystemic</w:t>
      </w:r>
      <w:proofErr w:type="spellEnd"/>
      <w:r w:rsidR="006D1E0D" w:rsidRPr="006D1E0D">
        <w:rPr>
          <w:rFonts w:ascii="Book Antiqua" w:hAnsi="Book Antiqua" w:cs="Arial"/>
          <w:b/>
        </w:rPr>
        <w:t xml:space="preserve"> shunt</w:t>
      </w:r>
      <w:r w:rsidR="00F87A55" w:rsidRPr="006D1E0D">
        <w:rPr>
          <w:rFonts w:ascii="Book Antiqua" w:hAnsi="Book Antiqua" w:cs="Arial"/>
          <w:b/>
        </w:rPr>
        <w:t>.</w:t>
      </w:r>
      <w:r w:rsidR="006D232F">
        <w:rPr>
          <w:rFonts w:ascii="Book Antiqua" w:hAnsi="Book Antiqua" w:cs="Arial"/>
          <w:b/>
        </w:rPr>
        <w:t xml:space="preserve"> </w:t>
      </w:r>
      <w:r w:rsidR="00F87A55" w:rsidRPr="008D0A08">
        <w:rPr>
          <w:rFonts w:ascii="Book Antiqua" w:hAnsi="Book Antiqua" w:cs="Arial"/>
        </w:rPr>
        <w:t xml:space="preserve">On Kaplan-Meier analysis, yearly patency rates through 6 years of follow-up after TIPS creation are demonstrated with </w:t>
      </w:r>
      <w:r w:rsidR="00640C83" w:rsidRPr="008D0A08">
        <w:rPr>
          <w:rFonts w:ascii="Book Antiqua" w:hAnsi="Book Antiqua" w:cs="Arial"/>
        </w:rPr>
        <w:t>95%</w:t>
      </w:r>
      <w:r w:rsidR="006D1E0D">
        <w:rPr>
          <w:rFonts w:ascii="Book Antiqua" w:eastAsia="宋体" w:hAnsi="Book Antiqua" w:cs="Arial" w:hint="eastAsia"/>
          <w:lang w:eastAsia="zh-CN"/>
        </w:rPr>
        <w:t>CI</w:t>
      </w:r>
      <w:r w:rsidR="00F87A55" w:rsidRPr="008D0A08">
        <w:rPr>
          <w:rFonts w:ascii="Book Antiqua" w:hAnsi="Book Antiqua" w:cs="Arial"/>
        </w:rPr>
        <w:t xml:space="preserve"> and number at risk. </w:t>
      </w:r>
      <w:r w:rsidR="0069629C" w:rsidRPr="008D0A08">
        <w:rPr>
          <w:rFonts w:ascii="Book Antiqua" w:hAnsi="Book Antiqua" w:cs="Arial"/>
        </w:rPr>
        <w:br w:type="page"/>
      </w:r>
    </w:p>
    <w:p w14:paraId="3610CD1B" w14:textId="77777777" w:rsidR="0069629C" w:rsidRPr="008D0A08" w:rsidRDefault="00224383" w:rsidP="008D0A08">
      <w:pPr>
        <w:spacing w:line="360" w:lineRule="auto"/>
        <w:jc w:val="both"/>
        <w:rPr>
          <w:rFonts w:ascii="Book Antiqua" w:hAnsi="Book Antiqua" w:cs="Arial"/>
        </w:rPr>
      </w:pPr>
      <w:r w:rsidRPr="008D0A08">
        <w:rPr>
          <w:rFonts w:ascii="Book Antiqua" w:hAnsi="Book Antiqua" w:cs="Arial"/>
          <w:noProof/>
        </w:rPr>
        <w:lastRenderedPageBreak/>
        <w:drawing>
          <wp:inline distT="0" distB="0" distL="0" distR="0" wp14:anchorId="004B2E92" wp14:editId="5F463AEE">
            <wp:extent cx="5486400" cy="28092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Assisted Patency 030516.tif"/>
                    <pic:cNvPicPr/>
                  </pic:nvPicPr>
                  <pic:blipFill>
                    <a:blip r:embed="rId18">
                      <a:extLst>
                        <a:ext uri="{28A0092B-C50C-407E-A947-70E740481C1C}">
                          <a14:useLocalDpi xmlns:a14="http://schemas.microsoft.com/office/drawing/2010/main" val="0"/>
                        </a:ext>
                      </a:extLst>
                    </a:blip>
                    <a:stretch>
                      <a:fillRect/>
                    </a:stretch>
                  </pic:blipFill>
                  <pic:spPr>
                    <a:xfrm>
                      <a:off x="0" y="0"/>
                      <a:ext cx="5486400" cy="2809240"/>
                    </a:xfrm>
                    <a:prstGeom prst="rect">
                      <a:avLst/>
                    </a:prstGeom>
                  </pic:spPr>
                </pic:pic>
              </a:graphicData>
            </a:graphic>
          </wp:inline>
        </w:drawing>
      </w:r>
    </w:p>
    <w:p w14:paraId="3D9957D4" w14:textId="77777777" w:rsidR="0069629C" w:rsidRPr="008D0A08" w:rsidRDefault="0069629C" w:rsidP="008D0A08">
      <w:pPr>
        <w:spacing w:line="360" w:lineRule="auto"/>
        <w:jc w:val="both"/>
        <w:rPr>
          <w:rFonts w:ascii="Book Antiqua" w:hAnsi="Book Antiqua" w:cs="Arial"/>
        </w:rPr>
      </w:pPr>
    </w:p>
    <w:tbl>
      <w:tblPr>
        <w:tblStyle w:val="TableGrid"/>
        <w:tblW w:w="9018" w:type="dxa"/>
        <w:tblLook w:val="04A0" w:firstRow="1" w:lastRow="0" w:firstColumn="1" w:lastColumn="0" w:noHBand="0" w:noVBand="1"/>
      </w:tblPr>
      <w:tblGrid>
        <w:gridCol w:w="1771"/>
        <w:gridCol w:w="1771"/>
        <w:gridCol w:w="1876"/>
        <w:gridCol w:w="1666"/>
        <w:gridCol w:w="1934"/>
      </w:tblGrid>
      <w:tr w:rsidR="0069629C" w:rsidRPr="008D0A08" w14:paraId="7C32CFA4" w14:textId="77777777" w:rsidTr="00A3108F">
        <w:tc>
          <w:tcPr>
            <w:tcW w:w="1771" w:type="dxa"/>
            <w:vMerge w:val="restart"/>
            <w:vAlign w:val="center"/>
          </w:tcPr>
          <w:p w14:paraId="3ECB43BF" w14:textId="77777777" w:rsidR="0069629C" w:rsidRPr="008D0A08" w:rsidRDefault="00A3108F" w:rsidP="008D0A08">
            <w:pPr>
              <w:spacing w:line="360" w:lineRule="auto"/>
              <w:jc w:val="both"/>
              <w:rPr>
                <w:rFonts w:ascii="Book Antiqua" w:hAnsi="Book Antiqua" w:cs="Arial"/>
                <w:color w:val="000000" w:themeColor="text1"/>
              </w:rPr>
            </w:pPr>
            <w:r w:rsidRPr="008D0A08">
              <w:rPr>
                <w:rFonts w:ascii="Book Antiqua" w:hAnsi="Book Antiqua" w:cs="Arial"/>
                <w:color w:val="000000" w:themeColor="text1"/>
              </w:rPr>
              <w:t>P = 0.55</w:t>
            </w:r>
          </w:p>
        </w:tc>
        <w:tc>
          <w:tcPr>
            <w:tcW w:w="3647" w:type="dxa"/>
            <w:gridSpan w:val="2"/>
            <w:vAlign w:val="center"/>
          </w:tcPr>
          <w:p w14:paraId="16F2C72A" w14:textId="77777777" w:rsidR="0069629C" w:rsidRPr="008D0A08" w:rsidRDefault="00644808" w:rsidP="008D0A08">
            <w:pPr>
              <w:spacing w:line="360" w:lineRule="auto"/>
              <w:jc w:val="both"/>
              <w:rPr>
                <w:rFonts w:ascii="Book Antiqua" w:hAnsi="Book Antiqua" w:cs="Arial"/>
                <w:color w:val="000000" w:themeColor="text1"/>
              </w:rPr>
            </w:pPr>
            <w:r w:rsidRPr="008D0A08">
              <w:rPr>
                <w:rFonts w:ascii="Book Antiqua" w:eastAsia="MS PGothic" w:hAnsi="Book Antiqua" w:cs="Arial"/>
                <w:bCs/>
                <w:color w:val="000000" w:themeColor="text1"/>
                <w:kern w:val="24"/>
              </w:rPr>
              <w:t>Sub-maximally dilated</w:t>
            </w:r>
          </w:p>
        </w:tc>
        <w:tc>
          <w:tcPr>
            <w:tcW w:w="3600" w:type="dxa"/>
            <w:gridSpan w:val="2"/>
            <w:vAlign w:val="center"/>
          </w:tcPr>
          <w:p w14:paraId="7ACF4263" w14:textId="77777777" w:rsidR="0069629C" w:rsidRPr="008D0A08" w:rsidRDefault="00644808" w:rsidP="008D0A08">
            <w:pPr>
              <w:spacing w:line="360" w:lineRule="auto"/>
              <w:jc w:val="both"/>
              <w:rPr>
                <w:rFonts w:ascii="Book Antiqua" w:hAnsi="Book Antiqua" w:cs="Arial"/>
                <w:color w:val="000000" w:themeColor="text1"/>
              </w:rPr>
            </w:pPr>
            <w:r w:rsidRPr="008D0A08">
              <w:rPr>
                <w:rFonts w:ascii="Book Antiqua" w:eastAsia="MS PGothic" w:hAnsi="Book Antiqua" w:cs="Arial"/>
                <w:bCs/>
                <w:color w:val="000000" w:themeColor="text1"/>
                <w:kern w:val="24"/>
              </w:rPr>
              <w:t>Maximally dilated</w:t>
            </w:r>
          </w:p>
        </w:tc>
      </w:tr>
      <w:tr w:rsidR="0069629C" w:rsidRPr="008D0A08" w14:paraId="2B106EB0" w14:textId="77777777" w:rsidTr="00F87A55">
        <w:tc>
          <w:tcPr>
            <w:tcW w:w="1771" w:type="dxa"/>
            <w:vMerge/>
          </w:tcPr>
          <w:p w14:paraId="4454B433" w14:textId="77777777" w:rsidR="0069629C" w:rsidRPr="008D0A08" w:rsidRDefault="0069629C" w:rsidP="008D0A08">
            <w:pPr>
              <w:spacing w:line="360" w:lineRule="auto"/>
              <w:jc w:val="both"/>
              <w:rPr>
                <w:rFonts w:ascii="Book Antiqua" w:hAnsi="Book Antiqua" w:cs="Arial"/>
                <w:color w:val="000000" w:themeColor="text1"/>
              </w:rPr>
            </w:pPr>
          </w:p>
        </w:tc>
        <w:tc>
          <w:tcPr>
            <w:tcW w:w="1771" w:type="dxa"/>
            <w:vAlign w:val="center"/>
          </w:tcPr>
          <w:p w14:paraId="0091D87B"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bCs/>
                <w:color w:val="000000" w:themeColor="text1"/>
                <w:kern w:val="24"/>
              </w:rPr>
              <w:t>Patency</w:t>
            </w:r>
          </w:p>
        </w:tc>
        <w:tc>
          <w:tcPr>
            <w:tcW w:w="1876" w:type="dxa"/>
            <w:vAlign w:val="center"/>
          </w:tcPr>
          <w:p w14:paraId="762A92E3" w14:textId="77777777" w:rsidR="0069629C" w:rsidRPr="008D0A08" w:rsidRDefault="00F87A55" w:rsidP="008D0A08">
            <w:pPr>
              <w:spacing w:line="360" w:lineRule="auto"/>
              <w:jc w:val="both"/>
              <w:rPr>
                <w:rFonts w:ascii="Book Antiqua" w:hAnsi="Book Antiqua" w:cs="Arial"/>
                <w:color w:val="000000" w:themeColor="text1"/>
              </w:rPr>
            </w:pPr>
            <w:r w:rsidRPr="008D0A08">
              <w:rPr>
                <w:rFonts w:ascii="Book Antiqua" w:eastAsia="MS PGothic" w:hAnsi="Book Antiqua" w:cs="Arial"/>
                <w:bCs/>
                <w:color w:val="000000" w:themeColor="text1"/>
                <w:kern w:val="24"/>
              </w:rPr>
              <w:t xml:space="preserve">Number </w:t>
            </w:r>
            <w:r w:rsidR="0069629C" w:rsidRPr="008D0A08">
              <w:rPr>
                <w:rFonts w:ascii="Book Antiqua" w:eastAsia="MS PGothic" w:hAnsi="Book Antiqua" w:cs="Arial"/>
                <w:bCs/>
                <w:color w:val="000000" w:themeColor="text1"/>
                <w:kern w:val="24"/>
              </w:rPr>
              <w:t>at Risk</w:t>
            </w:r>
          </w:p>
        </w:tc>
        <w:tc>
          <w:tcPr>
            <w:tcW w:w="1666" w:type="dxa"/>
            <w:vAlign w:val="center"/>
          </w:tcPr>
          <w:p w14:paraId="5A52151C"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bCs/>
                <w:color w:val="000000" w:themeColor="text1"/>
                <w:kern w:val="24"/>
              </w:rPr>
              <w:t>Patency</w:t>
            </w:r>
          </w:p>
        </w:tc>
        <w:tc>
          <w:tcPr>
            <w:tcW w:w="1934" w:type="dxa"/>
            <w:vAlign w:val="center"/>
          </w:tcPr>
          <w:p w14:paraId="1A00C84A"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bCs/>
                <w:color w:val="000000" w:themeColor="text1"/>
                <w:kern w:val="24"/>
              </w:rPr>
              <w:t>N</w:t>
            </w:r>
            <w:r w:rsidR="00F87A55" w:rsidRPr="008D0A08">
              <w:rPr>
                <w:rFonts w:ascii="Book Antiqua" w:eastAsia="MS PGothic" w:hAnsi="Book Antiqua" w:cs="Arial"/>
                <w:bCs/>
                <w:color w:val="000000" w:themeColor="text1"/>
                <w:kern w:val="24"/>
              </w:rPr>
              <w:t>umber</w:t>
            </w:r>
            <w:r w:rsidRPr="008D0A08">
              <w:rPr>
                <w:rFonts w:ascii="Book Antiqua" w:eastAsia="MS PGothic" w:hAnsi="Book Antiqua" w:cs="Arial"/>
                <w:bCs/>
                <w:color w:val="000000" w:themeColor="text1"/>
                <w:kern w:val="24"/>
              </w:rPr>
              <w:t xml:space="preserve"> at Risk</w:t>
            </w:r>
          </w:p>
        </w:tc>
      </w:tr>
      <w:tr w:rsidR="0069629C" w:rsidRPr="008D0A08" w14:paraId="6831EB67" w14:textId="77777777" w:rsidTr="00F87A55">
        <w:tc>
          <w:tcPr>
            <w:tcW w:w="1771" w:type="dxa"/>
            <w:vAlign w:val="center"/>
          </w:tcPr>
          <w:p w14:paraId="30732B6F"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1 year</w:t>
            </w:r>
          </w:p>
        </w:tc>
        <w:tc>
          <w:tcPr>
            <w:tcW w:w="1771" w:type="dxa"/>
            <w:vAlign w:val="center"/>
          </w:tcPr>
          <w:p w14:paraId="4D55FE77"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95 ± 5%</w:t>
            </w:r>
          </w:p>
        </w:tc>
        <w:tc>
          <w:tcPr>
            <w:tcW w:w="1876" w:type="dxa"/>
            <w:vAlign w:val="center"/>
          </w:tcPr>
          <w:p w14:paraId="770FFD75"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14</w:t>
            </w:r>
          </w:p>
        </w:tc>
        <w:tc>
          <w:tcPr>
            <w:tcW w:w="1666" w:type="dxa"/>
            <w:vAlign w:val="center"/>
          </w:tcPr>
          <w:p w14:paraId="3B7B76BA"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95 ± 3%</w:t>
            </w:r>
          </w:p>
        </w:tc>
        <w:tc>
          <w:tcPr>
            <w:tcW w:w="1934" w:type="dxa"/>
            <w:vAlign w:val="center"/>
          </w:tcPr>
          <w:p w14:paraId="0A8695EA"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115</w:t>
            </w:r>
          </w:p>
        </w:tc>
      </w:tr>
      <w:tr w:rsidR="0069629C" w:rsidRPr="008D0A08" w14:paraId="67FA7D8E" w14:textId="77777777" w:rsidTr="00F87A55">
        <w:tc>
          <w:tcPr>
            <w:tcW w:w="1771" w:type="dxa"/>
            <w:vAlign w:val="center"/>
          </w:tcPr>
          <w:p w14:paraId="5E20AD80"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2 year</w:t>
            </w:r>
          </w:p>
        </w:tc>
        <w:tc>
          <w:tcPr>
            <w:tcW w:w="1771" w:type="dxa"/>
            <w:vAlign w:val="center"/>
          </w:tcPr>
          <w:p w14:paraId="26ACF499"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88 ± 13%</w:t>
            </w:r>
          </w:p>
        </w:tc>
        <w:tc>
          <w:tcPr>
            <w:tcW w:w="1876" w:type="dxa"/>
            <w:vAlign w:val="center"/>
          </w:tcPr>
          <w:p w14:paraId="5430570A"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10</w:t>
            </w:r>
          </w:p>
        </w:tc>
        <w:tc>
          <w:tcPr>
            <w:tcW w:w="1666" w:type="dxa"/>
            <w:vAlign w:val="center"/>
          </w:tcPr>
          <w:p w14:paraId="5D880315"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94 ± 4%</w:t>
            </w:r>
          </w:p>
        </w:tc>
        <w:tc>
          <w:tcPr>
            <w:tcW w:w="1934" w:type="dxa"/>
            <w:vAlign w:val="center"/>
          </w:tcPr>
          <w:p w14:paraId="45EB1E69"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75</w:t>
            </w:r>
          </w:p>
        </w:tc>
      </w:tr>
      <w:tr w:rsidR="0069629C" w:rsidRPr="008D0A08" w14:paraId="2AA5A72D" w14:textId="77777777" w:rsidTr="00F87A55">
        <w:tc>
          <w:tcPr>
            <w:tcW w:w="1771" w:type="dxa"/>
            <w:vAlign w:val="center"/>
          </w:tcPr>
          <w:p w14:paraId="0FAFA182"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3 year</w:t>
            </w:r>
          </w:p>
        </w:tc>
        <w:tc>
          <w:tcPr>
            <w:tcW w:w="1771" w:type="dxa"/>
            <w:vAlign w:val="center"/>
          </w:tcPr>
          <w:p w14:paraId="5FD3A16F"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78 ± 22%</w:t>
            </w:r>
          </w:p>
        </w:tc>
        <w:tc>
          <w:tcPr>
            <w:tcW w:w="1876" w:type="dxa"/>
            <w:vAlign w:val="center"/>
          </w:tcPr>
          <w:p w14:paraId="54E51BC7"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7</w:t>
            </w:r>
          </w:p>
        </w:tc>
        <w:tc>
          <w:tcPr>
            <w:tcW w:w="1666" w:type="dxa"/>
            <w:vAlign w:val="center"/>
          </w:tcPr>
          <w:p w14:paraId="7467962E"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89 ± 6%</w:t>
            </w:r>
          </w:p>
        </w:tc>
        <w:tc>
          <w:tcPr>
            <w:tcW w:w="1934" w:type="dxa"/>
            <w:vAlign w:val="center"/>
          </w:tcPr>
          <w:p w14:paraId="44F94A56"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48</w:t>
            </w:r>
          </w:p>
        </w:tc>
      </w:tr>
      <w:tr w:rsidR="0069629C" w:rsidRPr="008D0A08" w14:paraId="35EAB1FB" w14:textId="77777777" w:rsidTr="00F87A55">
        <w:tc>
          <w:tcPr>
            <w:tcW w:w="1771" w:type="dxa"/>
            <w:vAlign w:val="center"/>
          </w:tcPr>
          <w:p w14:paraId="300B2C56"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4 year</w:t>
            </w:r>
          </w:p>
        </w:tc>
        <w:tc>
          <w:tcPr>
            <w:tcW w:w="1771" w:type="dxa"/>
            <w:vAlign w:val="center"/>
          </w:tcPr>
          <w:p w14:paraId="37B0A18E"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78 ± 22%</w:t>
            </w:r>
          </w:p>
        </w:tc>
        <w:tc>
          <w:tcPr>
            <w:tcW w:w="1876" w:type="dxa"/>
            <w:vAlign w:val="center"/>
          </w:tcPr>
          <w:p w14:paraId="0E3294EA"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6</w:t>
            </w:r>
          </w:p>
        </w:tc>
        <w:tc>
          <w:tcPr>
            <w:tcW w:w="1666" w:type="dxa"/>
            <w:vAlign w:val="center"/>
          </w:tcPr>
          <w:p w14:paraId="45877DB2"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89 ± 6%</w:t>
            </w:r>
          </w:p>
        </w:tc>
        <w:tc>
          <w:tcPr>
            <w:tcW w:w="1934" w:type="dxa"/>
            <w:vAlign w:val="center"/>
          </w:tcPr>
          <w:p w14:paraId="79EDE157"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29</w:t>
            </w:r>
          </w:p>
        </w:tc>
      </w:tr>
      <w:tr w:rsidR="0069629C" w:rsidRPr="008D0A08" w14:paraId="0EB13A6E" w14:textId="77777777" w:rsidTr="00F87A55">
        <w:tc>
          <w:tcPr>
            <w:tcW w:w="1771" w:type="dxa"/>
            <w:vAlign w:val="center"/>
          </w:tcPr>
          <w:p w14:paraId="07BAA8E7"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5 year</w:t>
            </w:r>
          </w:p>
        </w:tc>
        <w:tc>
          <w:tcPr>
            <w:tcW w:w="1771" w:type="dxa"/>
            <w:vAlign w:val="center"/>
          </w:tcPr>
          <w:p w14:paraId="1EEE5AAB"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78 ± 22%</w:t>
            </w:r>
          </w:p>
        </w:tc>
        <w:tc>
          <w:tcPr>
            <w:tcW w:w="1876" w:type="dxa"/>
            <w:vAlign w:val="center"/>
          </w:tcPr>
          <w:p w14:paraId="3919272A"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4</w:t>
            </w:r>
          </w:p>
        </w:tc>
        <w:tc>
          <w:tcPr>
            <w:tcW w:w="1666" w:type="dxa"/>
            <w:vAlign w:val="center"/>
          </w:tcPr>
          <w:p w14:paraId="15005652"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89 ± 6%</w:t>
            </w:r>
          </w:p>
        </w:tc>
        <w:tc>
          <w:tcPr>
            <w:tcW w:w="1934" w:type="dxa"/>
            <w:vAlign w:val="center"/>
          </w:tcPr>
          <w:p w14:paraId="48FC3605"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20</w:t>
            </w:r>
          </w:p>
        </w:tc>
      </w:tr>
      <w:tr w:rsidR="0069629C" w:rsidRPr="008D0A08" w14:paraId="1AE82743" w14:textId="77777777" w:rsidTr="00F87A55">
        <w:tc>
          <w:tcPr>
            <w:tcW w:w="1771" w:type="dxa"/>
            <w:vAlign w:val="center"/>
          </w:tcPr>
          <w:p w14:paraId="401B54EB"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6 year</w:t>
            </w:r>
          </w:p>
        </w:tc>
        <w:tc>
          <w:tcPr>
            <w:tcW w:w="1771" w:type="dxa"/>
            <w:vAlign w:val="center"/>
          </w:tcPr>
          <w:p w14:paraId="739595BB"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78 ± 22%</w:t>
            </w:r>
          </w:p>
        </w:tc>
        <w:tc>
          <w:tcPr>
            <w:tcW w:w="1876" w:type="dxa"/>
            <w:vAlign w:val="center"/>
          </w:tcPr>
          <w:p w14:paraId="4C9E2962"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3</w:t>
            </w:r>
          </w:p>
        </w:tc>
        <w:tc>
          <w:tcPr>
            <w:tcW w:w="1666" w:type="dxa"/>
            <w:vAlign w:val="center"/>
          </w:tcPr>
          <w:p w14:paraId="6AA67794"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89 ± 6%</w:t>
            </w:r>
          </w:p>
        </w:tc>
        <w:tc>
          <w:tcPr>
            <w:tcW w:w="1934" w:type="dxa"/>
            <w:vAlign w:val="center"/>
          </w:tcPr>
          <w:p w14:paraId="0F4666F3" w14:textId="77777777" w:rsidR="0069629C" w:rsidRPr="008D0A08" w:rsidRDefault="0069629C" w:rsidP="008D0A08">
            <w:pPr>
              <w:spacing w:line="360" w:lineRule="auto"/>
              <w:jc w:val="both"/>
              <w:rPr>
                <w:rFonts w:ascii="Book Antiqua" w:hAnsi="Book Antiqua" w:cs="Arial"/>
                <w:color w:val="000000" w:themeColor="text1"/>
              </w:rPr>
            </w:pPr>
            <w:r w:rsidRPr="008D0A08">
              <w:rPr>
                <w:rFonts w:ascii="Book Antiqua" w:eastAsia="MS PGothic" w:hAnsi="Book Antiqua" w:cs="Arial"/>
                <w:color w:val="000000" w:themeColor="text1"/>
                <w:kern w:val="24"/>
              </w:rPr>
              <w:t>13</w:t>
            </w:r>
          </w:p>
        </w:tc>
      </w:tr>
    </w:tbl>
    <w:p w14:paraId="5736E48B" w14:textId="77777777" w:rsidR="00F87A55" w:rsidRPr="008D0A08" w:rsidRDefault="00F87A55" w:rsidP="008D0A08">
      <w:pPr>
        <w:spacing w:line="360" w:lineRule="auto"/>
        <w:jc w:val="both"/>
        <w:rPr>
          <w:rFonts w:ascii="Book Antiqua" w:hAnsi="Book Antiqua" w:cs="Arial"/>
        </w:rPr>
      </w:pPr>
    </w:p>
    <w:p w14:paraId="6468341F" w14:textId="5134BEC5" w:rsidR="00A71DCA" w:rsidRPr="008D0A08" w:rsidRDefault="00D0476F" w:rsidP="00AE2B32">
      <w:pPr>
        <w:spacing w:line="360" w:lineRule="auto"/>
        <w:jc w:val="both"/>
        <w:rPr>
          <w:rFonts w:ascii="Book Antiqua" w:hAnsi="Book Antiqua" w:cs="Arial"/>
        </w:rPr>
      </w:pPr>
      <w:r w:rsidRPr="008D0A08">
        <w:rPr>
          <w:rFonts w:ascii="Book Antiqua" w:hAnsi="Book Antiqua" w:cs="Arial"/>
          <w:b/>
        </w:rPr>
        <w:t>Figure 6</w:t>
      </w:r>
      <w:r w:rsidR="006D1E0D">
        <w:rPr>
          <w:rFonts w:ascii="Book Antiqua" w:eastAsia="宋体" w:hAnsi="Book Antiqua" w:cs="Arial" w:hint="eastAsia"/>
          <w:b/>
          <w:lang w:eastAsia="zh-CN"/>
        </w:rPr>
        <w:t xml:space="preserve"> </w:t>
      </w:r>
      <w:r w:rsidR="00F87A55" w:rsidRPr="006D1E0D">
        <w:rPr>
          <w:rFonts w:ascii="Book Antiqua" w:hAnsi="Book Antiqua" w:cs="Arial"/>
          <w:b/>
        </w:rPr>
        <w:t xml:space="preserve">Primary </w:t>
      </w:r>
      <w:r w:rsidR="003C22E1" w:rsidRPr="006D1E0D">
        <w:rPr>
          <w:rFonts w:ascii="Book Antiqua" w:hAnsi="Book Antiqua" w:cs="Arial"/>
          <w:b/>
        </w:rPr>
        <w:t>assisted patency rates of sub-maximally dilated (</w:t>
      </w:r>
      <w:r w:rsidR="00F87A55" w:rsidRPr="006D1E0D">
        <w:rPr>
          <w:rFonts w:ascii="Book Antiqua" w:hAnsi="Book Antiqua" w:cs="Arial"/>
          <w:b/>
        </w:rPr>
        <w:t>8 mm</w:t>
      </w:r>
      <w:r w:rsidR="003C22E1" w:rsidRPr="006D1E0D">
        <w:rPr>
          <w:rFonts w:ascii="Book Antiqua" w:hAnsi="Book Antiqua" w:cs="Arial"/>
          <w:b/>
        </w:rPr>
        <w:t>)</w:t>
      </w:r>
      <w:r w:rsidR="00F87A55" w:rsidRPr="006D1E0D">
        <w:rPr>
          <w:rFonts w:ascii="Book Antiqua" w:hAnsi="Book Antiqua" w:cs="Arial"/>
          <w:b/>
        </w:rPr>
        <w:t xml:space="preserve"> versus </w:t>
      </w:r>
      <w:r w:rsidR="003C22E1" w:rsidRPr="006D1E0D">
        <w:rPr>
          <w:rFonts w:ascii="Book Antiqua" w:hAnsi="Book Antiqua" w:cs="Arial"/>
          <w:b/>
        </w:rPr>
        <w:t>maximally dilated (</w:t>
      </w:r>
      <w:r w:rsidR="00F87A55" w:rsidRPr="006D1E0D">
        <w:rPr>
          <w:rFonts w:ascii="Book Antiqua" w:hAnsi="Book Antiqua" w:cs="Arial"/>
          <w:b/>
        </w:rPr>
        <w:t>10 mm</w:t>
      </w:r>
      <w:r w:rsidR="003C22E1" w:rsidRPr="006D1E0D">
        <w:rPr>
          <w:rFonts w:ascii="Book Antiqua" w:hAnsi="Book Antiqua" w:cs="Arial"/>
          <w:b/>
        </w:rPr>
        <w:t>)</w:t>
      </w:r>
      <w:r w:rsidR="00F87A55" w:rsidRPr="006D1E0D">
        <w:rPr>
          <w:rFonts w:ascii="Book Antiqua" w:hAnsi="Book Antiqua" w:cs="Arial"/>
          <w:b/>
        </w:rPr>
        <w:t xml:space="preserve"> </w:t>
      </w:r>
      <w:proofErr w:type="spellStart"/>
      <w:r w:rsidR="006D1E0D" w:rsidRPr="006D1E0D">
        <w:rPr>
          <w:rFonts w:ascii="Book Antiqua" w:hAnsi="Book Antiqua" w:cs="Arial"/>
          <w:b/>
        </w:rPr>
        <w:t>transjugular</w:t>
      </w:r>
      <w:proofErr w:type="spellEnd"/>
      <w:r w:rsidR="006D1E0D" w:rsidRPr="006D1E0D">
        <w:rPr>
          <w:rFonts w:ascii="Book Antiqua" w:hAnsi="Book Antiqua" w:cs="Arial"/>
          <w:b/>
        </w:rPr>
        <w:t xml:space="preserve"> intrahepatic </w:t>
      </w:r>
      <w:proofErr w:type="spellStart"/>
      <w:r w:rsidR="006D1E0D" w:rsidRPr="006D1E0D">
        <w:rPr>
          <w:rFonts w:ascii="Book Antiqua" w:hAnsi="Book Antiqua" w:cs="Arial"/>
          <w:b/>
        </w:rPr>
        <w:t>portosystemic</w:t>
      </w:r>
      <w:proofErr w:type="spellEnd"/>
      <w:r w:rsidR="006D1E0D" w:rsidRPr="006D1E0D">
        <w:rPr>
          <w:rFonts w:ascii="Book Antiqua" w:hAnsi="Book Antiqua" w:cs="Arial"/>
          <w:b/>
        </w:rPr>
        <w:t xml:space="preserve"> shunt</w:t>
      </w:r>
      <w:r w:rsidR="00F87A55" w:rsidRPr="006D1E0D">
        <w:rPr>
          <w:rFonts w:ascii="Book Antiqua" w:hAnsi="Book Antiqua" w:cs="Arial"/>
          <w:b/>
        </w:rPr>
        <w:t>.</w:t>
      </w:r>
      <w:r w:rsidR="00F87A55" w:rsidRPr="008D0A08">
        <w:rPr>
          <w:rFonts w:ascii="Book Antiqua" w:hAnsi="Book Antiqua" w:cs="Arial"/>
        </w:rPr>
        <w:t xml:space="preserve"> On Kaplan-Meier analysis, yearly patency rates through 6 years of follow-up after </w:t>
      </w:r>
      <w:proofErr w:type="spellStart"/>
      <w:r w:rsidR="00AE2B32" w:rsidRPr="00AE2B32">
        <w:rPr>
          <w:rFonts w:ascii="Book Antiqua" w:hAnsi="Book Antiqua" w:cs="Arial"/>
        </w:rPr>
        <w:t>transjugular</w:t>
      </w:r>
      <w:proofErr w:type="spellEnd"/>
      <w:r w:rsidR="00AE2B32" w:rsidRPr="00AE2B32">
        <w:rPr>
          <w:rFonts w:ascii="Book Antiqua" w:hAnsi="Book Antiqua" w:cs="Arial"/>
        </w:rPr>
        <w:t xml:space="preserve"> intrahepatic </w:t>
      </w:r>
      <w:proofErr w:type="spellStart"/>
      <w:r w:rsidR="00AE2B32" w:rsidRPr="00AE2B32">
        <w:rPr>
          <w:rFonts w:ascii="Book Antiqua" w:hAnsi="Book Antiqua" w:cs="Arial"/>
        </w:rPr>
        <w:t>portosystemic</w:t>
      </w:r>
      <w:proofErr w:type="spellEnd"/>
      <w:r w:rsidR="00AE2B32" w:rsidRPr="00AE2B32">
        <w:rPr>
          <w:rFonts w:ascii="Book Antiqua" w:hAnsi="Book Antiqua" w:cs="Arial"/>
        </w:rPr>
        <w:t xml:space="preserve"> shunt </w:t>
      </w:r>
      <w:r w:rsidR="00AE2B32">
        <w:rPr>
          <w:rFonts w:ascii="Book Antiqua" w:eastAsia="宋体" w:hAnsi="Book Antiqua" w:cs="Arial" w:hint="eastAsia"/>
          <w:lang w:eastAsia="zh-CN"/>
        </w:rPr>
        <w:t>(</w:t>
      </w:r>
      <w:r w:rsidR="00F87A55" w:rsidRPr="008D0A08">
        <w:rPr>
          <w:rFonts w:ascii="Book Antiqua" w:hAnsi="Book Antiqua" w:cs="Arial"/>
        </w:rPr>
        <w:t>TIPS</w:t>
      </w:r>
      <w:r w:rsidR="00AE2B32">
        <w:rPr>
          <w:rFonts w:ascii="Book Antiqua" w:eastAsia="宋体" w:hAnsi="Book Antiqua" w:cs="Arial" w:hint="eastAsia"/>
          <w:lang w:eastAsia="zh-CN"/>
        </w:rPr>
        <w:t>)</w:t>
      </w:r>
      <w:r w:rsidR="00F87A55" w:rsidRPr="008D0A08">
        <w:rPr>
          <w:rFonts w:ascii="Book Antiqua" w:hAnsi="Book Antiqua" w:cs="Arial"/>
        </w:rPr>
        <w:t xml:space="preserve"> creation are demonstrated with </w:t>
      </w:r>
      <w:r w:rsidR="00640C83" w:rsidRPr="008D0A08">
        <w:rPr>
          <w:rFonts w:ascii="Book Antiqua" w:hAnsi="Book Antiqua" w:cs="Arial"/>
        </w:rPr>
        <w:t>95%</w:t>
      </w:r>
      <w:r w:rsidR="000F60A0">
        <w:rPr>
          <w:rFonts w:ascii="Book Antiqua" w:eastAsia="宋体" w:hAnsi="Book Antiqua" w:cs="Arial" w:hint="eastAsia"/>
          <w:lang w:eastAsia="zh-CN"/>
        </w:rPr>
        <w:t>CI</w:t>
      </w:r>
      <w:r w:rsidR="00F87A55" w:rsidRPr="008D0A08">
        <w:rPr>
          <w:rFonts w:ascii="Book Antiqua" w:hAnsi="Book Antiqua" w:cs="Arial"/>
        </w:rPr>
        <w:t xml:space="preserve"> and number at risk.</w:t>
      </w:r>
      <w:r w:rsidR="00A71DCA" w:rsidRPr="008D0A08">
        <w:rPr>
          <w:rFonts w:ascii="Book Antiqua" w:hAnsi="Book Antiqua" w:cs="Arial"/>
        </w:rPr>
        <w:t xml:space="preserve"> </w:t>
      </w:r>
    </w:p>
    <w:p w14:paraId="0CA4844C" w14:textId="77777777" w:rsidR="0093435C" w:rsidRPr="008D0A08" w:rsidRDefault="0093435C" w:rsidP="008D0A08">
      <w:pPr>
        <w:spacing w:line="360" w:lineRule="auto"/>
        <w:jc w:val="both"/>
        <w:rPr>
          <w:rFonts w:ascii="Book Antiqua" w:hAnsi="Book Antiqua"/>
        </w:rPr>
      </w:pPr>
    </w:p>
    <w:sectPr w:rsidR="0093435C" w:rsidRPr="008D0A08" w:rsidSect="00C86A5F">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E68B4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64DF5" w14:textId="77777777" w:rsidR="00557081" w:rsidRDefault="00557081" w:rsidP="00D91F5F">
      <w:r>
        <w:separator/>
      </w:r>
    </w:p>
  </w:endnote>
  <w:endnote w:type="continuationSeparator" w:id="0">
    <w:p w14:paraId="0A02123A" w14:textId="77777777" w:rsidR="00557081" w:rsidRDefault="00557081" w:rsidP="00D9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MS PGothic">
    <w:charset w:val="80"/>
    <w:family w:val="swiss"/>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23048" w14:textId="77777777" w:rsidR="00557081" w:rsidRDefault="00557081" w:rsidP="00D91F5F">
      <w:r>
        <w:separator/>
      </w:r>
    </w:p>
  </w:footnote>
  <w:footnote w:type="continuationSeparator" w:id="0">
    <w:p w14:paraId="0A8B7838" w14:textId="77777777" w:rsidR="00557081" w:rsidRDefault="00557081" w:rsidP="00D91F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6819"/>
    <w:multiLevelType w:val="hybridMultilevel"/>
    <w:tmpl w:val="DB3E8A4C"/>
    <w:lvl w:ilvl="0" w:tplc="6CD22F1E">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52E31A1"/>
    <w:multiLevelType w:val="hybridMultilevel"/>
    <w:tmpl w:val="798C7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0515F3"/>
    <w:multiLevelType w:val="multilevel"/>
    <w:tmpl w:val="72BCEE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A92545C"/>
    <w:multiLevelType w:val="hybridMultilevel"/>
    <w:tmpl w:val="F50A0036"/>
    <w:numStyleLink w:val="ImportedStyle3"/>
  </w:abstractNum>
  <w:abstractNum w:abstractNumId="4">
    <w:nsid w:val="5BFD3A90"/>
    <w:multiLevelType w:val="hybridMultilevel"/>
    <w:tmpl w:val="D3CA6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A40DED"/>
    <w:multiLevelType w:val="hybridMultilevel"/>
    <w:tmpl w:val="F50A0036"/>
    <w:styleLink w:val="ImportedStyle3"/>
    <w:lvl w:ilvl="0" w:tplc="94D88A9E">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88579E">
      <w:start w:val="1"/>
      <w:numFmt w:val="lowerLetter"/>
      <w:lvlText w:val="%2."/>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5ECDF4">
      <w:start w:val="1"/>
      <w:numFmt w:val="lowerRoman"/>
      <w:lvlText w:val="%3."/>
      <w:lvlJc w:val="left"/>
      <w:pPr>
        <w:ind w:left="180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0E3956">
      <w:start w:val="1"/>
      <w:numFmt w:val="decimal"/>
      <w:lvlText w:val="%4."/>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0D12A">
      <w:start w:val="1"/>
      <w:numFmt w:val="lowerLetter"/>
      <w:lvlText w:val="%5."/>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4AB44">
      <w:start w:val="1"/>
      <w:numFmt w:val="lowerRoman"/>
      <w:lvlText w:val="%6."/>
      <w:lvlJc w:val="left"/>
      <w:pPr>
        <w:ind w:left="396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F439A4">
      <w:start w:val="1"/>
      <w:numFmt w:val="decimal"/>
      <w:lvlText w:val="%7."/>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6C834A">
      <w:start w:val="1"/>
      <w:numFmt w:val="lowerLetter"/>
      <w:lvlText w:val="%8."/>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989EF8">
      <w:start w:val="1"/>
      <w:numFmt w:val="lowerRoman"/>
      <w:lvlText w:val="%9."/>
      <w:lvlJc w:val="left"/>
      <w:pPr>
        <w:ind w:left="6120" w:hanging="29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78DD01CF"/>
    <w:multiLevelType w:val="hybridMultilevel"/>
    <w:tmpl w:val="32648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ck Weber">
    <w15:presenceInfo w15:providerId="Windows Live" w15:userId="fb4ff31e5f0ad3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38"/>
    <w:rsid w:val="000064F5"/>
    <w:rsid w:val="00020703"/>
    <w:rsid w:val="00026193"/>
    <w:rsid w:val="00027E82"/>
    <w:rsid w:val="00034397"/>
    <w:rsid w:val="000549B5"/>
    <w:rsid w:val="00057413"/>
    <w:rsid w:val="000615FA"/>
    <w:rsid w:val="00062517"/>
    <w:rsid w:val="0008399A"/>
    <w:rsid w:val="000A138C"/>
    <w:rsid w:val="000A16AF"/>
    <w:rsid w:val="000A6FBC"/>
    <w:rsid w:val="000C0C56"/>
    <w:rsid w:val="000F60A0"/>
    <w:rsid w:val="00105F02"/>
    <w:rsid w:val="001255AD"/>
    <w:rsid w:val="00125BFE"/>
    <w:rsid w:val="00144C32"/>
    <w:rsid w:val="001512D1"/>
    <w:rsid w:val="0016338A"/>
    <w:rsid w:val="001635C2"/>
    <w:rsid w:val="00176E58"/>
    <w:rsid w:val="00182DEE"/>
    <w:rsid w:val="00194B32"/>
    <w:rsid w:val="001A0AD7"/>
    <w:rsid w:val="001A23F0"/>
    <w:rsid w:val="001B427F"/>
    <w:rsid w:val="001B7859"/>
    <w:rsid w:val="001C7D46"/>
    <w:rsid w:val="001D6283"/>
    <w:rsid w:val="002228DC"/>
    <w:rsid w:val="00224383"/>
    <w:rsid w:val="00240EA5"/>
    <w:rsid w:val="002552E2"/>
    <w:rsid w:val="00272F65"/>
    <w:rsid w:val="00283CD3"/>
    <w:rsid w:val="0028700A"/>
    <w:rsid w:val="002E0B47"/>
    <w:rsid w:val="002E2633"/>
    <w:rsid w:val="00303612"/>
    <w:rsid w:val="0032369C"/>
    <w:rsid w:val="00342F84"/>
    <w:rsid w:val="00387536"/>
    <w:rsid w:val="003C22E1"/>
    <w:rsid w:val="003D1F57"/>
    <w:rsid w:val="003D428A"/>
    <w:rsid w:val="003E3586"/>
    <w:rsid w:val="003F32FD"/>
    <w:rsid w:val="003F4C91"/>
    <w:rsid w:val="004032A7"/>
    <w:rsid w:val="00405E27"/>
    <w:rsid w:val="004225C0"/>
    <w:rsid w:val="00452FA2"/>
    <w:rsid w:val="00456926"/>
    <w:rsid w:val="00467B08"/>
    <w:rsid w:val="00476110"/>
    <w:rsid w:val="004A3B79"/>
    <w:rsid w:val="004A4E6C"/>
    <w:rsid w:val="004A5A5A"/>
    <w:rsid w:val="004B4BAF"/>
    <w:rsid w:val="004C1155"/>
    <w:rsid w:val="004D036C"/>
    <w:rsid w:val="004D35E8"/>
    <w:rsid w:val="004E395B"/>
    <w:rsid w:val="004E4B1F"/>
    <w:rsid w:val="004F4719"/>
    <w:rsid w:val="00501053"/>
    <w:rsid w:val="0051399B"/>
    <w:rsid w:val="00514691"/>
    <w:rsid w:val="00540E2E"/>
    <w:rsid w:val="00557081"/>
    <w:rsid w:val="00585ADA"/>
    <w:rsid w:val="005A79A1"/>
    <w:rsid w:val="005D6571"/>
    <w:rsid w:val="00605914"/>
    <w:rsid w:val="0062405E"/>
    <w:rsid w:val="00640C83"/>
    <w:rsid w:val="00644808"/>
    <w:rsid w:val="00653E7C"/>
    <w:rsid w:val="006875A3"/>
    <w:rsid w:val="006950CE"/>
    <w:rsid w:val="0069629C"/>
    <w:rsid w:val="006D1E0D"/>
    <w:rsid w:val="006D232F"/>
    <w:rsid w:val="00711D38"/>
    <w:rsid w:val="00722C87"/>
    <w:rsid w:val="00726638"/>
    <w:rsid w:val="007567A6"/>
    <w:rsid w:val="007754D8"/>
    <w:rsid w:val="00783944"/>
    <w:rsid w:val="00785892"/>
    <w:rsid w:val="00797BF5"/>
    <w:rsid w:val="007B304A"/>
    <w:rsid w:val="007D235C"/>
    <w:rsid w:val="007E1D1D"/>
    <w:rsid w:val="00825D6A"/>
    <w:rsid w:val="00825F1A"/>
    <w:rsid w:val="00842E15"/>
    <w:rsid w:val="00863E51"/>
    <w:rsid w:val="0088479D"/>
    <w:rsid w:val="008D0A08"/>
    <w:rsid w:val="008D55AF"/>
    <w:rsid w:val="008E21A8"/>
    <w:rsid w:val="008E3CE9"/>
    <w:rsid w:val="008F4C9B"/>
    <w:rsid w:val="00902761"/>
    <w:rsid w:val="00904771"/>
    <w:rsid w:val="0093435C"/>
    <w:rsid w:val="009621CE"/>
    <w:rsid w:val="00977B56"/>
    <w:rsid w:val="00996255"/>
    <w:rsid w:val="009A6E52"/>
    <w:rsid w:val="009B053B"/>
    <w:rsid w:val="009C6545"/>
    <w:rsid w:val="009E0EE1"/>
    <w:rsid w:val="009F4BB6"/>
    <w:rsid w:val="00A3108F"/>
    <w:rsid w:val="00A47706"/>
    <w:rsid w:val="00A65BEA"/>
    <w:rsid w:val="00A71DCA"/>
    <w:rsid w:val="00AA482C"/>
    <w:rsid w:val="00AC1C30"/>
    <w:rsid w:val="00AC38F9"/>
    <w:rsid w:val="00AE2B32"/>
    <w:rsid w:val="00AE62A5"/>
    <w:rsid w:val="00AF3BA0"/>
    <w:rsid w:val="00B00ECB"/>
    <w:rsid w:val="00B2057F"/>
    <w:rsid w:val="00B24C5A"/>
    <w:rsid w:val="00B25566"/>
    <w:rsid w:val="00B416CF"/>
    <w:rsid w:val="00B5015A"/>
    <w:rsid w:val="00B5142A"/>
    <w:rsid w:val="00B5438D"/>
    <w:rsid w:val="00B712A8"/>
    <w:rsid w:val="00B86DB0"/>
    <w:rsid w:val="00B8743E"/>
    <w:rsid w:val="00B913ED"/>
    <w:rsid w:val="00B96EC1"/>
    <w:rsid w:val="00BB4273"/>
    <w:rsid w:val="00BB4AC0"/>
    <w:rsid w:val="00BC54A4"/>
    <w:rsid w:val="00C13877"/>
    <w:rsid w:val="00C1630D"/>
    <w:rsid w:val="00C70D57"/>
    <w:rsid w:val="00C86A5F"/>
    <w:rsid w:val="00C94987"/>
    <w:rsid w:val="00C968EC"/>
    <w:rsid w:val="00CD2133"/>
    <w:rsid w:val="00CD6591"/>
    <w:rsid w:val="00CE5E17"/>
    <w:rsid w:val="00D0476F"/>
    <w:rsid w:val="00D05932"/>
    <w:rsid w:val="00D06BF5"/>
    <w:rsid w:val="00D2061F"/>
    <w:rsid w:val="00D37919"/>
    <w:rsid w:val="00D67A2E"/>
    <w:rsid w:val="00D752DB"/>
    <w:rsid w:val="00D829D1"/>
    <w:rsid w:val="00D87356"/>
    <w:rsid w:val="00D91F5F"/>
    <w:rsid w:val="00DC618A"/>
    <w:rsid w:val="00E0109C"/>
    <w:rsid w:val="00E02E2E"/>
    <w:rsid w:val="00E03265"/>
    <w:rsid w:val="00E1297B"/>
    <w:rsid w:val="00E169D8"/>
    <w:rsid w:val="00E17FC6"/>
    <w:rsid w:val="00E6350F"/>
    <w:rsid w:val="00E64F6E"/>
    <w:rsid w:val="00E90E16"/>
    <w:rsid w:val="00E96C73"/>
    <w:rsid w:val="00EB7B35"/>
    <w:rsid w:val="00EE1EE9"/>
    <w:rsid w:val="00EE5A1D"/>
    <w:rsid w:val="00EF64C6"/>
    <w:rsid w:val="00F3754B"/>
    <w:rsid w:val="00F40138"/>
    <w:rsid w:val="00F87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54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D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D38"/>
    <w:rPr>
      <w:rFonts w:ascii="Lucida Grande" w:hAnsi="Lucida Grande" w:cs="Lucida Grande"/>
      <w:sz w:val="18"/>
      <w:szCs w:val="18"/>
    </w:rPr>
  </w:style>
  <w:style w:type="table" w:styleId="TableGrid">
    <w:name w:val="Table Grid"/>
    <w:basedOn w:val="TableNormal"/>
    <w:uiPriority w:val="59"/>
    <w:rsid w:val="0002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14691"/>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nhideWhenUsed/>
    <w:rsid w:val="00A47706"/>
    <w:rPr>
      <w:sz w:val="16"/>
      <w:szCs w:val="16"/>
    </w:rPr>
  </w:style>
  <w:style w:type="paragraph" w:styleId="CommentText">
    <w:name w:val="annotation text"/>
    <w:basedOn w:val="Normal"/>
    <w:link w:val="CommentTextChar"/>
    <w:unhideWhenUsed/>
    <w:rsid w:val="00A47706"/>
    <w:rPr>
      <w:sz w:val="20"/>
      <w:szCs w:val="20"/>
    </w:rPr>
  </w:style>
  <w:style w:type="character" w:customStyle="1" w:styleId="CommentTextChar">
    <w:name w:val="Comment Text Char"/>
    <w:basedOn w:val="DefaultParagraphFont"/>
    <w:link w:val="CommentText"/>
    <w:rsid w:val="00A47706"/>
    <w:rPr>
      <w:sz w:val="20"/>
      <w:szCs w:val="20"/>
    </w:rPr>
  </w:style>
  <w:style w:type="paragraph" w:styleId="CommentSubject">
    <w:name w:val="annotation subject"/>
    <w:basedOn w:val="CommentText"/>
    <w:next w:val="CommentText"/>
    <w:link w:val="CommentSubjectChar"/>
    <w:uiPriority w:val="99"/>
    <w:semiHidden/>
    <w:unhideWhenUsed/>
    <w:rsid w:val="00A47706"/>
    <w:rPr>
      <w:b/>
      <w:bCs/>
    </w:rPr>
  </w:style>
  <w:style w:type="character" w:customStyle="1" w:styleId="CommentSubjectChar">
    <w:name w:val="Comment Subject Char"/>
    <w:basedOn w:val="CommentTextChar"/>
    <w:link w:val="CommentSubject"/>
    <w:uiPriority w:val="99"/>
    <w:semiHidden/>
    <w:rsid w:val="00A47706"/>
    <w:rPr>
      <w:b/>
      <w:bCs/>
      <w:sz w:val="20"/>
      <w:szCs w:val="20"/>
    </w:rPr>
  </w:style>
  <w:style w:type="paragraph" w:customStyle="1" w:styleId="Body">
    <w:name w:val="Body"/>
    <w:rsid w:val="00863E51"/>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apple-converted-space">
    <w:name w:val="apple-converted-space"/>
    <w:rsid w:val="00863E51"/>
    <w:rPr>
      <w:lang w:val="en-US"/>
    </w:rPr>
  </w:style>
  <w:style w:type="paragraph" w:styleId="ListParagraph">
    <w:name w:val="List Paragraph"/>
    <w:uiPriority w:val="34"/>
    <w:qFormat/>
    <w:rsid w:val="00863E51"/>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numbering" w:customStyle="1" w:styleId="ImportedStyle3">
    <w:name w:val="Imported Style 3"/>
    <w:rsid w:val="00863E51"/>
    <w:pPr>
      <w:numPr>
        <w:numId w:val="1"/>
      </w:numPr>
    </w:pPr>
  </w:style>
  <w:style w:type="character" w:styleId="Strong">
    <w:name w:val="Strong"/>
    <w:uiPriority w:val="22"/>
    <w:qFormat/>
    <w:rsid w:val="00DC618A"/>
    <w:rPr>
      <w:b/>
      <w:bCs/>
    </w:rPr>
  </w:style>
  <w:style w:type="character" w:styleId="Hyperlink">
    <w:name w:val="Hyperlink"/>
    <w:rsid w:val="00DC618A"/>
    <w:rPr>
      <w:color w:val="0000FF"/>
      <w:u w:val="single"/>
    </w:rPr>
  </w:style>
  <w:style w:type="paragraph" w:styleId="Revision">
    <w:name w:val="Revision"/>
    <w:hidden/>
    <w:uiPriority w:val="99"/>
    <w:semiHidden/>
    <w:rsid w:val="00240EA5"/>
  </w:style>
  <w:style w:type="paragraph" w:customStyle="1" w:styleId="details">
    <w:name w:val="details"/>
    <w:basedOn w:val="Normal"/>
    <w:rsid w:val="00E90E16"/>
    <w:pPr>
      <w:spacing w:before="100" w:beforeAutospacing="1" w:after="100" w:afterAutospacing="1"/>
    </w:pPr>
    <w:rPr>
      <w:rFonts w:ascii="Times New Roman" w:eastAsia="Times New Roman" w:hAnsi="Times New Roman" w:cs="Times New Roman"/>
    </w:rPr>
  </w:style>
  <w:style w:type="character" w:customStyle="1" w:styleId="article-headermeta-info-label">
    <w:name w:val="article-header__meta-info-label"/>
    <w:basedOn w:val="DefaultParagraphFont"/>
    <w:rsid w:val="00062517"/>
  </w:style>
  <w:style w:type="character" w:customStyle="1" w:styleId="article-headermeta-info-data">
    <w:name w:val="article-header__meta-info-data"/>
    <w:basedOn w:val="DefaultParagraphFont"/>
    <w:rsid w:val="00062517"/>
  </w:style>
  <w:style w:type="paragraph" w:styleId="FootnoteText">
    <w:name w:val="footnote text"/>
    <w:basedOn w:val="Normal"/>
    <w:link w:val="FootnoteTextChar"/>
    <w:uiPriority w:val="99"/>
    <w:unhideWhenUsed/>
    <w:rsid w:val="00D91F5F"/>
  </w:style>
  <w:style w:type="character" w:customStyle="1" w:styleId="FootnoteTextChar">
    <w:name w:val="Footnote Text Char"/>
    <w:basedOn w:val="DefaultParagraphFont"/>
    <w:link w:val="FootnoteText"/>
    <w:uiPriority w:val="99"/>
    <w:rsid w:val="00D91F5F"/>
  </w:style>
  <w:style w:type="character" w:styleId="FootnoteReference">
    <w:name w:val="footnote reference"/>
    <w:basedOn w:val="DefaultParagraphFont"/>
    <w:uiPriority w:val="99"/>
    <w:unhideWhenUsed/>
    <w:rsid w:val="00D91F5F"/>
    <w:rPr>
      <w:vertAlign w:val="superscript"/>
    </w:rPr>
  </w:style>
  <w:style w:type="paragraph" w:styleId="Header">
    <w:name w:val="header"/>
    <w:basedOn w:val="Normal"/>
    <w:link w:val="HeaderChar"/>
    <w:uiPriority w:val="99"/>
    <w:unhideWhenUsed/>
    <w:rsid w:val="008D0A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D0A08"/>
    <w:rPr>
      <w:sz w:val="18"/>
      <w:szCs w:val="18"/>
    </w:rPr>
  </w:style>
  <w:style w:type="paragraph" w:styleId="Footer">
    <w:name w:val="footer"/>
    <w:basedOn w:val="Normal"/>
    <w:link w:val="FooterChar"/>
    <w:uiPriority w:val="99"/>
    <w:unhideWhenUsed/>
    <w:rsid w:val="008D0A0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D0A08"/>
    <w:rPr>
      <w:sz w:val="18"/>
      <w:szCs w:val="18"/>
    </w:rPr>
  </w:style>
  <w:style w:type="character" w:styleId="Emphasis">
    <w:name w:val="Emphasis"/>
    <w:qFormat/>
    <w:rsid w:val="001A0AD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D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D38"/>
    <w:rPr>
      <w:rFonts w:ascii="Lucida Grande" w:hAnsi="Lucida Grande" w:cs="Lucida Grande"/>
      <w:sz w:val="18"/>
      <w:szCs w:val="18"/>
    </w:rPr>
  </w:style>
  <w:style w:type="table" w:styleId="TableGrid">
    <w:name w:val="Table Grid"/>
    <w:basedOn w:val="TableNormal"/>
    <w:uiPriority w:val="59"/>
    <w:rsid w:val="0002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14691"/>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nhideWhenUsed/>
    <w:rsid w:val="00A47706"/>
    <w:rPr>
      <w:sz w:val="16"/>
      <w:szCs w:val="16"/>
    </w:rPr>
  </w:style>
  <w:style w:type="paragraph" w:styleId="CommentText">
    <w:name w:val="annotation text"/>
    <w:basedOn w:val="Normal"/>
    <w:link w:val="CommentTextChar"/>
    <w:unhideWhenUsed/>
    <w:rsid w:val="00A47706"/>
    <w:rPr>
      <w:sz w:val="20"/>
      <w:szCs w:val="20"/>
    </w:rPr>
  </w:style>
  <w:style w:type="character" w:customStyle="1" w:styleId="CommentTextChar">
    <w:name w:val="Comment Text Char"/>
    <w:basedOn w:val="DefaultParagraphFont"/>
    <w:link w:val="CommentText"/>
    <w:rsid w:val="00A47706"/>
    <w:rPr>
      <w:sz w:val="20"/>
      <w:szCs w:val="20"/>
    </w:rPr>
  </w:style>
  <w:style w:type="paragraph" w:styleId="CommentSubject">
    <w:name w:val="annotation subject"/>
    <w:basedOn w:val="CommentText"/>
    <w:next w:val="CommentText"/>
    <w:link w:val="CommentSubjectChar"/>
    <w:uiPriority w:val="99"/>
    <w:semiHidden/>
    <w:unhideWhenUsed/>
    <w:rsid w:val="00A47706"/>
    <w:rPr>
      <w:b/>
      <w:bCs/>
    </w:rPr>
  </w:style>
  <w:style w:type="character" w:customStyle="1" w:styleId="CommentSubjectChar">
    <w:name w:val="Comment Subject Char"/>
    <w:basedOn w:val="CommentTextChar"/>
    <w:link w:val="CommentSubject"/>
    <w:uiPriority w:val="99"/>
    <w:semiHidden/>
    <w:rsid w:val="00A47706"/>
    <w:rPr>
      <w:b/>
      <w:bCs/>
      <w:sz w:val="20"/>
      <w:szCs w:val="20"/>
    </w:rPr>
  </w:style>
  <w:style w:type="paragraph" w:customStyle="1" w:styleId="Body">
    <w:name w:val="Body"/>
    <w:rsid w:val="00863E51"/>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apple-converted-space">
    <w:name w:val="apple-converted-space"/>
    <w:rsid w:val="00863E51"/>
    <w:rPr>
      <w:lang w:val="en-US"/>
    </w:rPr>
  </w:style>
  <w:style w:type="paragraph" w:styleId="ListParagraph">
    <w:name w:val="List Paragraph"/>
    <w:uiPriority w:val="34"/>
    <w:qFormat/>
    <w:rsid w:val="00863E51"/>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numbering" w:customStyle="1" w:styleId="ImportedStyle3">
    <w:name w:val="Imported Style 3"/>
    <w:rsid w:val="00863E51"/>
    <w:pPr>
      <w:numPr>
        <w:numId w:val="1"/>
      </w:numPr>
    </w:pPr>
  </w:style>
  <w:style w:type="character" w:styleId="Strong">
    <w:name w:val="Strong"/>
    <w:uiPriority w:val="22"/>
    <w:qFormat/>
    <w:rsid w:val="00DC618A"/>
    <w:rPr>
      <w:b/>
      <w:bCs/>
    </w:rPr>
  </w:style>
  <w:style w:type="character" w:styleId="Hyperlink">
    <w:name w:val="Hyperlink"/>
    <w:rsid w:val="00DC618A"/>
    <w:rPr>
      <w:color w:val="0000FF"/>
      <w:u w:val="single"/>
    </w:rPr>
  </w:style>
  <w:style w:type="paragraph" w:styleId="Revision">
    <w:name w:val="Revision"/>
    <w:hidden/>
    <w:uiPriority w:val="99"/>
    <w:semiHidden/>
    <w:rsid w:val="00240EA5"/>
  </w:style>
  <w:style w:type="paragraph" w:customStyle="1" w:styleId="details">
    <w:name w:val="details"/>
    <w:basedOn w:val="Normal"/>
    <w:rsid w:val="00E90E16"/>
    <w:pPr>
      <w:spacing w:before="100" w:beforeAutospacing="1" w:after="100" w:afterAutospacing="1"/>
    </w:pPr>
    <w:rPr>
      <w:rFonts w:ascii="Times New Roman" w:eastAsia="Times New Roman" w:hAnsi="Times New Roman" w:cs="Times New Roman"/>
    </w:rPr>
  </w:style>
  <w:style w:type="character" w:customStyle="1" w:styleId="article-headermeta-info-label">
    <w:name w:val="article-header__meta-info-label"/>
    <w:basedOn w:val="DefaultParagraphFont"/>
    <w:rsid w:val="00062517"/>
  </w:style>
  <w:style w:type="character" w:customStyle="1" w:styleId="article-headermeta-info-data">
    <w:name w:val="article-header__meta-info-data"/>
    <w:basedOn w:val="DefaultParagraphFont"/>
    <w:rsid w:val="00062517"/>
  </w:style>
  <w:style w:type="paragraph" w:styleId="FootnoteText">
    <w:name w:val="footnote text"/>
    <w:basedOn w:val="Normal"/>
    <w:link w:val="FootnoteTextChar"/>
    <w:uiPriority w:val="99"/>
    <w:unhideWhenUsed/>
    <w:rsid w:val="00D91F5F"/>
  </w:style>
  <w:style w:type="character" w:customStyle="1" w:styleId="FootnoteTextChar">
    <w:name w:val="Footnote Text Char"/>
    <w:basedOn w:val="DefaultParagraphFont"/>
    <w:link w:val="FootnoteText"/>
    <w:uiPriority w:val="99"/>
    <w:rsid w:val="00D91F5F"/>
  </w:style>
  <w:style w:type="character" w:styleId="FootnoteReference">
    <w:name w:val="footnote reference"/>
    <w:basedOn w:val="DefaultParagraphFont"/>
    <w:uiPriority w:val="99"/>
    <w:unhideWhenUsed/>
    <w:rsid w:val="00D91F5F"/>
    <w:rPr>
      <w:vertAlign w:val="superscript"/>
    </w:rPr>
  </w:style>
  <w:style w:type="paragraph" w:styleId="Header">
    <w:name w:val="header"/>
    <w:basedOn w:val="Normal"/>
    <w:link w:val="HeaderChar"/>
    <w:uiPriority w:val="99"/>
    <w:unhideWhenUsed/>
    <w:rsid w:val="008D0A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D0A08"/>
    <w:rPr>
      <w:sz w:val="18"/>
      <w:szCs w:val="18"/>
    </w:rPr>
  </w:style>
  <w:style w:type="paragraph" w:styleId="Footer">
    <w:name w:val="footer"/>
    <w:basedOn w:val="Normal"/>
    <w:link w:val="FooterChar"/>
    <w:uiPriority w:val="99"/>
    <w:unhideWhenUsed/>
    <w:rsid w:val="008D0A0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D0A08"/>
    <w:rPr>
      <w:sz w:val="18"/>
      <w:szCs w:val="18"/>
    </w:rPr>
  </w:style>
  <w:style w:type="character" w:styleId="Emphasis">
    <w:name w:val="Emphasis"/>
    <w:qFormat/>
    <w:rsid w:val="001A0AD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48">
      <w:bodyDiv w:val="1"/>
      <w:marLeft w:val="0"/>
      <w:marRight w:val="0"/>
      <w:marTop w:val="0"/>
      <w:marBottom w:val="0"/>
      <w:divBdr>
        <w:top w:val="none" w:sz="0" w:space="0" w:color="auto"/>
        <w:left w:val="none" w:sz="0" w:space="0" w:color="auto"/>
        <w:bottom w:val="none" w:sz="0" w:space="0" w:color="auto"/>
        <w:right w:val="none" w:sz="0" w:space="0" w:color="auto"/>
      </w:divBdr>
    </w:div>
    <w:div w:id="10957661">
      <w:bodyDiv w:val="1"/>
      <w:marLeft w:val="0"/>
      <w:marRight w:val="0"/>
      <w:marTop w:val="0"/>
      <w:marBottom w:val="0"/>
      <w:divBdr>
        <w:top w:val="none" w:sz="0" w:space="0" w:color="auto"/>
        <w:left w:val="none" w:sz="0" w:space="0" w:color="auto"/>
        <w:bottom w:val="none" w:sz="0" w:space="0" w:color="auto"/>
        <w:right w:val="none" w:sz="0" w:space="0" w:color="auto"/>
      </w:divBdr>
    </w:div>
    <w:div w:id="43529449">
      <w:bodyDiv w:val="1"/>
      <w:marLeft w:val="0"/>
      <w:marRight w:val="0"/>
      <w:marTop w:val="0"/>
      <w:marBottom w:val="0"/>
      <w:divBdr>
        <w:top w:val="none" w:sz="0" w:space="0" w:color="auto"/>
        <w:left w:val="none" w:sz="0" w:space="0" w:color="auto"/>
        <w:bottom w:val="none" w:sz="0" w:space="0" w:color="auto"/>
        <w:right w:val="none" w:sz="0" w:space="0" w:color="auto"/>
      </w:divBdr>
    </w:div>
    <w:div w:id="91708795">
      <w:bodyDiv w:val="1"/>
      <w:marLeft w:val="0"/>
      <w:marRight w:val="0"/>
      <w:marTop w:val="0"/>
      <w:marBottom w:val="0"/>
      <w:divBdr>
        <w:top w:val="none" w:sz="0" w:space="0" w:color="auto"/>
        <w:left w:val="none" w:sz="0" w:space="0" w:color="auto"/>
        <w:bottom w:val="none" w:sz="0" w:space="0" w:color="auto"/>
        <w:right w:val="none" w:sz="0" w:space="0" w:color="auto"/>
      </w:divBdr>
    </w:div>
    <w:div w:id="103496844">
      <w:bodyDiv w:val="1"/>
      <w:marLeft w:val="0"/>
      <w:marRight w:val="0"/>
      <w:marTop w:val="0"/>
      <w:marBottom w:val="0"/>
      <w:divBdr>
        <w:top w:val="none" w:sz="0" w:space="0" w:color="auto"/>
        <w:left w:val="none" w:sz="0" w:space="0" w:color="auto"/>
        <w:bottom w:val="none" w:sz="0" w:space="0" w:color="auto"/>
        <w:right w:val="none" w:sz="0" w:space="0" w:color="auto"/>
      </w:divBdr>
      <w:divsChild>
        <w:div w:id="426511013">
          <w:marLeft w:val="0"/>
          <w:marRight w:val="0"/>
          <w:marTop w:val="34"/>
          <w:marBottom w:val="34"/>
          <w:divBdr>
            <w:top w:val="none" w:sz="0" w:space="0" w:color="auto"/>
            <w:left w:val="none" w:sz="0" w:space="0" w:color="auto"/>
            <w:bottom w:val="none" w:sz="0" w:space="0" w:color="auto"/>
            <w:right w:val="none" w:sz="0" w:space="0" w:color="auto"/>
          </w:divBdr>
        </w:div>
        <w:div w:id="1841388991">
          <w:marLeft w:val="0"/>
          <w:marRight w:val="0"/>
          <w:marTop w:val="0"/>
          <w:marBottom w:val="0"/>
          <w:divBdr>
            <w:top w:val="none" w:sz="0" w:space="0" w:color="auto"/>
            <w:left w:val="none" w:sz="0" w:space="0" w:color="auto"/>
            <w:bottom w:val="none" w:sz="0" w:space="0" w:color="auto"/>
            <w:right w:val="none" w:sz="0" w:space="0" w:color="auto"/>
          </w:divBdr>
        </w:div>
      </w:divsChild>
    </w:div>
    <w:div w:id="170149257">
      <w:bodyDiv w:val="1"/>
      <w:marLeft w:val="0"/>
      <w:marRight w:val="0"/>
      <w:marTop w:val="0"/>
      <w:marBottom w:val="0"/>
      <w:divBdr>
        <w:top w:val="none" w:sz="0" w:space="0" w:color="auto"/>
        <w:left w:val="none" w:sz="0" w:space="0" w:color="auto"/>
        <w:bottom w:val="none" w:sz="0" w:space="0" w:color="auto"/>
        <w:right w:val="none" w:sz="0" w:space="0" w:color="auto"/>
      </w:divBdr>
    </w:div>
    <w:div w:id="233393314">
      <w:bodyDiv w:val="1"/>
      <w:marLeft w:val="0"/>
      <w:marRight w:val="0"/>
      <w:marTop w:val="0"/>
      <w:marBottom w:val="0"/>
      <w:divBdr>
        <w:top w:val="none" w:sz="0" w:space="0" w:color="auto"/>
        <w:left w:val="none" w:sz="0" w:space="0" w:color="auto"/>
        <w:bottom w:val="none" w:sz="0" w:space="0" w:color="auto"/>
        <w:right w:val="none" w:sz="0" w:space="0" w:color="auto"/>
      </w:divBdr>
      <w:divsChild>
        <w:div w:id="1627857812">
          <w:marLeft w:val="0"/>
          <w:marRight w:val="0"/>
          <w:marTop w:val="34"/>
          <w:marBottom w:val="34"/>
          <w:divBdr>
            <w:top w:val="none" w:sz="0" w:space="0" w:color="auto"/>
            <w:left w:val="none" w:sz="0" w:space="0" w:color="auto"/>
            <w:bottom w:val="none" w:sz="0" w:space="0" w:color="auto"/>
            <w:right w:val="none" w:sz="0" w:space="0" w:color="auto"/>
          </w:divBdr>
        </w:div>
        <w:div w:id="1925214526">
          <w:marLeft w:val="0"/>
          <w:marRight w:val="0"/>
          <w:marTop w:val="0"/>
          <w:marBottom w:val="0"/>
          <w:divBdr>
            <w:top w:val="none" w:sz="0" w:space="0" w:color="auto"/>
            <w:left w:val="none" w:sz="0" w:space="0" w:color="auto"/>
            <w:bottom w:val="none" w:sz="0" w:space="0" w:color="auto"/>
            <w:right w:val="none" w:sz="0" w:space="0" w:color="auto"/>
          </w:divBdr>
        </w:div>
      </w:divsChild>
    </w:div>
    <w:div w:id="238255492">
      <w:bodyDiv w:val="1"/>
      <w:marLeft w:val="0"/>
      <w:marRight w:val="0"/>
      <w:marTop w:val="0"/>
      <w:marBottom w:val="0"/>
      <w:divBdr>
        <w:top w:val="none" w:sz="0" w:space="0" w:color="auto"/>
        <w:left w:val="none" w:sz="0" w:space="0" w:color="auto"/>
        <w:bottom w:val="none" w:sz="0" w:space="0" w:color="auto"/>
        <w:right w:val="none" w:sz="0" w:space="0" w:color="auto"/>
      </w:divBdr>
    </w:div>
    <w:div w:id="258026408">
      <w:bodyDiv w:val="1"/>
      <w:marLeft w:val="0"/>
      <w:marRight w:val="0"/>
      <w:marTop w:val="0"/>
      <w:marBottom w:val="0"/>
      <w:divBdr>
        <w:top w:val="none" w:sz="0" w:space="0" w:color="auto"/>
        <w:left w:val="none" w:sz="0" w:space="0" w:color="auto"/>
        <w:bottom w:val="none" w:sz="0" w:space="0" w:color="auto"/>
        <w:right w:val="none" w:sz="0" w:space="0" w:color="auto"/>
      </w:divBdr>
      <w:divsChild>
        <w:div w:id="941229713">
          <w:marLeft w:val="0"/>
          <w:marRight w:val="0"/>
          <w:marTop w:val="34"/>
          <w:marBottom w:val="34"/>
          <w:divBdr>
            <w:top w:val="none" w:sz="0" w:space="0" w:color="auto"/>
            <w:left w:val="none" w:sz="0" w:space="0" w:color="auto"/>
            <w:bottom w:val="none" w:sz="0" w:space="0" w:color="auto"/>
            <w:right w:val="none" w:sz="0" w:space="0" w:color="auto"/>
          </w:divBdr>
        </w:div>
        <w:div w:id="22630783">
          <w:marLeft w:val="0"/>
          <w:marRight w:val="0"/>
          <w:marTop w:val="0"/>
          <w:marBottom w:val="0"/>
          <w:divBdr>
            <w:top w:val="none" w:sz="0" w:space="0" w:color="auto"/>
            <w:left w:val="none" w:sz="0" w:space="0" w:color="auto"/>
            <w:bottom w:val="none" w:sz="0" w:space="0" w:color="auto"/>
            <w:right w:val="none" w:sz="0" w:space="0" w:color="auto"/>
          </w:divBdr>
        </w:div>
      </w:divsChild>
    </w:div>
    <w:div w:id="271398645">
      <w:bodyDiv w:val="1"/>
      <w:marLeft w:val="0"/>
      <w:marRight w:val="0"/>
      <w:marTop w:val="0"/>
      <w:marBottom w:val="0"/>
      <w:divBdr>
        <w:top w:val="none" w:sz="0" w:space="0" w:color="auto"/>
        <w:left w:val="none" w:sz="0" w:space="0" w:color="auto"/>
        <w:bottom w:val="none" w:sz="0" w:space="0" w:color="auto"/>
        <w:right w:val="none" w:sz="0" w:space="0" w:color="auto"/>
      </w:divBdr>
    </w:div>
    <w:div w:id="307171168">
      <w:bodyDiv w:val="1"/>
      <w:marLeft w:val="0"/>
      <w:marRight w:val="0"/>
      <w:marTop w:val="0"/>
      <w:marBottom w:val="0"/>
      <w:divBdr>
        <w:top w:val="none" w:sz="0" w:space="0" w:color="auto"/>
        <w:left w:val="none" w:sz="0" w:space="0" w:color="auto"/>
        <w:bottom w:val="none" w:sz="0" w:space="0" w:color="auto"/>
        <w:right w:val="none" w:sz="0" w:space="0" w:color="auto"/>
      </w:divBdr>
    </w:div>
    <w:div w:id="309410612">
      <w:bodyDiv w:val="1"/>
      <w:marLeft w:val="0"/>
      <w:marRight w:val="0"/>
      <w:marTop w:val="0"/>
      <w:marBottom w:val="0"/>
      <w:divBdr>
        <w:top w:val="none" w:sz="0" w:space="0" w:color="auto"/>
        <w:left w:val="none" w:sz="0" w:space="0" w:color="auto"/>
        <w:bottom w:val="none" w:sz="0" w:space="0" w:color="auto"/>
        <w:right w:val="none" w:sz="0" w:space="0" w:color="auto"/>
      </w:divBdr>
    </w:div>
    <w:div w:id="354884966">
      <w:bodyDiv w:val="1"/>
      <w:marLeft w:val="0"/>
      <w:marRight w:val="0"/>
      <w:marTop w:val="0"/>
      <w:marBottom w:val="0"/>
      <w:divBdr>
        <w:top w:val="none" w:sz="0" w:space="0" w:color="auto"/>
        <w:left w:val="none" w:sz="0" w:space="0" w:color="auto"/>
        <w:bottom w:val="none" w:sz="0" w:space="0" w:color="auto"/>
        <w:right w:val="none" w:sz="0" w:space="0" w:color="auto"/>
      </w:divBdr>
    </w:div>
    <w:div w:id="361788064">
      <w:bodyDiv w:val="1"/>
      <w:marLeft w:val="0"/>
      <w:marRight w:val="0"/>
      <w:marTop w:val="0"/>
      <w:marBottom w:val="0"/>
      <w:divBdr>
        <w:top w:val="none" w:sz="0" w:space="0" w:color="auto"/>
        <w:left w:val="none" w:sz="0" w:space="0" w:color="auto"/>
        <w:bottom w:val="none" w:sz="0" w:space="0" w:color="auto"/>
        <w:right w:val="none" w:sz="0" w:space="0" w:color="auto"/>
      </w:divBdr>
    </w:div>
    <w:div w:id="386536837">
      <w:bodyDiv w:val="1"/>
      <w:marLeft w:val="0"/>
      <w:marRight w:val="0"/>
      <w:marTop w:val="0"/>
      <w:marBottom w:val="0"/>
      <w:divBdr>
        <w:top w:val="none" w:sz="0" w:space="0" w:color="auto"/>
        <w:left w:val="none" w:sz="0" w:space="0" w:color="auto"/>
        <w:bottom w:val="none" w:sz="0" w:space="0" w:color="auto"/>
        <w:right w:val="none" w:sz="0" w:space="0" w:color="auto"/>
      </w:divBdr>
    </w:div>
    <w:div w:id="390735456">
      <w:bodyDiv w:val="1"/>
      <w:marLeft w:val="0"/>
      <w:marRight w:val="0"/>
      <w:marTop w:val="0"/>
      <w:marBottom w:val="0"/>
      <w:divBdr>
        <w:top w:val="none" w:sz="0" w:space="0" w:color="auto"/>
        <w:left w:val="none" w:sz="0" w:space="0" w:color="auto"/>
        <w:bottom w:val="none" w:sz="0" w:space="0" w:color="auto"/>
        <w:right w:val="none" w:sz="0" w:space="0" w:color="auto"/>
      </w:divBdr>
    </w:div>
    <w:div w:id="453329583">
      <w:bodyDiv w:val="1"/>
      <w:marLeft w:val="0"/>
      <w:marRight w:val="0"/>
      <w:marTop w:val="0"/>
      <w:marBottom w:val="0"/>
      <w:divBdr>
        <w:top w:val="none" w:sz="0" w:space="0" w:color="auto"/>
        <w:left w:val="none" w:sz="0" w:space="0" w:color="auto"/>
        <w:bottom w:val="none" w:sz="0" w:space="0" w:color="auto"/>
        <w:right w:val="none" w:sz="0" w:space="0" w:color="auto"/>
      </w:divBdr>
    </w:div>
    <w:div w:id="468204005">
      <w:bodyDiv w:val="1"/>
      <w:marLeft w:val="0"/>
      <w:marRight w:val="0"/>
      <w:marTop w:val="0"/>
      <w:marBottom w:val="0"/>
      <w:divBdr>
        <w:top w:val="none" w:sz="0" w:space="0" w:color="auto"/>
        <w:left w:val="none" w:sz="0" w:space="0" w:color="auto"/>
        <w:bottom w:val="none" w:sz="0" w:space="0" w:color="auto"/>
        <w:right w:val="none" w:sz="0" w:space="0" w:color="auto"/>
      </w:divBdr>
    </w:div>
    <w:div w:id="486244132">
      <w:bodyDiv w:val="1"/>
      <w:marLeft w:val="0"/>
      <w:marRight w:val="0"/>
      <w:marTop w:val="0"/>
      <w:marBottom w:val="0"/>
      <w:divBdr>
        <w:top w:val="none" w:sz="0" w:space="0" w:color="auto"/>
        <w:left w:val="none" w:sz="0" w:space="0" w:color="auto"/>
        <w:bottom w:val="none" w:sz="0" w:space="0" w:color="auto"/>
        <w:right w:val="none" w:sz="0" w:space="0" w:color="auto"/>
      </w:divBdr>
    </w:div>
    <w:div w:id="507140980">
      <w:bodyDiv w:val="1"/>
      <w:marLeft w:val="0"/>
      <w:marRight w:val="0"/>
      <w:marTop w:val="0"/>
      <w:marBottom w:val="0"/>
      <w:divBdr>
        <w:top w:val="none" w:sz="0" w:space="0" w:color="auto"/>
        <w:left w:val="none" w:sz="0" w:space="0" w:color="auto"/>
        <w:bottom w:val="none" w:sz="0" w:space="0" w:color="auto"/>
        <w:right w:val="none" w:sz="0" w:space="0" w:color="auto"/>
      </w:divBdr>
      <w:divsChild>
        <w:div w:id="2002926865">
          <w:marLeft w:val="0"/>
          <w:marRight w:val="0"/>
          <w:marTop w:val="34"/>
          <w:marBottom w:val="34"/>
          <w:divBdr>
            <w:top w:val="none" w:sz="0" w:space="0" w:color="auto"/>
            <w:left w:val="none" w:sz="0" w:space="0" w:color="auto"/>
            <w:bottom w:val="none" w:sz="0" w:space="0" w:color="auto"/>
            <w:right w:val="none" w:sz="0" w:space="0" w:color="auto"/>
          </w:divBdr>
        </w:div>
        <w:div w:id="1049454153">
          <w:marLeft w:val="0"/>
          <w:marRight w:val="0"/>
          <w:marTop w:val="0"/>
          <w:marBottom w:val="0"/>
          <w:divBdr>
            <w:top w:val="none" w:sz="0" w:space="0" w:color="auto"/>
            <w:left w:val="none" w:sz="0" w:space="0" w:color="auto"/>
            <w:bottom w:val="none" w:sz="0" w:space="0" w:color="auto"/>
            <w:right w:val="none" w:sz="0" w:space="0" w:color="auto"/>
          </w:divBdr>
        </w:div>
      </w:divsChild>
    </w:div>
    <w:div w:id="528374633">
      <w:bodyDiv w:val="1"/>
      <w:marLeft w:val="0"/>
      <w:marRight w:val="0"/>
      <w:marTop w:val="0"/>
      <w:marBottom w:val="0"/>
      <w:divBdr>
        <w:top w:val="none" w:sz="0" w:space="0" w:color="auto"/>
        <w:left w:val="none" w:sz="0" w:space="0" w:color="auto"/>
        <w:bottom w:val="none" w:sz="0" w:space="0" w:color="auto"/>
        <w:right w:val="none" w:sz="0" w:space="0" w:color="auto"/>
      </w:divBdr>
      <w:divsChild>
        <w:div w:id="1994747872">
          <w:marLeft w:val="0"/>
          <w:marRight w:val="0"/>
          <w:marTop w:val="34"/>
          <w:marBottom w:val="34"/>
          <w:divBdr>
            <w:top w:val="none" w:sz="0" w:space="0" w:color="auto"/>
            <w:left w:val="none" w:sz="0" w:space="0" w:color="auto"/>
            <w:bottom w:val="none" w:sz="0" w:space="0" w:color="auto"/>
            <w:right w:val="none" w:sz="0" w:space="0" w:color="auto"/>
          </w:divBdr>
        </w:div>
        <w:div w:id="459032155">
          <w:marLeft w:val="0"/>
          <w:marRight w:val="0"/>
          <w:marTop w:val="0"/>
          <w:marBottom w:val="0"/>
          <w:divBdr>
            <w:top w:val="none" w:sz="0" w:space="0" w:color="auto"/>
            <w:left w:val="none" w:sz="0" w:space="0" w:color="auto"/>
            <w:bottom w:val="none" w:sz="0" w:space="0" w:color="auto"/>
            <w:right w:val="none" w:sz="0" w:space="0" w:color="auto"/>
          </w:divBdr>
        </w:div>
      </w:divsChild>
    </w:div>
    <w:div w:id="574510595">
      <w:bodyDiv w:val="1"/>
      <w:marLeft w:val="0"/>
      <w:marRight w:val="0"/>
      <w:marTop w:val="0"/>
      <w:marBottom w:val="0"/>
      <w:divBdr>
        <w:top w:val="none" w:sz="0" w:space="0" w:color="auto"/>
        <w:left w:val="none" w:sz="0" w:space="0" w:color="auto"/>
        <w:bottom w:val="none" w:sz="0" w:space="0" w:color="auto"/>
        <w:right w:val="none" w:sz="0" w:space="0" w:color="auto"/>
      </w:divBdr>
      <w:divsChild>
        <w:div w:id="1074201635">
          <w:marLeft w:val="0"/>
          <w:marRight w:val="0"/>
          <w:marTop w:val="34"/>
          <w:marBottom w:val="34"/>
          <w:divBdr>
            <w:top w:val="none" w:sz="0" w:space="0" w:color="auto"/>
            <w:left w:val="none" w:sz="0" w:space="0" w:color="auto"/>
            <w:bottom w:val="none" w:sz="0" w:space="0" w:color="auto"/>
            <w:right w:val="none" w:sz="0" w:space="0" w:color="auto"/>
          </w:divBdr>
        </w:div>
        <w:div w:id="1087262933">
          <w:marLeft w:val="0"/>
          <w:marRight w:val="0"/>
          <w:marTop w:val="0"/>
          <w:marBottom w:val="0"/>
          <w:divBdr>
            <w:top w:val="none" w:sz="0" w:space="0" w:color="auto"/>
            <w:left w:val="none" w:sz="0" w:space="0" w:color="auto"/>
            <w:bottom w:val="none" w:sz="0" w:space="0" w:color="auto"/>
            <w:right w:val="none" w:sz="0" w:space="0" w:color="auto"/>
          </w:divBdr>
        </w:div>
      </w:divsChild>
    </w:div>
    <w:div w:id="637688506">
      <w:bodyDiv w:val="1"/>
      <w:marLeft w:val="0"/>
      <w:marRight w:val="0"/>
      <w:marTop w:val="0"/>
      <w:marBottom w:val="0"/>
      <w:divBdr>
        <w:top w:val="none" w:sz="0" w:space="0" w:color="auto"/>
        <w:left w:val="none" w:sz="0" w:space="0" w:color="auto"/>
        <w:bottom w:val="none" w:sz="0" w:space="0" w:color="auto"/>
        <w:right w:val="none" w:sz="0" w:space="0" w:color="auto"/>
      </w:divBdr>
    </w:div>
    <w:div w:id="777532112">
      <w:bodyDiv w:val="1"/>
      <w:marLeft w:val="0"/>
      <w:marRight w:val="0"/>
      <w:marTop w:val="0"/>
      <w:marBottom w:val="0"/>
      <w:divBdr>
        <w:top w:val="none" w:sz="0" w:space="0" w:color="auto"/>
        <w:left w:val="none" w:sz="0" w:space="0" w:color="auto"/>
        <w:bottom w:val="none" w:sz="0" w:space="0" w:color="auto"/>
        <w:right w:val="none" w:sz="0" w:space="0" w:color="auto"/>
      </w:divBdr>
    </w:div>
    <w:div w:id="900094713">
      <w:bodyDiv w:val="1"/>
      <w:marLeft w:val="0"/>
      <w:marRight w:val="0"/>
      <w:marTop w:val="0"/>
      <w:marBottom w:val="0"/>
      <w:divBdr>
        <w:top w:val="none" w:sz="0" w:space="0" w:color="auto"/>
        <w:left w:val="none" w:sz="0" w:space="0" w:color="auto"/>
        <w:bottom w:val="none" w:sz="0" w:space="0" w:color="auto"/>
        <w:right w:val="none" w:sz="0" w:space="0" w:color="auto"/>
      </w:divBdr>
    </w:div>
    <w:div w:id="938374677">
      <w:bodyDiv w:val="1"/>
      <w:marLeft w:val="0"/>
      <w:marRight w:val="0"/>
      <w:marTop w:val="0"/>
      <w:marBottom w:val="0"/>
      <w:divBdr>
        <w:top w:val="none" w:sz="0" w:space="0" w:color="auto"/>
        <w:left w:val="none" w:sz="0" w:space="0" w:color="auto"/>
        <w:bottom w:val="none" w:sz="0" w:space="0" w:color="auto"/>
        <w:right w:val="none" w:sz="0" w:space="0" w:color="auto"/>
      </w:divBdr>
    </w:div>
    <w:div w:id="968126906">
      <w:bodyDiv w:val="1"/>
      <w:marLeft w:val="0"/>
      <w:marRight w:val="0"/>
      <w:marTop w:val="0"/>
      <w:marBottom w:val="0"/>
      <w:divBdr>
        <w:top w:val="none" w:sz="0" w:space="0" w:color="auto"/>
        <w:left w:val="none" w:sz="0" w:space="0" w:color="auto"/>
        <w:bottom w:val="none" w:sz="0" w:space="0" w:color="auto"/>
        <w:right w:val="none" w:sz="0" w:space="0" w:color="auto"/>
      </w:divBdr>
    </w:div>
    <w:div w:id="982076109">
      <w:bodyDiv w:val="1"/>
      <w:marLeft w:val="0"/>
      <w:marRight w:val="0"/>
      <w:marTop w:val="0"/>
      <w:marBottom w:val="0"/>
      <w:divBdr>
        <w:top w:val="none" w:sz="0" w:space="0" w:color="auto"/>
        <w:left w:val="none" w:sz="0" w:space="0" w:color="auto"/>
        <w:bottom w:val="none" w:sz="0" w:space="0" w:color="auto"/>
        <w:right w:val="none" w:sz="0" w:space="0" w:color="auto"/>
      </w:divBdr>
      <w:divsChild>
        <w:div w:id="1487431913">
          <w:marLeft w:val="0"/>
          <w:marRight w:val="0"/>
          <w:marTop w:val="34"/>
          <w:marBottom w:val="34"/>
          <w:divBdr>
            <w:top w:val="none" w:sz="0" w:space="0" w:color="auto"/>
            <w:left w:val="none" w:sz="0" w:space="0" w:color="auto"/>
            <w:bottom w:val="none" w:sz="0" w:space="0" w:color="auto"/>
            <w:right w:val="none" w:sz="0" w:space="0" w:color="auto"/>
          </w:divBdr>
        </w:div>
        <w:div w:id="1277058920">
          <w:marLeft w:val="0"/>
          <w:marRight w:val="0"/>
          <w:marTop w:val="0"/>
          <w:marBottom w:val="0"/>
          <w:divBdr>
            <w:top w:val="none" w:sz="0" w:space="0" w:color="auto"/>
            <w:left w:val="none" w:sz="0" w:space="0" w:color="auto"/>
            <w:bottom w:val="none" w:sz="0" w:space="0" w:color="auto"/>
            <w:right w:val="none" w:sz="0" w:space="0" w:color="auto"/>
          </w:divBdr>
        </w:div>
      </w:divsChild>
    </w:div>
    <w:div w:id="1055738919">
      <w:bodyDiv w:val="1"/>
      <w:marLeft w:val="0"/>
      <w:marRight w:val="0"/>
      <w:marTop w:val="0"/>
      <w:marBottom w:val="0"/>
      <w:divBdr>
        <w:top w:val="none" w:sz="0" w:space="0" w:color="auto"/>
        <w:left w:val="none" w:sz="0" w:space="0" w:color="auto"/>
        <w:bottom w:val="none" w:sz="0" w:space="0" w:color="auto"/>
        <w:right w:val="none" w:sz="0" w:space="0" w:color="auto"/>
      </w:divBdr>
      <w:divsChild>
        <w:div w:id="2087994200">
          <w:marLeft w:val="0"/>
          <w:marRight w:val="0"/>
          <w:marTop w:val="34"/>
          <w:marBottom w:val="34"/>
          <w:divBdr>
            <w:top w:val="none" w:sz="0" w:space="0" w:color="auto"/>
            <w:left w:val="none" w:sz="0" w:space="0" w:color="auto"/>
            <w:bottom w:val="none" w:sz="0" w:space="0" w:color="auto"/>
            <w:right w:val="none" w:sz="0" w:space="0" w:color="auto"/>
          </w:divBdr>
        </w:div>
        <w:div w:id="764230091">
          <w:marLeft w:val="0"/>
          <w:marRight w:val="0"/>
          <w:marTop w:val="0"/>
          <w:marBottom w:val="0"/>
          <w:divBdr>
            <w:top w:val="none" w:sz="0" w:space="0" w:color="auto"/>
            <w:left w:val="none" w:sz="0" w:space="0" w:color="auto"/>
            <w:bottom w:val="none" w:sz="0" w:space="0" w:color="auto"/>
            <w:right w:val="none" w:sz="0" w:space="0" w:color="auto"/>
          </w:divBdr>
        </w:div>
      </w:divsChild>
    </w:div>
    <w:div w:id="1059788599">
      <w:bodyDiv w:val="1"/>
      <w:marLeft w:val="0"/>
      <w:marRight w:val="0"/>
      <w:marTop w:val="0"/>
      <w:marBottom w:val="0"/>
      <w:divBdr>
        <w:top w:val="none" w:sz="0" w:space="0" w:color="auto"/>
        <w:left w:val="none" w:sz="0" w:space="0" w:color="auto"/>
        <w:bottom w:val="none" w:sz="0" w:space="0" w:color="auto"/>
        <w:right w:val="none" w:sz="0" w:space="0" w:color="auto"/>
      </w:divBdr>
    </w:div>
    <w:div w:id="1075130983">
      <w:bodyDiv w:val="1"/>
      <w:marLeft w:val="0"/>
      <w:marRight w:val="0"/>
      <w:marTop w:val="0"/>
      <w:marBottom w:val="0"/>
      <w:divBdr>
        <w:top w:val="none" w:sz="0" w:space="0" w:color="auto"/>
        <w:left w:val="none" w:sz="0" w:space="0" w:color="auto"/>
        <w:bottom w:val="none" w:sz="0" w:space="0" w:color="auto"/>
        <w:right w:val="none" w:sz="0" w:space="0" w:color="auto"/>
      </w:divBdr>
    </w:div>
    <w:div w:id="1140270011">
      <w:bodyDiv w:val="1"/>
      <w:marLeft w:val="0"/>
      <w:marRight w:val="0"/>
      <w:marTop w:val="0"/>
      <w:marBottom w:val="0"/>
      <w:divBdr>
        <w:top w:val="none" w:sz="0" w:space="0" w:color="auto"/>
        <w:left w:val="none" w:sz="0" w:space="0" w:color="auto"/>
        <w:bottom w:val="none" w:sz="0" w:space="0" w:color="auto"/>
        <w:right w:val="none" w:sz="0" w:space="0" w:color="auto"/>
      </w:divBdr>
    </w:div>
    <w:div w:id="1163205920">
      <w:bodyDiv w:val="1"/>
      <w:marLeft w:val="0"/>
      <w:marRight w:val="0"/>
      <w:marTop w:val="0"/>
      <w:marBottom w:val="0"/>
      <w:divBdr>
        <w:top w:val="none" w:sz="0" w:space="0" w:color="auto"/>
        <w:left w:val="none" w:sz="0" w:space="0" w:color="auto"/>
        <w:bottom w:val="none" w:sz="0" w:space="0" w:color="auto"/>
        <w:right w:val="none" w:sz="0" w:space="0" w:color="auto"/>
      </w:divBdr>
      <w:divsChild>
        <w:div w:id="1161308877">
          <w:marLeft w:val="0"/>
          <w:marRight w:val="0"/>
          <w:marTop w:val="34"/>
          <w:marBottom w:val="34"/>
          <w:divBdr>
            <w:top w:val="none" w:sz="0" w:space="0" w:color="auto"/>
            <w:left w:val="none" w:sz="0" w:space="0" w:color="auto"/>
            <w:bottom w:val="none" w:sz="0" w:space="0" w:color="auto"/>
            <w:right w:val="none" w:sz="0" w:space="0" w:color="auto"/>
          </w:divBdr>
        </w:div>
        <w:div w:id="2106026206">
          <w:marLeft w:val="0"/>
          <w:marRight w:val="0"/>
          <w:marTop w:val="0"/>
          <w:marBottom w:val="0"/>
          <w:divBdr>
            <w:top w:val="none" w:sz="0" w:space="0" w:color="auto"/>
            <w:left w:val="none" w:sz="0" w:space="0" w:color="auto"/>
            <w:bottom w:val="none" w:sz="0" w:space="0" w:color="auto"/>
            <w:right w:val="none" w:sz="0" w:space="0" w:color="auto"/>
          </w:divBdr>
        </w:div>
      </w:divsChild>
    </w:div>
    <w:div w:id="1298298342">
      <w:bodyDiv w:val="1"/>
      <w:marLeft w:val="0"/>
      <w:marRight w:val="0"/>
      <w:marTop w:val="0"/>
      <w:marBottom w:val="0"/>
      <w:divBdr>
        <w:top w:val="none" w:sz="0" w:space="0" w:color="auto"/>
        <w:left w:val="none" w:sz="0" w:space="0" w:color="auto"/>
        <w:bottom w:val="none" w:sz="0" w:space="0" w:color="auto"/>
        <w:right w:val="none" w:sz="0" w:space="0" w:color="auto"/>
      </w:divBdr>
    </w:div>
    <w:div w:id="1369724042">
      <w:bodyDiv w:val="1"/>
      <w:marLeft w:val="0"/>
      <w:marRight w:val="0"/>
      <w:marTop w:val="0"/>
      <w:marBottom w:val="0"/>
      <w:divBdr>
        <w:top w:val="none" w:sz="0" w:space="0" w:color="auto"/>
        <w:left w:val="none" w:sz="0" w:space="0" w:color="auto"/>
        <w:bottom w:val="none" w:sz="0" w:space="0" w:color="auto"/>
        <w:right w:val="none" w:sz="0" w:space="0" w:color="auto"/>
      </w:divBdr>
    </w:div>
    <w:div w:id="1515462733">
      <w:bodyDiv w:val="1"/>
      <w:marLeft w:val="0"/>
      <w:marRight w:val="0"/>
      <w:marTop w:val="0"/>
      <w:marBottom w:val="0"/>
      <w:divBdr>
        <w:top w:val="none" w:sz="0" w:space="0" w:color="auto"/>
        <w:left w:val="none" w:sz="0" w:space="0" w:color="auto"/>
        <w:bottom w:val="none" w:sz="0" w:space="0" w:color="auto"/>
        <w:right w:val="none" w:sz="0" w:space="0" w:color="auto"/>
      </w:divBdr>
    </w:div>
    <w:div w:id="1517772140">
      <w:bodyDiv w:val="1"/>
      <w:marLeft w:val="0"/>
      <w:marRight w:val="0"/>
      <w:marTop w:val="0"/>
      <w:marBottom w:val="0"/>
      <w:divBdr>
        <w:top w:val="none" w:sz="0" w:space="0" w:color="auto"/>
        <w:left w:val="none" w:sz="0" w:space="0" w:color="auto"/>
        <w:bottom w:val="none" w:sz="0" w:space="0" w:color="auto"/>
        <w:right w:val="none" w:sz="0" w:space="0" w:color="auto"/>
      </w:divBdr>
      <w:divsChild>
        <w:div w:id="854614135">
          <w:marLeft w:val="0"/>
          <w:marRight w:val="0"/>
          <w:marTop w:val="34"/>
          <w:marBottom w:val="34"/>
          <w:divBdr>
            <w:top w:val="none" w:sz="0" w:space="0" w:color="auto"/>
            <w:left w:val="none" w:sz="0" w:space="0" w:color="auto"/>
            <w:bottom w:val="none" w:sz="0" w:space="0" w:color="auto"/>
            <w:right w:val="none" w:sz="0" w:space="0" w:color="auto"/>
          </w:divBdr>
        </w:div>
        <w:div w:id="1629972666">
          <w:marLeft w:val="0"/>
          <w:marRight w:val="0"/>
          <w:marTop w:val="0"/>
          <w:marBottom w:val="0"/>
          <w:divBdr>
            <w:top w:val="none" w:sz="0" w:space="0" w:color="auto"/>
            <w:left w:val="none" w:sz="0" w:space="0" w:color="auto"/>
            <w:bottom w:val="none" w:sz="0" w:space="0" w:color="auto"/>
            <w:right w:val="none" w:sz="0" w:space="0" w:color="auto"/>
          </w:divBdr>
        </w:div>
      </w:divsChild>
    </w:div>
    <w:div w:id="1546527901">
      <w:bodyDiv w:val="1"/>
      <w:marLeft w:val="0"/>
      <w:marRight w:val="0"/>
      <w:marTop w:val="0"/>
      <w:marBottom w:val="0"/>
      <w:divBdr>
        <w:top w:val="none" w:sz="0" w:space="0" w:color="auto"/>
        <w:left w:val="none" w:sz="0" w:space="0" w:color="auto"/>
        <w:bottom w:val="none" w:sz="0" w:space="0" w:color="auto"/>
        <w:right w:val="none" w:sz="0" w:space="0" w:color="auto"/>
      </w:divBdr>
    </w:div>
    <w:div w:id="1618171618">
      <w:bodyDiv w:val="1"/>
      <w:marLeft w:val="0"/>
      <w:marRight w:val="0"/>
      <w:marTop w:val="0"/>
      <w:marBottom w:val="0"/>
      <w:divBdr>
        <w:top w:val="none" w:sz="0" w:space="0" w:color="auto"/>
        <w:left w:val="none" w:sz="0" w:space="0" w:color="auto"/>
        <w:bottom w:val="none" w:sz="0" w:space="0" w:color="auto"/>
        <w:right w:val="none" w:sz="0" w:space="0" w:color="auto"/>
      </w:divBdr>
    </w:div>
    <w:div w:id="1749226498">
      <w:bodyDiv w:val="1"/>
      <w:marLeft w:val="0"/>
      <w:marRight w:val="0"/>
      <w:marTop w:val="0"/>
      <w:marBottom w:val="0"/>
      <w:divBdr>
        <w:top w:val="none" w:sz="0" w:space="0" w:color="auto"/>
        <w:left w:val="none" w:sz="0" w:space="0" w:color="auto"/>
        <w:bottom w:val="none" w:sz="0" w:space="0" w:color="auto"/>
        <w:right w:val="none" w:sz="0" w:space="0" w:color="auto"/>
      </w:divBdr>
      <w:divsChild>
        <w:div w:id="1780679886">
          <w:marLeft w:val="0"/>
          <w:marRight w:val="0"/>
          <w:marTop w:val="34"/>
          <w:marBottom w:val="34"/>
          <w:divBdr>
            <w:top w:val="none" w:sz="0" w:space="0" w:color="auto"/>
            <w:left w:val="none" w:sz="0" w:space="0" w:color="auto"/>
            <w:bottom w:val="none" w:sz="0" w:space="0" w:color="auto"/>
            <w:right w:val="none" w:sz="0" w:space="0" w:color="auto"/>
          </w:divBdr>
        </w:div>
        <w:div w:id="1532188968">
          <w:marLeft w:val="0"/>
          <w:marRight w:val="0"/>
          <w:marTop w:val="0"/>
          <w:marBottom w:val="0"/>
          <w:divBdr>
            <w:top w:val="none" w:sz="0" w:space="0" w:color="auto"/>
            <w:left w:val="none" w:sz="0" w:space="0" w:color="auto"/>
            <w:bottom w:val="none" w:sz="0" w:space="0" w:color="auto"/>
            <w:right w:val="none" w:sz="0" w:space="0" w:color="auto"/>
          </w:divBdr>
        </w:div>
      </w:divsChild>
    </w:div>
    <w:div w:id="1868643688">
      <w:bodyDiv w:val="1"/>
      <w:marLeft w:val="0"/>
      <w:marRight w:val="0"/>
      <w:marTop w:val="0"/>
      <w:marBottom w:val="0"/>
      <w:divBdr>
        <w:top w:val="none" w:sz="0" w:space="0" w:color="auto"/>
        <w:left w:val="none" w:sz="0" w:space="0" w:color="auto"/>
        <w:bottom w:val="none" w:sz="0" w:space="0" w:color="auto"/>
        <w:right w:val="none" w:sz="0" w:space="0" w:color="auto"/>
      </w:divBdr>
    </w:div>
    <w:div w:id="1958290303">
      <w:bodyDiv w:val="1"/>
      <w:marLeft w:val="0"/>
      <w:marRight w:val="0"/>
      <w:marTop w:val="0"/>
      <w:marBottom w:val="0"/>
      <w:divBdr>
        <w:top w:val="none" w:sz="0" w:space="0" w:color="auto"/>
        <w:left w:val="none" w:sz="0" w:space="0" w:color="auto"/>
        <w:bottom w:val="none" w:sz="0" w:space="0" w:color="auto"/>
        <w:right w:val="none" w:sz="0" w:space="0" w:color="auto"/>
      </w:divBdr>
      <w:divsChild>
        <w:div w:id="73820965">
          <w:marLeft w:val="0"/>
          <w:marRight w:val="0"/>
          <w:marTop w:val="34"/>
          <w:marBottom w:val="34"/>
          <w:divBdr>
            <w:top w:val="none" w:sz="0" w:space="0" w:color="auto"/>
            <w:left w:val="none" w:sz="0" w:space="0" w:color="auto"/>
            <w:bottom w:val="none" w:sz="0" w:space="0" w:color="auto"/>
            <w:right w:val="none" w:sz="0" w:space="0" w:color="auto"/>
          </w:divBdr>
        </w:div>
        <w:div w:id="72245885">
          <w:marLeft w:val="0"/>
          <w:marRight w:val="0"/>
          <w:marTop w:val="0"/>
          <w:marBottom w:val="0"/>
          <w:divBdr>
            <w:top w:val="none" w:sz="0" w:space="0" w:color="auto"/>
            <w:left w:val="none" w:sz="0" w:space="0" w:color="auto"/>
            <w:bottom w:val="none" w:sz="0" w:space="0" w:color="auto"/>
            <w:right w:val="none" w:sz="0" w:space="0" w:color="auto"/>
          </w:divBdr>
        </w:div>
      </w:divsChild>
    </w:div>
    <w:div w:id="1981572950">
      <w:bodyDiv w:val="1"/>
      <w:marLeft w:val="0"/>
      <w:marRight w:val="0"/>
      <w:marTop w:val="0"/>
      <w:marBottom w:val="0"/>
      <w:divBdr>
        <w:top w:val="none" w:sz="0" w:space="0" w:color="auto"/>
        <w:left w:val="none" w:sz="0" w:space="0" w:color="auto"/>
        <w:bottom w:val="none" w:sz="0" w:space="0" w:color="auto"/>
        <w:right w:val="none" w:sz="0" w:space="0" w:color="auto"/>
      </w:divBdr>
    </w:div>
    <w:div w:id="1993562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theme" Target="theme/theme1.xml"/><Relationship Id="rId30" Type="http://schemas.microsoft.com/office/2011/relationships/commentsExtended" Target="commentsExtended.xml"/><Relationship Id="rId31" Type="http://schemas.microsoft.com/office/2011/relationships/people" Target="people.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tiff"/><Relationship Id="rId18" Type="http://schemas.openxmlformats.org/officeDocument/2006/relationships/image" Target="media/image5.tiff"/><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A79D5A-C3E7-8A4F-B608-1E2D6C2E75F5}" type="doc">
      <dgm:prSet loTypeId="urn:microsoft.com/office/officeart/2005/8/layout/hierarchy6" loCatId="" qsTypeId="urn:microsoft.com/office/officeart/2005/8/quickstyle/simple1" qsCatId="simple" csTypeId="urn:microsoft.com/office/officeart/2005/8/colors/accent1_2" csCatId="accent1" phldr="1"/>
      <dgm:spPr/>
      <dgm:t>
        <a:bodyPr/>
        <a:lstStyle/>
        <a:p>
          <a:endParaRPr lang="en-US"/>
        </a:p>
      </dgm:t>
    </dgm:pt>
    <dgm:pt modelId="{C75975DE-960E-C445-8519-D9503C7D7AA9}">
      <dgm:prSet phldrT="[Text]" custT="1"/>
      <dgm:spPr>
        <a:solidFill>
          <a:schemeClr val="bg1"/>
        </a:solidFill>
        <a:ln>
          <a:solidFill>
            <a:schemeClr val="tx1"/>
          </a:solidFill>
        </a:ln>
      </dgm:spPr>
      <dgm:t>
        <a:bodyPr/>
        <a:lstStyle/>
        <a:p>
          <a:pPr algn="ctr"/>
          <a:r>
            <a:rPr lang="en-US" sz="1000" dirty="0" smtClean="0">
              <a:solidFill>
                <a:schemeClr val="tx1"/>
              </a:solidFill>
              <a:latin typeface="Arial" pitchFamily="34" charset="0"/>
              <a:cs typeface="Arial" pitchFamily="34" charset="0"/>
            </a:rPr>
            <a:t>Total patients</a:t>
          </a:r>
        </a:p>
        <a:p>
          <a:pPr algn="ctr"/>
          <a:r>
            <a:rPr lang="en-US" sz="1000" dirty="0" smtClean="0">
              <a:solidFill>
                <a:schemeClr val="tx1"/>
              </a:solidFill>
              <a:latin typeface="Arial" pitchFamily="34" charset="0"/>
              <a:cs typeface="Arial" pitchFamily="34" charset="0"/>
            </a:rPr>
            <a:t>(n = 313)</a:t>
          </a:r>
          <a:endParaRPr lang="en-US" sz="1000" dirty="0">
            <a:solidFill>
              <a:schemeClr val="tx1"/>
            </a:solidFill>
            <a:latin typeface="Arial" pitchFamily="34" charset="0"/>
            <a:cs typeface="Arial" pitchFamily="34" charset="0"/>
          </a:endParaRPr>
        </a:p>
      </dgm:t>
    </dgm:pt>
    <dgm:pt modelId="{EC73E2D4-17DE-6D44-8A9F-B6389E41DC04}" type="parTrans" cxnId="{289D31BC-33F8-804B-8A6E-D01F40974C28}">
      <dgm:prSet/>
      <dgm:spPr/>
      <dgm:t>
        <a:bodyPr/>
        <a:lstStyle/>
        <a:p>
          <a:pPr algn="ctr"/>
          <a:endParaRPr lang="en-US" sz="1300">
            <a:solidFill>
              <a:schemeClr val="tx1"/>
            </a:solidFill>
            <a:latin typeface="Arial" pitchFamily="34" charset="0"/>
            <a:cs typeface="Arial" pitchFamily="34" charset="0"/>
          </a:endParaRPr>
        </a:p>
      </dgm:t>
    </dgm:pt>
    <dgm:pt modelId="{A9BCAB4D-A57D-4F41-B666-E331441FA06B}" type="sibTrans" cxnId="{289D31BC-33F8-804B-8A6E-D01F40974C28}">
      <dgm:prSet/>
      <dgm:spPr/>
      <dgm:t>
        <a:bodyPr/>
        <a:lstStyle/>
        <a:p>
          <a:pPr algn="ctr"/>
          <a:endParaRPr lang="en-US" sz="1300">
            <a:solidFill>
              <a:schemeClr val="tx1"/>
            </a:solidFill>
            <a:latin typeface="Arial" pitchFamily="34" charset="0"/>
            <a:cs typeface="Arial" pitchFamily="34" charset="0"/>
          </a:endParaRPr>
        </a:p>
      </dgm:t>
    </dgm:pt>
    <dgm:pt modelId="{3FA145B1-D294-694E-B708-6E2E443614FF}">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000" dirty="0" smtClean="0">
              <a:solidFill>
                <a:schemeClr val="tx1"/>
              </a:solidFill>
              <a:latin typeface="Arial" pitchFamily="34" charset="0"/>
              <a:cs typeface="Arial" pitchFamily="34" charset="0"/>
            </a:rPr>
            <a:t>Maximally dilated</a:t>
          </a:r>
        </a:p>
        <a:p>
          <a:pPr algn="ctr"/>
          <a:r>
            <a:rPr lang="en-US" sz="1000" dirty="0" smtClean="0">
              <a:solidFill>
                <a:schemeClr val="tx1"/>
              </a:solidFill>
              <a:latin typeface="Arial" pitchFamily="34" charset="0"/>
              <a:cs typeface="Arial" pitchFamily="34" charset="0"/>
            </a:rPr>
            <a:t>(n = 230)</a:t>
          </a:r>
        </a:p>
      </dgm:t>
    </dgm:pt>
    <dgm:pt modelId="{5699B9A8-8C1E-AD4C-BFF7-F12E8F326561}" type="parTrans" cxnId="{0F73C854-6052-8B42-980B-EE29BCE80216}">
      <dgm:prSet>
        <dgm:style>
          <a:lnRef idx="1">
            <a:schemeClr val="dk1"/>
          </a:lnRef>
          <a:fillRef idx="0">
            <a:schemeClr val="dk1"/>
          </a:fillRef>
          <a:effectRef idx="0">
            <a:schemeClr val="dk1"/>
          </a:effectRef>
          <a:fontRef idx="minor">
            <a:schemeClr val="tx1"/>
          </a:fontRef>
        </dgm:style>
      </dgm:prSet>
      <dgm:spPr/>
      <dgm:t>
        <a:bodyPr/>
        <a:lstStyle/>
        <a:p>
          <a:pPr algn="ctr"/>
          <a:endParaRPr lang="en-US" sz="1300">
            <a:solidFill>
              <a:schemeClr val="tx1"/>
            </a:solidFill>
            <a:latin typeface="Arial" pitchFamily="34" charset="0"/>
            <a:cs typeface="Arial" pitchFamily="34" charset="0"/>
          </a:endParaRPr>
        </a:p>
      </dgm:t>
    </dgm:pt>
    <dgm:pt modelId="{0D31976A-2703-3845-942E-EA605ADD8412}" type="sibTrans" cxnId="{0F73C854-6052-8B42-980B-EE29BCE80216}">
      <dgm:prSet/>
      <dgm:spPr/>
      <dgm:t>
        <a:bodyPr/>
        <a:lstStyle/>
        <a:p>
          <a:pPr algn="ctr"/>
          <a:endParaRPr lang="en-US" sz="1300">
            <a:solidFill>
              <a:schemeClr val="tx1"/>
            </a:solidFill>
            <a:latin typeface="Arial" pitchFamily="34" charset="0"/>
            <a:cs typeface="Arial" pitchFamily="34" charset="0"/>
          </a:endParaRPr>
        </a:p>
      </dgm:t>
    </dgm:pt>
    <dgm:pt modelId="{64FC5B76-DF37-6949-84D4-42539B3FC0CE}">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000" dirty="0" smtClean="0">
              <a:solidFill>
                <a:schemeClr val="tx1"/>
              </a:solidFill>
              <a:latin typeface="Arial" pitchFamily="34" charset="0"/>
              <a:cs typeface="Arial" pitchFamily="34" charset="0"/>
            </a:rPr>
            <a:t>Sub-maximally dilated</a:t>
          </a:r>
        </a:p>
        <a:p>
          <a:pPr algn="ctr"/>
          <a:r>
            <a:rPr lang="en-US" sz="1000" dirty="0" smtClean="0">
              <a:solidFill>
                <a:schemeClr val="tx1"/>
              </a:solidFill>
              <a:latin typeface="Arial" pitchFamily="34" charset="0"/>
              <a:cs typeface="Arial" pitchFamily="34" charset="0"/>
            </a:rPr>
            <a:t>(n = 43)</a:t>
          </a:r>
          <a:endParaRPr lang="en-US" sz="1000" dirty="0">
            <a:solidFill>
              <a:schemeClr val="tx1"/>
            </a:solidFill>
            <a:latin typeface="Arial" pitchFamily="34" charset="0"/>
            <a:cs typeface="Arial" pitchFamily="34" charset="0"/>
          </a:endParaRPr>
        </a:p>
      </dgm:t>
    </dgm:pt>
    <dgm:pt modelId="{50B7137B-8714-7A44-816E-EEE3EA081D1A}" type="parTrans" cxnId="{B5F822B0-AAAE-E143-A909-BFCC0DC10A4C}">
      <dgm:prSet>
        <dgm:style>
          <a:lnRef idx="1">
            <a:schemeClr val="dk1"/>
          </a:lnRef>
          <a:fillRef idx="0">
            <a:schemeClr val="dk1"/>
          </a:fillRef>
          <a:effectRef idx="0">
            <a:schemeClr val="dk1"/>
          </a:effectRef>
          <a:fontRef idx="minor">
            <a:schemeClr val="tx1"/>
          </a:fontRef>
        </dgm:style>
      </dgm:prSet>
      <dgm:spPr/>
      <dgm:t>
        <a:bodyPr/>
        <a:lstStyle/>
        <a:p>
          <a:pPr algn="ctr"/>
          <a:endParaRPr lang="en-US" sz="1300">
            <a:solidFill>
              <a:schemeClr val="tx1"/>
            </a:solidFill>
            <a:latin typeface="Arial" pitchFamily="34" charset="0"/>
            <a:cs typeface="Arial" pitchFamily="34" charset="0"/>
          </a:endParaRPr>
        </a:p>
      </dgm:t>
    </dgm:pt>
    <dgm:pt modelId="{22E678EE-64AF-6A41-B1A6-6CE90D68034C}" type="sibTrans" cxnId="{B5F822B0-AAAE-E143-A909-BFCC0DC10A4C}">
      <dgm:prSet/>
      <dgm:spPr/>
      <dgm:t>
        <a:bodyPr/>
        <a:lstStyle/>
        <a:p>
          <a:pPr algn="ctr"/>
          <a:endParaRPr lang="en-US" sz="1300">
            <a:solidFill>
              <a:schemeClr val="tx1"/>
            </a:solidFill>
            <a:latin typeface="Arial" pitchFamily="34" charset="0"/>
            <a:cs typeface="Arial" pitchFamily="34" charset="0"/>
          </a:endParaRPr>
        </a:p>
      </dgm:t>
    </dgm:pt>
    <dgm:pt modelId="{4CCFDF47-2D8C-8540-9CED-2EFB8B010508}">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000" dirty="0" smtClean="0">
              <a:solidFill>
                <a:schemeClr val="tx1"/>
              </a:solidFill>
              <a:latin typeface="Arial" pitchFamily="34" charset="0"/>
              <a:cs typeface="Arial" pitchFamily="34" charset="0"/>
            </a:rPr>
            <a:t>No CT follow-up</a:t>
          </a:r>
        </a:p>
        <a:p>
          <a:pPr algn="ctr"/>
          <a:r>
            <a:rPr lang="en-US" sz="1000" dirty="0" smtClean="0">
              <a:solidFill>
                <a:schemeClr val="tx1"/>
              </a:solidFill>
              <a:latin typeface="Arial" pitchFamily="34" charset="0"/>
              <a:cs typeface="Arial" pitchFamily="34" charset="0"/>
            </a:rPr>
            <a:t>(n = 29)</a:t>
          </a:r>
          <a:endParaRPr lang="en-US" sz="1000" dirty="0">
            <a:solidFill>
              <a:schemeClr val="tx1"/>
            </a:solidFill>
            <a:latin typeface="Arial" pitchFamily="34" charset="0"/>
            <a:cs typeface="Arial" pitchFamily="34" charset="0"/>
          </a:endParaRPr>
        </a:p>
      </dgm:t>
    </dgm:pt>
    <dgm:pt modelId="{EEFEB9CE-291A-514C-85EB-8E527003DD5A}" type="parTrans" cxnId="{8B66D70B-440C-5342-89A9-61E097860CEF}">
      <dgm:prSet>
        <dgm:style>
          <a:lnRef idx="1">
            <a:schemeClr val="dk1"/>
          </a:lnRef>
          <a:fillRef idx="0">
            <a:schemeClr val="dk1"/>
          </a:fillRef>
          <a:effectRef idx="0">
            <a:schemeClr val="dk1"/>
          </a:effectRef>
          <a:fontRef idx="minor">
            <a:schemeClr val="tx1"/>
          </a:fontRef>
        </dgm:style>
      </dgm:prSet>
      <dgm:spPr/>
      <dgm:t>
        <a:bodyPr/>
        <a:lstStyle/>
        <a:p>
          <a:pPr algn="ctr"/>
          <a:endParaRPr lang="en-US" sz="1300">
            <a:solidFill>
              <a:schemeClr val="tx1"/>
            </a:solidFill>
            <a:latin typeface="Arial" pitchFamily="34" charset="0"/>
            <a:cs typeface="Arial" pitchFamily="34" charset="0"/>
          </a:endParaRPr>
        </a:p>
      </dgm:t>
    </dgm:pt>
    <dgm:pt modelId="{A5DECA0F-5A53-0441-80F2-84876FA9F79E}" type="sibTrans" cxnId="{8B66D70B-440C-5342-89A9-61E097860CEF}">
      <dgm:prSet/>
      <dgm:spPr/>
      <dgm:t>
        <a:bodyPr/>
        <a:lstStyle/>
        <a:p>
          <a:pPr algn="ctr"/>
          <a:endParaRPr lang="en-US" sz="1300">
            <a:solidFill>
              <a:schemeClr val="tx1"/>
            </a:solidFill>
            <a:latin typeface="Arial" pitchFamily="34" charset="0"/>
            <a:cs typeface="Arial" pitchFamily="34" charset="0"/>
          </a:endParaRPr>
        </a:p>
      </dgm:t>
    </dgm:pt>
    <dgm:pt modelId="{8D30426B-68C5-8A41-88E1-15440B66116E}">
      <dgm:prSet phldrT="[Text]" custT="1"/>
      <dgm:spPr>
        <a:noFill/>
        <a:ln>
          <a:solidFill>
            <a:schemeClr val="tx1"/>
          </a:solidFill>
        </a:ln>
      </dgm:spPr>
      <dgm:t>
        <a:bodyPr/>
        <a:lstStyle/>
        <a:p>
          <a:pPr algn="ctr"/>
          <a:r>
            <a:rPr lang="en-US" sz="1000" dirty="0" smtClean="0">
              <a:solidFill>
                <a:schemeClr val="tx1"/>
              </a:solidFill>
              <a:latin typeface="Arial" pitchFamily="34" charset="0"/>
              <a:cs typeface="Arial" pitchFamily="34" charset="0"/>
            </a:rPr>
            <a:t>Excluded</a:t>
          </a:r>
        </a:p>
        <a:p>
          <a:pPr algn="ctr"/>
          <a:r>
            <a:rPr lang="en-US" sz="1000" dirty="0" smtClean="0">
              <a:solidFill>
                <a:schemeClr val="tx1"/>
              </a:solidFill>
              <a:latin typeface="Arial" pitchFamily="34" charset="0"/>
              <a:cs typeface="Arial" pitchFamily="34" charset="0"/>
            </a:rPr>
            <a:t>(n = 40)</a:t>
          </a:r>
          <a:endParaRPr lang="en-US" sz="1000" dirty="0">
            <a:solidFill>
              <a:schemeClr val="tx1"/>
            </a:solidFill>
            <a:latin typeface="Arial" pitchFamily="34" charset="0"/>
            <a:cs typeface="Arial" pitchFamily="34" charset="0"/>
          </a:endParaRPr>
        </a:p>
      </dgm:t>
    </dgm:pt>
    <dgm:pt modelId="{2F532DAE-9023-864E-ABC3-62C5A9C7AB6E}" type="parTrans" cxnId="{19B7D0C1-1F51-114E-9D83-B48048101C75}">
      <dgm:prSet>
        <dgm:style>
          <a:lnRef idx="1">
            <a:schemeClr val="dk1"/>
          </a:lnRef>
          <a:fillRef idx="0">
            <a:schemeClr val="dk1"/>
          </a:fillRef>
          <a:effectRef idx="0">
            <a:schemeClr val="dk1"/>
          </a:effectRef>
          <a:fontRef idx="minor">
            <a:schemeClr val="tx1"/>
          </a:fontRef>
        </dgm:style>
      </dgm:prSet>
      <dgm:spPr/>
      <dgm:t>
        <a:bodyPr/>
        <a:lstStyle/>
        <a:p>
          <a:pPr algn="ctr"/>
          <a:endParaRPr lang="en-US" sz="1300">
            <a:solidFill>
              <a:schemeClr val="tx1"/>
            </a:solidFill>
            <a:latin typeface="Arial" pitchFamily="34" charset="0"/>
            <a:cs typeface="Arial" pitchFamily="34" charset="0"/>
          </a:endParaRPr>
        </a:p>
      </dgm:t>
    </dgm:pt>
    <dgm:pt modelId="{86D8A3BA-781D-5A4D-86B1-F6AD411EFAA9}" type="sibTrans" cxnId="{19B7D0C1-1F51-114E-9D83-B48048101C75}">
      <dgm:prSet/>
      <dgm:spPr/>
      <dgm:t>
        <a:bodyPr/>
        <a:lstStyle/>
        <a:p>
          <a:pPr algn="ctr"/>
          <a:endParaRPr lang="en-US" sz="1300">
            <a:solidFill>
              <a:schemeClr val="tx1"/>
            </a:solidFill>
            <a:latin typeface="Arial" pitchFamily="34" charset="0"/>
            <a:cs typeface="Arial" pitchFamily="34" charset="0"/>
          </a:endParaRPr>
        </a:p>
      </dgm:t>
    </dgm:pt>
    <dgm:pt modelId="{708F03C4-1FB1-EB4C-903F-1A6A4BBC18D4}">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000" dirty="0" smtClean="0">
              <a:solidFill>
                <a:schemeClr val="tx1"/>
              </a:solidFill>
              <a:latin typeface="Arial" pitchFamily="34" charset="0"/>
              <a:cs typeface="Arial" pitchFamily="34" charset="0"/>
            </a:rPr>
            <a:t>&lt; 6 months</a:t>
          </a:r>
        </a:p>
        <a:p>
          <a:pPr algn="ctr"/>
          <a:r>
            <a:rPr lang="en-US" sz="1000" dirty="0" smtClean="0">
              <a:solidFill>
                <a:schemeClr val="tx1"/>
              </a:solidFill>
              <a:latin typeface="Arial" pitchFamily="34" charset="0"/>
              <a:cs typeface="Arial" pitchFamily="34" charset="0"/>
            </a:rPr>
            <a:t>(n = 7)</a:t>
          </a:r>
          <a:endParaRPr lang="en-US" sz="1000" dirty="0">
            <a:solidFill>
              <a:schemeClr val="tx1"/>
            </a:solidFill>
            <a:latin typeface="Arial" pitchFamily="34" charset="0"/>
            <a:cs typeface="Arial" pitchFamily="34" charset="0"/>
          </a:endParaRPr>
        </a:p>
      </dgm:t>
    </dgm:pt>
    <dgm:pt modelId="{07377A72-5108-B345-BE8E-2A2378A0CE6D}" type="parTrans" cxnId="{87914182-2DAA-F84B-8AEF-A87E3279E347}">
      <dgm:prSet>
        <dgm:style>
          <a:lnRef idx="1">
            <a:schemeClr val="dk1"/>
          </a:lnRef>
          <a:fillRef idx="0">
            <a:schemeClr val="dk1"/>
          </a:fillRef>
          <a:effectRef idx="0">
            <a:schemeClr val="dk1"/>
          </a:effectRef>
          <a:fontRef idx="minor">
            <a:schemeClr val="tx1"/>
          </a:fontRef>
        </dgm:style>
      </dgm:prSet>
      <dgm:spPr/>
      <dgm:t>
        <a:bodyPr/>
        <a:lstStyle/>
        <a:p>
          <a:pPr algn="ctr"/>
          <a:endParaRPr lang="en-US" sz="1300">
            <a:solidFill>
              <a:schemeClr val="tx1"/>
            </a:solidFill>
            <a:latin typeface="Arial" pitchFamily="34" charset="0"/>
            <a:cs typeface="Arial" pitchFamily="34" charset="0"/>
          </a:endParaRPr>
        </a:p>
      </dgm:t>
    </dgm:pt>
    <dgm:pt modelId="{3EBEDDA0-DE7E-A249-822A-31D14DCEB1E7}" type="sibTrans" cxnId="{87914182-2DAA-F84B-8AEF-A87E3279E347}">
      <dgm:prSet/>
      <dgm:spPr/>
      <dgm:t>
        <a:bodyPr/>
        <a:lstStyle/>
        <a:p>
          <a:pPr algn="ctr"/>
          <a:endParaRPr lang="en-US" sz="1300">
            <a:solidFill>
              <a:schemeClr val="tx1"/>
            </a:solidFill>
            <a:latin typeface="Arial" pitchFamily="34" charset="0"/>
            <a:cs typeface="Arial" pitchFamily="34" charset="0"/>
          </a:endParaRPr>
        </a:p>
      </dgm:t>
    </dgm:pt>
    <dgm:pt modelId="{0550CE4A-B691-DE41-8D3B-C851E9F8A768}">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000" dirty="0" smtClean="0">
              <a:solidFill>
                <a:schemeClr val="tx1"/>
              </a:solidFill>
              <a:latin typeface="Arial" pitchFamily="34" charset="0"/>
              <a:cs typeface="Arial" pitchFamily="34" charset="0"/>
            </a:rPr>
            <a:t>&gt; 6 months</a:t>
          </a:r>
        </a:p>
        <a:p>
          <a:pPr algn="ctr"/>
          <a:r>
            <a:rPr lang="en-US" sz="1000" dirty="0" smtClean="0">
              <a:solidFill>
                <a:schemeClr val="tx1"/>
              </a:solidFill>
              <a:latin typeface="Arial" pitchFamily="34" charset="0"/>
              <a:cs typeface="Arial" pitchFamily="34" charset="0"/>
            </a:rPr>
            <a:t>(n = 7)</a:t>
          </a:r>
          <a:endParaRPr lang="en-US" sz="1000" dirty="0">
            <a:solidFill>
              <a:schemeClr val="tx1"/>
            </a:solidFill>
            <a:latin typeface="Arial" pitchFamily="34" charset="0"/>
            <a:cs typeface="Arial" pitchFamily="34" charset="0"/>
          </a:endParaRPr>
        </a:p>
      </dgm:t>
    </dgm:pt>
    <dgm:pt modelId="{A28DA73B-AF16-B449-98BA-45F6413397F8}" type="parTrans" cxnId="{896E4F3C-67EA-FE41-A8BA-D813612E1B97}">
      <dgm:prSet>
        <dgm:style>
          <a:lnRef idx="1">
            <a:schemeClr val="dk1"/>
          </a:lnRef>
          <a:fillRef idx="0">
            <a:schemeClr val="dk1"/>
          </a:fillRef>
          <a:effectRef idx="0">
            <a:schemeClr val="dk1"/>
          </a:effectRef>
          <a:fontRef idx="minor">
            <a:schemeClr val="tx1"/>
          </a:fontRef>
        </dgm:style>
      </dgm:prSet>
      <dgm:spPr/>
      <dgm:t>
        <a:bodyPr/>
        <a:lstStyle/>
        <a:p>
          <a:pPr algn="ctr"/>
          <a:endParaRPr lang="en-US" sz="1300">
            <a:solidFill>
              <a:schemeClr val="tx1"/>
            </a:solidFill>
            <a:latin typeface="Arial" pitchFamily="34" charset="0"/>
            <a:cs typeface="Arial" pitchFamily="34" charset="0"/>
          </a:endParaRPr>
        </a:p>
      </dgm:t>
    </dgm:pt>
    <dgm:pt modelId="{0F3F464A-F76C-F84C-8328-F29396C6DB52}" type="sibTrans" cxnId="{896E4F3C-67EA-FE41-A8BA-D813612E1B97}">
      <dgm:prSet/>
      <dgm:spPr/>
      <dgm:t>
        <a:bodyPr/>
        <a:lstStyle/>
        <a:p>
          <a:pPr algn="ctr"/>
          <a:endParaRPr lang="en-US" sz="1300">
            <a:solidFill>
              <a:schemeClr val="tx1"/>
            </a:solidFill>
            <a:latin typeface="Arial" pitchFamily="34" charset="0"/>
            <a:cs typeface="Arial" pitchFamily="34" charset="0"/>
          </a:endParaRPr>
        </a:p>
      </dgm:t>
    </dgm:pt>
    <dgm:pt modelId="{BAD2F154-FFE3-3F42-9E24-5791F0D11833}">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000" dirty="0" smtClean="0">
              <a:solidFill>
                <a:schemeClr val="tx1"/>
              </a:solidFill>
              <a:latin typeface="Arial" pitchFamily="34" charset="0"/>
              <a:cs typeface="Arial" pitchFamily="34" charset="0"/>
            </a:rPr>
            <a:t>CT follow-up</a:t>
          </a:r>
        </a:p>
        <a:p>
          <a:pPr algn="ctr"/>
          <a:r>
            <a:rPr lang="en-US" sz="1000" dirty="0" smtClean="0">
              <a:solidFill>
                <a:schemeClr val="tx1"/>
              </a:solidFill>
              <a:latin typeface="Arial" pitchFamily="34" charset="0"/>
              <a:cs typeface="Arial" pitchFamily="34" charset="0"/>
            </a:rPr>
            <a:t>(n = 14)</a:t>
          </a:r>
          <a:endParaRPr lang="en-US" sz="1000" dirty="0">
            <a:solidFill>
              <a:schemeClr val="tx1"/>
            </a:solidFill>
            <a:latin typeface="Arial" pitchFamily="34" charset="0"/>
            <a:cs typeface="Arial" pitchFamily="34" charset="0"/>
          </a:endParaRPr>
        </a:p>
      </dgm:t>
    </dgm:pt>
    <dgm:pt modelId="{8167A223-53A9-2248-88AF-4E77662BC90E}" type="parTrans" cxnId="{B97700DE-918A-6C48-A1BC-E2C896991E2D}">
      <dgm:prSet>
        <dgm:style>
          <a:lnRef idx="1">
            <a:schemeClr val="dk1"/>
          </a:lnRef>
          <a:fillRef idx="0">
            <a:schemeClr val="dk1"/>
          </a:fillRef>
          <a:effectRef idx="0">
            <a:schemeClr val="dk1"/>
          </a:effectRef>
          <a:fontRef idx="minor">
            <a:schemeClr val="tx1"/>
          </a:fontRef>
        </dgm:style>
      </dgm:prSet>
      <dgm:spPr/>
      <dgm:t>
        <a:bodyPr/>
        <a:lstStyle/>
        <a:p>
          <a:pPr algn="ctr"/>
          <a:endParaRPr lang="en-US" sz="1300">
            <a:solidFill>
              <a:schemeClr val="tx1"/>
            </a:solidFill>
            <a:latin typeface="Arial" pitchFamily="34" charset="0"/>
            <a:cs typeface="Arial" pitchFamily="34" charset="0"/>
          </a:endParaRPr>
        </a:p>
      </dgm:t>
    </dgm:pt>
    <dgm:pt modelId="{865E2E23-FEE3-8544-8DB8-591E4F2E7F7A}" type="sibTrans" cxnId="{B97700DE-918A-6C48-A1BC-E2C896991E2D}">
      <dgm:prSet/>
      <dgm:spPr/>
      <dgm:t>
        <a:bodyPr/>
        <a:lstStyle/>
        <a:p>
          <a:pPr algn="ctr"/>
          <a:endParaRPr lang="en-US" sz="1300">
            <a:solidFill>
              <a:schemeClr val="tx1"/>
            </a:solidFill>
            <a:latin typeface="Arial" pitchFamily="34" charset="0"/>
            <a:cs typeface="Arial" pitchFamily="34" charset="0"/>
          </a:endParaRPr>
        </a:p>
      </dgm:t>
    </dgm:pt>
    <dgm:pt modelId="{026876B1-16CC-FB4E-824C-3BA1216DBC80}">
      <dgm:prSet phldrT="[Text]" custT="1">
        <dgm:style>
          <a:lnRef idx="2">
            <a:schemeClr val="dk1"/>
          </a:lnRef>
          <a:fillRef idx="1">
            <a:schemeClr val="lt1"/>
          </a:fillRef>
          <a:effectRef idx="0">
            <a:schemeClr val="dk1"/>
          </a:effectRef>
          <a:fontRef idx="minor">
            <a:schemeClr val="dk1"/>
          </a:fontRef>
        </dgm:style>
      </dgm:prSet>
      <dgm:spPr/>
      <dgm:t>
        <a:bodyPr/>
        <a:lstStyle/>
        <a:p>
          <a:r>
            <a:rPr lang="en-US" sz="1000" dirty="0" smtClean="0">
              <a:solidFill>
                <a:schemeClr val="tx1"/>
              </a:solidFill>
              <a:latin typeface="Arial" pitchFamily="34" charset="0"/>
              <a:cs typeface="Arial" pitchFamily="34" charset="0"/>
            </a:rPr>
            <a:t>Not 10 mm diameter</a:t>
          </a:r>
        </a:p>
        <a:p>
          <a:r>
            <a:rPr lang="en-US" sz="1000" dirty="0" smtClean="0">
              <a:solidFill>
                <a:schemeClr val="tx1"/>
              </a:solidFill>
              <a:latin typeface="Arial" pitchFamily="34" charset="0"/>
              <a:cs typeface="Arial" pitchFamily="34" charset="0"/>
            </a:rPr>
            <a:t>(n = 11)</a:t>
          </a:r>
        </a:p>
      </dgm:t>
    </dgm:pt>
    <dgm:pt modelId="{97B11609-927E-F746-9B8A-9E5FDD99F330}" type="parTrans" cxnId="{7F49D26F-6BA1-6E42-BA8D-6463C3F6B198}">
      <dgm:prSet/>
      <dgm:spPr>
        <a:ln w="3175" cmpd="sng">
          <a:solidFill>
            <a:schemeClr val="tx1"/>
          </a:solidFill>
        </a:ln>
      </dgm:spPr>
      <dgm:t>
        <a:bodyPr/>
        <a:lstStyle/>
        <a:p>
          <a:endParaRPr lang="en-US"/>
        </a:p>
      </dgm:t>
    </dgm:pt>
    <dgm:pt modelId="{78567228-F7FE-2F44-B611-CAF8C7859190}" type="sibTrans" cxnId="{7F49D26F-6BA1-6E42-BA8D-6463C3F6B198}">
      <dgm:prSet/>
      <dgm:spPr/>
      <dgm:t>
        <a:bodyPr/>
        <a:lstStyle/>
        <a:p>
          <a:endParaRPr lang="en-US"/>
        </a:p>
      </dgm:t>
    </dgm:pt>
    <dgm:pt modelId="{3742D77A-6ED7-0547-9B2B-78504B09B8B7}">
      <dgm:prSet phldrT="[Text]" custT="1">
        <dgm:style>
          <a:lnRef idx="2">
            <a:schemeClr val="dk1"/>
          </a:lnRef>
          <a:fillRef idx="1">
            <a:schemeClr val="lt1"/>
          </a:fillRef>
          <a:effectRef idx="0">
            <a:schemeClr val="dk1"/>
          </a:effectRef>
          <a:fontRef idx="minor">
            <a:schemeClr val="dk1"/>
          </a:fontRef>
        </dgm:style>
      </dgm:prSet>
      <dgm:spPr/>
      <dgm:t>
        <a:bodyPr/>
        <a:lstStyle/>
        <a:p>
          <a:r>
            <a:rPr lang="en-US" sz="1000" dirty="0" smtClean="0">
              <a:solidFill>
                <a:schemeClr val="tx1"/>
              </a:solidFill>
              <a:latin typeface="Arial" pitchFamily="34" charset="0"/>
              <a:cs typeface="Arial" pitchFamily="34" charset="0"/>
            </a:rPr>
            <a:t>Unknown diameter</a:t>
          </a:r>
        </a:p>
        <a:p>
          <a:r>
            <a:rPr lang="en-US" sz="1000" dirty="0" smtClean="0">
              <a:solidFill>
                <a:schemeClr val="tx1"/>
              </a:solidFill>
              <a:latin typeface="Arial" pitchFamily="34" charset="0"/>
              <a:cs typeface="Arial" pitchFamily="34" charset="0"/>
            </a:rPr>
            <a:t>(n = 29)</a:t>
          </a:r>
        </a:p>
      </dgm:t>
    </dgm:pt>
    <dgm:pt modelId="{AA7F8EBD-4D0F-DE47-A910-D88266423398}" type="parTrans" cxnId="{8C5B2D1B-1F8C-E846-90E8-F064A7F59DFA}">
      <dgm:prSet/>
      <dgm:spPr>
        <a:noFill/>
        <a:ln w="3175" cmpd="sng">
          <a:solidFill>
            <a:schemeClr val="tx1"/>
          </a:solidFill>
        </a:ln>
      </dgm:spPr>
      <dgm:t>
        <a:bodyPr/>
        <a:lstStyle/>
        <a:p>
          <a:endParaRPr lang="en-US">
            <a:solidFill>
              <a:schemeClr val="tx1"/>
            </a:solidFill>
          </a:endParaRPr>
        </a:p>
      </dgm:t>
    </dgm:pt>
    <dgm:pt modelId="{D6CF2F44-369B-B740-A5E4-7B64EA23B49A}" type="sibTrans" cxnId="{8C5B2D1B-1F8C-E846-90E8-F064A7F59DFA}">
      <dgm:prSet/>
      <dgm:spPr/>
      <dgm:t>
        <a:bodyPr/>
        <a:lstStyle/>
        <a:p>
          <a:endParaRPr lang="en-US"/>
        </a:p>
      </dgm:t>
    </dgm:pt>
    <dgm:pt modelId="{7783F5DE-E5B3-B749-A5BA-B82D9DEF6110}" type="pres">
      <dgm:prSet presAssocID="{51A79D5A-C3E7-8A4F-B608-1E2D6C2E75F5}" presName="mainComposite" presStyleCnt="0">
        <dgm:presLayoutVars>
          <dgm:chPref val="1"/>
          <dgm:dir/>
          <dgm:animOne val="branch"/>
          <dgm:animLvl val="lvl"/>
          <dgm:resizeHandles val="exact"/>
        </dgm:presLayoutVars>
      </dgm:prSet>
      <dgm:spPr/>
      <dgm:t>
        <a:bodyPr/>
        <a:lstStyle/>
        <a:p>
          <a:endParaRPr lang="en-US"/>
        </a:p>
      </dgm:t>
    </dgm:pt>
    <dgm:pt modelId="{BF930BDA-36F4-E84E-B14C-0E9D389974D1}" type="pres">
      <dgm:prSet presAssocID="{51A79D5A-C3E7-8A4F-B608-1E2D6C2E75F5}" presName="hierFlow" presStyleCnt="0"/>
      <dgm:spPr/>
      <dgm:t>
        <a:bodyPr/>
        <a:lstStyle/>
        <a:p>
          <a:endParaRPr lang="en-US"/>
        </a:p>
      </dgm:t>
    </dgm:pt>
    <dgm:pt modelId="{14638531-B540-0C4B-9794-989974A4F455}" type="pres">
      <dgm:prSet presAssocID="{51A79D5A-C3E7-8A4F-B608-1E2D6C2E75F5}" presName="hierChild1" presStyleCnt="0">
        <dgm:presLayoutVars>
          <dgm:chPref val="1"/>
          <dgm:animOne val="branch"/>
          <dgm:animLvl val="lvl"/>
        </dgm:presLayoutVars>
      </dgm:prSet>
      <dgm:spPr/>
      <dgm:t>
        <a:bodyPr/>
        <a:lstStyle/>
        <a:p>
          <a:endParaRPr lang="en-US"/>
        </a:p>
      </dgm:t>
    </dgm:pt>
    <dgm:pt modelId="{04123B9F-DC86-7942-A5E6-DD2370D28F0C}" type="pres">
      <dgm:prSet presAssocID="{C75975DE-960E-C445-8519-D9503C7D7AA9}" presName="Name14" presStyleCnt="0"/>
      <dgm:spPr/>
      <dgm:t>
        <a:bodyPr/>
        <a:lstStyle/>
        <a:p>
          <a:endParaRPr lang="en-US"/>
        </a:p>
      </dgm:t>
    </dgm:pt>
    <dgm:pt modelId="{A73136A2-AA06-A949-9B88-834E207D578A}" type="pres">
      <dgm:prSet presAssocID="{C75975DE-960E-C445-8519-D9503C7D7AA9}" presName="level1Shape" presStyleLbl="node0" presStyleIdx="0" presStyleCnt="1" custScaleX="116641" custScaleY="86490">
        <dgm:presLayoutVars>
          <dgm:chPref val="3"/>
        </dgm:presLayoutVars>
      </dgm:prSet>
      <dgm:spPr>
        <a:prstGeom prst="rect">
          <a:avLst/>
        </a:prstGeom>
      </dgm:spPr>
      <dgm:t>
        <a:bodyPr/>
        <a:lstStyle/>
        <a:p>
          <a:endParaRPr lang="en-US"/>
        </a:p>
      </dgm:t>
    </dgm:pt>
    <dgm:pt modelId="{8F8A49AE-3124-014F-9293-3FB6E7B52598}" type="pres">
      <dgm:prSet presAssocID="{C75975DE-960E-C445-8519-D9503C7D7AA9}" presName="hierChild2" presStyleCnt="0"/>
      <dgm:spPr/>
      <dgm:t>
        <a:bodyPr/>
        <a:lstStyle/>
        <a:p>
          <a:endParaRPr lang="en-US"/>
        </a:p>
      </dgm:t>
    </dgm:pt>
    <dgm:pt modelId="{7D0E88C8-F53E-8741-AFFD-9A6EABCABBC1}" type="pres">
      <dgm:prSet presAssocID="{2F532DAE-9023-864E-ABC3-62C5A9C7AB6E}" presName="Name19" presStyleLbl="parChTrans1D2" presStyleIdx="0" presStyleCnt="3"/>
      <dgm:spPr/>
      <dgm:t>
        <a:bodyPr/>
        <a:lstStyle/>
        <a:p>
          <a:endParaRPr lang="en-US"/>
        </a:p>
      </dgm:t>
    </dgm:pt>
    <dgm:pt modelId="{D4F891C8-E669-824D-B842-6E8003EE3B75}" type="pres">
      <dgm:prSet presAssocID="{8D30426B-68C5-8A41-88E1-15440B66116E}" presName="Name21" presStyleCnt="0"/>
      <dgm:spPr/>
      <dgm:t>
        <a:bodyPr/>
        <a:lstStyle/>
        <a:p>
          <a:endParaRPr lang="en-US"/>
        </a:p>
      </dgm:t>
    </dgm:pt>
    <dgm:pt modelId="{80020BD3-C12D-9C49-AC17-263C7AFA9046}" type="pres">
      <dgm:prSet presAssocID="{8D30426B-68C5-8A41-88E1-15440B66116E}" presName="level2Shape" presStyleLbl="node2" presStyleIdx="0" presStyleCnt="3" custScaleX="116641" custScaleY="86490"/>
      <dgm:spPr>
        <a:prstGeom prst="rect">
          <a:avLst/>
        </a:prstGeom>
      </dgm:spPr>
      <dgm:t>
        <a:bodyPr/>
        <a:lstStyle/>
        <a:p>
          <a:endParaRPr lang="en-US"/>
        </a:p>
      </dgm:t>
    </dgm:pt>
    <dgm:pt modelId="{5230F3B2-C639-724A-89B9-174EA7C5BB10}" type="pres">
      <dgm:prSet presAssocID="{8D30426B-68C5-8A41-88E1-15440B66116E}" presName="hierChild3" presStyleCnt="0"/>
      <dgm:spPr/>
      <dgm:t>
        <a:bodyPr/>
        <a:lstStyle/>
        <a:p>
          <a:endParaRPr lang="en-US"/>
        </a:p>
      </dgm:t>
    </dgm:pt>
    <dgm:pt modelId="{889B7FD9-4C77-6B4F-B9D5-F2AF00119A06}" type="pres">
      <dgm:prSet presAssocID="{97B11609-927E-F746-9B8A-9E5FDD99F330}" presName="Name19" presStyleLbl="parChTrans1D3" presStyleIdx="0" presStyleCnt="4"/>
      <dgm:spPr/>
      <dgm:t>
        <a:bodyPr/>
        <a:lstStyle/>
        <a:p>
          <a:endParaRPr lang="en-US"/>
        </a:p>
      </dgm:t>
    </dgm:pt>
    <dgm:pt modelId="{F7B59F5B-F6EE-5E44-8535-5CF2AA06DBA2}" type="pres">
      <dgm:prSet presAssocID="{026876B1-16CC-FB4E-824C-3BA1216DBC80}" presName="Name21" presStyleCnt="0"/>
      <dgm:spPr/>
    </dgm:pt>
    <dgm:pt modelId="{D08D2C01-AAB5-8742-A979-1FA457BE46E1}" type="pres">
      <dgm:prSet presAssocID="{026876B1-16CC-FB4E-824C-3BA1216DBC80}" presName="level2Shape" presStyleLbl="node3" presStyleIdx="0" presStyleCnt="4" custScaleX="116641" custScaleY="86490"/>
      <dgm:spPr>
        <a:prstGeom prst="rect">
          <a:avLst/>
        </a:prstGeom>
      </dgm:spPr>
      <dgm:t>
        <a:bodyPr/>
        <a:lstStyle/>
        <a:p>
          <a:endParaRPr lang="en-US"/>
        </a:p>
      </dgm:t>
    </dgm:pt>
    <dgm:pt modelId="{66D38963-A004-1A4A-BE62-359269489919}" type="pres">
      <dgm:prSet presAssocID="{026876B1-16CC-FB4E-824C-3BA1216DBC80}" presName="hierChild3" presStyleCnt="0"/>
      <dgm:spPr/>
    </dgm:pt>
    <dgm:pt modelId="{321E4859-BC94-7649-8B44-DA361807A0AA}" type="pres">
      <dgm:prSet presAssocID="{AA7F8EBD-4D0F-DE47-A910-D88266423398}" presName="Name19" presStyleLbl="parChTrans1D3" presStyleIdx="1" presStyleCnt="4"/>
      <dgm:spPr/>
      <dgm:t>
        <a:bodyPr/>
        <a:lstStyle/>
        <a:p>
          <a:endParaRPr lang="en-US"/>
        </a:p>
      </dgm:t>
    </dgm:pt>
    <dgm:pt modelId="{800FED9B-5C5B-2643-99B0-995E93B6EE80}" type="pres">
      <dgm:prSet presAssocID="{3742D77A-6ED7-0547-9B2B-78504B09B8B7}" presName="Name21" presStyleCnt="0"/>
      <dgm:spPr/>
    </dgm:pt>
    <dgm:pt modelId="{7BC8C3BA-B783-2F4C-A78E-15B858EAE238}" type="pres">
      <dgm:prSet presAssocID="{3742D77A-6ED7-0547-9B2B-78504B09B8B7}" presName="level2Shape" presStyleLbl="node3" presStyleIdx="1" presStyleCnt="4" custScaleX="116641" custScaleY="86490"/>
      <dgm:spPr>
        <a:prstGeom prst="rect">
          <a:avLst/>
        </a:prstGeom>
      </dgm:spPr>
      <dgm:t>
        <a:bodyPr/>
        <a:lstStyle/>
        <a:p>
          <a:endParaRPr lang="en-US"/>
        </a:p>
      </dgm:t>
    </dgm:pt>
    <dgm:pt modelId="{1720CDE3-8AD8-E746-B67F-A61515393685}" type="pres">
      <dgm:prSet presAssocID="{3742D77A-6ED7-0547-9B2B-78504B09B8B7}" presName="hierChild3" presStyleCnt="0"/>
      <dgm:spPr/>
    </dgm:pt>
    <dgm:pt modelId="{E818ECD4-D63E-0142-A2E2-4584F9DFB2CF}" type="pres">
      <dgm:prSet presAssocID="{5699B9A8-8C1E-AD4C-BFF7-F12E8F326561}" presName="Name19" presStyleLbl="parChTrans1D2" presStyleIdx="1" presStyleCnt="3"/>
      <dgm:spPr/>
      <dgm:t>
        <a:bodyPr/>
        <a:lstStyle/>
        <a:p>
          <a:endParaRPr lang="en-US"/>
        </a:p>
      </dgm:t>
    </dgm:pt>
    <dgm:pt modelId="{E8259561-BAC8-F84F-9EEF-387A0749B4D3}" type="pres">
      <dgm:prSet presAssocID="{3FA145B1-D294-694E-B708-6E2E443614FF}" presName="Name21" presStyleCnt="0"/>
      <dgm:spPr/>
      <dgm:t>
        <a:bodyPr/>
        <a:lstStyle/>
        <a:p>
          <a:endParaRPr lang="en-US"/>
        </a:p>
      </dgm:t>
    </dgm:pt>
    <dgm:pt modelId="{BB483241-ACE7-4847-85D8-B2851B0A58B3}" type="pres">
      <dgm:prSet presAssocID="{3FA145B1-D294-694E-B708-6E2E443614FF}" presName="level2Shape" presStyleLbl="node2" presStyleIdx="1" presStyleCnt="3" custScaleX="116641" custScaleY="86490"/>
      <dgm:spPr>
        <a:prstGeom prst="rect">
          <a:avLst/>
        </a:prstGeom>
      </dgm:spPr>
      <dgm:t>
        <a:bodyPr/>
        <a:lstStyle/>
        <a:p>
          <a:endParaRPr lang="en-US"/>
        </a:p>
      </dgm:t>
    </dgm:pt>
    <dgm:pt modelId="{E3E3ECD6-E9AD-FC4F-BF57-A44A675D8322}" type="pres">
      <dgm:prSet presAssocID="{3FA145B1-D294-694E-B708-6E2E443614FF}" presName="hierChild3" presStyleCnt="0"/>
      <dgm:spPr/>
      <dgm:t>
        <a:bodyPr/>
        <a:lstStyle/>
        <a:p>
          <a:endParaRPr lang="en-US"/>
        </a:p>
      </dgm:t>
    </dgm:pt>
    <dgm:pt modelId="{5186DA8F-BEB2-384D-B677-A2551492DF0B}" type="pres">
      <dgm:prSet presAssocID="{50B7137B-8714-7A44-816E-EEE3EA081D1A}" presName="Name19" presStyleLbl="parChTrans1D2" presStyleIdx="2" presStyleCnt="3"/>
      <dgm:spPr/>
      <dgm:t>
        <a:bodyPr/>
        <a:lstStyle/>
        <a:p>
          <a:endParaRPr lang="en-US"/>
        </a:p>
      </dgm:t>
    </dgm:pt>
    <dgm:pt modelId="{B9FA27C3-676D-174C-9D79-82CFC9172E8F}" type="pres">
      <dgm:prSet presAssocID="{64FC5B76-DF37-6949-84D4-42539B3FC0CE}" presName="Name21" presStyleCnt="0"/>
      <dgm:spPr/>
      <dgm:t>
        <a:bodyPr/>
        <a:lstStyle/>
        <a:p>
          <a:endParaRPr lang="en-US"/>
        </a:p>
      </dgm:t>
    </dgm:pt>
    <dgm:pt modelId="{FDAABAE3-7EC5-1243-AAEB-99E07849EDAC}" type="pres">
      <dgm:prSet presAssocID="{64FC5B76-DF37-6949-84D4-42539B3FC0CE}" presName="level2Shape" presStyleLbl="node2" presStyleIdx="2" presStyleCnt="3" custScaleX="116641" custScaleY="86490"/>
      <dgm:spPr>
        <a:prstGeom prst="rect">
          <a:avLst/>
        </a:prstGeom>
      </dgm:spPr>
      <dgm:t>
        <a:bodyPr/>
        <a:lstStyle/>
        <a:p>
          <a:endParaRPr lang="en-US"/>
        </a:p>
      </dgm:t>
    </dgm:pt>
    <dgm:pt modelId="{AA6E0D15-A63B-024D-8E1E-1AD992FD40C2}" type="pres">
      <dgm:prSet presAssocID="{64FC5B76-DF37-6949-84D4-42539B3FC0CE}" presName="hierChild3" presStyleCnt="0"/>
      <dgm:spPr/>
      <dgm:t>
        <a:bodyPr/>
        <a:lstStyle/>
        <a:p>
          <a:endParaRPr lang="en-US"/>
        </a:p>
      </dgm:t>
    </dgm:pt>
    <dgm:pt modelId="{9E5C26DF-510B-0C40-88D7-5A17AC657230}" type="pres">
      <dgm:prSet presAssocID="{EEFEB9CE-291A-514C-85EB-8E527003DD5A}" presName="Name19" presStyleLbl="parChTrans1D3" presStyleIdx="2" presStyleCnt="4"/>
      <dgm:spPr/>
      <dgm:t>
        <a:bodyPr/>
        <a:lstStyle/>
        <a:p>
          <a:endParaRPr lang="en-US"/>
        </a:p>
      </dgm:t>
    </dgm:pt>
    <dgm:pt modelId="{54DB5544-AFAC-214B-A4A6-75D60B300BED}" type="pres">
      <dgm:prSet presAssocID="{4CCFDF47-2D8C-8540-9CED-2EFB8B010508}" presName="Name21" presStyleCnt="0"/>
      <dgm:spPr/>
      <dgm:t>
        <a:bodyPr/>
        <a:lstStyle/>
        <a:p>
          <a:endParaRPr lang="en-US"/>
        </a:p>
      </dgm:t>
    </dgm:pt>
    <dgm:pt modelId="{8C97B0F5-D855-1E40-9F0B-1CC07C8D1A0A}" type="pres">
      <dgm:prSet presAssocID="{4CCFDF47-2D8C-8540-9CED-2EFB8B010508}" presName="level2Shape" presStyleLbl="node3" presStyleIdx="2" presStyleCnt="4" custScaleX="116641" custScaleY="86490"/>
      <dgm:spPr>
        <a:prstGeom prst="rect">
          <a:avLst/>
        </a:prstGeom>
      </dgm:spPr>
      <dgm:t>
        <a:bodyPr/>
        <a:lstStyle/>
        <a:p>
          <a:endParaRPr lang="en-US"/>
        </a:p>
      </dgm:t>
    </dgm:pt>
    <dgm:pt modelId="{7C17C1A7-A68F-4D49-B6CC-F293CBC51282}" type="pres">
      <dgm:prSet presAssocID="{4CCFDF47-2D8C-8540-9CED-2EFB8B010508}" presName="hierChild3" presStyleCnt="0"/>
      <dgm:spPr/>
      <dgm:t>
        <a:bodyPr/>
        <a:lstStyle/>
        <a:p>
          <a:endParaRPr lang="en-US"/>
        </a:p>
      </dgm:t>
    </dgm:pt>
    <dgm:pt modelId="{24978385-7FE0-8644-A25D-E0DC8C3DB1A5}" type="pres">
      <dgm:prSet presAssocID="{8167A223-53A9-2248-88AF-4E77662BC90E}" presName="Name19" presStyleLbl="parChTrans1D3" presStyleIdx="3" presStyleCnt="4"/>
      <dgm:spPr/>
      <dgm:t>
        <a:bodyPr/>
        <a:lstStyle/>
        <a:p>
          <a:endParaRPr lang="en-US"/>
        </a:p>
      </dgm:t>
    </dgm:pt>
    <dgm:pt modelId="{3BA231AA-0496-B842-8EB4-9FCD0763A687}" type="pres">
      <dgm:prSet presAssocID="{BAD2F154-FFE3-3F42-9E24-5791F0D11833}" presName="Name21" presStyleCnt="0"/>
      <dgm:spPr/>
      <dgm:t>
        <a:bodyPr/>
        <a:lstStyle/>
        <a:p>
          <a:endParaRPr lang="en-US"/>
        </a:p>
      </dgm:t>
    </dgm:pt>
    <dgm:pt modelId="{BDE2EF21-F456-B446-8C19-3EE7978751E8}" type="pres">
      <dgm:prSet presAssocID="{BAD2F154-FFE3-3F42-9E24-5791F0D11833}" presName="level2Shape" presStyleLbl="node3" presStyleIdx="3" presStyleCnt="4" custScaleX="116641" custScaleY="86490"/>
      <dgm:spPr>
        <a:prstGeom prst="rect">
          <a:avLst/>
        </a:prstGeom>
      </dgm:spPr>
      <dgm:t>
        <a:bodyPr/>
        <a:lstStyle/>
        <a:p>
          <a:endParaRPr lang="en-US"/>
        </a:p>
      </dgm:t>
    </dgm:pt>
    <dgm:pt modelId="{1BDA6C0D-2D9E-4741-ADA7-F5C1717D3C9C}" type="pres">
      <dgm:prSet presAssocID="{BAD2F154-FFE3-3F42-9E24-5791F0D11833}" presName="hierChild3" presStyleCnt="0"/>
      <dgm:spPr/>
      <dgm:t>
        <a:bodyPr/>
        <a:lstStyle/>
        <a:p>
          <a:endParaRPr lang="en-US"/>
        </a:p>
      </dgm:t>
    </dgm:pt>
    <dgm:pt modelId="{99D791CF-806A-9943-BA4D-2031E650C055}" type="pres">
      <dgm:prSet presAssocID="{07377A72-5108-B345-BE8E-2A2378A0CE6D}" presName="Name19" presStyleLbl="parChTrans1D4" presStyleIdx="0" presStyleCnt="2"/>
      <dgm:spPr/>
      <dgm:t>
        <a:bodyPr/>
        <a:lstStyle/>
        <a:p>
          <a:endParaRPr lang="en-US"/>
        </a:p>
      </dgm:t>
    </dgm:pt>
    <dgm:pt modelId="{8355D024-7A52-3541-93DE-002001B30D6C}" type="pres">
      <dgm:prSet presAssocID="{708F03C4-1FB1-EB4C-903F-1A6A4BBC18D4}" presName="Name21" presStyleCnt="0"/>
      <dgm:spPr/>
      <dgm:t>
        <a:bodyPr/>
        <a:lstStyle/>
        <a:p>
          <a:endParaRPr lang="en-US"/>
        </a:p>
      </dgm:t>
    </dgm:pt>
    <dgm:pt modelId="{EF5563E5-8BF9-8D4F-A7B7-25BBB3E6D9ED}" type="pres">
      <dgm:prSet presAssocID="{708F03C4-1FB1-EB4C-903F-1A6A4BBC18D4}" presName="level2Shape" presStyleLbl="node4" presStyleIdx="0" presStyleCnt="2" custScaleX="116641" custScaleY="86490"/>
      <dgm:spPr>
        <a:prstGeom prst="rect">
          <a:avLst/>
        </a:prstGeom>
      </dgm:spPr>
      <dgm:t>
        <a:bodyPr/>
        <a:lstStyle/>
        <a:p>
          <a:endParaRPr lang="en-US"/>
        </a:p>
      </dgm:t>
    </dgm:pt>
    <dgm:pt modelId="{90AEAEF4-7955-6743-A308-CC9B9B2BFDC3}" type="pres">
      <dgm:prSet presAssocID="{708F03C4-1FB1-EB4C-903F-1A6A4BBC18D4}" presName="hierChild3" presStyleCnt="0"/>
      <dgm:spPr/>
      <dgm:t>
        <a:bodyPr/>
        <a:lstStyle/>
        <a:p>
          <a:endParaRPr lang="en-US"/>
        </a:p>
      </dgm:t>
    </dgm:pt>
    <dgm:pt modelId="{825BB42A-45C8-DC4D-8269-680DB5F46501}" type="pres">
      <dgm:prSet presAssocID="{A28DA73B-AF16-B449-98BA-45F6413397F8}" presName="Name19" presStyleLbl="parChTrans1D4" presStyleIdx="1" presStyleCnt="2"/>
      <dgm:spPr/>
      <dgm:t>
        <a:bodyPr/>
        <a:lstStyle/>
        <a:p>
          <a:endParaRPr lang="en-US"/>
        </a:p>
      </dgm:t>
    </dgm:pt>
    <dgm:pt modelId="{13776AB4-9822-964B-AF12-2E373246AF09}" type="pres">
      <dgm:prSet presAssocID="{0550CE4A-B691-DE41-8D3B-C851E9F8A768}" presName="Name21" presStyleCnt="0"/>
      <dgm:spPr/>
      <dgm:t>
        <a:bodyPr/>
        <a:lstStyle/>
        <a:p>
          <a:endParaRPr lang="en-US"/>
        </a:p>
      </dgm:t>
    </dgm:pt>
    <dgm:pt modelId="{BCDD1188-F0CC-0147-891D-1BA72DD268F6}" type="pres">
      <dgm:prSet presAssocID="{0550CE4A-B691-DE41-8D3B-C851E9F8A768}" presName="level2Shape" presStyleLbl="node4" presStyleIdx="1" presStyleCnt="2" custScaleX="116641" custScaleY="86490"/>
      <dgm:spPr>
        <a:prstGeom prst="rect">
          <a:avLst/>
        </a:prstGeom>
      </dgm:spPr>
      <dgm:t>
        <a:bodyPr/>
        <a:lstStyle/>
        <a:p>
          <a:endParaRPr lang="en-US"/>
        </a:p>
      </dgm:t>
    </dgm:pt>
    <dgm:pt modelId="{FB54EEC4-39A4-2E4F-8939-A9D80FAB378B}" type="pres">
      <dgm:prSet presAssocID="{0550CE4A-B691-DE41-8D3B-C851E9F8A768}" presName="hierChild3" presStyleCnt="0"/>
      <dgm:spPr/>
      <dgm:t>
        <a:bodyPr/>
        <a:lstStyle/>
        <a:p>
          <a:endParaRPr lang="en-US"/>
        </a:p>
      </dgm:t>
    </dgm:pt>
    <dgm:pt modelId="{76AE80FE-C718-494F-B695-C5265C2D878E}" type="pres">
      <dgm:prSet presAssocID="{51A79D5A-C3E7-8A4F-B608-1E2D6C2E75F5}" presName="bgShapesFlow" presStyleCnt="0"/>
      <dgm:spPr/>
      <dgm:t>
        <a:bodyPr/>
        <a:lstStyle/>
        <a:p>
          <a:endParaRPr lang="en-US"/>
        </a:p>
      </dgm:t>
    </dgm:pt>
  </dgm:ptLst>
  <dgm:cxnLst>
    <dgm:cxn modelId="{53517B28-9E54-409C-A5F3-57DAA410B5A5}" type="presOf" srcId="{EEFEB9CE-291A-514C-85EB-8E527003DD5A}" destId="{9E5C26DF-510B-0C40-88D7-5A17AC657230}" srcOrd="0" destOrd="0" presId="urn:microsoft.com/office/officeart/2005/8/layout/hierarchy6"/>
    <dgm:cxn modelId="{7F49D26F-6BA1-6E42-BA8D-6463C3F6B198}" srcId="{8D30426B-68C5-8A41-88E1-15440B66116E}" destId="{026876B1-16CC-FB4E-824C-3BA1216DBC80}" srcOrd="0" destOrd="0" parTransId="{97B11609-927E-F746-9B8A-9E5FDD99F330}" sibTransId="{78567228-F7FE-2F44-B611-CAF8C7859190}"/>
    <dgm:cxn modelId="{69E56BB7-B94D-414D-9B2F-BED38C2B4E19}" type="presOf" srcId="{4CCFDF47-2D8C-8540-9CED-2EFB8B010508}" destId="{8C97B0F5-D855-1E40-9F0B-1CC07C8D1A0A}" srcOrd="0" destOrd="0" presId="urn:microsoft.com/office/officeart/2005/8/layout/hierarchy6"/>
    <dgm:cxn modelId="{00286DD5-44A6-4BA6-B65D-55971A21BEE1}" type="presOf" srcId="{5699B9A8-8C1E-AD4C-BFF7-F12E8F326561}" destId="{E818ECD4-D63E-0142-A2E2-4584F9DFB2CF}" srcOrd="0" destOrd="0" presId="urn:microsoft.com/office/officeart/2005/8/layout/hierarchy6"/>
    <dgm:cxn modelId="{8B66D70B-440C-5342-89A9-61E097860CEF}" srcId="{64FC5B76-DF37-6949-84D4-42539B3FC0CE}" destId="{4CCFDF47-2D8C-8540-9CED-2EFB8B010508}" srcOrd="0" destOrd="0" parTransId="{EEFEB9CE-291A-514C-85EB-8E527003DD5A}" sibTransId="{A5DECA0F-5A53-0441-80F2-84876FA9F79E}"/>
    <dgm:cxn modelId="{E4C7DA15-2509-45BE-BF03-9E3AD2B0E0F0}" type="presOf" srcId="{3742D77A-6ED7-0547-9B2B-78504B09B8B7}" destId="{7BC8C3BA-B783-2F4C-A78E-15B858EAE238}" srcOrd="0" destOrd="0" presId="urn:microsoft.com/office/officeart/2005/8/layout/hierarchy6"/>
    <dgm:cxn modelId="{002F255E-6B84-4504-826F-FC913EC7941E}" type="presOf" srcId="{BAD2F154-FFE3-3F42-9E24-5791F0D11833}" destId="{BDE2EF21-F456-B446-8C19-3EE7978751E8}" srcOrd="0" destOrd="0" presId="urn:microsoft.com/office/officeart/2005/8/layout/hierarchy6"/>
    <dgm:cxn modelId="{E10298E1-D4B3-4AF9-A991-04D6FD68E292}" type="presOf" srcId="{0550CE4A-B691-DE41-8D3B-C851E9F8A768}" destId="{BCDD1188-F0CC-0147-891D-1BA72DD268F6}" srcOrd="0" destOrd="0" presId="urn:microsoft.com/office/officeart/2005/8/layout/hierarchy6"/>
    <dgm:cxn modelId="{7229684A-0C1C-4AF9-81A4-A5FBA8B98290}" type="presOf" srcId="{8D30426B-68C5-8A41-88E1-15440B66116E}" destId="{80020BD3-C12D-9C49-AC17-263C7AFA9046}" srcOrd="0" destOrd="0" presId="urn:microsoft.com/office/officeart/2005/8/layout/hierarchy6"/>
    <dgm:cxn modelId="{BB697171-C495-4138-8C49-4D97FC36A427}" type="presOf" srcId="{8167A223-53A9-2248-88AF-4E77662BC90E}" destId="{24978385-7FE0-8644-A25D-E0DC8C3DB1A5}" srcOrd="0" destOrd="0" presId="urn:microsoft.com/office/officeart/2005/8/layout/hierarchy6"/>
    <dgm:cxn modelId="{0F73C854-6052-8B42-980B-EE29BCE80216}" srcId="{C75975DE-960E-C445-8519-D9503C7D7AA9}" destId="{3FA145B1-D294-694E-B708-6E2E443614FF}" srcOrd="1" destOrd="0" parTransId="{5699B9A8-8C1E-AD4C-BFF7-F12E8F326561}" sibTransId="{0D31976A-2703-3845-942E-EA605ADD8412}"/>
    <dgm:cxn modelId="{DBC73F5C-7DB2-48ED-8D9C-264FC3B7B87B}" type="presOf" srcId="{AA7F8EBD-4D0F-DE47-A910-D88266423398}" destId="{321E4859-BC94-7649-8B44-DA361807A0AA}" srcOrd="0" destOrd="0" presId="urn:microsoft.com/office/officeart/2005/8/layout/hierarchy6"/>
    <dgm:cxn modelId="{E2B00927-98B2-4922-8214-922589E1A047}" type="presOf" srcId="{3FA145B1-D294-694E-B708-6E2E443614FF}" destId="{BB483241-ACE7-4847-85D8-B2851B0A58B3}" srcOrd="0" destOrd="0" presId="urn:microsoft.com/office/officeart/2005/8/layout/hierarchy6"/>
    <dgm:cxn modelId="{9B5AD65F-C402-4AD9-A01F-97F77EFF6F43}" type="presOf" srcId="{2F532DAE-9023-864E-ABC3-62C5A9C7AB6E}" destId="{7D0E88C8-F53E-8741-AFFD-9A6EABCABBC1}" srcOrd="0" destOrd="0" presId="urn:microsoft.com/office/officeart/2005/8/layout/hierarchy6"/>
    <dgm:cxn modelId="{896E4F3C-67EA-FE41-A8BA-D813612E1B97}" srcId="{BAD2F154-FFE3-3F42-9E24-5791F0D11833}" destId="{0550CE4A-B691-DE41-8D3B-C851E9F8A768}" srcOrd="1" destOrd="0" parTransId="{A28DA73B-AF16-B449-98BA-45F6413397F8}" sibTransId="{0F3F464A-F76C-F84C-8328-F29396C6DB52}"/>
    <dgm:cxn modelId="{048BA039-7BCE-4B93-B76D-C52BF319F3A8}" type="presOf" srcId="{97B11609-927E-F746-9B8A-9E5FDD99F330}" destId="{889B7FD9-4C77-6B4F-B9D5-F2AF00119A06}" srcOrd="0" destOrd="0" presId="urn:microsoft.com/office/officeart/2005/8/layout/hierarchy6"/>
    <dgm:cxn modelId="{F68CB163-1F6F-453E-8EDF-624ACD1409BD}" type="presOf" srcId="{51A79D5A-C3E7-8A4F-B608-1E2D6C2E75F5}" destId="{7783F5DE-E5B3-B749-A5BA-B82D9DEF6110}" srcOrd="0" destOrd="0" presId="urn:microsoft.com/office/officeart/2005/8/layout/hierarchy6"/>
    <dgm:cxn modelId="{7C596626-B10E-4B36-A995-7B75B6956064}" type="presOf" srcId="{708F03C4-1FB1-EB4C-903F-1A6A4BBC18D4}" destId="{EF5563E5-8BF9-8D4F-A7B7-25BBB3E6D9ED}" srcOrd="0" destOrd="0" presId="urn:microsoft.com/office/officeart/2005/8/layout/hierarchy6"/>
    <dgm:cxn modelId="{19B7D0C1-1F51-114E-9D83-B48048101C75}" srcId="{C75975DE-960E-C445-8519-D9503C7D7AA9}" destId="{8D30426B-68C5-8A41-88E1-15440B66116E}" srcOrd="0" destOrd="0" parTransId="{2F532DAE-9023-864E-ABC3-62C5A9C7AB6E}" sibTransId="{86D8A3BA-781D-5A4D-86B1-F6AD411EFAA9}"/>
    <dgm:cxn modelId="{87914182-2DAA-F84B-8AEF-A87E3279E347}" srcId="{BAD2F154-FFE3-3F42-9E24-5791F0D11833}" destId="{708F03C4-1FB1-EB4C-903F-1A6A4BBC18D4}" srcOrd="0" destOrd="0" parTransId="{07377A72-5108-B345-BE8E-2A2378A0CE6D}" sibTransId="{3EBEDDA0-DE7E-A249-822A-31D14DCEB1E7}"/>
    <dgm:cxn modelId="{8C5B2D1B-1F8C-E846-90E8-F064A7F59DFA}" srcId="{8D30426B-68C5-8A41-88E1-15440B66116E}" destId="{3742D77A-6ED7-0547-9B2B-78504B09B8B7}" srcOrd="1" destOrd="0" parTransId="{AA7F8EBD-4D0F-DE47-A910-D88266423398}" sibTransId="{D6CF2F44-369B-B740-A5E4-7B64EA23B49A}"/>
    <dgm:cxn modelId="{289D31BC-33F8-804B-8A6E-D01F40974C28}" srcId="{51A79D5A-C3E7-8A4F-B608-1E2D6C2E75F5}" destId="{C75975DE-960E-C445-8519-D9503C7D7AA9}" srcOrd="0" destOrd="0" parTransId="{EC73E2D4-17DE-6D44-8A9F-B6389E41DC04}" sibTransId="{A9BCAB4D-A57D-4F41-B666-E331441FA06B}"/>
    <dgm:cxn modelId="{0DE076F1-D5BF-4FAB-BDE9-E341CE7A57D5}" type="presOf" srcId="{C75975DE-960E-C445-8519-D9503C7D7AA9}" destId="{A73136A2-AA06-A949-9B88-834E207D578A}" srcOrd="0" destOrd="0" presId="urn:microsoft.com/office/officeart/2005/8/layout/hierarchy6"/>
    <dgm:cxn modelId="{D4627A16-22CF-4210-9AA2-BFBB598F8480}" type="presOf" srcId="{026876B1-16CC-FB4E-824C-3BA1216DBC80}" destId="{D08D2C01-AAB5-8742-A979-1FA457BE46E1}" srcOrd="0" destOrd="0" presId="urn:microsoft.com/office/officeart/2005/8/layout/hierarchy6"/>
    <dgm:cxn modelId="{07F86631-E05A-4C50-AD9F-B86AB99B15AA}" type="presOf" srcId="{A28DA73B-AF16-B449-98BA-45F6413397F8}" destId="{825BB42A-45C8-DC4D-8269-680DB5F46501}" srcOrd="0" destOrd="0" presId="urn:microsoft.com/office/officeart/2005/8/layout/hierarchy6"/>
    <dgm:cxn modelId="{294CBEA5-EF6C-44CC-BB9E-11E491AC6828}" type="presOf" srcId="{64FC5B76-DF37-6949-84D4-42539B3FC0CE}" destId="{FDAABAE3-7EC5-1243-AAEB-99E07849EDAC}" srcOrd="0" destOrd="0" presId="urn:microsoft.com/office/officeart/2005/8/layout/hierarchy6"/>
    <dgm:cxn modelId="{B5F822B0-AAAE-E143-A909-BFCC0DC10A4C}" srcId="{C75975DE-960E-C445-8519-D9503C7D7AA9}" destId="{64FC5B76-DF37-6949-84D4-42539B3FC0CE}" srcOrd="2" destOrd="0" parTransId="{50B7137B-8714-7A44-816E-EEE3EA081D1A}" sibTransId="{22E678EE-64AF-6A41-B1A6-6CE90D68034C}"/>
    <dgm:cxn modelId="{19183A85-C668-4284-8D97-8E956463A1CD}" type="presOf" srcId="{07377A72-5108-B345-BE8E-2A2378A0CE6D}" destId="{99D791CF-806A-9943-BA4D-2031E650C055}" srcOrd="0" destOrd="0" presId="urn:microsoft.com/office/officeart/2005/8/layout/hierarchy6"/>
    <dgm:cxn modelId="{6B836E79-5001-4CD1-991E-60D09D4791D3}" type="presOf" srcId="{50B7137B-8714-7A44-816E-EEE3EA081D1A}" destId="{5186DA8F-BEB2-384D-B677-A2551492DF0B}" srcOrd="0" destOrd="0" presId="urn:microsoft.com/office/officeart/2005/8/layout/hierarchy6"/>
    <dgm:cxn modelId="{B97700DE-918A-6C48-A1BC-E2C896991E2D}" srcId="{64FC5B76-DF37-6949-84D4-42539B3FC0CE}" destId="{BAD2F154-FFE3-3F42-9E24-5791F0D11833}" srcOrd="1" destOrd="0" parTransId="{8167A223-53A9-2248-88AF-4E77662BC90E}" sibTransId="{865E2E23-FEE3-8544-8DB8-591E4F2E7F7A}"/>
    <dgm:cxn modelId="{47B9F491-522D-4F96-8E7C-7FC18C9B3C3C}" type="presParOf" srcId="{7783F5DE-E5B3-B749-A5BA-B82D9DEF6110}" destId="{BF930BDA-36F4-E84E-B14C-0E9D389974D1}" srcOrd="0" destOrd="0" presId="urn:microsoft.com/office/officeart/2005/8/layout/hierarchy6"/>
    <dgm:cxn modelId="{01B8355C-B183-4810-9E17-E8D84A8FE2F1}" type="presParOf" srcId="{BF930BDA-36F4-E84E-B14C-0E9D389974D1}" destId="{14638531-B540-0C4B-9794-989974A4F455}" srcOrd="0" destOrd="0" presId="urn:microsoft.com/office/officeart/2005/8/layout/hierarchy6"/>
    <dgm:cxn modelId="{840B0E4C-8583-4B9B-B447-44A9E8C0EC27}" type="presParOf" srcId="{14638531-B540-0C4B-9794-989974A4F455}" destId="{04123B9F-DC86-7942-A5E6-DD2370D28F0C}" srcOrd="0" destOrd="0" presId="urn:microsoft.com/office/officeart/2005/8/layout/hierarchy6"/>
    <dgm:cxn modelId="{ED75DD7B-7BA5-4DE2-9EDF-E5A253645EFA}" type="presParOf" srcId="{04123B9F-DC86-7942-A5E6-DD2370D28F0C}" destId="{A73136A2-AA06-A949-9B88-834E207D578A}" srcOrd="0" destOrd="0" presId="urn:microsoft.com/office/officeart/2005/8/layout/hierarchy6"/>
    <dgm:cxn modelId="{27176110-D93F-40ED-836F-BA83C7DD9101}" type="presParOf" srcId="{04123B9F-DC86-7942-A5E6-DD2370D28F0C}" destId="{8F8A49AE-3124-014F-9293-3FB6E7B52598}" srcOrd="1" destOrd="0" presId="urn:microsoft.com/office/officeart/2005/8/layout/hierarchy6"/>
    <dgm:cxn modelId="{6438B4D4-3512-422D-8A02-E2BFAF2E9FB6}" type="presParOf" srcId="{8F8A49AE-3124-014F-9293-3FB6E7B52598}" destId="{7D0E88C8-F53E-8741-AFFD-9A6EABCABBC1}" srcOrd="0" destOrd="0" presId="urn:microsoft.com/office/officeart/2005/8/layout/hierarchy6"/>
    <dgm:cxn modelId="{DD234931-2439-48CD-832F-31AC04B4E3D2}" type="presParOf" srcId="{8F8A49AE-3124-014F-9293-3FB6E7B52598}" destId="{D4F891C8-E669-824D-B842-6E8003EE3B75}" srcOrd="1" destOrd="0" presId="urn:microsoft.com/office/officeart/2005/8/layout/hierarchy6"/>
    <dgm:cxn modelId="{D33DA9F6-617A-41E7-98F6-A9CA39175146}" type="presParOf" srcId="{D4F891C8-E669-824D-B842-6E8003EE3B75}" destId="{80020BD3-C12D-9C49-AC17-263C7AFA9046}" srcOrd="0" destOrd="0" presId="urn:microsoft.com/office/officeart/2005/8/layout/hierarchy6"/>
    <dgm:cxn modelId="{4493DA41-798C-439A-8964-09E97E56B46B}" type="presParOf" srcId="{D4F891C8-E669-824D-B842-6E8003EE3B75}" destId="{5230F3B2-C639-724A-89B9-174EA7C5BB10}" srcOrd="1" destOrd="0" presId="urn:microsoft.com/office/officeart/2005/8/layout/hierarchy6"/>
    <dgm:cxn modelId="{5CCAB3C4-98DE-4FB6-A696-EF48FC710598}" type="presParOf" srcId="{5230F3B2-C639-724A-89B9-174EA7C5BB10}" destId="{889B7FD9-4C77-6B4F-B9D5-F2AF00119A06}" srcOrd="0" destOrd="0" presId="urn:microsoft.com/office/officeart/2005/8/layout/hierarchy6"/>
    <dgm:cxn modelId="{F383DF40-5A35-432A-85B1-11B5B2784455}" type="presParOf" srcId="{5230F3B2-C639-724A-89B9-174EA7C5BB10}" destId="{F7B59F5B-F6EE-5E44-8535-5CF2AA06DBA2}" srcOrd="1" destOrd="0" presId="urn:microsoft.com/office/officeart/2005/8/layout/hierarchy6"/>
    <dgm:cxn modelId="{3A536F19-3773-48AB-BD5C-4227DD88BA66}" type="presParOf" srcId="{F7B59F5B-F6EE-5E44-8535-5CF2AA06DBA2}" destId="{D08D2C01-AAB5-8742-A979-1FA457BE46E1}" srcOrd="0" destOrd="0" presId="urn:microsoft.com/office/officeart/2005/8/layout/hierarchy6"/>
    <dgm:cxn modelId="{F1E4E539-36CA-4F9D-BBE7-64D07E6F8230}" type="presParOf" srcId="{F7B59F5B-F6EE-5E44-8535-5CF2AA06DBA2}" destId="{66D38963-A004-1A4A-BE62-359269489919}" srcOrd="1" destOrd="0" presId="urn:microsoft.com/office/officeart/2005/8/layout/hierarchy6"/>
    <dgm:cxn modelId="{7442D0ED-1C0C-43D2-B13F-B969FFD13D65}" type="presParOf" srcId="{5230F3B2-C639-724A-89B9-174EA7C5BB10}" destId="{321E4859-BC94-7649-8B44-DA361807A0AA}" srcOrd="2" destOrd="0" presId="urn:microsoft.com/office/officeart/2005/8/layout/hierarchy6"/>
    <dgm:cxn modelId="{8EE56D12-EA1F-4DA6-A299-7B2B15DA19A5}" type="presParOf" srcId="{5230F3B2-C639-724A-89B9-174EA7C5BB10}" destId="{800FED9B-5C5B-2643-99B0-995E93B6EE80}" srcOrd="3" destOrd="0" presId="urn:microsoft.com/office/officeart/2005/8/layout/hierarchy6"/>
    <dgm:cxn modelId="{FA4B0B35-5455-4B18-8A71-C5001F8B859E}" type="presParOf" srcId="{800FED9B-5C5B-2643-99B0-995E93B6EE80}" destId="{7BC8C3BA-B783-2F4C-A78E-15B858EAE238}" srcOrd="0" destOrd="0" presId="urn:microsoft.com/office/officeart/2005/8/layout/hierarchy6"/>
    <dgm:cxn modelId="{87DEB45F-0577-422C-9DF6-9DCCB8836E2D}" type="presParOf" srcId="{800FED9B-5C5B-2643-99B0-995E93B6EE80}" destId="{1720CDE3-8AD8-E746-B67F-A61515393685}" srcOrd="1" destOrd="0" presId="urn:microsoft.com/office/officeart/2005/8/layout/hierarchy6"/>
    <dgm:cxn modelId="{014CBFA7-7AF5-4B30-AFA0-174D16212FD1}" type="presParOf" srcId="{8F8A49AE-3124-014F-9293-3FB6E7B52598}" destId="{E818ECD4-D63E-0142-A2E2-4584F9DFB2CF}" srcOrd="2" destOrd="0" presId="urn:microsoft.com/office/officeart/2005/8/layout/hierarchy6"/>
    <dgm:cxn modelId="{43D11C4D-EE5C-41A6-8AEA-EE6FE76C794D}" type="presParOf" srcId="{8F8A49AE-3124-014F-9293-3FB6E7B52598}" destId="{E8259561-BAC8-F84F-9EEF-387A0749B4D3}" srcOrd="3" destOrd="0" presId="urn:microsoft.com/office/officeart/2005/8/layout/hierarchy6"/>
    <dgm:cxn modelId="{9A5A6D7F-22CE-4B0C-9C1A-73A05447728D}" type="presParOf" srcId="{E8259561-BAC8-F84F-9EEF-387A0749B4D3}" destId="{BB483241-ACE7-4847-85D8-B2851B0A58B3}" srcOrd="0" destOrd="0" presId="urn:microsoft.com/office/officeart/2005/8/layout/hierarchy6"/>
    <dgm:cxn modelId="{5B376F1F-7B93-484E-97DB-5776479E0FE8}" type="presParOf" srcId="{E8259561-BAC8-F84F-9EEF-387A0749B4D3}" destId="{E3E3ECD6-E9AD-FC4F-BF57-A44A675D8322}" srcOrd="1" destOrd="0" presId="urn:microsoft.com/office/officeart/2005/8/layout/hierarchy6"/>
    <dgm:cxn modelId="{81108C03-6CA8-40B6-9AA9-04881C09E749}" type="presParOf" srcId="{8F8A49AE-3124-014F-9293-3FB6E7B52598}" destId="{5186DA8F-BEB2-384D-B677-A2551492DF0B}" srcOrd="4" destOrd="0" presId="urn:microsoft.com/office/officeart/2005/8/layout/hierarchy6"/>
    <dgm:cxn modelId="{7F53C39F-0469-4729-9292-42799148D818}" type="presParOf" srcId="{8F8A49AE-3124-014F-9293-3FB6E7B52598}" destId="{B9FA27C3-676D-174C-9D79-82CFC9172E8F}" srcOrd="5" destOrd="0" presId="urn:microsoft.com/office/officeart/2005/8/layout/hierarchy6"/>
    <dgm:cxn modelId="{D959BC5D-67BD-4BEC-ADE4-D3575A048E91}" type="presParOf" srcId="{B9FA27C3-676D-174C-9D79-82CFC9172E8F}" destId="{FDAABAE3-7EC5-1243-AAEB-99E07849EDAC}" srcOrd="0" destOrd="0" presId="urn:microsoft.com/office/officeart/2005/8/layout/hierarchy6"/>
    <dgm:cxn modelId="{AC38C601-70D6-444B-B14A-55D3B9A876DB}" type="presParOf" srcId="{B9FA27C3-676D-174C-9D79-82CFC9172E8F}" destId="{AA6E0D15-A63B-024D-8E1E-1AD992FD40C2}" srcOrd="1" destOrd="0" presId="urn:microsoft.com/office/officeart/2005/8/layout/hierarchy6"/>
    <dgm:cxn modelId="{5D1C43DF-B905-49FA-A75F-F202B58C825C}" type="presParOf" srcId="{AA6E0D15-A63B-024D-8E1E-1AD992FD40C2}" destId="{9E5C26DF-510B-0C40-88D7-5A17AC657230}" srcOrd="0" destOrd="0" presId="urn:microsoft.com/office/officeart/2005/8/layout/hierarchy6"/>
    <dgm:cxn modelId="{6DD7CD1B-6083-4CBF-B526-8B2E284E51B7}" type="presParOf" srcId="{AA6E0D15-A63B-024D-8E1E-1AD992FD40C2}" destId="{54DB5544-AFAC-214B-A4A6-75D60B300BED}" srcOrd="1" destOrd="0" presId="urn:microsoft.com/office/officeart/2005/8/layout/hierarchy6"/>
    <dgm:cxn modelId="{CE40A2B6-5947-488C-B9EE-928ACDF3B566}" type="presParOf" srcId="{54DB5544-AFAC-214B-A4A6-75D60B300BED}" destId="{8C97B0F5-D855-1E40-9F0B-1CC07C8D1A0A}" srcOrd="0" destOrd="0" presId="urn:microsoft.com/office/officeart/2005/8/layout/hierarchy6"/>
    <dgm:cxn modelId="{CCC41333-E880-474A-9CAB-5A2B035DB195}" type="presParOf" srcId="{54DB5544-AFAC-214B-A4A6-75D60B300BED}" destId="{7C17C1A7-A68F-4D49-B6CC-F293CBC51282}" srcOrd="1" destOrd="0" presId="urn:microsoft.com/office/officeart/2005/8/layout/hierarchy6"/>
    <dgm:cxn modelId="{72A65E89-CE8F-41D2-9941-EE6BB1196E77}" type="presParOf" srcId="{AA6E0D15-A63B-024D-8E1E-1AD992FD40C2}" destId="{24978385-7FE0-8644-A25D-E0DC8C3DB1A5}" srcOrd="2" destOrd="0" presId="urn:microsoft.com/office/officeart/2005/8/layout/hierarchy6"/>
    <dgm:cxn modelId="{BF062482-F841-43DA-A678-047969C0E638}" type="presParOf" srcId="{AA6E0D15-A63B-024D-8E1E-1AD992FD40C2}" destId="{3BA231AA-0496-B842-8EB4-9FCD0763A687}" srcOrd="3" destOrd="0" presId="urn:microsoft.com/office/officeart/2005/8/layout/hierarchy6"/>
    <dgm:cxn modelId="{93289527-0EE9-4753-9359-232AA17A8809}" type="presParOf" srcId="{3BA231AA-0496-B842-8EB4-9FCD0763A687}" destId="{BDE2EF21-F456-B446-8C19-3EE7978751E8}" srcOrd="0" destOrd="0" presId="urn:microsoft.com/office/officeart/2005/8/layout/hierarchy6"/>
    <dgm:cxn modelId="{BDF0CA45-6DF1-475D-9A09-1FFF1EB2C783}" type="presParOf" srcId="{3BA231AA-0496-B842-8EB4-9FCD0763A687}" destId="{1BDA6C0D-2D9E-4741-ADA7-F5C1717D3C9C}" srcOrd="1" destOrd="0" presId="urn:microsoft.com/office/officeart/2005/8/layout/hierarchy6"/>
    <dgm:cxn modelId="{D853FD17-D51B-45A7-83E8-240D5752ED65}" type="presParOf" srcId="{1BDA6C0D-2D9E-4741-ADA7-F5C1717D3C9C}" destId="{99D791CF-806A-9943-BA4D-2031E650C055}" srcOrd="0" destOrd="0" presId="urn:microsoft.com/office/officeart/2005/8/layout/hierarchy6"/>
    <dgm:cxn modelId="{86160B15-7407-4D23-A1C6-8C22CA248E9F}" type="presParOf" srcId="{1BDA6C0D-2D9E-4741-ADA7-F5C1717D3C9C}" destId="{8355D024-7A52-3541-93DE-002001B30D6C}" srcOrd="1" destOrd="0" presId="urn:microsoft.com/office/officeart/2005/8/layout/hierarchy6"/>
    <dgm:cxn modelId="{83D7D89E-7BAA-4A76-9A33-0E577EB71ACB}" type="presParOf" srcId="{8355D024-7A52-3541-93DE-002001B30D6C}" destId="{EF5563E5-8BF9-8D4F-A7B7-25BBB3E6D9ED}" srcOrd="0" destOrd="0" presId="urn:microsoft.com/office/officeart/2005/8/layout/hierarchy6"/>
    <dgm:cxn modelId="{A6DB17ED-4CA3-48BE-BF12-2B8FAB0F8600}" type="presParOf" srcId="{8355D024-7A52-3541-93DE-002001B30D6C}" destId="{90AEAEF4-7955-6743-A308-CC9B9B2BFDC3}" srcOrd="1" destOrd="0" presId="urn:microsoft.com/office/officeart/2005/8/layout/hierarchy6"/>
    <dgm:cxn modelId="{6121CEE5-59AB-4BDA-960C-8DCE53E24DB3}" type="presParOf" srcId="{1BDA6C0D-2D9E-4741-ADA7-F5C1717D3C9C}" destId="{825BB42A-45C8-DC4D-8269-680DB5F46501}" srcOrd="2" destOrd="0" presId="urn:microsoft.com/office/officeart/2005/8/layout/hierarchy6"/>
    <dgm:cxn modelId="{2BC17E8C-3646-4A33-ADC1-BD7D39C5FFD0}" type="presParOf" srcId="{1BDA6C0D-2D9E-4741-ADA7-F5C1717D3C9C}" destId="{13776AB4-9822-964B-AF12-2E373246AF09}" srcOrd="3" destOrd="0" presId="urn:microsoft.com/office/officeart/2005/8/layout/hierarchy6"/>
    <dgm:cxn modelId="{CF7BABA3-A230-4400-A388-71B5AD2F3152}" type="presParOf" srcId="{13776AB4-9822-964B-AF12-2E373246AF09}" destId="{BCDD1188-F0CC-0147-891D-1BA72DD268F6}" srcOrd="0" destOrd="0" presId="urn:microsoft.com/office/officeart/2005/8/layout/hierarchy6"/>
    <dgm:cxn modelId="{DAE5EF42-F385-449F-B799-4F5A78C32337}" type="presParOf" srcId="{13776AB4-9822-964B-AF12-2E373246AF09}" destId="{FB54EEC4-39A4-2E4F-8939-A9D80FAB378B}" srcOrd="1" destOrd="0" presId="urn:microsoft.com/office/officeart/2005/8/layout/hierarchy6"/>
    <dgm:cxn modelId="{72203364-49C9-47F9-B99B-9AAF27B453F1}" type="presParOf" srcId="{7783F5DE-E5B3-B749-A5BA-B82D9DEF6110}" destId="{76AE80FE-C718-494F-B695-C5265C2D878E}" srcOrd="1" destOrd="0" presId="urn:microsoft.com/office/officeart/2005/8/layout/hierarchy6"/>
  </dgm:cxnLst>
  <dgm:bg>
    <a:solidFill>
      <a:schemeClr val="bg1"/>
    </a:solidFill>
  </dgm:bg>
  <dgm:whole>
    <a:ln>
      <a:solidFill>
        <a:schemeClr val="bg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3136A2-AA06-A949-9B88-834E207D578A}">
      <dsp:nvSpPr>
        <dsp:cNvPr id="0" name=""/>
        <dsp:cNvSpPr/>
      </dsp:nvSpPr>
      <dsp:spPr>
        <a:xfrm>
          <a:off x="1985576" y="38582"/>
          <a:ext cx="1000582" cy="494625"/>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latin typeface="Arial" pitchFamily="34" charset="0"/>
              <a:cs typeface="Arial" pitchFamily="34" charset="0"/>
            </a:rPr>
            <a:t>Total patients</a:t>
          </a:r>
        </a:p>
        <a:p>
          <a:pPr lvl="0" algn="ctr" defTabSz="444500">
            <a:lnSpc>
              <a:spcPct val="90000"/>
            </a:lnSpc>
            <a:spcBef>
              <a:spcPct val="0"/>
            </a:spcBef>
            <a:spcAft>
              <a:spcPct val="35000"/>
            </a:spcAft>
          </a:pPr>
          <a:r>
            <a:rPr lang="en-US" sz="1000" kern="1200" dirty="0" smtClean="0">
              <a:solidFill>
                <a:schemeClr val="tx1"/>
              </a:solidFill>
              <a:latin typeface="Arial" pitchFamily="34" charset="0"/>
              <a:cs typeface="Arial" pitchFamily="34" charset="0"/>
            </a:rPr>
            <a:t>(n = 313)</a:t>
          </a:r>
          <a:endParaRPr lang="en-US" sz="1000" kern="1200" dirty="0">
            <a:solidFill>
              <a:schemeClr val="tx1"/>
            </a:solidFill>
            <a:latin typeface="Arial" pitchFamily="34" charset="0"/>
            <a:cs typeface="Arial" pitchFamily="34" charset="0"/>
          </a:endParaRPr>
        </a:p>
      </dsp:txBody>
      <dsp:txXfrm>
        <a:off x="1985576" y="38582"/>
        <a:ext cx="1000582" cy="494625"/>
      </dsp:txXfrm>
    </dsp:sp>
    <dsp:sp modelId="{7D0E88C8-F53E-8741-AFFD-9A6EABCABBC1}">
      <dsp:nvSpPr>
        <dsp:cNvPr id="0" name=""/>
        <dsp:cNvSpPr/>
      </dsp:nvSpPr>
      <dsp:spPr>
        <a:xfrm>
          <a:off x="1227936" y="533207"/>
          <a:ext cx="1257931" cy="228754"/>
        </a:xfrm>
        <a:custGeom>
          <a:avLst/>
          <a:gdLst/>
          <a:ahLst/>
          <a:cxnLst/>
          <a:rect l="0" t="0" r="0" b="0"/>
          <a:pathLst>
            <a:path>
              <a:moveTo>
                <a:pt x="1257931" y="0"/>
              </a:moveTo>
              <a:lnTo>
                <a:pt x="1257931" y="114377"/>
              </a:lnTo>
              <a:lnTo>
                <a:pt x="0" y="114377"/>
              </a:lnTo>
              <a:lnTo>
                <a:pt x="0" y="22875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80020BD3-C12D-9C49-AC17-263C7AFA9046}">
      <dsp:nvSpPr>
        <dsp:cNvPr id="0" name=""/>
        <dsp:cNvSpPr/>
      </dsp:nvSpPr>
      <dsp:spPr>
        <a:xfrm>
          <a:off x="727645" y="761962"/>
          <a:ext cx="1000582" cy="494625"/>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latin typeface="Arial" pitchFamily="34" charset="0"/>
              <a:cs typeface="Arial" pitchFamily="34" charset="0"/>
            </a:rPr>
            <a:t>Excluded</a:t>
          </a:r>
        </a:p>
        <a:p>
          <a:pPr lvl="0" algn="ctr" defTabSz="444500">
            <a:lnSpc>
              <a:spcPct val="90000"/>
            </a:lnSpc>
            <a:spcBef>
              <a:spcPct val="0"/>
            </a:spcBef>
            <a:spcAft>
              <a:spcPct val="35000"/>
            </a:spcAft>
          </a:pPr>
          <a:r>
            <a:rPr lang="en-US" sz="1000" kern="1200" dirty="0" smtClean="0">
              <a:solidFill>
                <a:schemeClr val="tx1"/>
              </a:solidFill>
              <a:latin typeface="Arial" pitchFamily="34" charset="0"/>
              <a:cs typeface="Arial" pitchFamily="34" charset="0"/>
            </a:rPr>
            <a:t>(n = 40)</a:t>
          </a:r>
          <a:endParaRPr lang="en-US" sz="1000" kern="1200" dirty="0">
            <a:solidFill>
              <a:schemeClr val="tx1"/>
            </a:solidFill>
            <a:latin typeface="Arial" pitchFamily="34" charset="0"/>
            <a:cs typeface="Arial" pitchFamily="34" charset="0"/>
          </a:endParaRPr>
        </a:p>
      </dsp:txBody>
      <dsp:txXfrm>
        <a:off x="727645" y="761962"/>
        <a:ext cx="1000582" cy="494625"/>
      </dsp:txXfrm>
    </dsp:sp>
    <dsp:sp modelId="{889B7FD9-4C77-6B4F-B9D5-F2AF00119A06}">
      <dsp:nvSpPr>
        <dsp:cNvPr id="0" name=""/>
        <dsp:cNvSpPr/>
      </dsp:nvSpPr>
      <dsp:spPr>
        <a:xfrm>
          <a:off x="598970" y="1256587"/>
          <a:ext cx="628965" cy="228754"/>
        </a:xfrm>
        <a:custGeom>
          <a:avLst/>
          <a:gdLst/>
          <a:ahLst/>
          <a:cxnLst/>
          <a:rect l="0" t="0" r="0" b="0"/>
          <a:pathLst>
            <a:path>
              <a:moveTo>
                <a:pt x="628965" y="0"/>
              </a:moveTo>
              <a:lnTo>
                <a:pt x="628965" y="114377"/>
              </a:lnTo>
              <a:lnTo>
                <a:pt x="0" y="114377"/>
              </a:lnTo>
              <a:lnTo>
                <a:pt x="0" y="228754"/>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08D2C01-AAB5-8742-A979-1FA457BE46E1}">
      <dsp:nvSpPr>
        <dsp:cNvPr id="0" name=""/>
        <dsp:cNvSpPr/>
      </dsp:nvSpPr>
      <dsp:spPr>
        <a:xfrm>
          <a:off x="98679" y="1485342"/>
          <a:ext cx="1000582" cy="49462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latin typeface="Arial" pitchFamily="34" charset="0"/>
              <a:cs typeface="Arial" pitchFamily="34" charset="0"/>
            </a:rPr>
            <a:t>Not 10 mm diameter</a:t>
          </a:r>
        </a:p>
        <a:p>
          <a:pPr lvl="0" algn="ctr" defTabSz="444500">
            <a:lnSpc>
              <a:spcPct val="90000"/>
            </a:lnSpc>
            <a:spcBef>
              <a:spcPct val="0"/>
            </a:spcBef>
            <a:spcAft>
              <a:spcPct val="35000"/>
            </a:spcAft>
          </a:pPr>
          <a:r>
            <a:rPr lang="en-US" sz="1000" kern="1200" dirty="0" smtClean="0">
              <a:solidFill>
                <a:schemeClr val="tx1"/>
              </a:solidFill>
              <a:latin typeface="Arial" pitchFamily="34" charset="0"/>
              <a:cs typeface="Arial" pitchFamily="34" charset="0"/>
            </a:rPr>
            <a:t>(n = 11)</a:t>
          </a:r>
        </a:p>
      </dsp:txBody>
      <dsp:txXfrm>
        <a:off x="98679" y="1485342"/>
        <a:ext cx="1000582" cy="494625"/>
      </dsp:txXfrm>
    </dsp:sp>
    <dsp:sp modelId="{321E4859-BC94-7649-8B44-DA361807A0AA}">
      <dsp:nvSpPr>
        <dsp:cNvPr id="0" name=""/>
        <dsp:cNvSpPr/>
      </dsp:nvSpPr>
      <dsp:spPr>
        <a:xfrm>
          <a:off x="1227936" y="1256587"/>
          <a:ext cx="628965" cy="228754"/>
        </a:xfrm>
        <a:custGeom>
          <a:avLst/>
          <a:gdLst/>
          <a:ahLst/>
          <a:cxnLst/>
          <a:rect l="0" t="0" r="0" b="0"/>
          <a:pathLst>
            <a:path>
              <a:moveTo>
                <a:pt x="0" y="0"/>
              </a:moveTo>
              <a:lnTo>
                <a:pt x="0" y="114377"/>
              </a:lnTo>
              <a:lnTo>
                <a:pt x="628965" y="114377"/>
              </a:lnTo>
              <a:lnTo>
                <a:pt x="628965" y="228754"/>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BC8C3BA-B783-2F4C-A78E-15B858EAE238}">
      <dsp:nvSpPr>
        <dsp:cNvPr id="0" name=""/>
        <dsp:cNvSpPr/>
      </dsp:nvSpPr>
      <dsp:spPr>
        <a:xfrm>
          <a:off x="1356610" y="1485342"/>
          <a:ext cx="1000582" cy="49462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latin typeface="Arial" pitchFamily="34" charset="0"/>
              <a:cs typeface="Arial" pitchFamily="34" charset="0"/>
            </a:rPr>
            <a:t>Unknown diameter</a:t>
          </a:r>
        </a:p>
        <a:p>
          <a:pPr lvl="0" algn="ctr" defTabSz="444500">
            <a:lnSpc>
              <a:spcPct val="90000"/>
            </a:lnSpc>
            <a:spcBef>
              <a:spcPct val="0"/>
            </a:spcBef>
            <a:spcAft>
              <a:spcPct val="35000"/>
            </a:spcAft>
          </a:pPr>
          <a:r>
            <a:rPr lang="en-US" sz="1000" kern="1200" dirty="0" smtClean="0">
              <a:solidFill>
                <a:schemeClr val="tx1"/>
              </a:solidFill>
              <a:latin typeface="Arial" pitchFamily="34" charset="0"/>
              <a:cs typeface="Arial" pitchFamily="34" charset="0"/>
            </a:rPr>
            <a:t>(n = 29)</a:t>
          </a:r>
        </a:p>
      </dsp:txBody>
      <dsp:txXfrm>
        <a:off x="1356610" y="1485342"/>
        <a:ext cx="1000582" cy="494625"/>
      </dsp:txXfrm>
    </dsp:sp>
    <dsp:sp modelId="{E818ECD4-D63E-0142-A2E2-4584F9DFB2CF}">
      <dsp:nvSpPr>
        <dsp:cNvPr id="0" name=""/>
        <dsp:cNvSpPr/>
      </dsp:nvSpPr>
      <dsp:spPr>
        <a:xfrm>
          <a:off x="2440147" y="533207"/>
          <a:ext cx="91440" cy="228754"/>
        </a:xfrm>
        <a:custGeom>
          <a:avLst/>
          <a:gdLst/>
          <a:ahLst/>
          <a:cxnLst/>
          <a:rect l="0" t="0" r="0" b="0"/>
          <a:pathLst>
            <a:path>
              <a:moveTo>
                <a:pt x="45720" y="0"/>
              </a:moveTo>
              <a:lnTo>
                <a:pt x="45720" y="22875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BB483241-ACE7-4847-85D8-B2851B0A58B3}">
      <dsp:nvSpPr>
        <dsp:cNvPr id="0" name=""/>
        <dsp:cNvSpPr/>
      </dsp:nvSpPr>
      <dsp:spPr>
        <a:xfrm>
          <a:off x="1985576" y="761962"/>
          <a:ext cx="1000582" cy="49462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latin typeface="Arial" pitchFamily="34" charset="0"/>
              <a:cs typeface="Arial" pitchFamily="34" charset="0"/>
            </a:rPr>
            <a:t>Maximally dilated</a:t>
          </a:r>
        </a:p>
        <a:p>
          <a:pPr lvl="0" algn="ctr" defTabSz="444500">
            <a:lnSpc>
              <a:spcPct val="90000"/>
            </a:lnSpc>
            <a:spcBef>
              <a:spcPct val="0"/>
            </a:spcBef>
            <a:spcAft>
              <a:spcPct val="35000"/>
            </a:spcAft>
          </a:pPr>
          <a:r>
            <a:rPr lang="en-US" sz="1000" kern="1200" dirty="0" smtClean="0">
              <a:solidFill>
                <a:schemeClr val="tx1"/>
              </a:solidFill>
              <a:latin typeface="Arial" pitchFamily="34" charset="0"/>
              <a:cs typeface="Arial" pitchFamily="34" charset="0"/>
            </a:rPr>
            <a:t>(n = 230)</a:t>
          </a:r>
        </a:p>
      </dsp:txBody>
      <dsp:txXfrm>
        <a:off x="1985576" y="761962"/>
        <a:ext cx="1000582" cy="494625"/>
      </dsp:txXfrm>
    </dsp:sp>
    <dsp:sp modelId="{5186DA8F-BEB2-384D-B677-A2551492DF0B}">
      <dsp:nvSpPr>
        <dsp:cNvPr id="0" name=""/>
        <dsp:cNvSpPr/>
      </dsp:nvSpPr>
      <dsp:spPr>
        <a:xfrm>
          <a:off x="2485867" y="533207"/>
          <a:ext cx="1257931" cy="228754"/>
        </a:xfrm>
        <a:custGeom>
          <a:avLst/>
          <a:gdLst/>
          <a:ahLst/>
          <a:cxnLst/>
          <a:rect l="0" t="0" r="0" b="0"/>
          <a:pathLst>
            <a:path>
              <a:moveTo>
                <a:pt x="0" y="0"/>
              </a:moveTo>
              <a:lnTo>
                <a:pt x="0" y="114377"/>
              </a:lnTo>
              <a:lnTo>
                <a:pt x="1257931" y="114377"/>
              </a:lnTo>
              <a:lnTo>
                <a:pt x="1257931" y="22875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FDAABAE3-7EC5-1243-AAEB-99E07849EDAC}">
      <dsp:nvSpPr>
        <dsp:cNvPr id="0" name=""/>
        <dsp:cNvSpPr/>
      </dsp:nvSpPr>
      <dsp:spPr>
        <a:xfrm>
          <a:off x="3243507" y="761962"/>
          <a:ext cx="1000582" cy="49462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latin typeface="Arial" pitchFamily="34" charset="0"/>
              <a:cs typeface="Arial" pitchFamily="34" charset="0"/>
            </a:rPr>
            <a:t>Sub-maximally dilated</a:t>
          </a:r>
        </a:p>
        <a:p>
          <a:pPr lvl="0" algn="ctr" defTabSz="444500">
            <a:lnSpc>
              <a:spcPct val="90000"/>
            </a:lnSpc>
            <a:spcBef>
              <a:spcPct val="0"/>
            </a:spcBef>
            <a:spcAft>
              <a:spcPct val="35000"/>
            </a:spcAft>
          </a:pPr>
          <a:r>
            <a:rPr lang="en-US" sz="1000" kern="1200" dirty="0" smtClean="0">
              <a:solidFill>
                <a:schemeClr val="tx1"/>
              </a:solidFill>
              <a:latin typeface="Arial" pitchFamily="34" charset="0"/>
              <a:cs typeface="Arial" pitchFamily="34" charset="0"/>
            </a:rPr>
            <a:t>(n = 43)</a:t>
          </a:r>
          <a:endParaRPr lang="en-US" sz="1000" kern="1200" dirty="0">
            <a:solidFill>
              <a:schemeClr val="tx1"/>
            </a:solidFill>
            <a:latin typeface="Arial" pitchFamily="34" charset="0"/>
            <a:cs typeface="Arial" pitchFamily="34" charset="0"/>
          </a:endParaRPr>
        </a:p>
      </dsp:txBody>
      <dsp:txXfrm>
        <a:off x="3243507" y="761962"/>
        <a:ext cx="1000582" cy="494625"/>
      </dsp:txXfrm>
    </dsp:sp>
    <dsp:sp modelId="{9E5C26DF-510B-0C40-88D7-5A17AC657230}">
      <dsp:nvSpPr>
        <dsp:cNvPr id="0" name=""/>
        <dsp:cNvSpPr/>
      </dsp:nvSpPr>
      <dsp:spPr>
        <a:xfrm>
          <a:off x="3114832" y="1256587"/>
          <a:ext cx="628965" cy="228754"/>
        </a:xfrm>
        <a:custGeom>
          <a:avLst/>
          <a:gdLst/>
          <a:ahLst/>
          <a:cxnLst/>
          <a:rect l="0" t="0" r="0" b="0"/>
          <a:pathLst>
            <a:path>
              <a:moveTo>
                <a:pt x="628965" y="0"/>
              </a:moveTo>
              <a:lnTo>
                <a:pt x="628965" y="114377"/>
              </a:lnTo>
              <a:lnTo>
                <a:pt x="0" y="114377"/>
              </a:lnTo>
              <a:lnTo>
                <a:pt x="0" y="22875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8C97B0F5-D855-1E40-9F0B-1CC07C8D1A0A}">
      <dsp:nvSpPr>
        <dsp:cNvPr id="0" name=""/>
        <dsp:cNvSpPr/>
      </dsp:nvSpPr>
      <dsp:spPr>
        <a:xfrm>
          <a:off x="2614541" y="1485342"/>
          <a:ext cx="1000582" cy="49462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latin typeface="Arial" pitchFamily="34" charset="0"/>
              <a:cs typeface="Arial" pitchFamily="34" charset="0"/>
            </a:rPr>
            <a:t>No CT follow-up</a:t>
          </a:r>
        </a:p>
        <a:p>
          <a:pPr lvl="0" algn="ctr" defTabSz="444500">
            <a:lnSpc>
              <a:spcPct val="90000"/>
            </a:lnSpc>
            <a:spcBef>
              <a:spcPct val="0"/>
            </a:spcBef>
            <a:spcAft>
              <a:spcPct val="35000"/>
            </a:spcAft>
          </a:pPr>
          <a:r>
            <a:rPr lang="en-US" sz="1000" kern="1200" dirty="0" smtClean="0">
              <a:solidFill>
                <a:schemeClr val="tx1"/>
              </a:solidFill>
              <a:latin typeface="Arial" pitchFamily="34" charset="0"/>
              <a:cs typeface="Arial" pitchFamily="34" charset="0"/>
            </a:rPr>
            <a:t>(n = 29)</a:t>
          </a:r>
          <a:endParaRPr lang="en-US" sz="1000" kern="1200" dirty="0">
            <a:solidFill>
              <a:schemeClr val="tx1"/>
            </a:solidFill>
            <a:latin typeface="Arial" pitchFamily="34" charset="0"/>
            <a:cs typeface="Arial" pitchFamily="34" charset="0"/>
          </a:endParaRPr>
        </a:p>
      </dsp:txBody>
      <dsp:txXfrm>
        <a:off x="2614541" y="1485342"/>
        <a:ext cx="1000582" cy="494625"/>
      </dsp:txXfrm>
    </dsp:sp>
    <dsp:sp modelId="{24978385-7FE0-8644-A25D-E0DC8C3DB1A5}">
      <dsp:nvSpPr>
        <dsp:cNvPr id="0" name=""/>
        <dsp:cNvSpPr/>
      </dsp:nvSpPr>
      <dsp:spPr>
        <a:xfrm>
          <a:off x="3743798" y="1256587"/>
          <a:ext cx="628965" cy="228754"/>
        </a:xfrm>
        <a:custGeom>
          <a:avLst/>
          <a:gdLst/>
          <a:ahLst/>
          <a:cxnLst/>
          <a:rect l="0" t="0" r="0" b="0"/>
          <a:pathLst>
            <a:path>
              <a:moveTo>
                <a:pt x="0" y="0"/>
              </a:moveTo>
              <a:lnTo>
                <a:pt x="0" y="114377"/>
              </a:lnTo>
              <a:lnTo>
                <a:pt x="628965" y="114377"/>
              </a:lnTo>
              <a:lnTo>
                <a:pt x="628965" y="22875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BDE2EF21-F456-B446-8C19-3EE7978751E8}">
      <dsp:nvSpPr>
        <dsp:cNvPr id="0" name=""/>
        <dsp:cNvSpPr/>
      </dsp:nvSpPr>
      <dsp:spPr>
        <a:xfrm>
          <a:off x="3872472" y="1485342"/>
          <a:ext cx="1000582" cy="49462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latin typeface="Arial" pitchFamily="34" charset="0"/>
              <a:cs typeface="Arial" pitchFamily="34" charset="0"/>
            </a:rPr>
            <a:t>CT follow-up</a:t>
          </a:r>
        </a:p>
        <a:p>
          <a:pPr lvl="0" algn="ctr" defTabSz="444500">
            <a:lnSpc>
              <a:spcPct val="90000"/>
            </a:lnSpc>
            <a:spcBef>
              <a:spcPct val="0"/>
            </a:spcBef>
            <a:spcAft>
              <a:spcPct val="35000"/>
            </a:spcAft>
          </a:pPr>
          <a:r>
            <a:rPr lang="en-US" sz="1000" kern="1200" dirty="0" smtClean="0">
              <a:solidFill>
                <a:schemeClr val="tx1"/>
              </a:solidFill>
              <a:latin typeface="Arial" pitchFamily="34" charset="0"/>
              <a:cs typeface="Arial" pitchFamily="34" charset="0"/>
            </a:rPr>
            <a:t>(n = 14)</a:t>
          </a:r>
          <a:endParaRPr lang="en-US" sz="1000" kern="1200" dirty="0">
            <a:solidFill>
              <a:schemeClr val="tx1"/>
            </a:solidFill>
            <a:latin typeface="Arial" pitchFamily="34" charset="0"/>
            <a:cs typeface="Arial" pitchFamily="34" charset="0"/>
          </a:endParaRPr>
        </a:p>
      </dsp:txBody>
      <dsp:txXfrm>
        <a:off x="3872472" y="1485342"/>
        <a:ext cx="1000582" cy="494625"/>
      </dsp:txXfrm>
    </dsp:sp>
    <dsp:sp modelId="{99D791CF-806A-9943-BA4D-2031E650C055}">
      <dsp:nvSpPr>
        <dsp:cNvPr id="0" name=""/>
        <dsp:cNvSpPr/>
      </dsp:nvSpPr>
      <dsp:spPr>
        <a:xfrm>
          <a:off x="3743798" y="1979967"/>
          <a:ext cx="628965" cy="228754"/>
        </a:xfrm>
        <a:custGeom>
          <a:avLst/>
          <a:gdLst/>
          <a:ahLst/>
          <a:cxnLst/>
          <a:rect l="0" t="0" r="0" b="0"/>
          <a:pathLst>
            <a:path>
              <a:moveTo>
                <a:pt x="628965" y="0"/>
              </a:moveTo>
              <a:lnTo>
                <a:pt x="628965" y="114377"/>
              </a:lnTo>
              <a:lnTo>
                <a:pt x="0" y="114377"/>
              </a:lnTo>
              <a:lnTo>
                <a:pt x="0" y="22875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EF5563E5-8BF9-8D4F-A7B7-25BBB3E6D9ED}">
      <dsp:nvSpPr>
        <dsp:cNvPr id="0" name=""/>
        <dsp:cNvSpPr/>
      </dsp:nvSpPr>
      <dsp:spPr>
        <a:xfrm>
          <a:off x="3243507" y="2208722"/>
          <a:ext cx="1000582" cy="49462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latin typeface="Arial" pitchFamily="34" charset="0"/>
              <a:cs typeface="Arial" pitchFamily="34" charset="0"/>
            </a:rPr>
            <a:t>&lt; 6 months</a:t>
          </a:r>
        </a:p>
        <a:p>
          <a:pPr lvl="0" algn="ctr" defTabSz="444500">
            <a:lnSpc>
              <a:spcPct val="90000"/>
            </a:lnSpc>
            <a:spcBef>
              <a:spcPct val="0"/>
            </a:spcBef>
            <a:spcAft>
              <a:spcPct val="35000"/>
            </a:spcAft>
          </a:pPr>
          <a:r>
            <a:rPr lang="en-US" sz="1000" kern="1200" dirty="0" smtClean="0">
              <a:solidFill>
                <a:schemeClr val="tx1"/>
              </a:solidFill>
              <a:latin typeface="Arial" pitchFamily="34" charset="0"/>
              <a:cs typeface="Arial" pitchFamily="34" charset="0"/>
            </a:rPr>
            <a:t>(n = 7)</a:t>
          </a:r>
          <a:endParaRPr lang="en-US" sz="1000" kern="1200" dirty="0">
            <a:solidFill>
              <a:schemeClr val="tx1"/>
            </a:solidFill>
            <a:latin typeface="Arial" pitchFamily="34" charset="0"/>
            <a:cs typeface="Arial" pitchFamily="34" charset="0"/>
          </a:endParaRPr>
        </a:p>
      </dsp:txBody>
      <dsp:txXfrm>
        <a:off x="3243507" y="2208722"/>
        <a:ext cx="1000582" cy="494625"/>
      </dsp:txXfrm>
    </dsp:sp>
    <dsp:sp modelId="{825BB42A-45C8-DC4D-8269-680DB5F46501}">
      <dsp:nvSpPr>
        <dsp:cNvPr id="0" name=""/>
        <dsp:cNvSpPr/>
      </dsp:nvSpPr>
      <dsp:spPr>
        <a:xfrm>
          <a:off x="4372763" y="1979967"/>
          <a:ext cx="628965" cy="228754"/>
        </a:xfrm>
        <a:custGeom>
          <a:avLst/>
          <a:gdLst/>
          <a:ahLst/>
          <a:cxnLst/>
          <a:rect l="0" t="0" r="0" b="0"/>
          <a:pathLst>
            <a:path>
              <a:moveTo>
                <a:pt x="0" y="0"/>
              </a:moveTo>
              <a:lnTo>
                <a:pt x="0" y="114377"/>
              </a:lnTo>
              <a:lnTo>
                <a:pt x="628965" y="114377"/>
              </a:lnTo>
              <a:lnTo>
                <a:pt x="628965" y="22875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BCDD1188-F0CC-0147-891D-1BA72DD268F6}">
      <dsp:nvSpPr>
        <dsp:cNvPr id="0" name=""/>
        <dsp:cNvSpPr/>
      </dsp:nvSpPr>
      <dsp:spPr>
        <a:xfrm>
          <a:off x="4501438" y="2208722"/>
          <a:ext cx="1000582" cy="49462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latin typeface="Arial" pitchFamily="34" charset="0"/>
              <a:cs typeface="Arial" pitchFamily="34" charset="0"/>
            </a:rPr>
            <a:t>&gt; 6 months</a:t>
          </a:r>
        </a:p>
        <a:p>
          <a:pPr lvl="0" algn="ctr" defTabSz="444500">
            <a:lnSpc>
              <a:spcPct val="90000"/>
            </a:lnSpc>
            <a:spcBef>
              <a:spcPct val="0"/>
            </a:spcBef>
            <a:spcAft>
              <a:spcPct val="35000"/>
            </a:spcAft>
          </a:pPr>
          <a:r>
            <a:rPr lang="en-US" sz="1000" kern="1200" dirty="0" smtClean="0">
              <a:solidFill>
                <a:schemeClr val="tx1"/>
              </a:solidFill>
              <a:latin typeface="Arial" pitchFamily="34" charset="0"/>
              <a:cs typeface="Arial" pitchFamily="34" charset="0"/>
            </a:rPr>
            <a:t>(n = 7)</a:t>
          </a:r>
          <a:endParaRPr lang="en-US" sz="1000" kern="1200" dirty="0">
            <a:solidFill>
              <a:schemeClr val="tx1"/>
            </a:solidFill>
            <a:latin typeface="Arial" pitchFamily="34" charset="0"/>
            <a:cs typeface="Arial" pitchFamily="34" charset="0"/>
          </a:endParaRPr>
        </a:p>
      </dsp:txBody>
      <dsp:txXfrm>
        <a:off x="4501438" y="2208722"/>
        <a:ext cx="1000582" cy="4946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73686-F676-4E45-AF4B-324344E6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6798</Words>
  <Characters>38754</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45462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Hsu</dc:creator>
  <cp:lastModifiedBy>Na Ma</cp:lastModifiedBy>
  <cp:revision>2</cp:revision>
  <dcterms:created xsi:type="dcterms:W3CDTF">2017-03-12T20:11:00Z</dcterms:created>
  <dcterms:modified xsi:type="dcterms:W3CDTF">2017-03-12T20:11:00Z</dcterms:modified>
</cp:coreProperties>
</file>