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9DB" w:rsidRPr="001339DB" w:rsidRDefault="001339DB" w:rsidP="001339DB">
      <w:pPr>
        <w:widowControl w:val="0"/>
        <w:spacing w:after="0" w:line="360" w:lineRule="auto"/>
        <w:jc w:val="both"/>
        <w:rPr>
          <w:rFonts w:ascii="Book Antiqua" w:eastAsia="Times New Roman" w:hAnsi="Book Antiqua" w:cs="SimSun"/>
          <w:i/>
          <w:kern w:val="2"/>
          <w:sz w:val="24"/>
          <w:szCs w:val="24"/>
          <w:lang w:eastAsia="zh-CN"/>
        </w:rPr>
      </w:pPr>
      <w:bookmarkStart w:id="0" w:name="OLE_LINK2088"/>
      <w:bookmarkStart w:id="1" w:name="OLE_LINK2089"/>
      <w:bookmarkStart w:id="2" w:name="OLE_LINK3171"/>
      <w:bookmarkStart w:id="3" w:name="OLE_LINK3301"/>
      <w:bookmarkStart w:id="4" w:name="OLE_LINK3302"/>
      <w:bookmarkStart w:id="5" w:name="OLE_LINK2410"/>
      <w:bookmarkStart w:id="6" w:name="OLE_LINK2411"/>
      <w:bookmarkStart w:id="7" w:name="OLE_LINK3234"/>
      <w:bookmarkStart w:id="8" w:name="OLE_LINK3878"/>
      <w:bookmarkStart w:id="9" w:name="OLE_LINK40"/>
      <w:bookmarkStart w:id="10" w:name="OLE_LINK41"/>
      <w:bookmarkStart w:id="11" w:name="OLE_LINK2445"/>
      <w:bookmarkStart w:id="12" w:name="OLE_LINK3563"/>
      <w:bookmarkStart w:id="13" w:name="OLE_LINK3958"/>
      <w:bookmarkStart w:id="14" w:name="OLE_LINK437"/>
      <w:bookmarkStart w:id="15" w:name="OLE_LINK438"/>
      <w:bookmarkStart w:id="16" w:name="OLE_LINK1043"/>
      <w:bookmarkStart w:id="17" w:name="OLE_LINK1420"/>
      <w:bookmarkStart w:id="18" w:name="OLE_LINK1540"/>
      <w:bookmarkStart w:id="19" w:name="OLE_LINK1602"/>
      <w:bookmarkStart w:id="20" w:name="OLE_LINK2188"/>
      <w:bookmarkStart w:id="21" w:name="OLE_LINK2180"/>
      <w:bookmarkStart w:id="22" w:name="OLE_LINK2646"/>
      <w:bookmarkStart w:id="23" w:name="OLE_LINK2650"/>
      <w:bookmarkStart w:id="24" w:name="OLE_LINK2656"/>
      <w:bookmarkStart w:id="25" w:name="OLE_LINK45"/>
      <w:bookmarkStart w:id="26" w:name="OLE_LINK3003"/>
      <w:bookmarkStart w:id="27" w:name="OLE_LINK3029"/>
      <w:bookmarkStart w:id="28" w:name="OLE_LINK3072"/>
      <w:bookmarkStart w:id="29" w:name="OLE_LINK3222"/>
      <w:bookmarkStart w:id="30" w:name="OLE_LINK3247"/>
      <w:bookmarkStart w:id="31" w:name="OLE_LINK3655"/>
      <w:bookmarkStart w:id="32" w:name="OLE_LINK99"/>
      <w:bookmarkStart w:id="33" w:name="OLE_LINK3745"/>
      <w:bookmarkStart w:id="34" w:name="OLE_LINK90"/>
      <w:bookmarkStart w:id="35" w:name="OLE_LINK3613"/>
      <w:bookmarkStart w:id="36" w:name="OLE_LINK3857"/>
      <w:bookmarkStart w:id="37" w:name="OLE_LINK3896"/>
      <w:bookmarkStart w:id="38" w:name="OLE_LINK3864"/>
      <w:bookmarkStart w:id="39" w:name="OLE_LINK3926"/>
      <w:bookmarkStart w:id="40" w:name="OLE_LINK157"/>
      <w:bookmarkStart w:id="41" w:name="OLE_LINK122"/>
      <w:r w:rsidRPr="001339DB">
        <w:rPr>
          <w:rFonts w:ascii="Book Antiqua" w:eastAsia="Times New Roman" w:hAnsi="Book Antiqua" w:cs="SimSun"/>
          <w:b/>
          <w:kern w:val="2"/>
          <w:sz w:val="24"/>
          <w:szCs w:val="24"/>
          <w:lang w:eastAsia="zh-CN"/>
        </w:rPr>
        <w:t xml:space="preserve">Name of journal: </w:t>
      </w:r>
      <w:bookmarkStart w:id="42" w:name="OLE_LINK718"/>
      <w:bookmarkStart w:id="43" w:name="OLE_LINK719"/>
      <w:bookmarkStart w:id="44" w:name="OLE_LINK645"/>
      <w:bookmarkStart w:id="45" w:name="OLE_LINK661"/>
      <w:bookmarkStart w:id="46" w:name="OLE_LINK696"/>
      <w:bookmarkStart w:id="47" w:name="OLE_LINK1068"/>
      <w:bookmarkStart w:id="48" w:name="OLE_LINK335"/>
      <w:r w:rsidRPr="001339DB">
        <w:rPr>
          <w:rFonts w:ascii="Book Antiqua" w:eastAsia="Times New Roman" w:hAnsi="Book Antiqua" w:cs="SimSun"/>
          <w:i/>
          <w:sz w:val="24"/>
          <w:szCs w:val="21"/>
          <w:lang w:eastAsia="zh-CN"/>
        </w:rPr>
        <w:t>World Journal of Gastroenterology</w:t>
      </w:r>
      <w:bookmarkEnd w:id="42"/>
      <w:bookmarkEnd w:id="43"/>
      <w:bookmarkEnd w:id="44"/>
      <w:bookmarkEnd w:id="45"/>
      <w:bookmarkEnd w:id="46"/>
      <w:bookmarkEnd w:id="47"/>
      <w:bookmarkEnd w:id="48"/>
    </w:p>
    <w:p w:rsidR="001339DB" w:rsidRPr="001339DB" w:rsidRDefault="001339DB" w:rsidP="001339DB">
      <w:pPr>
        <w:widowControl w:val="0"/>
        <w:spacing w:after="0" w:line="360" w:lineRule="auto"/>
        <w:jc w:val="both"/>
        <w:rPr>
          <w:rFonts w:ascii="Book Antiqua" w:eastAsia="Times New Roman" w:hAnsi="Book Antiqua" w:cs="SimSun"/>
          <w:b/>
          <w:i/>
          <w:kern w:val="2"/>
          <w:sz w:val="24"/>
          <w:szCs w:val="24"/>
          <w:lang w:eastAsia="zh-CN"/>
        </w:rPr>
      </w:pPr>
      <w:bookmarkStart w:id="49" w:name="OLE_LINK19"/>
      <w:bookmarkStart w:id="50" w:name="OLE_LINK21"/>
      <w:bookmarkStart w:id="51" w:name="OLE_LINK2694"/>
      <w:r w:rsidRPr="001339DB">
        <w:rPr>
          <w:rFonts w:ascii="Book Antiqua" w:eastAsia="SimSun" w:hAnsi="Book Antiqua" w:cs="Arial"/>
          <w:b/>
          <w:kern w:val="2"/>
          <w:sz w:val="24"/>
          <w:szCs w:val="24"/>
          <w:lang w:val="en" w:eastAsia="zh-CN"/>
        </w:rPr>
        <w:t xml:space="preserve">ESPS Manuscript NO: </w:t>
      </w:r>
      <w:r w:rsidRPr="001339DB">
        <w:rPr>
          <w:rFonts w:ascii="Book Antiqua" w:eastAsia="SimSun" w:hAnsi="Book Antiqua" w:cs="Arial" w:hint="eastAsia"/>
          <w:b/>
          <w:kern w:val="2"/>
          <w:sz w:val="24"/>
          <w:szCs w:val="24"/>
          <w:lang w:val="en" w:eastAsia="zh-CN"/>
        </w:rPr>
        <w:t>31218</w:t>
      </w:r>
    </w:p>
    <w:p w:rsidR="001339DB" w:rsidRPr="001339DB" w:rsidRDefault="001339DB" w:rsidP="001339DB">
      <w:pPr>
        <w:widowControl w:val="0"/>
        <w:spacing w:after="0" w:line="240" w:lineRule="auto"/>
        <w:jc w:val="both"/>
        <w:rPr>
          <w:rFonts w:ascii="Book Antiqua" w:eastAsia="SimSun" w:hAnsi="Book Antiqua" w:cs="Times New Roman"/>
          <w:b/>
          <w:kern w:val="2"/>
          <w:sz w:val="24"/>
          <w:szCs w:val="24"/>
          <w:lang w:eastAsia="zh-CN"/>
        </w:rPr>
      </w:pPr>
      <w:bookmarkStart w:id="52" w:name="OLE_LINK886"/>
      <w:bookmarkStart w:id="53" w:name="OLE_LINK887"/>
      <w:bookmarkStart w:id="54" w:name="OLE_LINK888"/>
      <w:bookmarkStart w:id="55" w:name="OLE_LINK1072"/>
      <w:bookmarkStart w:id="56" w:name="OLE_LINK863"/>
      <w:bookmarkStart w:id="57" w:name="OLE_LINK965"/>
      <w:bookmarkStart w:id="58" w:name="OLE_LINK897"/>
      <w:bookmarkStart w:id="59" w:name="OLE_LINK1021"/>
      <w:bookmarkStart w:id="60" w:name="OLE_LINK870"/>
      <w:bookmarkStart w:id="61" w:name="OLE_LINK1029"/>
      <w:bookmarkStart w:id="62" w:name="OLE_LINK1154"/>
      <w:bookmarkStart w:id="63" w:name="OLE_LINK950"/>
      <w:bookmarkStart w:id="64" w:name="OLE_LINK1191"/>
      <w:bookmarkStart w:id="65" w:name="OLE_LINK1225"/>
      <w:bookmarkStart w:id="66" w:name="OLE_LINK1131"/>
      <w:bookmarkStart w:id="67" w:name="OLE_LINK1064"/>
      <w:bookmarkStart w:id="68" w:name="OLE_LINK1165"/>
      <w:bookmarkStart w:id="69" w:name="OLE_LINK1333"/>
      <w:bookmarkStart w:id="70" w:name="OLE_LINK1367"/>
      <w:bookmarkStart w:id="71" w:name="OLE_LINK1400"/>
      <w:bookmarkStart w:id="72" w:name="OLE_LINK1616"/>
      <w:bookmarkStart w:id="73" w:name="OLE_LINK1378"/>
      <w:bookmarkStart w:id="74" w:name="OLE_LINK1489"/>
      <w:bookmarkStart w:id="75" w:name="OLE_LINK1379"/>
      <w:bookmarkStart w:id="76" w:name="OLE_LINK1638"/>
      <w:bookmarkStart w:id="77" w:name="OLE_LINK1758"/>
      <w:bookmarkStart w:id="78" w:name="OLE_LINK1764"/>
      <w:bookmarkStart w:id="79" w:name="OLE_LINK1715"/>
      <w:bookmarkStart w:id="80" w:name="OLE_LINK1893"/>
      <w:bookmarkStart w:id="81" w:name="OLE_LINK1929"/>
      <w:bookmarkStart w:id="82" w:name="OLE_LINK1972"/>
      <w:bookmarkStart w:id="83" w:name="OLE_LINK1717"/>
      <w:bookmarkStart w:id="84" w:name="OLE_LINK1785"/>
      <w:bookmarkStart w:id="85" w:name="OLE_LINK1908"/>
      <w:bookmarkStart w:id="86" w:name="OLE_LINK1933"/>
      <w:bookmarkStart w:id="87" w:name="OLE_LINK1867"/>
      <w:bookmarkStart w:id="88" w:name="OLE_LINK1904"/>
      <w:bookmarkStart w:id="89" w:name="OLE_LINK1937"/>
      <w:bookmarkStart w:id="90" w:name="OLE_LINK2022"/>
      <w:bookmarkStart w:id="91" w:name="OLE_LINK2062"/>
      <w:bookmarkStart w:id="92" w:name="OLE_LINK2119"/>
      <w:bookmarkStart w:id="93" w:name="OLE_LINK2067"/>
      <w:bookmarkStart w:id="94" w:name="OLE_LINK2244"/>
      <w:bookmarkStart w:id="95" w:name="OLE_LINK2000"/>
      <w:bookmarkStart w:id="96" w:name="OLE_LINK3"/>
      <w:bookmarkStart w:id="97" w:name="OLE_LINK4"/>
      <w:bookmarkStart w:id="98" w:name="OLE_LINK5"/>
      <w:bookmarkStart w:id="99" w:name="OLE_LINK3045"/>
      <w:bookmarkEnd w:id="0"/>
      <w:bookmarkEnd w:id="1"/>
      <w:bookmarkEnd w:id="2"/>
      <w:bookmarkEnd w:id="49"/>
      <w:bookmarkEnd w:id="50"/>
      <w:bookmarkEnd w:id="51"/>
      <w:r w:rsidRPr="001339DB">
        <w:rPr>
          <w:rFonts w:ascii="Book Antiqua" w:eastAsia="SimSun" w:hAnsi="Book Antiqua" w:cs="Times New Roman"/>
          <w:b/>
          <w:kern w:val="2"/>
          <w:sz w:val="24"/>
          <w:szCs w:val="24"/>
          <w:lang w:eastAsia="zh-CN"/>
        </w:rPr>
        <w:t>Manuscript Type</w:t>
      </w:r>
      <w:bookmarkEnd w:id="3"/>
      <w:bookmarkEnd w:id="4"/>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1339DB">
        <w:rPr>
          <w:rFonts w:ascii="Book Antiqua" w:eastAsia="SimSun" w:hAnsi="Book Antiqua" w:cs="Times New Roman"/>
          <w:b/>
          <w:sz w:val="24"/>
          <w:szCs w:val="24"/>
          <w:lang w:eastAsia="zh-CN"/>
        </w:rPr>
        <w:t>:</w:t>
      </w:r>
      <w:bookmarkStart w:id="100" w:name="OLE_LINK74"/>
      <w:bookmarkStart w:id="101" w:name="OLE_LINK75"/>
      <w:bookmarkEnd w:id="5"/>
      <w:bookmarkEnd w:id="6"/>
      <w:bookmarkEnd w:id="7"/>
      <w:bookmarkEnd w:id="8"/>
      <w:r w:rsidRPr="001339DB">
        <w:rPr>
          <w:rFonts w:ascii="Book Antiqua" w:eastAsia="SimSun" w:hAnsi="Book Antiqua" w:cs="Times New Roman"/>
          <w:b/>
          <w:sz w:val="24"/>
          <w:szCs w:val="24"/>
          <w:lang w:eastAsia="zh-CN"/>
        </w:rPr>
        <w:t xml:space="preserve"> </w:t>
      </w:r>
      <w:bookmarkStart w:id="102" w:name="OLE_LINK7"/>
      <w:bookmarkStart w:id="103" w:name="OLE_LINK8"/>
      <w:bookmarkStart w:id="104" w:name="OLE_LINK1386"/>
      <w:bookmarkStart w:id="105" w:name="OLE_LINK37"/>
      <w:bookmarkStart w:id="106" w:name="OLE_LINK79"/>
      <w:bookmarkStart w:id="107" w:name="OLE_LINK3672"/>
      <w:bookmarkEnd w:id="9"/>
      <w:bookmarkEnd w:id="10"/>
      <w:bookmarkEnd w:id="11"/>
      <w:bookmarkEnd w:id="12"/>
      <w:bookmarkEnd w:id="13"/>
      <w:bookmarkEnd w:id="96"/>
      <w:bookmarkEnd w:id="97"/>
      <w:bookmarkEnd w:id="100"/>
      <w:bookmarkEnd w:id="101"/>
      <w:r w:rsidR="001406C4">
        <w:rPr>
          <w:rFonts w:ascii="Book Antiqua" w:eastAsia="SimSun" w:hAnsi="Book Antiqua" w:cs="Times New Roman"/>
          <w:b/>
          <w:sz w:val="24"/>
          <w:szCs w:val="24"/>
          <w:lang w:eastAsia="zh-CN"/>
        </w:rPr>
        <w:t>ORIGINAL ARTICLE</w:t>
      </w:r>
    </w:p>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98"/>
    <w:bookmarkEnd w:id="99"/>
    <w:bookmarkEnd w:id="102"/>
    <w:bookmarkEnd w:id="103"/>
    <w:bookmarkEnd w:id="104"/>
    <w:bookmarkEnd w:id="105"/>
    <w:bookmarkEnd w:id="106"/>
    <w:bookmarkEnd w:id="107"/>
    <w:p w:rsidR="00063C37" w:rsidRDefault="00063C37" w:rsidP="001339DB">
      <w:pPr>
        <w:adjustRightInd w:val="0"/>
        <w:snapToGrid w:val="0"/>
        <w:spacing w:after="0" w:line="360" w:lineRule="auto"/>
        <w:jc w:val="both"/>
        <w:rPr>
          <w:rFonts w:ascii="Book Antiqua" w:hAnsi="Book Antiqua"/>
          <w:b/>
          <w:sz w:val="24"/>
          <w:szCs w:val="24"/>
          <w:lang w:eastAsia="zh-CN"/>
        </w:rPr>
      </w:pPr>
    </w:p>
    <w:p w:rsidR="00B14400" w:rsidRDefault="00B14400" w:rsidP="001339DB">
      <w:pPr>
        <w:adjustRightInd w:val="0"/>
        <w:snapToGrid w:val="0"/>
        <w:spacing w:after="0" w:line="360" w:lineRule="auto"/>
        <w:jc w:val="both"/>
        <w:rPr>
          <w:rFonts w:ascii="Book Antiqua" w:hAnsi="Book Antiqua"/>
          <w:b/>
          <w:i/>
          <w:sz w:val="24"/>
          <w:szCs w:val="24"/>
          <w:lang w:eastAsia="zh-CN"/>
        </w:rPr>
      </w:pPr>
      <w:bookmarkStart w:id="108" w:name="OLE_LINK4131"/>
      <w:bookmarkStart w:id="109" w:name="OLE_LINK4132"/>
      <w:r w:rsidRPr="00B14400">
        <w:rPr>
          <w:rFonts w:ascii="Book Antiqua" w:hAnsi="Book Antiqua"/>
          <w:b/>
          <w:i/>
          <w:sz w:val="24"/>
          <w:szCs w:val="24"/>
          <w:lang w:eastAsia="zh-CN"/>
        </w:rPr>
        <w:t>Prospective Study</w:t>
      </w:r>
    </w:p>
    <w:p w:rsidR="00E15934" w:rsidRPr="001339DB" w:rsidRDefault="00BD6434" w:rsidP="001339DB">
      <w:pPr>
        <w:adjustRightInd w:val="0"/>
        <w:snapToGrid w:val="0"/>
        <w:spacing w:after="0" w:line="360" w:lineRule="auto"/>
        <w:jc w:val="both"/>
        <w:rPr>
          <w:rFonts w:ascii="Book Antiqua" w:hAnsi="Book Antiqua"/>
          <w:b/>
          <w:sz w:val="24"/>
          <w:szCs w:val="24"/>
          <w:lang w:eastAsia="zh-CN"/>
        </w:rPr>
      </w:pPr>
      <w:r w:rsidRPr="001339DB">
        <w:rPr>
          <w:rFonts w:ascii="Book Antiqua" w:hAnsi="Book Antiqua"/>
          <w:b/>
          <w:sz w:val="24"/>
          <w:szCs w:val="24"/>
        </w:rPr>
        <w:t xml:space="preserve">Cost-effectiveness </w:t>
      </w:r>
      <w:r w:rsidR="00EA7058" w:rsidRPr="001339DB">
        <w:rPr>
          <w:rFonts w:ascii="Book Antiqua" w:hAnsi="Book Antiqua"/>
          <w:b/>
          <w:sz w:val="24"/>
          <w:szCs w:val="24"/>
        </w:rPr>
        <w:t>of</w:t>
      </w:r>
      <w:r w:rsidR="00E15934" w:rsidRPr="001339DB">
        <w:rPr>
          <w:rFonts w:ascii="Book Antiqua" w:hAnsi="Book Antiqua"/>
          <w:b/>
          <w:sz w:val="24"/>
          <w:szCs w:val="24"/>
        </w:rPr>
        <w:t xml:space="preserve"> </w:t>
      </w:r>
      <w:r w:rsidR="001339DB" w:rsidRPr="001339DB">
        <w:rPr>
          <w:rFonts w:ascii="Book Antiqua" w:hAnsi="Book Antiqua"/>
          <w:b/>
          <w:sz w:val="24"/>
          <w:szCs w:val="24"/>
        </w:rPr>
        <w:t xml:space="preserve">enhanced liver fibrosis test to assess liver fibrosis in </w:t>
      </w:r>
      <w:r w:rsidR="00EA7058" w:rsidRPr="001339DB">
        <w:rPr>
          <w:rFonts w:ascii="Book Antiqua" w:hAnsi="Book Antiqua"/>
          <w:b/>
          <w:sz w:val="24"/>
          <w:szCs w:val="24"/>
        </w:rPr>
        <w:t xml:space="preserve">chronic </w:t>
      </w:r>
      <w:r w:rsidR="001339DB" w:rsidRPr="001339DB">
        <w:rPr>
          <w:rFonts w:ascii="Book Antiqua" w:hAnsi="Book Antiqua"/>
          <w:b/>
          <w:sz w:val="24"/>
          <w:szCs w:val="24"/>
        </w:rPr>
        <w:t xml:space="preserve">hepatitis C virus </w:t>
      </w:r>
      <w:r w:rsidR="00EA7058" w:rsidRPr="001339DB">
        <w:rPr>
          <w:rFonts w:ascii="Book Antiqua" w:hAnsi="Book Antiqua"/>
          <w:b/>
          <w:sz w:val="24"/>
          <w:szCs w:val="24"/>
        </w:rPr>
        <w:t xml:space="preserve">and </w:t>
      </w:r>
      <w:r w:rsidR="001339DB" w:rsidRPr="001339DB">
        <w:rPr>
          <w:rFonts w:ascii="Book Antiqua" w:hAnsi="Book Antiqua"/>
          <w:b/>
          <w:sz w:val="24"/>
          <w:szCs w:val="24"/>
        </w:rPr>
        <w:t xml:space="preserve">alcoholic liver disease </w:t>
      </w:r>
      <w:r w:rsidR="001769DC" w:rsidRPr="001339DB">
        <w:rPr>
          <w:rFonts w:ascii="Book Antiqua" w:hAnsi="Book Antiqua"/>
          <w:b/>
          <w:sz w:val="24"/>
          <w:szCs w:val="24"/>
        </w:rPr>
        <w:t>patients</w:t>
      </w:r>
    </w:p>
    <w:bookmarkEnd w:id="108"/>
    <w:bookmarkEnd w:id="109"/>
    <w:p w:rsidR="001339DB" w:rsidRPr="001339DB" w:rsidRDefault="001339DB" w:rsidP="001339DB">
      <w:pPr>
        <w:adjustRightInd w:val="0"/>
        <w:snapToGrid w:val="0"/>
        <w:spacing w:after="0" w:line="360" w:lineRule="auto"/>
        <w:jc w:val="both"/>
        <w:rPr>
          <w:rFonts w:ascii="Book Antiqua" w:hAnsi="Book Antiqua"/>
          <w:b/>
          <w:sz w:val="24"/>
          <w:szCs w:val="24"/>
          <w:lang w:eastAsia="zh-CN"/>
        </w:rPr>
      </w:pPr>
    </w:p>
    <w:p w:rsidR="001339DB" w:rsidRPr="00E305A5" w:rsidRDefault="001339DB" w:rsidP="001339DB">
      <w:pPr>
        <w:adjustRightInd w:val="0"/>
        <w:snapToGrid w:val="0"/>
        <w:spacing w:after="0" w:line="360" w:lineRule="auto"/>
        <w:jc w:val="both"/>
        <w:rPr>
          <w:rFonts w:ascii="Book Antiqua" w:hAnsi="Book Antiqua"/>
          <w:sz w:val="24"/>
          <w:szCs w:val="24"/>
          <w:lang w:eastAsia="zh-CN"/>
        </w:rPr>
      </w:pPr>
      <w:r w:rsidRPr="00E305A5">
        <w:rPr>
          <w:rFonts w:ascii="Book Antiqua" w:hAnsi="Book Antiqua"/>
          <w:sz w:val="24"/>
          <w:szCs w:val="24"/>
          <w:lang w:eastAsia="zh-CN"/>
        </w:rPr>
        <w:t>Soto</w:t>
      </w:r>
      <w:r w:rsidRPr="00E305A5">
        <w:rPr>
          <w:rFonts w:ascii="Book Antiqua" w:hAnsi="Book Antiqua" w:hint="eastAsia"/>
          <w:sz w:val="24"/>
          <w:szCs w:val="24"/>
          <w:lang w:eastAsia="zh-CN"/>
        </w:rPr>
        <w:t xml:space="preserve"> M </w:t>
      </w:r>
      <w:r w:rsidRPr="00E305A5">
        <w:rPr>
          <w:rFonts w:ascii="Book Antiqua" w:hAnsi="Book Antiqua" w:hint="eastAsia"/>
          <w:i/>
          <w:sz w:val="24"/>
          <w:szCs w:val="24"/>
          <w:lang w:eastAsia="zh-CN"/>
        </w:rPr>
        <w:t>et al</w:t>
      </w:r>
      <w:r w:rsidRPr="00E305A5">
        <w:rPr>
          <w:rFonts w:ascii="Book Antiqua" w:hAnsi="Book Antiqua" w:hint="eastAsia"/>
          <w:sz w:val="24"/>
          <w:szCs w:val="24"/>
          <w:lang w:eastAsia="zh-CN"/>
        </w:rPr>
        <w:t xml:space="preserve">. </w:t>
      </w:r>
      <w:r w:rsidR="00E305A5" w:rsidRPr="00E305A5">
        <w:rPr>
          <w:rFonts w:ascii="Book Antiqua" w:hAnsi="Book Antiqua"/>
          <w:sz w:val="24"/>
          <w:szCs w:val="24"/>
          <w:lang w:eastAsia="zh-CN"/>
        </w:rPr>
        <w:t>Cost-effectiveness of ELF to assess liver fibrosis in HCV and ALD</w:t>
      </w:r>
    </w:p>
    <w:p w:rsidR="001339DB" w:rsidRPr="001339DB" w:rsidRDefault="001339DB" w:rsidP="001339DB">
      <w:pPr>
        <w:adjustRightInd w:val="0"/>
        <w:snapToGrid w:val="0"/>
        <w:spacing w:after="0" w:line="360" w:lineRule="auto"/>
        <w:jc w:val="both"/>
        <w:rPr>
          <w:rFonts w:ascii="Book Antiqua" w:hAnsi="Book Antiqua"/>
          <w:b/>
          <w:sz w:val="24"/>
          <w:szCs w:val="24"/>
          <w:lang w:eastAsia="zh-CN"/>
        </w:rPr>
      </w:pPr>
    </w:p>
    <w:p w:rsidR="0083329C" w:rsidRPr="001339DB" w:rsidRDefault="0083329C" w:rsidP="001339DB">
      <w:pPr>
        <w:adjustRightInd w:val="0"/>
        <w:snapToGrid w:val="0"/>
        <w:spacing w:after="0" w:line="360" w:lineRule="auto"/>
        <w:jc w:val="both"/>
        <w:rPr>
          <w:rFonts w:ascii="Book Antiqua" w:hAnsi="Book Antiqua"/>
          <w:sz w:val="24"/>
          <w:szCs w:val="24"/>
          <w:lang w:val="es-ES" w:eastAsia="zh-CN"/>
        </w:rPr>
      </w:pPr>
      <w:bookmarkStart w:id="110" w:name="OLE_LINK4133"/>
      <w:r w:rsidRPr="001339DB">
        <w:rPr>
          <w:rFonts w:ascii="Book Antiqua" w:hAnsi="Book Antiqua"/>
          <w:sz w:val="24"/>
          <w:szCs w:val="24"/>
          <w:lang w:val="es-ES"/>
        </w:rPr>
        <w:t>Marcelo Soto</w:t>
      </w:r>
      <w:r w:rsidR="001339DB" w:rsidRPr="001339DB">
        <w:rPr>
          <w:rFonts w:ascii="Book Antiqua" w:hAnsi="Book Antiqua" w:hint="eastAsia"/>
          <w:sz w:val="24"/>
          <w:szCs w:val="24"/>
          <w:lang w:val="es-ES" w:eastAsia="zh-CN"/>
        </w:rPr>
        <w:t>,</w:t>
      </w:r>
      <w:r w:rsidRPr="001339DB">
        <w:rPr>
          <w:rFonts w:ascii="Book Antiqua" w:hAnsi="Book Antiqua"/>
          <w:sz w:val="24"/>
          <w:szCs w:val="24"/>
          <w:lang w:val="es-ES"/>
        </w:rPr>
        <w:t xml:space="preserve"> Laura Sampietro-Colom</w:t>
      </w:r>
      <w:r w:rsidR="001339DB" w:rsidRPr="001339DB">
        <w:rPr>
          <w:rFonts w:ascii="Book Antiqua" w:hAnsi="Book Antiqua" w:hint="eastAsia"/>
          <w:sz w:val="24"/>
          <w:szCs w:val="24"/>
          <w:lang w:val="es-ES" w:eastAsia="zh-CN"/>
        </w:rPr>
        <w:t xml:space="preserve">, </w:t>
      </w:r>
      <w:r w:rsidR="00BC3AFC" w:rsidRPr="001339DB">
        <w:rPr>
          <w:rFonts w:ascii="Book Antiqua" w:hAnsi="Book Antiqua"/>
          <w:sz w:val="24"/>
          <w:szCs w:val="24"/>
          <w:lang w:val="es-ES"/>
        </w:rPr>
        <w:t>Luis Lasalvia</w:t>
      </w:r>
      <w:r w:rsidR="001339DB" w:rsidRPr="001339DB">
        <w:rPr>
          <w:rFonts w:ascii="Book Antiqua" w:hAnsi="Book Antiqua" w:hint="eastAsia"/>
          <w:sz w:val="24"/>
          <w:szCs w:val="24"/>
          <w:lang w:val="es-ES" w:eastAsia="zh-CN"/>
        </w:rPr>
        <w:t>,</w:t>
      </w:r>
      <w:r w:rsidR="00BC3AFC" w:rsidRPr="001339DB">
        <w:rPr>
          <w:rFonts w:ascii="Book Antiqua" w:hAnsi="Book Antiqua"/>
          <w:sz w:val="24"/>
          <w:szCs w:val="24"/>
          <w:lang w:val="es-ES"/>
        </w:rPr>
        <w:t xml:space="preserve"> </w:t>
      </w:r>
      <w:r w:rsidRPr="001339DB">
        <w:rPr>
          <w:rFonts w:ascii="Book Antiqua" w:hAnsi="Book Antiqua"/>
          <w:sz w:val="24"/>
          <w:szCs w:val="24"/>
          <w:lang w:val="es-ES"/>
        </w:rPr>
        <w:t>Aurea Mira</w:t>
      </w:r>
      <w:r w:rsidR="001339DB" w:rsidRPr="001339DB">
        <w:rPr>
          <w:rFonts w:ascii="Book Antiqua" w:hAnsi="Book Antiqua" w:hint="eastAsia"/>
          <w:sz w:val="24"/>
          <w:szCs w:val="24"/>
          <w:lang w:val="es-ES" w:eastAsia="zh-CN"/>
        </w:rPr>
        <w:t>,</w:t>
      </w:r>
      <w:r w:rsidRPr="001339DB">
        <w:rPr>
          <w:rFonts w:ascii="Book Antiqua" w:hAnsi="Book Antiqua"/>
          <w:sz w:val="24"/>
          <w:szCs w:val="24"/>
          <w:lang w:val="es-ES"/>
        </w:rPr>
        <w:t xml:space="preserve"> Wladimiro Jiménez</w:t>
      </w:r>
      <w:r w:rsidR="001339DB" w:rsidRPr="001339DB">
        <w:rPr>
          <w:rFonts w:ascii="Book Antiqua" w:hAnsi="Book Antiqua" w:hint="eastAsia"/>
          <w:sz w:val="24"/>
          <w:szCs w:val="24"/>
          <w:lang w:val="es-ES" w:eastAsia="zh-CN"/>
        </w:rPr>
        <w:t>,</w:t>
      </w:r>
      <w:r w:rsidRPr="001339DB">
        <w:rPr>
          <w:rFonts w:ascii="Book Antiqua" w:hAnsi="Book Antiqua"/>
          <w:sz w:val="24"/>
          <w:szCs w:val="24"/>
          <w:lang w:val="es-ES"/>
        </w:rPr>
        <w:t xml:space="preserve"> Miquel Navasa</w:t>
      </w:r>
      <w:r w:rsidR="007328BD" w:rsidRPr="001339DB">
        <w:rPr>
          <w:rFonts w:ascii="Book Antiqua" w:hAnsi="Book Antiqua"/>
          <w:sz w:val="24"/>
          <w:szCs w:val="24"/>
          <w:lang w:val="es-ES"/>
        </w:rPr>
        <w:t xml:space="preserve"> </w:t>
      </w:r>
    </w:p>
    <w:bookmarkEnd w:id="110"/>
    <w:p w:rsidR="001339DB" w:rsidRPr="001339DB" w:rsidRDefault="001339DB" w:rsidP="001339DB">
      <w:pPr>
        <w:adjustRightInd w:val="0"/>
        <w:snapToGrid w:val="0"/>
        <w:spacing w:after="0" w:line="360" w:lineRule="auto"/>
        <w:jc w:val="both"/>
        <w:rPr>
          <w:rFonts w:ascii="Book Antiqua" w:hAnsi="Book Antiqua"/>
          <w:sz w:val="24"/>
          <w:szCs w:val="24"/>
          <w:lang w:val="es-ES" w:eastAsia="zh-CN"/>
        </w:rPr>
      </w:pPr>
    </w:p>
    <w:p w:rsidR="001339DB" w:rsidRPr="001339DB" w:rsidRDefault="001339DB" w:rsidP="001339DB">
      <w:pPr>
        <w:adjustRightInd w:val="0"/>
        <w:snapToGrid w:val="0"/>
        <w:spacing w:after="0" w:line="360" w:lineRule="auto"/>
        <w:jc w:val="both"/>
        <w:rPr>
          <w:rFonts w:ascii="Book Antiqua" w:hAnsi="Book Antiqua"/>
          <w:sz w:val="24"/>
          <w:szCs w:val="24"/>
          <w:lang w:val="es-ES" w:eastAsia="zh-CN"/>
        </w:rPr>
      </w:pPr>
      <w:r w:rsidRPr="001339DB">
        <w:rPr>
          <w:rFonts w:ascii="Book Antiqua" w:hAnsi="Book Antiqua"/>
          <w:b/>
          <w:sz w:val="24"/>
          <w:szCs w:val="24"/>
          <w:lang w:val="es-ES"/>
        </w:rPr>
        <w:t>Marcelo Soto</w:t>
      </w:r>
      <w:r w:rsidRPr="001339DB">
        <w:rPr>
          <w:rFonts w:ascii="Book Antiqua" w:hAnsi="Book Antiqua" w:hint="eastAsia"/>
          <w:b/>
          <w:sz w:val="24"/>
          <w:szCs w:val="24"/>
          <w:lang w:val="es-ES" w:eastAsia="zh-CN"/>
        </w:rPr>
        <w:t>,</w:t>
      </w:r>
      <w:r w:rsidRPr="001339DB">
        <w:rPr>
          <w:rFonts w:ascii="Book Antiqua" w:hAnsi="Book Antiqua"/>
          <w:sz w:val="24"/>
          <w:szCs w:val="24"/>
          <w:lang w:val="es-ES"/>
        </w:rPr>
        <w:t xml:space="preserve"> </w:t>
      </w:r>
      <w:r w:rsidR="0083329C" w:rsidRPr="001339DB">
        <w:rPr>
          <w:rFonts w:ascii="Book Antiqua" w:hAnsi="Book Antiqua"/>
          <w:sz w:val="24"/>
          <w:szCs w:val="24"/>
          <w:lang w:val="es-ES"/>
        </w:rPr>
        <w:t xml:space="preserve">Fundació Clínic per a la Recerca Biomèdica, </w:t>
      </w:r>
      <w:r w:rsidR="004C46D5" w:rsidRPr="007962DE">
        <w:rPr>
          <w:rFonts w:ascii="Book Antiqua" w:hAnsi="Book Antiqua"/>
          <w:sz w:val="24"/>
          <w:szCs w:val="24"/>
          <w:lang w:val="es-ES_tradnl"/>
        </w:rPr>
        <w:t xml:space="preserve">08036 </w:t>
      </w:r>
      <w:r w:rsidR="0083329C" w:rsidRPr="001339DB">
        <w:rPr>
          <w:rFonts w:ascii="Book Antiqua" w:hAnsi="Book Antiqua"/>
          <w:sz w:val="24"/>
          <w:szCs w:val="24"/>
          <w:lang w:val="es-ES"/>
        </w:rPr>
        <w:t xml:space="preserve">Barcelona, </w:t>
      </w:r>
      <w:r w:rsidR="00941254" w:rsidRPr="001339DB">
        <w:rPr>
          <w:rFonts w:ascii="Book Antiqua" w:hAnsi="Book Antiqua"/>
          <w:sz w:val="24"/>
          <w:szCs w:val="24"/>
          <w:lang w:val="es-ES"/>
        </w:rPr>
        <w:t>Spain</w:t>
      </w:r>
    </w:p>
    <w:p w:rsidR="001339DB" w:rsidRPr="001339DB" w:rsidRDefault="001339DB" w:rsidP="001339DB">
      <w:pPr>
        <w:adjustRightInd w:val="0"/>
        <w:snapToGrid w:val="0"/>
        <w:spacing w:after="0" w:line="360" w:lineRule="auto"/>
        <w:jc w:val="both"/>
        <w:rPr>
          <w:rFonts w:ascii="Book Antiqua" w:hAnsi="Book Antiqua"/>
          <w:sz w:val="24"/>
          <w:szCs w:val="24"/>
          <w:lang w:val="es-ES" w:eastAsia="zh-CN"/>
        </w:rPr>
      </w:pPr>
    </w:p>
    <w:p w:rsidR="001339DB" w:rsidRPr="001339DB" w:rsidRDefault="001339DB" w:rsidP="001339DB">
      <w:pPr>
        <w:adjustRightInd w:val="0"/>
        <w:snapToGrid w:val="0"/>
        <w:spacing w:after="0" w:line="360" w:lineRule="auto"/>
        <w:jc w:val="both"/>
        <w:rPr>
          <w:rFonts w:ascii="Book Antiqua" w:hAnsi="Book Antiqua"/>
          <w:sz w:val="24"/>
          <w:szCs w:val="24"/>
          <w:lang w:eastAsia="zh-CN"/>
        </w:rPr>
      </w:pPr>
      <w:r w:rsidRPr="001339DB">
        <w:rPr>
          <w:rFonts w:ascii="Book Antiqua" w:hAnsi="Book Antiqua"/>
          <w:b/>
          <w:sz w:val="24"/>
          <w:szCs w:val="24"/>
        </w:rPr>
        <w:t xml:space="preserve">Laura </w:t>
      </w:r>
      <w:proofErr w:type="spellStart"/>
      <w:r w:rsidRPr="001339DB">
        <w:rPr>
          <w:rFonts w:ascii="Book Antiqua" w:hAnsi="Book Antiqua"/>
          <w:b/>
          <w:sz w:val="24"/>
          <w:szCs w:val="24"/>
        </w:rPr>
        <w:t>Sampietro</w:t>
      </w:r>
      <w:proofErr w:type="spellEnd"/>
      <w:r w:rsidRPr="001339DB">
        <w:rPr>
          <w:rFonts w:ascii="Book Antiqua" w:hAnsi="Book Antiqua"/>
          <w:b/>
          <w:sz w:val="24"/>
          <w:szCs w:val="24"/>
        </w:rPr>
        <w:t>-Colom</w:t>
      </w:r>
      <w:r w:rsidRPr="001339DB">
        <w:rPr>
          <w:rFonts w:ascii="Book Antiqua" w:hAnsi="Book Antiqua" w:hint="eastAsia"/>
          <w:b/>
          <w:sz w:val="24"/>
          <w:szCs w:val="24"/>
          <w:lang w:eastAsia="zh-CN"/>
        </w:rPr>
        <w:t>,</w:t>
      </w:r>
      <w:r w:rsidRPr="001339DB">
        <w:rPr>
          <w:rFonts w:ascii="Book Antiqua" w:hAnsi="Book Antiqua"/>
          <w:b/>
          <w:sz w:val="24"/>
          <w:szCs w:val="24"/>
        </w:rPr>
        <w:t xml:space="preserve"> </w:t>
      </w:r>
      <w:r w:rsidR="0083329C" w:rsidRPr="001339DB">
        <w:rPr>
          <w:rFonts w:ascii="Book Antiqua" w:hAnsi="Book Antiqua"/>
          <w:sz w:val="24"/>
          <w:szCs w:val="24"/>
        </w:rPr>
        <w:t xml:space="preserve">Health Technology Assessment Unit, Hospital </w:t>
      </w:r>
      <w:proofErr w:type="spellStart"/>
      <w:r w:rsidR="0083329C" w:rsidRPr="001339DB">
        <w:rPr>
          <w:rFonts w:ascii="Book Antiqua" w:hAnsi="Book Antiqua"/>
          <w:sz w:val="24"/>
          <w:szCs w:val="24"/>
        </w:rPr>
        <w:t>Clínic</w:t>
      </w:r>
      <w:proofErr w:type="spellEnd"/>
      <w:r w:rsidR="0083329C" w:rsidRPr="001339DB">
        <w:rPr>
          <w:rFonts w:ascii="Book Antiqua" w:hAnsi="Book Antiqua"/>
          <w:sz w:val="24"/>
          <w:szCs w:val="24"/>
        </w:rPr>
        <w:t xml:space="preserve">, Barcelona, </w:t>
      </w:r>
      <w:r w:rsidR="007C2EDF" w:rsidRPr="007C2EDF">
        <w:rPr>
          <w:rFonts w:ascii="Book Antiqua" w:hAnsi="Book Antiqua"/>
          <w:sz w:val="24"/>
          <w:szCs w:val="24"/>
        </w:rPr>
        <w:t>08036 Barcelona</w:t>
      </w:r>
      <w:r w:rsidR="007C2EDF" w:rsidRPr="007C2EDF">
        <w:rPr>
          <w:rFonts w:ascii="Book Antiqua" w:hAnsi="Book Antiqua" w:hint="eastAsia"/>
          <w:sz w:val="24"/>
          <w:szCs w:val="24"/>
          <w:lang w:eastAsia="zh-CN"/>
        </w:rPr>
        <w:t>,</w:t>
      </w:r>
      <w:r w:rsidR="007C2EDF" w:rsidRPr="007C2EDF">
        <w:rPr>
          <w:rFonts w:ascii="Book Antiqua" w:hAnsi="Book Antiqua"/>
          <w:sz w:val="24"/>
          <w:szCs w:val="24"/>
        </w:rPr>
        <w:t xml:space="preserve"> </w:t>
      </w:r>
      <w:r w:rsidR="0083329C" w:rsidRPr="001339DB">
        <w:rPr>
          <w:rFonts w:ascii="Book Antiqua" w:hAnsi="Book Antiqua"/>
          <w:sz w:val="24"/>
          <w:szCs w:val="24"/>
        </w:rPr>
        <w:t>Spain</w:t>
      </w:r>
    </w:p>
    <w:p w:rsidR="001339DB" w:rsidRPr="001339DB" w:rsidRDefault="001339DB" w:rsidP="001339DB">
      <w:pPr>
        <w:adjustRightInd w:val="0"/>
        <w:snapToGrid w:val="0"/>
        <w:spacing w:after="0" w:line="360" w:lineRule="auto"/>
        <w:jc w:val="both"/>
        <w:rPr>
          <w:rFonts w:ascii="Book Antiqua" w:hAnsi="Book Antiqua"/>
          <w:sz w:val="24"/>
          <w:szCs w:val="24"/>
          <w:lang w:eastAsia="zh-CN"/>
        </w:rPr>
      </w:pPr>
    </w:p>
    <w:p w:rsidR="001339DB" w:rsidRPr="001339DB" w:rsidRDefault="001339DB" w:rsidP="001339DB">
      <w:pPr>
        <w:adjustRightInd w:val="0"/>
        <w:snapToGrid w:val="0"/>
        <w:spacing w:after="0" w:line="360" w:lineRule="auto"/>
        <w:jc w:val="both"/>
        <w:rPr>
          <w:rFonts w:ascii="Book Antiqua" w:hAnsi="Book Antiqua"/>
          <w:sz w:val="24"/>
          <w:szCs w:val="24"/>
          <w:lang w:eastAsia="zh-CN"/>
        </w:rPr>
      </w:pPr>
      <w:r w:rsidRPr="001339DB">
        <w:rPr>
          <w:rFonts w:ascii="Book Antiqua" w:hAnsi="Book Antiqua"/>
          <w:b/>
          <w:sz w:val="24"/>
          <w:szCs w:val="24"/>
        </w:rPr>
        <w:t xml:space="preserve">Luis </w:t>
      </w:r>
      <w:proofErr w:type="spellStart"/>
      <w:r w:rsidRPr="001339DB">
        <w:rPr>
          <w:rFonts w:ascii="Book Antiqua" w:hAnsi="Book Antiqua"/>
          <w:b/>
          <w:sz w:val="24"/>
          <w:szCs w:val="24"/>
        </w:rPr>
        <w:t>Lasalvia</w:t>
      </w:r>
      <w:proofErr w:type="spellEnd"/>
      <w:r w:rsidRPr="001339DB">
        <w:rPr>
          <w:rFonts w:ascii="Book Antiqua" w:hAnsi="Book Antiqua" w:hint="eastAsia"/>
          <w:b/>
          <w:sz w:val="24"/>
          <w:szCs w:val="24"/>
          <w:lang w:eastAsia="zh-CN"/>
        </w:rPr>
        <w:t>,</w:t>
      </w:r>
      <w:r w:rsidRPr="001339DB">
        <w:rPr>
          <w:rFonts w:ascii="Book Antiqua" w:hAnsi="Book Antiqua"/>
          <w:b/>
          <w:sz w:val="24"/>
          <w:szCs w:val="24"/>
        </w:rPr>
        <w:t xml:space="preserve"> </w:t>
      </w:r>
      <w:r w:rsidR="00BC3AFC" w:rsidRPr="001339DB">
        <w:rPr>
          <w:rFonts w:ascii="Book Antiqua" w:hAnsi="Book Antiqua"/>
          <w:sz w:val="24"/>
          <w:szCs w:val="24"/>
        </w:rPr>
        <w:t>Siemens Healthcare,</w:t>
      </w:r>
      <w:r w:rsidR="006C372B" w:rsidRPr="001339DB">
        <w:rPr>
          <w:rFonts w:ascii="Book Antiqua" w:hAnsi="Book Antiqua"/>
          <w:sz w:val="24"/>
          <w:szCs w:val="24"/>
        </w:rPr>
        <w:t xml:space="preserve"> Tarrytown,</w:t>
      </w:r>
      <w:r>
        <w:rPr>
          <w:rFonts w:ascii="Book Antiqua" w:hAnsi="Book Antiqua" w:hint="eastAsia"/>
          <w:sz w:val="24"/>
          <w:szCs w:val="24"/>
          <w:lang w:eastAsia="zh-CN"/>
        </w:rPr>
        <w:t xml:space="preserve"> </w:t>
      </w:r>
      <w:r w:rsidR="00E305A5" w:rsidRPr="00E305A5">
        <w:rPr>
          <w:rFonts w:ascii="Book Antiqua" w:hAnsi="Book Antiqua"/>
          <w:sz w:val="24"/>
          <w:szCs w:val="24"/>
          <w:lang w:eastAsia="zh-CN"/>
        </w:rPr>
        <w:t>NY 10591</w:t>
      </w:r>
      <w:r>
        <w:rPr>
          <w:rFonts w:ascii="Book Antiqua" w:hAnsi="Book Antiqua" w:hint="eastAsia"/>
          <w:sz w:val="24"/>
          <w:szCs w:val="24"/>
          <w:lang w:eastAsia="zh-CN"/>
        </w:rPr>
        <w:t>,</w:t>
      </w:r>
      <w:r w:rsidR="00C731E9">
        <w:rPr>
          <w:rFonts w:ascii="Book Antiqua" w:hAnsi="Book Antiqua" w:hint="eastAsia"/>
          <w:sz w:val="24"/>
          <w:szCs w:val="24"/>
          <w:lang w:eastAsia="zh-CN"/>
        </w:rPr>
        <w:t xml:space="preserve"> </w:t>
      </w:r>
      <w:r>
        <w:rPr>
          <w:rFonts w:ascii="Book Antiqua" w:hAnsi="Book Antiqua" w:hint="eastAsia"/>
          <w:sz w:val="24"/>
          <w:szCs w:val="24"/>
          <w:lang w:eastAsia="zh-CN"/>
        </w:rPr>
        <w:t>United States</w:t>
      </w:r>
    </w:p>
    <w:p w:rsidR="001339DB" w:rsidRPr="001339DB" w:rsidRDefault="001339DB" w:rsidP="001339DB">
      <w:pPr>
        <w:adjustRightInd w:val="0"/>
        <w:snapToGrid w:val="0"/>
        <w:spacing w:after="0" w:line="360" w:lineRule="auto"/>
        <w:jc w:val="both"/>
        <w:rPr>
          <w:rFonts w:ascii="Book Antiqua" w:hAnsi="Book Antiqua"/>
          <w:sz w:val="24"/>
          <w:szCs w:val="24"/>
          <w:lang w:eastAsia="zh-CN"/>
        </w:rPr>
      </w:pPr>
    </w:p>
    <w:p w:rsidR="001339DB" w:rsidRPr="001339DB" w:rsidRDefault="001339DB" w:rsidP="001339DB">
      <w:pPr>
        <w:adjustRightInd w:val="0"/>
        <w:snapToGrid w:val="0"/>
        <w:spacing w:after="0" w:line="360" w:lineRule="auto"/>
        <w:jc w:val="both"/>
        <w:rPr>
          <w:rFonts w:ascii="Book Antiqua" w:hAnsi="Book Antiqua"/>
          <w:sz w:val="24"/>
          <w:szCs w:val="24"/>
          <w:lang w:eastAsia="zh-CN"/>
        </w:rPr>
      </w:pPr>
      <w:r w:rsidRPr="001339DB">
        <w:rPr>
          <w:rFonts w:ascii="Book Antiqua" w:hAnsi="Book Antiqua"/>
          <w:b/>
          <w:sz w:val="24"/>
          <w:szCs w:val="24"/>
        </w:rPr>
        <w:t>Aurea Mira</w:t>
      </w:r>
      <w:r w:rsidRPr="001339DB">
        <w:rPr>
          <w:rFonts w:ascii="Book Antiqua" w:hAnsi="Book Antiqua" w:hint="eastAsia"/>
          <w:b/>
          <w:sz w:val="24"/>
          <w:szCs w:val="24"/>
          <w:lang w:eastAsia="zh-CN"/>
        </w:rPr>
        <w:t>,</w:t>
      </w:r>
      <w:r w:rsidRPr="001339DB">
        <w:rPr>
          <w:rFonts w:ascii="Book Antiqua" w:hAnsi="Book Antiqua"/>
          <w:sz w:val="24"/>
          <w:szCs w:val="24"/>
        </w:rPr>
        <w:t xml:space="preserve"> </w:t>
      </w:r>
      <w:r w:rsidR="0083329C" w:rsidRPr="001339DB">
        <w:rPr>
          <w:rFonts w:ascii="Book Antiqua" w:hAnsi="Book Antiqua"/>
          <w:sz w:val="24"/>
          <w:szCs w:val="24"/>
        </w:rPr>
        <w:t>Department of Clinical Micro</w:t>
      </w:r>
      <w:r w:rsidR="00941254" w:rsidRPr="001339DB">
        <w:rPr>
          <w:rFonts w:ascii="Book Antiqua" w:hAnsi="Book Antiqua"/>
          <w:sz w:val="24"/>
          <w:szCs w:val="24"/>
        </w:rPr>
        <w:t>biology</w:t>
      </w:r>
      <w:r w:rsidR="0083329C" w:rsidRPr="001339DB">
        <w:rPr>
          <w:rFonts w:ascii="Book Antiqua" w:hAnsi="Book Antiqua"/>
          <w:sz w:val="24"/>
          <w:szCs w:val="24"/>
        </w:rPr>
        <w:t xml:space="preserve">, Hospital </w:t>
      </w:r>
      <w:proofErr w:type="spellStart"/>
      <w:r w:rsidR="0083329C" w:rsidRPr="001339DB">
        <w:rPr>
          <w:rFonts w:ascii="Book Antiqua" w:hAnsi="Book Antiqua"/>
          <w:sz w:val="24"/>
          <w:szCs w:val="24"/>
        </w:rPr>
        <w:t>Clínic</w:t>
      </w:r>
      <w:proofErr w:type="spellEnd"/>
      <w:r w:rsidR="0083329C" w:rsidRPr="001339DB">
        <w:rPr>
          <w:rFonts w:ascii="Book Antiqua" w:hAnsi="Book Antiqua"/>
          <w:sz w:val="24"/>
          <w:szCs w:val="24"/>
        </w:rPr>
        <w:t xml:space="preserve">, </w:t>
      </w:r>
      <w:r w:rsidR="007C2EDF" w:rsidRPr="007C2EDF">
        <w:rPr>
          <w:rFonts w:ascii="Book Antiqua" w:hAnsi="Book Antiqua"/>
          <w:sz w:val="24"/>
          <w:szCs w:val="24"/>
        </w:rPr>
        <w:t>08036 Barcelona</w:t>
      </w:r>
      <w:r w:rsidR="0083329C" w:rsidRPr="001339DB">
        <w:rPr>
          <w:rFonts w:ascii="Book Antiqua" w:hAnsi="Book Antiqua"/>
          <w:sz w:val="24"/>
          <w:szCs w:val="24"/>
        </w:rPr>
        <w:t>, Spain</w:t>
      </w:r>
    </w:p>
    <w:p w:rsidR="001339DB" w:rsidRPr="001339DB" w:rsidRDefault="001339DB" w:rsidP="001339DB">
      <w:pPr>
        <w:adjustRightInd w:val="0"/>
        <w:snapToGrid w:val="0"/>
        <w:spacing w:after="0" w:line="360" w:lineRule="auto"/>
        <w:jc w:val="both"/>
        <w:rPr>
          <w:rFonts w:ascii="Book Antiqua" w:hAnsi="Book Antiqua"/>
          <w:sz w:val="24"/>
          <w:szCs w:val="24"/>
          <w:lang w:eastAsia="zh-CN"/>
        </w:rPr>
      </w:pPr>
    </w:p>
    <w:p w:rsidR="001339DB" w:rsidRPr="001339DB" w:rsidRDefault="001339DB" w:rsidP="001339DB">
      <w:pPr>
        <w:adjustRightInd w:val="0"/>
        <w:snapToGrid w:val="0"/>
        <w:spacing w:after="0" w:line="360" w:lineRule="auto"/>
        <w:jc w:val="both"/>
        <w:rPr>
          <w:rFonts w:ascii="Book Antiqua" w:hAnsi="Book Antiqua"/>
          <w:sz w:val="24"/>
          <w:szCs w:val="24"/>
          <w:lang w:eastAsia="zh-CN"/>
        </w:rPr>
      </w:pPr>
      <w:proofErr w:type="spellStart"/>
      <w:r w:rsidRPr="001339DB">
        <w:rPr>
          <w:rFonts w:ascii="Book Antiqua" w:hAnsi="Book Antiqua"/>
          <w:b/>
          <w:sz w:val="24"/>
          <w:szCs w:val="24"/>
        </w:rPr>
        <w:t>Wladimiro</w:t>
      </w:r>
      <w:proofErr w:type="spellEnd"/>
      <w:r w:rsidRPr="001339DB">
        <w:rPr>
          <w:rFonts w:ascii="Book Antiqua" w:hAnsi="Book Antiqua"/>
          <w:b/>
          <w:sz w:val="24"/>
          <w:szCs w:val="24"/>
        </w:rPr>
        <w:t xml:space="preserve"> Jiménez</w:t>
      </w:r>
      <w:r w:rsidRPr="001339DB">
        <w:rPr>
          <w:rFonts w:ascii="Book Antiqua" w:hAnsi="Book Antiqua" w:hint="eastAsia"/>
          <w:b/>
          <w:sz w:val="24"/>
          <w:szCs w:val="24"/>
          <w:lang w:eastAsia="zh-CN"/>
        </w:rPr>
        <w:t>,</w:t>
      </w:r>
      <w:r w:rsidRPr="001339DB">
        <w:rPr>
          <w:rFonts w:ascii="Book Antiqua" w:hAnsi="Book Antiqua"/>
          <w:sz w:val="24"/>
          <w:szCs w:val="24"/>
        </w:rPr>
        <w:t xml:space="preserve"> </w:t>
      </w:r>
      <w:r w:rsidR="00941254" w:rsidRPr="001339DB">
        <w:rPr>
          <w:rFonts w:ascii="Book Antiqua" w:hAnsi="Book Antiqua"/>
          <w:sz w:val="24"/>
          <w:szCs w:val="24"/>
        </w:rPr>
        <w:t xml:space="preserve">Department of Biochemistry and Molecular Genetics, Hospital </w:t>
      </w:r>
      <w:proofErr w:type="spellStart"/>
      <w:r w:rsidR="00941254" w:rsidRPr="001339DB">
        <w:rPr>
          <w:rFonts w:ascii="Book Antiqua" w:hAnsi="Book Antiqua"/>
          <w:sz w:val="24"/>
          <w:szCs w:val="24"/>
        </w:rPr>
        <w:t>Clínic</w:t>
      </w:r>
      <w:proofErr w:type="spellEnd"/>
      <w:r w:rsidR="00941254" w:rsidRPr="001339DB">
        <w:rPr>
          <w:rFonts w:ascii="Book Antiqua" w:hAnsi="Book Antiqua"/>
          <w:sz w:val="24"/>
          <w:szCs w:val="24"/>
        </w:rPr>
        <w:t xml:space="preserve">, </w:t>
      </w:r>
      <w:r w:rsidR="007C2EDF" w:rsidRPr="007C2EDF">
        <w:rPr>
          <w:rFonts w:ascii="Book Antiqua" w:hAnsi="Book Antiqua"/>
          <w:sz w:val="24"/>
          <w:szCs w:val="24"/>
        </w:rPr>
        <w:t>08036 Barcelona</w:t>
      </w:r>
      <w:r w:rsidR="00EF6145" w:rsidRPr="001339DB">
        <w:rPr>
          <w:rFonts w:ascii="Book Antiqua" w:hAnsi="Book Antiqua"/>
          <w:sz w:val="24"/>
          <w:szCs w:val="24"/>
        </w:rPr>
        <w:t>, Spain</w:t>
      </w:r>
    </w:p>
    <w:p w:rsidR="001339DB" w:rsidRPr="001339DB" w:rsidRDefault="001339DB" w:rsidP="001339DB">
      <w:pPr>
        <w:adjustRightInd w:val="0"/>
        <w:snapToGrid w:val="0"/>
        <w:spacing w:after="0" w:line="360" w:lineRule="auto"/>
        <w:jc w:val="both"/>
        <w:rPr>
          <w:rFonts w:ascii="Book Antiqua" w:hAnsi="Book Antiqua"/>
          <w:sz w:val="24"/>
          <w:szCs w:val="24"/>
          <w:lang w:eastAsia="zh-CN"/>
        </w:rPr>
      </w:pPr>
    </w:p>
    <w:p w:rsidR="001339DB" w:rsidRPr="001339DB" w:rsidRDefault="001339DB" w:rsidP="001339DB">
      <w:pPr>
        <w:adjustRightInd w:val="0"/>
        <w:snapToGrid w:val="0"/>
        <w:spacing w:after="0" w:line="360" w:lineRule="auto"/>
        <w:jc w:val="both"/>
        <w:rPr>
          <w:rFonts w:ascii="Book Antiqua" w:hAnsi="Book Antiqua"/>
          <w:sz w:val="24"/>
          <w:szCs w:val="24"/>
          <w:lang w:val="es-ES_tradnl" w:eastAsia="zh-CN"/>
        </w:rPr>
      </w:pPr>
      <w:r w:rsidRPr="001339DB">
        <w:rPr>
          <w:rFonts w:ascii="Book Antiqua" w:hAnsi="Book Antiqua"/>
          <w:b/>
          <w:sz w:val="24"/>
          <w:szCs w:val="24"/>
          <w:lang w:val="es-ES_tradnl" w:eastAsia="zh-CN"/>
        </w:rPr>
        <w:t>Wladimiro Jiménez</w:t>
      </w:r>
      <w:r w:rsidRPr="001339DB">
        <w:rPr>
          <w:rFonts w:ascii="Book Antiqua" w:hAnsi="Book Antiqua" w:hint="eastAsia"/>
          <w:b/>
          <w:sz w:val="24"/>
          <w:szCs w:val="24"/>
          <w:lang w:val="es-ES_tradnl" w:eastAsia="zh-CN"/>
        </w:rPr>
        <w:t xml:space="preserve">, </w:t>
      </w:r>
      <w:r w:rsidRPr="001339DB">
        <w:rPr>
          <w:rFonts w:ascii="Book Antiqua" w:hAnsi="Book Antiqua"/>
          <w:b/>
          <w:sz w:val="24"/>
          <w:szCs w:val="24"/>
          <w:lang w:val="es-ES_tradnl" w:eastAsia="zh-CN"/>
        </w:rPr>
        <w:t>Miquel Navasa</w:t>
      </w:r>
      <w:r w:rsidRPr="001339DB">
        <w:rPr>
          <w:rFonts w:ascii="Book Antiqua" w:hAnsi="Book Antiqua" w:hint="eastAsia"/>
          <w:b/>
          <w:sz w:val="24"/>
          <w:szCs w:val="24"/>
          <w:lang w:val="es-ES_tradnl" w:eastAsia="zh-CN"/>
        </w:rPr>
        <w:t>,</w:t>
      </w:r>
      <w:r w:rsidRPr="001339DB">
        <w:rPr>
          <w:rFonts w:ascii="Book Antiqua" w:hAnsi="Book Antiqua"/>
          <w:sz w:val="24"/>
          <w:szCs w:val="24"/>
          <w:lang w:val="es-ES_tradnl" w:eastAsia="zh-CN"/>
        </w:rPr>
        <w:t xml:space="preserve"> IDIBAPS</w:t>
      </w:r>
      <w:r>
        <w:rPr>
          <w:rFonts w:ascii="Book Antiqua" w:hAnsi="Book Antiqua" w:hint="eastAsia"/>
          <w:sz w:val="24"/>
          <w:szCs w:val="24"/>
          <w:lang w:val="es-ES_tradnl" w:eastAsia="zh-CN"/>
        </w:rPr>
        <w:t>,</w:t>
      </w:r>
      <w:r w:rsidRPr="001339DB">
        <w:rPr>
          <w:rFonts w:ascii="Book Antiqua" w:hAnsi="Book Antiqua"/>
          <w:sz w:val="24"/>
          <w:szCs w:val="24"/>
          <w:lang w:val="es-ES_tradnl" w:eastAsia="zh-CN"/>
        </w:rPr>
        <w:t xml:space="preserve"> CIBERehd</w:t>
      </w:r>
      <w:r>
        <w:rPr>
          <w:rFonts w:ascii="Book Antiqua" w:hAnsi="Book Antiqua" w:hint="eastAsia"/>
          <w:sz w:val="24"/>
          <w:szCs w:val="24"/>
          <w:lang w:val="es-ES_tradnl" w:eastAsia="zh-CN"/>
        </w:rPr>
        <w:t>,</w:t>
      </w:r>
      <w:r w:rsidRPr="001339DB">
        <w:rPr>
          <w:rFonts w:ascii="Book Antiqua" w:hAnsi="Book Antiqua"/>
          <w:sz w:val="24"/>
          <w:szCs w:val="24"/>
          <w:lang w:val="es-ES_tradnl" w:eastAsia="zh-CN"/>
        </w:rPr>
        <w:t xml:space="preserve"> University of Barcelona, </w:t>
      </w:r>
      <w:r w:rsidR="007C2EDF" w:rsidRPr="007C2EDF">
        <w:rPr>
          <w:rFonts w:ascii="Book Antiqua" w:hAnsi="Book Antiqua"/>
          <w:sz w:val="24"/>
          <w:szCs w:val="24"/>
          <w:lang w:val="es-ES_tradnl" w:eastAsia="zh-CN"/>
        </w:rPr>
        <w:t>08036 Barcelona</w:t>
      </w:r>
      <w:r w:rsidR="007C2EDF">
        <w:rPr>
          <w:rFonts w:ascii="Book Antiqua" w:hAnsi="Book Antiqua" w:hint="eastAsia"/>
          <w:sz w:val="24"/>
          <w:szCs w:val="24"/>
          <w:lang w:val="es-ES_tradnl" w:eastAsia="zh-CN"/>
        </w:rPr>
        <w:t>,</w:t>
      </w:r>
      <w:r w:rsidR="007C2EDF" w:rsidRPr="007C2EDF">
        <w:rPr>
          <w:rFonts w:ascii="Book Antiqua" w:hAnsi="Book Antiqua"/>
          <w:sz w:val="24"/>
          <w:szCs w:val="24"/>
          <w:lang w:val="es-ES_tradnl" w:eastAsia="zh-CN"/>
        </w:rPr>
        <w:t xml:space="preserve"> </w:t>
      </w:r>
      <w:r w:rsidRPr="001339DB">
        <w:rPr>
          <w:rFonts w:ascii="Book Antiqua" w:hAnsi="Book Antiqua"/>
          <w:sz w:val="24"/>
          <w:szCs w:val="24"/>
          <w:lang w:val="es-ES_tradnl" w:eastAsia="zh-CN"/>
        </w:rPr>
        <w:t>Spain</w:t>
      </w:r>
    </w:p>
    <w:p w:rsidR="001339DB" w:rsidRPr="001339DB" w:rsidRDefault="001339DB" w:rsidP="001339DB">
      <w:pPr>
        <w:adjustRightInd w:val="0"/>
        <w:snapToGrid w:val="0"/>
        <w:spacing w:after="0" w:line="360" w:lineRule="auto"/>
        <w:jc w:val="both"/>
        <w:rPr>
          <w:rFonts w:ascii="Book Antiqua" w:hAnsi="Book Antiqua"/>
          <w:sz w:val="24"/>
          <w:szCs w:val="24"/>
          <w:lang w:val="es-ES_tradnl" w:eastAsia="zh-CN"/>
        </w:rPr>
      </w:pPr>
    </w:p>
    <w:p w:rsidR="001339DB" w:rsidRPr="00E305A5" w:rsidRDefault="001339DB" w:rsidP="001339DB">
      <w:pPr>
        <w:adjustRightInd w:val="0"/>
        <w:snapToGrid w:val="0"/>
        <w:spacing w:after="0" w:line="360" w:lineRule="auto"/>
        <w:jc w:val="both"/>
        <w:rPr>
          <w:rFonts w:ascii="Book Antiqua" w:hAnsi="Book Antiqua"/>
          <w:sz w:val="24"/>
          <w:szCs w:val="24"/>
          <w:lang w:val="es-ES_tradnl" w:eastAsia="zh-CN"/>
        </w:rPr>
      </w:pPr>
      <w:r w:rsidRPr="00E305A5">
        <w:rPr>
          <w:rFonts w:ascii="Book Antiqua" w:hAnsi="Book Antiqua"/>
          <w:b/>
          <w:sz w:val="24"/>
          <w:szCs w:val="24"/>
          <w:lang w:val="es-ES_tradnl"/>
        </w:rPr>
        <w:lastRenderedPageBreak/>
        <w:t>Miquel Navasa</w:t>
      </w:r>
      <w:r w:rsidRPr="00E305A5">
        <w:rPr>
          <w:rFonts w:ascii="Book Antiqua" w:hAnsi="Book Antiqua" w:hint="eastAsia"/>
          <w:b/>
          <w:sz w:val="24"/>
          <w:szCs w:val="24"/>
          <w:lang w:val="es-ES_tradnl" w:eastAsia="zh-CN"/>
        </w:rPr>
        <w:t>,</w:t>
      </w:r>
      <w:r w:rsidRPr="00E305A5">
        <w:rPr>
          <w:rFonts w:ascii="Book Antiqua" w:hAnsi="Book Antiqua"/>
          <w:sz w:val="24"/>
          <w:szCs w:val="24"/>
          <w:lang w:val="es-ES_tradnl"/>
        </w:rPr>
        <w:t xml:space="preserve"> </w:t>
      </w:r>
      <w:r w:rsidR="0083329C" w:rsidRPr="00E305A5">
        <w:rPr>
          <w:rFonts w:ascii="Book Antiqua" w:hAnsi="Book Antiqua"/>
          <w:sz w:val="24"/>
          <w:szCs w:val="24"/>
          <w:lang w:val="es-ES_tradnl"/>
        </w:rPr>
        <w:t>Liver Unit, Hospital Clínic</w:t>
      </w:r>
      <w:r w:rsidR="00EF6145" w:rsidRPr="00E305A5">
        <w:rPr>
          <w:rFonts w:ascii="Book Antiqua" w:hAnsi="Book Antiqua"/>
          <w:sz w:val="24"/>
          <w:szCs w:val="24"/>
          <w:lang w:val="es-ES_tradnl"/>
        </w:rPr>
        <w:t xml:space="preserve">, </w:t>
      </w:r>
      <w:r w:rsidR="007C2EDF" w:rsidRPr="007C2EDF">
        <w:rPr>
          <w:rFonts w:ascii="Book Antiqua" w:hAnsi="Book Antiqua"/>
          <w:sz w:val="24"/>
          <w:szCs w:val="24"/>
          <w:lang w:val="es-ES_tradnl"/>
        </w:rPr>
        <w:t>08036 Barcelona</w:t>
      </w:r>
      <w:r w:rsidR="00EF6145" w:rsidRPr="00E305A5">
        <w:rPr>
          <w:rFonts w:ascii="Book Antiqua" w:hAnsi="Book Antiqua"/>
          <w:sz w:val="24"/>
          <w:szCs w:val="24"/>
          <w:lang w:val="es-ES_tradnl"/>
        </w:rPr>
        <w:t>, Spain</w:t>
      </w:r>
      <w:r w:rsidR="00941254" w:rsidRPr="00E305A5">
        <w:rPr>
          <w:rFonts w:ascii="Book Antiqua" w:hAnsi="Book Antiqua"/>
          <w:sz w:val="24"/>
          <w:szCs w:val="24"/>
          <w:lang w:val="es-ES_tradnl"/>
        </w:rPr>
        <w:t xml:space="preserve"> </w:t>
      </w:r>
    </w:p>
    <w:p w:rsidR="001339DB" w:rsidRPr="00E305A5" w:rsidRDefault="001339DB" w:rsidP="001339DB">
      <w:pPr>
        <w:adjustRightInd w:val="0"/>
        <w:snapToGrid w:val="0"/>
        <w:spacing w:after="0" w:line="360" w:lineRule="auto"/>
        <w:jc w:val="both"/>
        <w:rPr>
          <w:rFonts w:ascii="Book Antiqua" w:hAnsi="Book Antiqua"/>
          <w:sz w:val="24"/>
          <w:szCs w:val="24"/>
          <w:lang w:val="es-ES_tradnl" w:eastAsia="zh-CN"/>
        </w:rPr>
      </w:pPr>
    </w:p>
    <w:p w:rsidR="001339DB" w:rsidRPr="00E305A5" w:rsidRDefault="001339DB" w:rsidP="001339DB">
      <w:pPr>
        <w:adjustRightInd w:val="0"/>
        <w:snapToGrid w:val="0"/>
        <w:spacing w:after="0" w:line="360" w:lineRule="auto"/>
        <w:jc w:val="both"/>
        <w:rPr>
          <w:rFonts w:ascii="Book Antiqua" w:hAnsi="Book Antiqua"/>
          <w:sz w:val="24"/>
          <w:szCs w:val="24"/>
          <w:lang w:val="es-ES_tradnl" w:eastAsia="zh-CN"/>
        </w:rPr>
      </w:pPr>
      <w:r w:rsidRPr="00E305A5">
        <w:rPr>
          <w:rFonts w:ascii="Book Antiqua" w:hAnsi="Book Antiqua"/>
          <w:b/>
          <w:sz w:val="24"/>
          <w:szCs w:val="24"/>
          <w:lang w:val="es-ES_tradnl"/>
        </w:rPr>
        <w:t>Author contributions:</w:t>
      </w:r>
      <w:r w:rsidRPr="00E305A5">
        <w:rPr>
          <w:rFonts w:ascii="Book Antiqua" w:hAnsi="Book Antiqua"/>
          <w:sz w:val="24"/>
          <w:szCs w:val="24"/>
          <w:lang w:val="es-ES_tradnl"/>
        </w:rPr>
        <w:t xml:space="preserve"> Soto</w:t>
      </w:r>
      <w:r w:rsidRPr="00E305A5">
        <w:rPr>
          <w:rFonts w:ascii="Book Antiqua" w:hAnsi="Book Antiqua" w:hint="eastAsia"/>
          <w:sz w:val="24"/>
          <w:szCs w:val="24"/>
          <w:lang w:val="es-ES_tradnl" w:eastAsia="zh-CN"/>
        </w:rPr>
        <w:t xml:space="preserve"> M</w:t>
      </w:r>
      <w:r w:rsidRPr="00E305A5">
        <w:rPr>
          <w:rFonts w:ascii="Book Antiqua" w:hAnsi="Book Antiqua"/>
          <w:sz w:val="24"/>
          <w:szCs w:val="24"/>
          <w:lang w:val="es-ES_tradnl"/>
        </w:rPr>
        <w:t>, Sampietro-Colom</w:t>
      </w:r>
      <w:r w:rsidRPr="00E305A5">
        <w:rPr>
          <w:rFonts w:ascii="Book Antiqua" w:hAnsi="Book Antiqua" w:hint="eastAsia"/>
          <w:sz w:val="24"/>
          <w:szCs w:val="24"/>
          <w:lang w:val="es-ES_tradnl" w:eastAsia="zh-CN"/>
        </w:rPr>
        <w:t xml:space="preserve"> L</w:t>
      </w:r>
      <w:r w:rsidRPr="00E305A5">
        <w:rPr>
          <w:rFonts w:ascii="Book Antiqua" w:hAnsi="Book Antiqua"/>
          <w:sz w:val="24"/>
          <w:szCs w:val="24"/>
          <w:lang w:val="es-ES_tradnl"/>
        </w:rPr>
        <w:t>, Lasalvia</w:t>
      </w:r>
      <w:r w:rsidRPr="00E305A5">
        <w:rPr>
          <w:rFonts w:ascii="Book Antiqua" w:hAnsi="Book Antiqua" w:hint="eastAsia"/>
          <w:sz w:val="24"/>
          <w:szCs w:val="24"/>
          <w:lang w:val="es-ES_tradnl" w:eastAsia="zh-CN"/>
        </w:rPr>
        <w:t xml:space="preserve"> L</w:t>
      </w:r>
      <w:r w:rsidRPr="00E305A5">
        <w:rPr>
          <w:rFonts w:ascii="Book Antiqua" w:hAnsi="Book Antiqua"/>
          <w:sz w:val="24"/>
          <w:szCs w:val="24"/>
          <w:lang w:val="es-ES_tradnl"/>
        </w:rPr>
        <w:t>, Mira</w:t>
      </w:r>
      <w:r w:rsidRPr="00E305A5">
        <w:rPr>
          <w:rFonts w:ascii="Book Antiqua" w:hAnsi="Book Antiqua" w:hint="eastAsia"/>
          <w:sz w:val="24"/>
          <w:szCs w:val="24"/>
          <w:lang w:val="es-ES_tradnl" w:eastAsia="zh-CN"/>
        </w:rPr>
        <w:t xml:space="preserve"> A</w:t>
      </w:r>
      <w:r w:rsidRPr="00E305A5">
        <w:rPr>
          <w:rFonts w:ascii="Book Antiqua" w:hAnsi="Book Antiqua"/>
          <w:sz w:val="24"/>
          <w:szCs w:val="24"/>
          <w:lang w:val="es-ES_tradnl"/>
        </w:rPr>
        <w:t>, Jiménez</w:t>
      </w:r>
      <w:r w:rsidRPr="00E305A5">
        <w:rPr>
          <w:rFonts w:ascii="Book Antiqua" w:hAnsi="Book Antiqua" w:hint="eastAsia"/>
          <w:sz w:val="24"/>
          <w:szCs w:val="24"/>
          <w:lang w:val="es-ES_tradnl" w:eastAsia="zh-CN"/>
        </w:rPr>
        <w:t xml:space="preserve"> W</w:t>
      </w:r>
      <w:r w:rsidRPr="00E305A5">
        <w:rPr>
          <w:rFonts w:ascii="Book Antiqua" w:hAnsi="Book Antiqua"/>
          <w:sz w:val="24"/>
          <w:szCs w:val="24"/>
          <w:lang w:val="es-ES_tradnl"/>
        </w:rPr>
        <w:t xml:space="preserve">, Navasa </w:t>
      </w:r>
      <w:r w:rsidRPr="00E305A5">
        <w:rPr>
          <w:rFonts w:ascii="Book Antiqua" w:hAnsi="Book Antiqua" w:hint="eastAsia"/>
          <w:sz w:val="24"/>
          <w:szCs w:val="24"/>
          <w:lang w:val="es-ES_tradnl" w:eastAsia="zh-CN"/>
        </w:rPr>
        <w:t>M c</w:t>
      </w:r>
      <w:r w:rsidRPr="00E305A5">
        <w:rPr>
          <w:rFonts w:ascii="Book Antiqua" w:hAnsi="Book Antiqua"/>
          <w:sz w:val="24"/>
          <w:szCs w:val="24"/>
          <w:lang w:val="es-ES_tradnl"/>
        </w:rPr>
        <w:t>onceived and designed the study</w:t>
      </w:r>
      <w:r w:rsidRPr="00E305A5">
        <w:rPr>
          <w:rFonts w:ascii="Book Antiqua" w:hAnsi="Book Antiqua" w:hint="eastAsia"/>
          <w:sz w:val="24"/>
          <w:szCs w:val="24"/>
          <w:lang w:val="es-ES_tradnl" w:eastAsia="zh-CN"/>
        </w:rPr>
        <w:t>;</w:t>
      </w:r>
      <w:r w:rsidRPr="00E305A5">
        <w:rPr>
          <w:rFonts w:ascii="Book Antiqua" w:hAnsi="Book Antiqua"/>
          <w:sz w:val="24"/>
          <w:szCs w:val="24"/>
          <w:lang w:val="es-ES_tradnl"/>
        </w:rPr>
        <w:t xml:space="preserve"> Soto</w:t>
      </w:r>
      <w:r w:rsidRPr="00E305A5">
        <w:rPr>
          <w:rFonts w:ascii="Book Antiqua" w:hAnsi="Book Antiqua" w:hint="eastAsia"/>
          <w:sz w:val="24"/>
          <w:szCs w:val="24"/>
          <w:lang w:val="es-ES_tradnl"/>
        </w:rPr>
        <w:t xml:space="preserve"> M</w:t>
      </w:r>
      <w:r w:rsidRPr="00E305A5">
        <w:rPr>
          <w:rFonts w:ascii="Book Antiqua" w:hAnsi="Book Antiqua"/>
          <w:sz w:val="24"/>
          <w:szCs w:val="24"/>
          <w:lang w:val="es-ES_tradnl"/>
        </w:rPr>
        <w:t>, Sampietro-Colom</w:t>
      </w:r>
      <w:r w:rsidRPr="00E305A5">
        <w:rPr>
          <w:rFonts w:ascii="Book Antiqua" w:hAnsi="Book Antiqua" w:hint="eastAsia"/>
          <w:sz w:val="24"/>
          <w:szCs w:val="24"/>
          <w:lang w:val="es-ES_tradnl"/>
        </w:rPr>
        <w:t xml:space="preserve"> L</w:t>
      </w:r>
      <w:r w:rsidRPr="00E305A5">
        <w:rPr>
          <w:rFonts w:ascii="Book Antiqua" w:hAnsi="Book Antiqua"/>
          <w:sz w:val="24"/>
          <w:szCs w:val="24"/>
          <w:lang w:val="es-ES_tradnl"/>
        </w:rPr>
        <w:t xml:space="preserve">, Navasa </w:t>
      </w:r>
      <w:r w:rsidRPr="00E305A5">
        <w:rPr>
          <w:rFonts w:ascii="Book Antiqua" w:hAnsi="Book Antiqua" w:hint="eastAsia"/>
          <w:sz w:val="24"/>
          <w:szCs w:val="24"/>
          <w:lang w:val="es-ES_tradnl"/>
        </w:rPr>
        <w:t>M</w:t>
      </w:r>
      <w:r w:rsidRPr="00E305A5">
        <w:rPr>
          <w:rFonts w:ascii="Book Antiqua" w:hAnsi="Book Antiqua" w:hint="eastAsia"/>
          <w:sz w:val="24"/>
          <w:szCs w:val="24"/>
          <w:lang w:val="es-ES_tradnl" w:eastAsia="zh-CN"/>
        </w:rPr>
        <w:t xml:space="preserve"> a</w:t>
      </w:r>
      <w:r w:rsidRPr="00E305A5">
        <w:rPr>
          <w:rFonts w:ascii="Book Antiqua" w:hAnsi="Book Antiqua"/>
          <w:sz w:val="24"/>
          <w:szCs w:val="24"/>
          <w:lang w:val="es-ES_tradnl" w:eastAsia="zh-CN"/>
        </w:rPr>
        <w:t>nalyzed the data</w:t>
      </w:r>
      <w:r w:rsidRPr="00E305A5">
        <w:rPr>
          <w:rFonts w:ascii="Book Antiqua" w:hAnsi="Book Antiqua" w:hint="eastAsia"/>
          <w:sz w:val="24"/>
          <w:szCs w:val="24"/>
          <w:lang w:val="es-ES_tradnl" w:eastAsia="zh-CN"/>
        </w:rPr>
        <w:t>;</w:t>
      </w:r>
      <w:r w:rsidRPr="00E305A5">
        <w:rPr>
          <w:rFonts w:ascii="Book Antiqua" w:hAnsi="Book Antiqua"/>
          <w:sz w:val="24"/>
          <w:szCs w:val="24"/>
          <w:lang w:val="es-ES_tradnl"/>
        </w:rPr>
        <w:t xml:space="preserve"> Soto</w:t>
      </w:r>
      <w:r w:rsidRPr="00E305A5">
        <w:rPr>
          <w:rFonts w:ascii="Book Antiqua" w:hAnsi="Book Antiqua" w:hint="eastAsia"/>
          <w:sz w:val="24"/>
          <w:szCs w:val="24"/>
          <w:lang w:val="es-ES_tradnl"/>
        </w:rPr>
        <w:t xml:space="preserve"> M</w:t>
      </w:r>
      <w:r w:rsidRPr="00E305A5">
        <w:rPr>
          <w:rFonts w:ascii="Book Antiqua" w:hAnsi="Book Antiqua"/>
          <w:sz w:val="24"/>
          <w:szCs w:val="24"/>
          <w:lang w:val="es-ES_tradnl"/>
        </w:rPr>
        <w:t>, Sampietro-Colom</w:t>
      </w:r>
      <w:r w:rsidRPr="00E305A5">
        <w:rPr>
          <w:rFonts w:ascii="Book Antiqua" w:hAnsi="Book Antiqua" w:hint="eastAsia"/>
          <w:sz w:val="24"/>
          <w:szCs w:val="24"/>
          <w:lang w:val="es-ES_tradnl"/>
        </w:rPr>
        <w:t xml:space="preserve"> L</w:t>
      </w:r>
      <w:r w:rsidRPr="00E305A5">
        <w:rPr>
          <w:rFonts w:ascii="Book Antiqua" w:hAnsi="Book Antiqua"/>
          <w:sz w:val="24"/>
          <w:szCs w:val="24"/>
          <w:lang w:val="es-ES_tradnl"/>
        </w:rPr>
        <w:t xml:space="preserve">, Lasalvia </w:t>
      </w:r>
      <w:r w:rsidRPr="00E305A5">
        <w:rPr>
          <w:rFonts w:ascii="Book Antiqua" w:hAnsi="Book Antiqua" w:hint="eastAsia"/>
          <w:sz w:val="24"/>
          <w:szCs w:val="24"/>
          <w:lang w:val="es-ES_tradnl" w:eastAsia="zh-CN"/>
        </w:rPr>
        <w:t xml:space="preserve">L, </w:t>
      </w:r>
      <w:r w:rsidRPr="00E305A5">
        <w:rPr>
          <w:rFonts w:ascii="Book Antiqua" w:hAnsi="Book Antiqua"/>
          <w:sz w:val="24"/>
          <w:szCs w:val="24"/>
          <w:lang w:val="es-ES_tradnl"/>
        </w:rPr>
        <w:t xml:space="preserve">Navasa </w:t>
      </w:r>
      <w:r w:rsidRPr="00E305A5">
        <w:rPr>
          <w:rFonts w:ascii="Book Antiqua" w:hAnsi="Book Antiqua" w:hint="eastAsia"/>
          <w:sz w:val="24"/>
          <w:szCs w:val="24"/>
          <w:lang w:val="es-ES_tradnl"/>
        </w:rPr>
        <w:t>M</w:t>
      </w:r>
      <w:r w:rsidRPr="00E305A5">
        <w:rPr>
          <w:rFonts w:ascii="Book Antiqua" w:hAnsi="Book Antiqua" w:hint="eastAsia"/>
          <w:sz w:val="24"/>
          <w:szCs w:val="24"/>
          <w:lang w:val="es-ES_tradnl" w:eastAsia="zh-CN"/>
        </w:rPr>
        <w:t xml:space="preserve"> w</w:t>
      </w:r>
      <w:r w:rsidRPr="00E305A5">
        <w:rPr>
          <w:rFonts w:ascii="Book Antiqua" w:hAnsi="Book Antiqua"/>
          <w:sz w:val="24"/>
          <w:szCs w:val="24"/>
          <w:lang w:val="es-ES_tradnl" w:eastAsia="zh-CN"/>
        </w:rPr>
        <w:t>rote the paper</w:t>
      </w:r>
      <w:r w:rsidRPr="00E305A5">
        <w:rPr>
          <w:rFonts w:ascii="Book Antiqua" w:hAnsi="Book Antiqua" w:hint="eastAsia"/>
          <w:sz w:val="24"/>
          <w:szCs w:val="24"/>
          <w:lang w:val="es-ES_tradnl" w:eastAsia="zh-CN"/>
        </w:rPr>
        <w:t>.</w:t>
      </w:r>
    </w:p>
    <w:p w:rsidR="00CA3B86" w:rsidRPr="00CA3B86" w:rsidRDefault="00CA3B86" w:rsidP="00CA3B86">
      <w:pPr>
        <w:adjustRightInd w:val="0"/>
        <w:snapToGrid w:val="0"/>
        <w:spacing w:after="0" w:line="360" w:lineRule="auto"/>
        <w:jc w:val="both"/>
        <w:rPr>
          <w:rFonts w:ascii="Book Antiqua" w:hAnsi="Book Antiqua"/>
          <w:sz w:val="24"/>
          <w:szCs w:val="24"/>
          <w:lang w:eastAsia="zh-CN"/>
        </w:rPr>
      </w:pPr>
      <w:r w:rsidRPr="00E305A5">
        <w:rPr>
          <w:rFonts w:ascii="Book Antiqua" w:hAnsi="Book Antiqua"/>
          <w:sz w:val="24"/>
          <w:szCs w:val="24"/>
          <w:lang w:val="es-ES_tradnl" w:eastAsia="zh-CN"/>
        </w:rPr>
        <w:br/>
      </w:r>
      <w:r w:rsidRPr="00CA3B86">
        <w:rPr>
          <w:rFonts w:ascii="Book Antiqua" w:hAnsi="Book Antiqua" w:hint="eastAsia"/>
          <w:b/>
          <w:sz w:val="24"/>
          <w:szCs w:val="24"/>
          <w:lang w:eastAsia="zh-CN"/>
        </w:rPr>
        <w:t xml:space="preserve">Supported by </w:t>
      </w:r>
      <w:r w:rsidRPr="00CA3B86">
        <w:rPr>
          <w:rFonts w:ascii="Book Antiqua" w:hAnsi="Book Antiqua"/>
          <w:sz w:val="24"/>
          <w:szCs w:val="24"/>
          <w:lang w:eastAsia="zh-CN"/>
        </w:rPr>
        <w:t xml:space="preserve">Siemens. Marcelo Soto received financial support from </w:t>
      </w:r>
      <w:proofErr w:type="spellStart"/>
      <w:r w:rsidRPr="00CA3B86">
        <w:rPr>
          <w:rFonts w:ascii="Book Antiqua" w:hAnsi="Book Antiqua"/>
          <w:sz w:val="24"/>
          <w:szCs w:val="24"/>
          <w:lang w:eastAsia="zh-CN"/>
        </w:rPr>
        <w:t>Plataforma</w:t>
      </w:r>
      <w:proofErr w:type="spellEnd"/>
      <w:r w:rsidRPr="00CA3B86">
        <w:rPr>
          <w:rFonts w:ascii="Book Antiqua" w:hAnsi="Book Antiqua"/>
          <w:sz w:val="24"/>
          <w:szCs w:val="24"/>
          <w:lang w:eastAsia="zh-CN"/>
        </w:rPr>
        <w:t xml:space="preserve"> ITEMAS PT13/0006/0009 (FCRB PI043029</w:t>
      </w:r>
      <w:r>
        <w:rPr>
          <w:rFonts w:ascii="Book Antiqua" w:hAnsi="Book Antiqua" w:hint="eastAsia"/>
          <w:sz w:val="24"/>
          <w:szCs w:val="24"/>
          <w:lang w:eastAsia="zh-CN"/>
        </w:rPr>
        <w:t xml:space="preserve">, </w:t>
      </w:r>
      <w:r w:rsidRPr="00CA3B86">
        <w:rPr>
          <w:rFonts w:ascii="Book Antiqua" w:hAnsi="Book Antiqua"/>
          <w:sz w:val="24"/>
          <w:szCs w:val="24"/>
          <w:lang w:eastAsia="zh-CN"/>
        </w:rPr>
        <w:t>partially).</w:t>
      </w:r>
    </w:p>
    <w:p w:rsidR="003D4664" w:rsidRDefault="003D4664" w:rsidP="001339DB">
      <w:pPr>
        <w:adjustRightInd w:val="0"/>
        <w:snapToGrid w:val="0"/>
        <w:spacing w:after="0" w:line="360" w:lineRule="auto"/>
        <w:jc w:val="both"/>
        <w:rPr>
          <w:rFonts w:ascii="Book Antiqua" w:hAnsi="Book Antiqua"/>
          <w:sz w:val="24"/>
          <w:szCs w:val="24"/>
          <w:lang w:eastAsia="zh-CN"/>
        </w:rPr>
      </w:pPr>
    </w:p>
    <w:p w:rsidR="001339DB" w:rsidRPr="001339DB" w:rsidRDefault="001339DB" w:rsidP="001339DB">
      <w:pPr>
        <w:adjustRightInd w:val="0"/>
        <w:snapToGrid w:val="0"/>
        <w:spacing w:after="0" w:line="360" w:lineRule="auto"/>
        <w:jc w:val="both"/>
        <w:rPr>
          <w:rFonts w:ascii="Book Antiqua" w:hAnsi="Book Antiqua"/>
          <w:sz w:val="24"/>
          <w:szCs w:val="24"/>
          <w:lang w:eastAsia="zh-CN"/>
        </w:rPr>
      </w:pPr>
      <w:r w:rsidRPr="001339DB">
        <w:rPr>
          <w:rFonts w:ascii="Book Antiqua" w:hAnsi="Book Antiqua"/>
          <w:b/>
          <w:sz w:val="24"/>
          <w:szCs w:val="24"/>
          <w:lang w:eastAsia="zh-CN"/>
        </w:rPr>
        <w:t>Conflict</w:t>
      </w:r>
      <w:r>
        <w:rPr>
          <w:rFonts w:ascii="Book Antiqua" w:hAnsi="Book Antiqua" w:hint="eastAsia"/>
          <w:b/>
          <w:sz w:val="24"/>
          <w:szCs w:val="24"/>
          <w:lang w:eastAsia="zh-CN"/>
        </w:rPr>
        <w:t>-</w:t>
      </w:r>
      <w:r w:rsidRPr="001339DB">
        <w:rPr>
          <w:rFonts w:ascii="Book Antiqua" w:hAnsi="Book Antiqua"/>
          <w:b/>
          <w:sz w:val="24"/>
          <w:szCs w:val="24"/>
          <w:lang w:eastAsia="zh-CN"/>
        </w:rPr>
        <w:t>of</w:t>
      </w:r>
      <w:r>
        <w:rPr>
          <w:rFonts w:ascii="Book Antiqua" w:hAnsi="Book Antiqua" w:hint="eastAsia"/>
          <w:b/>
          <w:sz w:val="24"/>
          <w:szCs w:val="24"/>
          <w:lang w:eastAsia="zh-CN"/>
        </w:rPr>
        <w:t>-</w:t>
      </w:r>
      <w:r w:rsidRPr="001339DB">
        <w:rPr>
          <w:rFonts w:ascii="Book Antiqua" w:hAnsi="Book Antiqua"/>
          <w:b/>
          <w:sz w:val="24"/>
          <w:szCs w:val="24"/>
          <w:lang w:eastAsia="zh-CN"/>
        </w:rPr>
        <w:t>interest</w:t>
      </w:r>
      <w:r>
        <w:rPr>
          <w:rFonts w:ascii="Book Antiqua" w:hAnsi="Book Antiqua" w:hint="eastAsia"/>
          <w:b/>
          <w:sz w:val="24"/>
          <w:szCs w:val="24"/>
          <w:lang w:eastAsia="zh-CN"/>
        </w:rPr>
        <w:t xml:space="preserve"> statement</w:t>
      </w:r>
      <w:r w:rsidRPr="001339DB">
        <w:rPr>
          <w:rFonts w:ascii="Book Antiqua" w:hAnsi="Book Antiqua"/>
          <w:sz w:val="24"/>
          <w:szCs w:val="24"/>
          <w:lang w:eastAsia="zh-CN"/>
        </w:rPr>
        <w:t>:</w:t>
      </w:r>
      <w:r w:rsidR="00C731E9">
        <w:rPr>
          <w:rFonts w:ascii="Book Antiqua" w:hAnsi="Book Antiqua"/>
          <w:sz w:val="24"/>
          <w:szCs w:val="24"/>
          <w:lang w:eastAsia="zh-CN"/>
        </w:rPr>
        <w:t xml:space="preserve"> </w:t>
      </w:r>
      <w:proofErr w:type="spellStart"/>
      <w:r w:rsidRPr="001339DB">
        <w:rPr>
          <w:rFonts w:ascii="Book Antiqua" w:hAnsi="Book Antiqua"/>
          <w:sz w:val="24"/>
          <w:szCs w:val="24"/>
          <w:lang w:eastAsia="zh-CN"/>
        </w:rPr>
        <w:t>Lasalvia</w:t>
      </w:r>
      <w:proofErr w:type="spellEnd"/>
      <w:r w:rsidRPr="001339DB">
        <w:rPr>
          <w:rFonts w:ascii="Book Antiqua" w:hAnsi="Book Antiqua" w:hint="eastAsia"/>
          <w:sz w:val="24"/>
          <w:szCs w:val="24"/>
          <w:lang w:eastAsia="zh-CN"/>
        </w:rPr>
        <w:t xml:space="preserve"> L</w:t>
      </w:r>
      <w:r w:rsidRPr="001339DB">
        <w:rPr>
          <w:rFonts w:ascii="Book Antiqua" w:hAnsi="Book Antiqua"/>
          <w:sz w:val="24"/>
          <w:szCs w:val="24"/>
          <w:lang w:eastAsia="zh-CN"/>
        </w:rPr>
        <w:t xml:space="preserve"> owns shares of Siemens and is a Siemens employee. </w:t>
      </w:r>
      <w:proofErr w:type="spellStart"/>
      <w:r w:rsidRPr="001339DB">
        <w:rPr>
          <w:rFonts w:ascii="Book Antiqua" w:hAnsi="Book Antiqua"/>
          <w:sz w:val="24"/>
          <w:szCs w:val="24"/>
          <w:lang w:eastAsia="zh-CN"/>
        </w:rPr>
        <w:t>Navasa</w:t>
      </w:r>
      <w:proofErr w:type="spellEnd"/>
      <w:r w:rsidRPr="001339DB">
        <w:rPr>
          <w:rFonts w:ascii="Book Antiqua" w:hAnsi="Book Antiqua"/>
          <w:sz w:val="24"/>
          <w:szCs w:val="24"/>
          <w:lang w:eastAsia="zh-CN"/>
        </w:rPr>
        <w:t xml:space="preserve"> </w:t>
      </w:r>
      <w:r w:rsidRPr="001339DB">
        <w:rPr>
          <w:rFonts w:ascii="Book Antiqua" w:hAnsi="Book Antiqua" w:hint="eastAsia"/>
          <w:sz w:val="24"/>
          <w:szCs w:val="24"/>
          <w:lang w:eastAsia="zh-CN"/>
        </w:rPr>
        <w:t>M</w:t>
      </w:r>
      <w:r w:rsidRPr="001339DB">
        <w:rPr>
          <w:rFonts w:ascii="Book Antiqua" w:hAnsi="Book Antiqua"/>
          <w:sz w:val="24"/>
          <w:szCs w:val="24"/>
          <w:lang w:eastAsia="zh-CN"/>
        </w:rPr>
        <w:t xml:space="preserve"> reports grants from Siemens, during the conduct of the study. Jiménez </w:t>
      </w:r>
      <w:r>
        <w:rPr>
          <w:rFonts w:ascii="Book Antiqua" w:hAnsi="Book Antiqua" w:hint="eastAsia"/>
          <w:sz w:val="24"/>
          <w:szCs w:val="24"/>
          <w:lang w:eastAsia="zh-CN"/>
        </w:rPr>
        <w:t xml:space="preserve">W </w:t>
      </w:r>
      <w:r w:rsidRPr="001339DB">
        <w:rPr>
          <w:rFonts w:ascii="Book Antiqua" w:hAnsi="Book Antiqua"/>
          <w:sz w:val="24"/>
          <w:szCs w:val="24"/>
          <w:lang w:eastAsia="zh-CN"/>
        </w:rPr>
        <w:t>reports grants from Siemens, prior the conduct of the study. Siemens has issued patents on ELF.</w:t>
      </w:r>
    </w:p>
    <w:p w:rsidR="001339DB" w:rsidRPr="001339DB" w:rsidRDefault="001339DB" w:rsidP="001339DB">
      <w:pPr>
        <w:adjustRightInd w:val="0"/>
        <w:snapToGrid w:val="0"/>
        <w:spacing w:after="0" w:line="360" w:lineRule="auto"/>
        <w:jc w:val="both"/>
        <w:rPr>
          <w:rFonts w:ascii="Book Antiqua" w:hAnsi="Book Antiqua"/>
          <w:sz w:val="24"/>
          <w:szCs w:val="24"/>
          <w:lang w:eastAsia="zh-CN"/>
        </w:rPr>
      </w:pPr>
    </w:p>
    <w:p w:rsidR="001339DB" w:rsidRPr="001339DB" w:rsidRDefault="001339DB" w:rsidP="001339DB">
      <w:pPr>
        <w:spacing w:after="0" w:line="360" w:lineRule="auto"/>
        <w:jc w:val="both"/>
        <w:rPr>
          <w:rFonts w:ascii="Book Antiqua" w:eastAsia="SimSun" w:hAnsi="Book Antiqua" w:cs="SimSun"/>
          <w:sz w:val="24"/>
          <w:szCs w:val="24"/>
          <w:lang w:eastAsia="zh-CN"/>
        </w:rPr>
      </w:pPr>
      <w:bookmarkStart w:id="111" w:name="OLE_LINK441"/>
      <w:bookmarkStart w:id="112" w:name="OLE_LINK442"/>
      <w:bookmarkStart w:id="113" w:name="OLE_LINK1032"/>
      <w:bookmarkStart w:id="114" w:name="OLE_LINK1232"/>
      <w:bookmarkStart w:id="115" w:name="OLE_LINK1460"/>
      <w:bookmarkStart w:id="116" w:name="OLE_LINK1568"/>
      <w:bookmarkStart w:id="117" w:name="OLE_LINK1708"/>
      <w:bookmarkStart w:id="118" w:name="OLE_LINK1435"/>
      <w:bookmarkStart w:id="119" w:name="OLE_LINK1478"/>
      <w:bookmarkStart w:id="120" w:name="OLE_LINK1428"/>
      <w:bookmarkStart w:id="121" w:name="OLE_LINK1355"/>
      <w:bookmarkStart w:id="122" w:name="OLE_LINK1425"/>
      <w:bookmarkStart w:id="123" w:name="OLE_LINK1504"/>
      <w:bookmarkStart w:id="124" w:name="OLE_LINK1544"/>
      <w:bookmarkStart w:id="125" w:name="OLE_LINK1680"/>
      <w:bookmarkStart w:id="126" w:name="OLE_LINK1710"/>
      <w:bookmarkStart w:id="127" w:name="OLE_LINK3317"/>
      <w:bookmarkStart w:id="128" w:name="OLE_LINK22"/>
      <w:bookmarkStart w:id="129" w:name="OLE_LINK1818"/>
      <w:bookmarkStart w:id="130" w:name="OLE_LINK1684"/>
      <w:bookmarkStart w:id="131" w:name="OLE_LINK1885"/>
      <w:bookmarkStart w:id="132" w:name="OLE_LINK1799"/>
      <w:bookmarkStart w:id="133" w:name="OLE_LINK1894"/>
      <w:bookmarkStart w:id="134" w:name="OLE_LINK27"/>
      <w:bookmarkStart w:id="135" w:name="OLE_LINK732"/>
      <w:bookmarkStart w:id="136" w:name="OLE_LINK2053"/>
      <w:bookmarkStart w:id="137" w:name="OLE_LINK2096"/>
      <w:bookmarkStart w:id="138" w:name="OLE_LINK2174"/>
      <w:bookmarkStart w:id="139" w:name="OLE_LINK2108"/>
      <w:bookmarkStart w:id="140" w:name="OLE_LINK2183"/>
      <w:bookmarkStart w:id="141" w:name="OLE_LINK2328"/>
      <w:bookmarkStart w:id="142" w:name="OLE_LINK766"/>
      <w:bookmarkStart w:id="143" w:name="OLE_LINK2256"/>
      <w:bookmarkStart w:id="144" w:name="OLE_LINK38"/>
      <w:bookmarkStart w:id="145" w:name="OLE_LINK2368"/>
      <w:bookmarkStart w:id="146" w:name="OLE_LINK2351"/>
      <w:bookmarkStart w:id="147" w:name="OLE_LINK2446"/>
      <w:bookmarkStart w:id="148" w:name="OLE_LINK2509"/>
      <w:bookmarkStart w:id="149" w:name="OLE_LINK2651"/>
      <w:bookmarkStart w:id="150" w:name="OLE_LINK2842"/>
      <w:bookmarkStart w:id="151" w:name="OLE_LINK2909"/>
      <w:bookmarkStart w:id="152" w:name="OLE_LINK3004"/>
      <w:bookmarkStart w:id="153" w:name="OLE_LINK43"/>
      <w:bookmarkStart w:id="154" w:name="OLE_LINK3170"/>
      <w:bookmarkStart w:id="155" w:name="OLE_LINK3181"/>
      <w:bookmarkStart w:id="156" w:name="OLE_LINK3182"/>
      <w:bookmarkStart w:id="157" w:name="OLE_LINK3631"/>
      <w:bookmarkStart w:id="158" w:name="OLE_LINK3293"/>
      <w:bookmarkStart w:id="159" w:name="OLE_LINK71"/>
      <w:bookmarkStart w:id="160" w:name="OLE_LINK3789"/>
      <w:bookmarkStart w:id="161" w:name="OLE_LINK76"/>
      <w:bookmarkStart w:id="162" w:name="OLE_LINK102"/>
      <w:bookmarkStart w:id="163" w:name="OLE_LINK3695"/>
      <w:bookmarkStart w:id="164" w:name="OLE_LINK3733"/>
      <w:bookmarkStart w:id="165" w:name="OLE_LINK3858"/>
      <w:bookmarkStart w:id="166" w:name="OLE_LINK3870"/>
      <w:bookmarkStart w:id="167" w:name="OLE_LINK100"/>
      <w:bookmarkStart w:id="168" w:name="OLE_LINK158"/>
      <w:bookmarkStart w:id="169" w:name="OLE_LINK3928"/>
      <w:bookmarkStart w:id="170" w:name="OLE_LINK123"/>
      <w:bookmarkStart w:id="171" w:name="OLE_LINK80"/>
      <w:bookmarkStart w:id="172" w:name="OLE_LINK3748"/>
      <w:bookmarkStart w:id="173" w:name="OLE_LINK3883"/>
      <w:bookmarkStart w:id="174" w:name="OLE_LINK94"/>
      <w:bookmarkStart w:id="175" w:name="OLE_LINK112"/>
      <w:bookmarkStart w:id="176" w:name="OLE_LINK29"/>
      <w:r w:rsidRPr="001339DB">
        <w:rPr>
          <w:rFonts w:ascii="Book Antiqua" w:eastAsia="SimSun" w:hAnsi="Book Antiqua" w:cs="Times New Roman"/>
          <w:b/>
          <w:color w:val="000000"/>
          <w:sz w:val="24"/>
          <w:szCs w:val="24"/>
          <w:lang w:eastAsia="zh-CN"/>
        </w:rPr>
        <w:t xml:space="preserve">Open-Access: </w:t>
      </w:r>
      <w:bookmarkStart w:id="177" w:name="OLE_LINK479"/>
      <w:bookmarkStart w:id="178" w:name="OLE_LINK496"/>
      <w:bookmarkStart w:id="179" w:name="OLE_LINK506"/>
      <w:bookmarkStart w:id="180" w:name="OLE_LINK507"/>
      <w:r w:rsidRPr="001339DB">
        <w:rPr>
          <w:rFonts w:ascii="Book Antiqua" w:eastAsia="SimSun" w:hAnsi="Book Antiqua" w:cs="Times New Roman"/>
          <w:color w:val="000000"/>
          <w:kern w:val="2"/>
          <w:sz w:val="24"/>
          <w:szCs w:val="24"/>
          <w:lang w:eastAsia="zh-CN"/>
        </w:rPr>
        <w:t xml:space="preserve">This article is an </w:t>
      </w:r>
      <w:r w:rsidRPr="001339DB">
        <w:rPr>
          <w:rFonts w:ascii="Book Antiqua" w:eastAsia="SimSun" w:hAnsi="Book Antiqua" w:cs="Times New Roman"/>
          <w:kern w:val="2"/>
          <w:sz w:val="24"/>
          <w:szCs w:val="24"/>
          <w:lang w:eastAsia="zh-CN"/>
        </w:rPr>
        <w:t xml:space="preserve">open-access article which </w:t>
      </w:r>
      <w:r w:rsidRPr="001339DB">
        <w:rPr>
          <w:rFonts w:ascii="Book Antiqua" w:eastAsia="SimSun" w:hAnsi="Book Antiqua" w:cs="Times New Roman"/>
          <w:color w:val="000000"/>
          <w:kern w:val="2"/>
          <w:sz w:val="24"/>
          <w:szCs w:val="24"/>
          <w:lang w:eastAsia="zh-CN"/>
        </w:rPr>
        <w:t>was selected by an in-house editor and fully peer-reviewed by external reviewers. It is dis</w:t>
      </w:r>
      <w:r w:rsidRPr="001339DB">
        <w:rPr>
          <w:rFonts w:ascii="Book Antiqua" w:eastAsia="SimSun" w:hAnsi="Book Antiqua" w:cs="Times New Roman"/>
          <w:kern w:val="2"/>
          <w:sz w:val="24"/>
          <w:szCs w:val="24"/>
          <w:lang w:eastAsia="zh-CN"/>
        </w:rPr>
        <w:t xml:space="preserve">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1339DB">
          <w:rPr>
            <w:rFonts w:ascii="Book Antiqua" w:eastAsia="SimSun" w:hAnsi="Book Antiqua" w:cs="Times New Roman"/>
            <w:color w:val="0000FF"/>
            <w:kern w:val="2"/>
            <w:sz w:val="24"/>
            <w:szCs w:val="24"/>
            <w:u w:val="single"/>
            <w:lang w:eastAsia="zh-CN"/>
          </w:rPr>
          <w:t>http://creativecommons.org/licenses/by-nc/4.0/</w:t>
        </w:r>
      </w:hyperlink>
      <w:bookmarkEnd w:id="177"/>
      <w:bookmarkEnd w:id="178"/>
      <w:bookmarkEnd w:id="179"/>
      <w:bookmarkEnd w:id="180"/>
    </w:p>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rsidR="001339DB" w:rsidRPr="001339DB" w:rsidRDefault="001339DB" w:rsidP="001339DB">
      <w:pPr>
        <w:widowControl w:val="0"/>
        <w:adjustRightInd w:val="0"/>
        <w:snapToGrid w:val="0"/>
        <w:spacing w:after="0" w:line="360" w:lineRule="auto"/>
        <w:jc w:val="both"/>
        <w:rPr>
          <w:rFonts w:ascii="Book Antiqua" w:eastAsia="SimSun" w:hAnsi="Book Antiqua" w:cs="Times New Roman"/>
          <w:b/>
          <w:color w:val="000000"/>
          <w:kern w:val="2"/>
          <w:sz w:val="24"/>
          <w:szCs w:val="24"/>
          <w:lang w:eastAsia="zh-CN"/>
        </w:rPr>
      </w:pPr>
    </w:p>
    <w:p w:rsidR="001339DB" w:rsidRPr="001339DB" w:rsidRDefault="001339DB" w:rsidP="001339DB">
      <w:pPr>
        <w:widowControl w:val="0"/>
        <w:adjustRightInd w:val="0"/>
        <w:snapToGrid w:val="0"/>
        <w:spacing w:after="0" w:line="360" w:lineRule="auto"/>
        <w:jc w:val="both"/>
        <w:rPr>
          <w:rFonts w:ascii="Book Antiqua" w:eastAsia="SimSun" w:hAnsi="Book Antiqua" w:cs="Times New Roman"/>
          <w:color w:val="000000"/>
          <w:kern w:val="2"/>
          <w:sz w:val="24"/>
          <w:szCs w:val="24"/>
          <w:lang w:eastAsia="zh-CN"/>
        </w:rPr>
      </w:pPr>
      <w:bookmarkStart w:id="181" w:name="OLE_LINK3210"/>
      <w:bookmarkStart w:id="182" w:name="OLE_LINK3211"/>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sidRPr="001339DB">
        <w:rPr>
          <w:rFonts w:ascii="Book Antiqua" w:eastAsia="SimSun" w:hAnsi="Book Antiqua" w:cs="Times New Roman"/>
          <w:b/>
          <w:color w:val="000000"/>
          <w:kern w:val="2"/>
          <w:sz w:val="24"/>
          <w:szCs w:val="24"/>
          <w:lang w:eastAsia="zh-CN"/>
        </w:rPr>
        <w:t>Manuscript source:</w:t>
      </w:r>
      <w:r w:rsidRPr="001339DB">
        <w:rPr>
          <w:rFonts w:ascii="Book Antiqua" w:eastAsia="SimSun" w:hAnsi="Book Antiqua" w:cs="Times New Roman"/>
          <w:color w:val="000000"/>
          <w:kern w:val="2"/>
          <w:sz w:val="24"/>
          <w:szCs w:val="24"/>
          <w:lang w:eastAsia="zh-CN"/>
        </w:rPr>
        <w:t xml:space="preserve"> Unsolicited manuscript</w:t>
      </w:r>
    </w:p>
    <w:bookmarkEnd w:id="171"/>
    <w:bookmarkEnd w:id="172"/>
    <w:bookmarkEnd w:id="173"/>
    <w:bookmarkEnd w:id="174"/>
    <w:bookmarkEnd w:id="175"/>
    <w:bookmarkEnd w:id="176"/>
    <w:bookmarkEnd w:id="181"/>
    <w:bookmarkEnd w:id="182"/>
    <w:p w:rsidR="001339DB" w:rsidRDefault="001339DB" w:rsidP="001339DB">
      <w:pPr>
        <w:adjustRightInd w:val="0"/>
        <w:snapToGrid w:val="0"/>
        <w:spacing w:after="0" w:line="360" w:lineRule="auto"/>
        <w:jc w:val="both"/>
        <w:rPr>
          <w:rFonts w:ascii="Book Antiqua" w:hAnsi="Book Antiqua"/>
          <w:sz w:val="24"/>
          <w:szCs w:val="24"/>
          <w:lang w:eastAsia="zh-CN"/>
        </w:rPr>
      </w:pPr>
    </w:p>
    <w:p w:rsidR="001339DB" w:rsidRDefault="001339DB" w:rsidP="001339DB">
      <w:pPr>
        <w:adjustRightInd w:val="0"/>
        <w:snapToGrid w:val="0"/>
        <w:spacing w:after="0" w:line="360" w:lineRule="auto"/>
        <w:jc w:val="both"/>
        <w:rPr>
          <w:rFonts w:ascii="Book Antiqua" w:hAnsi="Book Antiqua"/>
          <w:sz w:val="24"/>
          <w:szCs w:val="24"/>
          <w:lang w:val="es-ES_tradnl" w:eastAsia="zh-CN"/>
        </w:rPr>
      </w:pPr>
      <w:r w:rsidRPr="001339DB">
        <w:rPr>
          <w:rFonts w:ascii="Book Antiqua" w:hAnsi="Book Antiqua"/>
          <w:b/>
          <w:sz w:val="24"/>
          <w:szCs w:val="24"/>
          <w:lang w:val="es-ES_tradnl" w:eastAsia="zh-CN"/>
        </w:rPr>
        <w:t>Correspond</w:t>
      </w:r>
      <w:r w:rsidRPr="001339DB">
        <w:rPr>
          <w:rFonts w:ascii="Book Antiqua" w:hAnsi="Book Antiqua" w:hint="eastAsia"/>
          <w:b/>
          <w:sz w:val="24"/>
          <w:szCs w:val="24"/>
          <w:lang w:val="es-ES_tradnl" w:eastAsia="zh-CN"/>
        </w:rPr>
        <w:t>ence</w:t>
      </w:r>
      <w:r w:rsidRPr="001339DB">
        <w:rPr>
          <w:rFonts w:ascii="Book Antiqua" w:hAnsi="Book Antiqua"/>
          <w:b/>
          <w:sz w:val="24"/>
          <w:szCs w:val="24"/>
          <w:lang w:val="es-ES_tradnl" w:eastAsia="zh-CN"/>
        </w:rPr>
        <w:t xml:space="preserve"> </w:t>
      </w:r>
      <w:r w:rsidRPr="001339DB">
        <w:rPr>
          <w:rFonts w:ascii="Book Antiqua" w:hAnsi="Book Antiqua" w:hint="eastAsia"/>
          <w:b/>
          <w:sz w:val="24"/>
          <w:szCs w:val="24"/>
          <w:lang w:val="es-ES_tradnl" w:eastAsia="zh-CN"/>
        </w:rPr>
        <w:t>to</w:t>
      </w:r>
      <w:r w:rsidRPr="001339DB">
        <w:rPr>
          <w:rFonts w:ascii="Book Antiqua" w:hAnsi="Book Antiqua"/>
          <w:b/>
          <w:sz w:val="24"/>
          <w:szCs w:val="24"/>
          <w:lang w:val="es-ES_tradnl" w:eastAsia="zh-CN"/>
        </w:rPr>
        <w:t>: Dr. Marcelo Soto</w:t>
      </w:r>
      <w:r>
        <w:rPr>
          <w:rFonts w:ascii="Book Antiqua" w:hAnsi="Book Antiqua" w:hint="eastAsia"/>
          <w:b/>
          <w:sz w:val="24"/>
          <w:szCs w:val="24"/>
          <w:lang w:val="es-ES_tradnl" w:eastAsia="zh-CN"/>
        </w:rPr>
        <w:t xml:space="preserve">, </w:t>
      </w:r>
      <w:r w:rsidRPr="001339DB">
        <w:rPr>
          <w:rFonts w:ascii="Book Antiqua" w:hAnsi="Book Antiqua"/>
          <w:sz w:val="24"/>
          <w:szCs w:val="24"/>
          <w:lang w:val="es-ES" w:eastAsia="zh-CN"/>
        </w:rPr>
        <w:t xml:space="preserve">Fundació Clínic per a la Recerca Biomèdica, </w:t>
      </w:r>
      <w:r w:rsidRPr="001339DB">
        <w:rPr>
          <w:rFonts w:ascii="Book Antiqua" w:hAnsi="Book Antiqua"/>
          <w:sz w:val="24"/>
          <w:szCs w:val="24"/>
          <w:lang w:val="es-ES_tradnl" w:eastAsia="zh-CN"/>
        </w:rPr>
        <w:t xml:space="preserve">Roselló, 149-153, </w:t>
      </w:r>
      <w:bookmarkStart w:id="183" w:name="OLE_LINK4136"/>
      <w:bookmarkStart w:id="184" w:name="OLE_LINK4137"/>
      <w:r w:rsidRPr="001339DB">
        <w:rPr>
          <w:rFonts w:ascii="Book Antiqua" w:hAnsi="Book Antiqua"/>
          <w:sz w:val="24"/>
          <w:szCs w:val="24"/>
          <w:lang w:val="es-ES_tradnl" w:eastAsia="zh-CN"/>
        </w:rPr>
        <w:t>08036 Barcelona</w:t>
      </w:r>
      <w:bookmarkEnd w:id="183"/>
      <w:bookmarkEnd w:id="184"/>
      <w:r w:rsidRPr="001339DB">
        <w:rPr>
          <w:rFonts w:ascii="Book Antiqua" w:hAnsi="Book Antiqua"/>
          <w:sz w:val="24"/>
          <w:szCs w:val="24"/>
          <w:lang w:val="es-ES_tradnl" w:eastAsia="zh-CN"/>
        </w:rPr>
        <w:t>, Spain</w:t>
      </w:r>
      <w:r w:rsidRPr="001339DB">
        <w:rPr>
          <w:rFonts w:ascii="Book Antiqua" w:hAnsi="Book Antiqua" w:hint="eastAsia"/>
          <w:sz w:val="24"/>
          <w:szCs w:val="24"/>
          <w:lang w:val="es-ES_tradnl" w:eastAsia="zh-CN"/>
        </w:rPr>
        <w:t xml:space="preserve">. </w:t>
      </w:r>
      <w:r w:rsidRPr="001339DB">
        <w:rPr>
          <w:rFonts w:ascii="Book Antiqua" w:hAnsi="Book Antiqua"/>
          <w:sz w:val="24"/>
          <w:szCs w:val="24"/>
          <w:lang w:val="es-ES_tradnl" w:eastAsia="zh-CN"/>
        </w:rPr>
        <w:t>soto@clinic.ub.es</w:t>
      </w:r>
      <w:r w:rsidR="00C731E9">
        <w:rPr>
          <w:rFonts w:ascii="Book Antiqua" w:hAnsi="Book Antiqua"/>
          <w:sz w:val="24"/>
          <w:szCs w:val="24"/>
          <w:lang w:val="es-ES_tradnl" w:eastAsia="zh-CN"/>
        </w:rPr>
        <w:t xml:space="preserve"> </w:t>
      </w:r>
    </w:p>
    <w:p w:rsidR="001339DB" w:rsidRPr="00E305A5" w:rsidRDefault="001339DB" w:rsidP="001339DB">
      <w:pPr>
        <w:adjustRightInd w:val="0"/>
        <w:snapToGrid w:val="0"/>
        <w:spacing w:after="0" w:line="360" w:lineRule="auto"/>
        <w:jc w:val="both"/>
        <w:rPr>
          <w:rFonts w:ascii="Book Antiqua" w:hAnsi="Book Antiqua"/>
          <w:sz w:val="24"/>
          <w:szCs w:val="24"/>
          <w:lang w:eastAsia="zh-CN"/>
        </w:rPr>
      </w:pPr>
      <w:r w:rsidRPr="00E305A5">
        <w:rPr>
          <w:rFonts w:ascii="Book Antiqua" w:hAnsi="Book Antiqua"/>
          <w:b/>
          <w:sz w:val="24"/>
          <w:szCs w:val="24"/>
          <w:lang w:eastAsia="zh-CN"/>
        </w:rPr>
        <w:t>Tel</w:t>
      </w:r>
      <w:r w:rsidRPr="00E305A5">
        <w:rPr>
          <w:rFonts w:ascii="Book Antiqua" w:hAnsi="Book Antiqua" w:hint="eastAsia"/>
          <w:b/>
          <w:sz w:val="24"/>
          <w:szCs w:val="24"/>
          <w:lang w:eastAsia="zh-CN"/>
        </w:rPr>
        <w:t>ephone</w:t>
      </w:r>
      <w:r w:rsidRPr="00E305A5">
        <w:rPr>
          <w:rFonts w:ascii="Book Antiqua" w:hAnsi="Book Antiqua"/>
          <w:b/>
          <w:sz w:val="24"/>
          <w:szCs w:val="24"/>
          <w:lang w:eastAsia="zh-CN"/>
        </w:rPr>
        <w:t xml:space="preserve">: </w:t>
      </w:r>
      <w:r w:rsidRPr="00E305A5">
        <w:rPr>
          <w:rFonts w:ascii="Book Antiqua" w:hAnsi="Book Antiqua"/>
          <w:sz w:val="24"/>
          <w:szCs w:val="24"/>
          <w:lang w:eastAsia="zh-CN"/>
        </w:rPr>
        <w:t>+34</w:t>
      </w:r>
      <w:r w:rsidRPr="00E305A5">
        <w:rPr>
          <w:rFonts w:ascii="Book Antiqua" w:hAnsi="Book Antiqua" w:hint="eastAsia"/>
          <w:sz w:val="24"/>
          <w:szCs w:val="24"/>
          <w:lang w:eastAsia="zh-CN"/>
        </w:rPr>
        <w:t>-</w:t>
      </w:r>
      <w:r w:rsidRPr="00E305A5">
        <w:rPr>
          <w:rFonts w:ascii="Book Antiqua" w:hAnsi="Book Antiqua"/>
          <w:sz w:val="24"/>
          <w:szCs w:val="24"/>
          <w:lang w:eastAsia="zh-CN"/>
        </w:rPr>
        <w:t>93</w:t>
      </w:r>
      <w:r w:rsidRPr="00E305A5">
        <w:rPr>
          <w:rFonts w:ascii="Book Antiqua" w:hAnsi="Book Antiqua" w:hint="eastAsia"/>
          <w:sz w:val="24"/>
          <w:szCs w:val="24"/>
          <w:lang w:eastAsia="zh-CN"/>
        </w:rPr>
        <w:t>-</w:t>
      </w:r>
      <w:r w:rsidRPr="00E305A5">
        <w:rPr>
          <w:rFonts w:ascii="Book Antiqua" w:hAnsi="Book Antiqua"/>
          <w:sz w:val="24"/>
          <w:szCs w:val="24"/>
          <w:lang w:eastAsia="zh-CN"/>
        </w:rPr>
        <w:t xml:space="preserve">2271874 </w:t>
      </w:r>
    </w:p>
    <w:p w:rsidR="001339DB" w:rsidRDefault="001339DB" w:rsidP="001339DB">
      <w:pPr>
        <w:adjustRightInd w:val="0"/>
        <w:snapToGrid w:val="0"/>
        <w:spacing w:after="0" w:line="360" w:lineRule="auto"/>
        <w:jc w:val="both"/>
        <w:rPr>
          <w:rFonts w:ascii="Book Antiqua" w:hAnsi="Book Antiqua"/>
          <w:sz w:val="24"/>
          <w:szCs w:val="24"/>
          <w:lang w:eastAsia="zh-CN"/>
        </w:rPr>
      </w:pPr>
      <w:r w:rsidRPr="001339DB">
        <w:rPr>
          <w:rFonts w:ascii="Book Antiqua" w:hAnsi="Book Antiqua"/>
          <w:b/>
          <w:sz w:val="24"/>
          <w:szCs w:val="24"/>
          <w:lang w:eastAsia="zh-CN"/>
        </w:rPr>
        <w:t xml:space="preserve">Fax: </w:t>
      </w:r>
      <w:r w:rsidRPr="001339DB">
        <w:rPr>
          <w:rFonts w:ascii="Book Antiqua" w:hAnsi="Book Antiqua"/>
          <w:sz w:val="24"/>
          <w:szCs w:val="24"/>
          <w:lang w:eastAsia="zh-CN"/>
        </w:rPr>
        <w:t>+34</w:t>
      </w:r>
      <w:r>
        <w:rPr>
          <w:rFonts w:ascii="Book Antiqua" w:hAnsi="Book Antiqua" w:hint="eastAsia"/>
          <w:sz w:val="24"/>
          <w:szCs w:val="24"/>
          <w:lang w:eastAsia="zh-CN"/>
        </w:rPr>
        <w:t>-</w:t>
      </w:r>
      <w:r w:rsidRPr="001339DB">
        <w:rPr>
          <w:rFonts w:ascii="Book Antiqua" w:hAnsi="Book Antiqua"/>
          <w:sz w:val="24"/>
          <w:szCs w:val="24"/>
          <w:lang w:eastAsia="zh-CN"/>
        </w:rPr>
        <w:t>93</w:t>
      </w:r>
      <w:r>
        <w:rPr>
          <w:rFonts w:ascii="Book Antiqua" w:hAnsi="Book Antiqua" w:hint="eastAsia"/>
          <w:sz w:val="24"/>
          <w:szCs w:val="24"/>
          <w:lang w:eastAsia="zh-CN"/>
        </w:rPr>
        <w:t>-</w:t>
      </w:r>
      <w:r w:rsidRPr="001339DB">
        <w:rPr>
          <w:rFonts w:ascii="Book Antiqua" w:hAnsi="Book Antiqua"/>
          <w:sz w:val="24"/>
          <w:szCs w:val="24"/>
          <w:lang w:eastAsia="zh-CN"/>
        </w:rPr>
        <w:t>2279240</w:t>
      </w:r>
    </w:p>
    <w:p w:rsidR="001339DB" w:rsidRDefault="001339DB" w:rsidP="001339DB">
      <w:pPr>
        <w:adjustRightInd w:val="0"/>
        <w:snapToGrid w:val="0"/>
        <w:spacing w:after="0" w:line="360" w:lineRule="auto"/>
        <w:jc w:val="both"/>
        <w:rPr>
          <w:rFonts w:ascii="Book Antiqua" w:hAnsi="Book Antiqua"/>
          <w:sz w:val="24"/>
          <w:szCs w:val="24"/>
          <w:lang w:eastAsia="zh-CN"/>
        </w:rPr>
      </w:pPr>
    </w:p>
    <w:p w:rsidR="001339DB" w:rsidRPr="001339DB" w:rsidRDefault="001339DB" w:rsidP="001339DB">
      <w:pPr>
        <w:widowControl w:val="0"/>
        <w:adjustRightInd w:val="0"/>
        <w:snapToGrid w:val="0"/>
        <w:spacing w:after="0" w:line="360" w:lineRule="auto"/>
        <w:jc w:val="both"/>
        <w:rPr>
          <w:rFonts w:ascii="Book Antiqua" w:eastAsia="SimSun" w:hAnsi="Book Antiqua" w:cs="Times New Roman"/>
          <w:b/>
          <w:bCs/>
          <w:kern w:val="2"/>
          <w:sz w:val="24"/>
          <w:szCs w:val="24"/>
          <w:lang w:eastAsia="zh-CN"/>
        </w:rPr>
      </w:pPr>
      <w:bookmarkStart w:id="185" w:name="OLE_LINK1346"/>
      <w:bookmarkStart w:id="186" w:name="OLE_LINK1347"/>
      <w:bookmarkStart w:id="187" w:name="OLE_LINK1461"/>
      <w:bookmarkStart w:id="188" w:name="OLE_LINK1437"/>
      <w:bookmarkStart w:id="189" w:name="OLE_LINK1493"/>
      <w:bookmarkStart w:id="190" w:name="OLE_LINK1436"/>
      <w:bookmarkStart w:id="191" w:name="OLE_LINK1584"/>
      <w:bookmarkStart w:id="192" w:name="OLE_LINK1426"/>
      <w:bookmarkStart w:id="193" w:name="OLE_LINK1470"/>
      <w:bookmarkStart w:id="194" w:name="OLE_LINK1726"/>
      <w:bookmarkStart w:id="195" w:name="OLE_LINK1773"/>
      <w:bookmarkStart w:id="196" w:name="OLE_LINK1819"/>
      <w:bookmarkStart w:id="197" w:name="OLE_LINK1886"/>
      <w:bookmarkStart w:id="198" w:name="OLE_LINK1800"/>
      <w:bookmarkStart w:id="199" w:name="OLE_LINK1718"/>
      <w:bookmarkStart w:id="200" w:name="OLE_LINK1895"/>
      <w:bookmarkStart w:id="201" w:name="OLE_LINK1973"/>
      <w:bookmarkStart w:id="202" w:name="OLE_LINK25"/>
      <w:bookmarkStart w:id="203" w:name="OLE_LINK733"/>
      <w:bookmarkStart w:id="204" w:name="OLE_LINK2054"/>
      <w:bookmarkStart w:id="205" w:name="OLE_LINK2100"/>
      <w:bookmarkStart w:id="206" w:name="OLE_LINK767"/>
      <w:bookmarkStart w:id="207" w:name="OLE_LINK39"/>
      <w:bookmarkStart w:id="208" w:name="OLE_LINK42"/>
      <w:bookmarkStart w:id="209" w:name="OLE_LINK2412"/>
      <w:bookmarkStart w:id="210" w:name="OLE_LINK2447"/>
      <w:bookmarkStart w:id="211" w:name="OLE_LINK2378"/>
      <w:bookmarkStart w:id="212" w:name="OLE_LINK2510"/>
      <w:bookmarkStart w:id="213" w:name="OLE_LINK2774"/>
      <w:bookmarkStart w:id="214" w:name="OLE_LINK54"/>
      <w:bookmarkStart w:id="215" w:name="OLE_LINK59"/>
      <w:bookmarkStart w:id="216" w:name="OLE_LINK60"/>
      <w:bookmarkStart w:id="217" w:name="OLE_LINK3168"/>
      <w:bookmarkStart w:id="218" w:name="OLE_LINK3243"/>
      <w:bookmarkStart w:id="219" w:name="OLE_LINK3331"/>
      <w:bookmarkStart w:id="220" w:name="OLE_LINK67"/>
      <w:bookmarkStart w:id="221" w:name="OLE_LINK3303"/>
      <w:bookmarkStart w:id="222" w:name="OLE_LINK72"/>
      <w:bookmarkStart w:id="223" w:name="OLE_LINK3751"/>
      <w:bookmarkStart w:id="224" w:name="OLE_LINK3531"/>
      <w:bookmarkStart w:id="225" w:name="OLE_LINK77"/>
      <w:bookmarkStart w:id="226" w:name="OLE_LINK84"/>
      <w:bookmarkStart w:id="227" w:name="OLE_LINK207"/>
      <w:bookmarkStart w:id="228" w:name="OLE_LINK3746"/>
      <w:bookmarkStart w:id="229" w:name="OLE_LINK85"/>
      <w:bookmarkStart w:id="230" w:name="OLE_LINK91"/>
      <w:bookmarkStart w:id="231" w:name="OLE_LINK3611"/>
      <w:bookmarkStart w:id="232" w:name="OLE_LINK3884"/>
      <w:bookmarkStart w:id="233" w:name="OLE_LINK3869"/>
      <w:bookmarkStart w:id="234" w:name="OLE_LINK3946"/>
      <w:bookmarkStart w:id="235" w:name="OLE_LINK3865"/>
      <w:bookmarkStart w:id="236" w:name="OLE_LINK3962"/>
      <w:bookmarkStart w:id="237" w:name="OLE_LINK118"/>
      <w:bookmarkStart w:id="238" w:name="OLE_LINK159"/>
      <w:bookmarkStart w:id="239" w:name="OLE_LINK121"/>
      <w:bookmarkStart w:id="240" w:name="OLE_LINK3929"/>
      <w:bookmarkStart w:id="241" w:name="OLE_LINK4032"/>
      <w:r w:rsidRPr="001339DB">
        <w:rPr>
          <w:rFonts w:ascii="Book Antiqua" w:eastAsia="SimSun" w:hAnsi="Book Antiqua" w:cs="Times New Roman"/>
          <w:b/>
          <w:bCs/>
          <w:kern w:val="2"/>
          <w:sz w:val="24"/>
          <w:szCs w:val="24"/>
          <w:lang w:eastAsia="zh-CN"/>
        </w:rPr>
        <w:t xml:space="preserve">Received: </w:t>
      </w:r>
      <w:r>
        <w:rPr>
          <w:rFonts w:ascii="Book Antiqua" w:eastAsia="SimSun" w:hAnsi="Book Antiqua" w:cs="Times New Roman" w:hint="eastAsia"/>
          <w:bCs/>
          <w:kern w:val="2"/>
          <w:sz w:val="24"/>
          <w:szCs w:val="24"/>
          <w:lang w:eastAsia="zh-CN"/>
        </w:rPr>
        <w:t>November</w:t>
      </w:r>
      <w:r w:rsidRPr="001339DB">
        <w:rPr>
          <w:rFonts w:ascii="Book Antiqua" w:eastAsia="SimSun" w:hAnsi="Book Antiqua" w:cs="Times New Roman" w:hint="eastAsia"/>
          <w:bCs/>
          <w:kern w:val="2"/>
          <w:sz w:val="24"/>
          <w:szCs w:val="24"/>
          <w:lang w:eastAsia="zh-CN"/>
        </w:rPr>
        <w:t xml:space="preserve"> </w:t>
      </w:r>
      <w:r>
        <w:rPr>
          <w:rFonts w:ascii="Book Antiqua" w:eastAsia="SimSun" w:hAnsi="Book Antiqua" w:cs="Times New Roman" w:hint="eastAsia"/>
          <w:bCs/>
          <w:kern w:val="2"/>
          <w:sz w:val="24"/>
          <w:szCs w:val="24"/>
          <w:lang w:eastAsia="zh-CN"/>
        </w:rPr>
        <w:t>4</w:t>
      </w:r>
      <w:r w:rsidRPr="001339DB">
        <w:rPr>
          <w:rFonts w:ascii="Book Antiqua" w:eastAsia="SimSun" w:hAnsi="Book Antiqua" w:cs="Times New Roman" w:hint="eastAsia"/>
          <w:bCs/>
          <w:kern w:val="2"/>
          <w:sz w:val="24"/>
          <w:szCs w:val="24"/>
          <w:lang w:eastAsia="zh-CN"/>
        </w:rPr>
        <w:t>, 2016</w:t>
      </w:r>
    </w:p>
    <w:p w:rsidR="001339DB" w:rsidRPr="001339DB" w:rsidRDefault="001339DB" w:rsidP="001339DB">
      <w:pPr>
        <w:widowControl w:val="0"/>
        <w:adjustRightInd w:val="0"/>
        <w:snapToGrid w:val="0"/>
        <w:spacing w:after="0" w:line="360" w:lineRule="auto"/>
        <w:jc w:val="both"/>
        <w:rPr>
          <w:rFonts w:ascii="Book Antiqua" w:eastAsia="SimSun" w:hAnsi="Book Antiqua" w:cs="Times New Roman"/>
          <w:bCs/>
          <w:kern w:val="2"/>
          <w:sz w:val="24"/>
          <w:szCs w:val="24"/>
          <w:lang w:eastAsia="zh-CN"/>
        </w:rPr>
      </w:pPr>
      <w:r w:rsidRPr="001339DB">
        <w:rPr>
          <w:rFonts w:ascii="Book Antiqua" w:eastAsia="SimSun" w:hAnsi="Book Antiqua" w:cs="Times New Roman"/>
          <w:b/>
          <w:bCs/>
          <w:kern w:val="2"/>
          <w:sz w:val="24"/>
          <w:szCs w:val="24"/>
          <w:lang w:eastAsia="zh-CN"/>
        </w:rPr>
        <w:t>Peer-review started:</w:t>
      </w:r>
      <w:r w:rsidRPr="001339DB">
        <w:rPr>
          <w:rFonts w:ascii="Book Antiqua" w:eastAsia="SimSun" w:hAnsi="Book Antiqua" w:cs="Times New Roman" w:hint="eastAsia"/>
          <w:bCs/>
          <w:kern w:val="2"/>
          <w:sz w:val="24"/>
          <w:szCs w:val="24"/>
          <w:lang w:eastAsia="zh-CN"/>
        </w:rPr>
        <w:t xml:space="preserve"> November </w:t>
      </w:r>
      <w:r>
        <w:rPr>
          <w:rFonts w:ascii="Book Antiqua" w:eastAsia="SimSun" w:hAnsi="Book Antiqua" w:cs="Times New Roman" w:hint="eastAsia"/>
          <w:bCs/>
          <w:kern w:val="2"/>
          <w:sz w:val="24"/>
          <w:szCs w:val="24"/>
          <w:lang w:eastAsia="zh-CN"/>
        </w:rPr>
        <w:t>21</w:t>
      </w:r>
      <w:r w:rsidRPr="001339DB">
        <w:rPr>
          <w:rFonts w:ascii="Book Antiqua" w:eastAsia="SimSun" w:hAnsi="Book Antiqua" w:cs="Times New Roman" w:hint="eastAsia"/>
          <w:bCs/>
          <w:kern w:val="2"/>
          <w:sz w:val="24"/>
          <w:szCs w:val="24"/>
          <w:lang w:eastAsia="zh-CN"/>
        </w:rPr>
        <w:t>, 2016</w:t>
      </w:r>
    </w:p>
    <w:p w:rsidR="001339DB" w:rsidRPr="001339DB" w:rsidRDefault="001339DB" w:rsidP="001339DB">
      <w:pPr>
        <w:widowControl w:val="0"/>
        <w:adjustRightInd w:val="0"/>
        <w:snapToGrid w:val="0"/>
        <w:spacing w:after="0" w:line="360" w:lineRule="auto"/>
        <w:jc w:val="both"/>
        <w:rPr>
          <w:rFonts w:ascii="Book Antiqua" w:eastAsia="SimSun" w:hAnsi="Book Antiqua" w:cs="Times New Roman"/>
          <w:bCs/>
          <w:kern w:val="2"/>
          <w:sz w:val="24"/>
          <w:szCs w:val="24"/>
          <w:lang w:eastAsia="zh-CN"/>
        </w:rPr>
      </w:pPr>
      <w:bookmarkStart w:id="242" w:name="OLE_LINK23"/>
      <w:bookmarkStart w:id="243" w:name="OLE_LINK24"/>
      <w:r w:rsidRPr="001339DB">
        <w:rPr>
          <w:rFonts w:ascii="Book Antiqua" w:eastAsia="SimSun" w:hAnsi="Book Antiqua" w:cs="Times New Roman"/>
          <w:b/>
          <w:bCs/>
          <w:kern w:val="2"/>
          <w:sz w:val="24"/>
          <w:szCs w:val="24"/>
          <w:lang w:eastAsia="zh-CN"/>
        </w:rPr>
        <w:t>First decision:</w:t>
      </w:r>
      <w:r w:rsidRPr="001339DB">
        <w:rPr>
          <w:rFonts w:ascii="Book Antiqua" w:eastAsia="SimSun" w:hAnsi="Book Antiqua" w:cs="Times New Roman" w:hint="eastAsia"/>
          <w:bCs/>
          <w:kern w:val="2"/>
          <w:sz w:val="24"/>
          <w:szCs w:val="24"/>
          <w:lang w:eastAsia="zh-CN"/>
        </w:rPr>
        <w:t xml:space="preserve"> </w:t>
      </w:r>
      <w:r>
        <w:rPr>
          <w:rFonts w:ascii="Book Antiqua" w:eastAsia="SimSun" w:hAnsi="Book Antiqua" w:cs="Times New Roman" w:hint="eastAsia"/>
          <w:bCs/>
          <w:kern w:val="2"/>
          <w:sz w:val="24"/>
          <w:szCs w:val="24"/>
          <w:lang w:eastAsia="zh-CN"/>
        </w:rPr>
        <w:t>December</w:t>
      </w:r>
      <w:r w:rsidRPr="001339DB">
        <w:rPr>
          <w:rFonts w:ascii="Book Antiqua" w:eastAsia="SimSun" w:hAnsi="Book Antiqua" w:cs="Times New Roman" w:hint="eastAsia"/>
          <w:bCs/>
          <w:kern w:val="2"/>
          <w:sz w:val="24"/>
          <w:szCs w:val="24"/>
          <w:lang w:eastAsia="zh-CN"/>
        </w:rPr>
        <w:t xml:space="preserve"> </w:t>
      </w:r>
      <w:r>
        <w:rPr>
          <w:rFonts w:ascii="Book Antiqua" w:eastAsia="SimSun" w:hAnsi="Book Antiqua" w:cs="Times New Roman" w:hint="eastAsia"/>
          <w:bCs/>
          <w:kern w:val="2"/>
          <w:sz w:val="24"/>
          <w:szCs w:val="24"/>
          <w:lang w:eastAsia="zh-CN"/>
        </w:rPr>
        <w:t>28</w:t>
      </w:r>
      <w:r w:rsidRPr="001339DB">
        <w:rPr>
          <w:rFonts w:ascii="Book Antiqua" w:eastAsia="SimSun" w:hAnsi="Book Antiqua" w:cs="Times New Roman" w:hint="eastAsia"/>
          <w:bCs/>
          <w:kern w:val="2"/>
          <w:sz w:val="24"/>
          <w:szCs w:val="24"/>
          <w:lang w:eastAsia="zh-CN"/>
        </w:rPr>
        <w:t>, 201</w:t>
      </w:r>
      <w:r>
        <w:rPr>
          <w:rFonts w:ascii="Book Antiqua" w:eastAsia="SimSun" w:hAnsi="Book Antiqua" w:cs="Times New Roman" w:hint="eastAsia"/>
          <w:bCs/>
          <w:kern w:val="2"/>
          <w:sz w:val="24"/>
          <w:szCs w:val="24"/>
          <w:lang w:eastAsia="zh-CN"/>
        </w:rPr>
        <w:t>6</w:t>
      </w:r>
    </w:p>
    <w:p w:rsidR="001339DB" w:rsidRPr="001339DB" w:rsidRDefault="001339DB" w:rsidP="001339DB">
      <w:pPr>
        <w:widowControl w:val="0"/>
        <w:adjustRightInd w:val="0"/>
        <w:snapToGrid w:val="0"/>
        <w:spacing w:after="0" w:line="360" w:lineRule="auto"/>
        <w:jc w:val="both"/>
        <w:rPr>
          <w:rFonts w:ascii="Book Antiqua" w:eastAsia="SimSun" w:hAnsi="Book Antiqua" w:cs="Times New Roman"/>
          <w:bCs/>
          <w:kern w:val="2"/>
          <w:sz w:val="24"/>
          <w:szCs w:val="24"/>
          <w:lang w:eastAsia="zh-CN"/>
        </w:rPr>
      </w:pPr>
      <w:r w:rsidRPr="001339DB">
        <w:rPr>
          <w:rFonts w:ascii="Book Antiqua" w:eastAsia="SimSun" w:hAnsi="Book Antiqua" w:cs="Times New Roman"/>
          <w:b/>
          <w:bCs/>
          <w:kern w:val="2"/>
          <w:sz w:val="24"/>
          <w:szCs w:val="24"/>
          <w:lang w:eastAsia="zh-CN"/>
        </w:rPr>
        <w:t>Revised:</w:t>
      </w:r>
      <w:r w:rsidRPr="001339DB">
        <w:rPr>
          <w:rFonts w:ascii="Book Antiqua" w:eastAsia="SimSun" w:hAnsi="Book Antiqua" w:cs="Times New Roman" w:hint="eastAsia"/>
          <w:bCs/>
          <w:kern w:val="2"/>
          <w:sz w:val="24"/>
          <w:szCs w:val="24"/>
          <w:lang w:eastAsia="zh-CN"/>
        </w:rPr>
        <w:t xml:space="preserve"> </w:t>
      </w:r>
      <w:r>
        <w:rPr>
          <w:rFonts w:ascii="Book Antiqua" w:eastAsia="SimSun" w:hAnsi="Book Antiqua" w:cs="Times New Roman" w:hint="eastAsia"/>
          <w:bCs/>
          <w:kern w:val="2"/>
          <w:sz w:val="24"/>
          <w:szCs w:val="24"/>
          <w:lang w:eastAsia="zh-CN"/>
        </w:rPr>
        <w:t>March</w:t>
      </w:r>
      <w:r w:rsidRPr="001339DB">
        <w:rPr>
          <w:rFonts w:ascii="Book Antiqua" w:eastAsia="SimSun" w:hAnsi="Book Antiqua" w:cs="Times New Roman" w:hint="eastAsia"/>
          <w:bCs/>
          <w:kern w:val="2"/>
          <w:sz w:val="24"/>
          <w:szCs w:val="24"/>
          <w:lang w:eastAsia="zh-CN"/>
        </w:rPr>
        <w:t xml:space="preserve"> </w:t>
      </w:r>
      <w:r>
        <w:rPr>
          <w:rFonts w:ascii="Book Antiqua" w:eastAsia="SimSun" w:hAnsi="Book Antiqua" w:cs="Times New Roman" w:hint="eastAsia"/>
          <w:bCs/>
          <w:kern w:val="2"/>
          <w:sz w:val="24"/>
          <w:szCs w:val="24"/>
          <w:lang w:eastAsia="zh-CN"/>
        </w:rPr>
        <w:t>3</w:t>
      </w:r>
      <w:r w:rsidRPr="001339DB">
        <w:rPr>
          <w:rFonts w:ascii="Book Antiqua" w:eastAsia="SimSun" w:hAnsi="Book Antiqua" w:cs="Times New Roman" w:hint="eastAsia"/>
          <w:bCs/>
          <w:kern w:val="2"/>
          <w:sz w:val="24"/>
          <w:szCs w:val="24"/>
          <w:lang w:eastAsia="zh-CN"/>
        </w:rPr>
        <w:t>, 2017</w:t>
      </w:r>
    </w:p>
    <w:p w:rsidR="001339DB" w:rsidRPr="00642F45" w:rsidRDefault="001339DB" w:rsidP="00642F45">
      <w:pPr>
        <w:spacing w:line="360" w:lineRule="auto"/>
        <w:rPr>
          <w:rFonts w:ascii="Book Antiqua" w:hAnsi="Book Antiqua"/>
          <w:color w:val="000000"/>
          <w:sz w:val="24"/>
        </w:rPr>
      </w:pPr>
      <w:r w:rsidRPr="001339DB">
        <w:rPr>
          <w:rFonts w:ascii="Book Antiqua" w:eastAsia="SimSun" w:hAnsi="Book Antiqua" w:cs="Times New Roman"/>
          <w:b/>
          <w:bCs/>
          <w:kern w:val="2"/>
          <w:sz w:val="24"/>
          <w:szCs w:val="24"/>
          <w:lang w:eastAsia="zh-CN"/>
        </w:rPr>
        <w:t>Accepted:</w:t>
      </w:r>
      <w:bookmarkStart w:id="244" w:name="OLE_LINK117"/>
      <w:r w:rsidR="00642F45" w:rsidRPr="00642F45">
        <w:rPr>
          <w:rFonts w:ascii="Book Antiqua" w:hAnsi="Book Antiqua"/>
          <w:color w:val="000000"/>
          <w:sz w:val="24"/>
        </w:rPr>
        <w:t xml:space="preserve"> </w:t>
      </w:r>
      <w:r w:rsidR="00642F45">
        <w:rPr>
          <w:rFonts w:ascii="Book Antiqua" w:hAnsi="Book Antiqua"/>
          <w:color w:val="000000"/>
          <w:sz w:val="24"/>
        </w:rPr>
        <w:t>March 15, 2017</w:t>
      </w:r>
      <w:bookmarkStart w:id="245" w:name="_GoBack"/>
      <w:bookmarkEnd w:id="244"/>
      <w:bookmarkEnd w:id="245"/>
      <w:r w:rsidR="00C731E9">
        <w:rPr>
          <w:rFonts w:ascii="Book Antiqua" w:eastAsia="SimSun" w:hAnsi="Book Antiqua" w:cs="Times New Roman"/>
          <w:b/>
          <w:bCs/>
          <w:kern w:val="2"/>
          <w:sz w:val="24"/>
          <w:szCs w:val="24"/>
          <w:lang w:eastAsia="zh-CN"/>
        </w:rPr>
        <w:t xml:space="preserve"> </w:t>
      </w:r>
    </w:p>
    <w:p w:rsidR="001339DB" w:rsidRPr="001339DB" w:rsidRDefault="001339DB" w:rsidP="001339DB">
      <w:pPr>
        <w:widowControl w:val="0"/>
        <w:adjustRightInd w:val="0"/>
        <w:snapToGrid w:val="0"/>
        <w:spacing w:after="0" w:line="360" w:lineRule="auto"/>
        <w:jc w:val="both"/>
        <w:rPr>
          <w:rFonts w:ascii="Book Antiqua" w:eastAsia="SimSun" w:hAnsi="Book Antiqua" w:cs="Times New Roman"/>
          <w:b/>
          <w:bCs/>
          <w:kern w:val="2"/>
          <w:sz w:val="24"/>
          <w:szCs w:val="24"/>
          <w:lang w:eastAsia="zh-CN"/>
        </w:rPr>
      </w:pPr>
      <w:r w:rsidRPr="001339DB">
        <w:rPr>
          <w:rFonts w:ascii="Book Antiqua" w:eastAsia="SimSun" w:hAnsi="Book Antiqua" w:cs="Times New Roman"/>
          <w:b/>
          <w:bCs/>
          <w:kern w:val="2"/>
          <w:sz w:val="24"/>
          <w:szCs w:val="24"/>
          <w:lang w:eastAsia="zh-CN"/>
        </w:rPr>
        <w:t>Article in press:</w:t>
      </w:r>
    </w:p>
    <w:p w:rsidR="001339DB" w:rsidRPr="001339DB" w:rsidRDefault="001339DB" w:rsidP="001339DB">
      <w:pPr>
        <w:widowControl w:val="0"/>
        <w:adjustRightInd w:val="0"/>
        <w:snapToGrid w:val="0"/>
        <w:spacing w:after="0" w:line="360" w:lineRule="auto"/>
        <w:jc w:val="both"/>
        <w:rPr>
          <w:rFonts w:ascii="Book Antiqua" w:eastAsia="SimSun" w:hAnsi="Book Antiqua" w:cs="Times New Roman"/>
          <w:b/>
          <w:bCs/>
          <w:kern w:val="2"/>
          <w:sz w:val="24"/>
          <w:szCs w:val="24"/>
          <w:lang w:eastAsia="zh-CN"/>
        </w:rPr>
      </w:pPr>
      <w:r w:rsidRPr="001339DB">
        <w:rPr>
          <w:rFonts w:ascii="Book Antiqua" w:eastAsia="SimSun" w:hAnsi="Book Antiqua" w:cs="Times New Roman"/>
          <w:b/>
          <w:bCs/>
          <w:kern w:val="2"/>
          <w:sz w:val="24"/>
          <w:szCs w:val="24"/>
          <w:lang w:eastAsia="zh-CN"/>
        </w:rPr>
        <w:t xml:space="preserve">Published online: </w:t>
      </w:r>
    </w:p>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rsidR="001339DB" w:rsidRPr="001339DB" w:rsidRDefault="001339DB" w:rsidP="001339DB">
      <w:pPr>
        <w:adjustRightInd w:val="0"/>
        <w:snapToGrid w:val="0"/>
        <w:spacing w:after="0" w:line="360" w:lineRule="auto"/>
        <w:jc w:val="both"/>
        <w:rPr>
          <w:rFonts w:ascii="Book Antiqua" w:hAnsi="Book Antiqua"/>
          <w:sz w:val="24"/>
          <w:szCs w:val="24"/>
          <w:lang w:eastAsia="zh-CN"/>
        </w:rPr>
      </w:pPr>
    </w:p>
    <w:p w:rsidR="001339DB" w:rsidRPr="001339DB" w:rsidRDefault="001339DB" w:rsidP="001339DB">
      <w:pPr>
        <w:adjustRightInd w:val="0"/>
        <w:snapToGrid w:val="0"/>
        <w:spacing w:after="0" w:line="360" w:lineRule="auto"/>
        <w:jc w:val="both"/>
        <w:rPr>
          <w:rFonts w:ascii="Book Antiqua" w:hAnsi="Book Antiqua"/>
          <w:sz w:val="24"/>
          <w:szCs w:val="24"/>
          <w:lang w:eastAsia="zh-CN"/>
        </w:rPr>
      </w:pPr>
    </w:p>
    <w:p w:rsidR="001339DB" w:rsidRDefault="001339DB">
      <w:pPr>
        <w:spacing w:after="200"/>
        <w:rPr>
          <w:rFonts w:ascii="Book Antiqua" w:eastAsia="Times New Roman" w:hAnsi="Book Antiqua" w:cs="Times New Roman"/>
          <w:b/>
          <w:caps/>
          <w:kern w:val="28"/>
          <w:sz w:val="24"/>
          <w:szCs w:val="24"/>
          <w:lang w:val="en-GB"/>
        </w:rPr>
      </w:pPr>
      <w:r>
        <w:rPr>
          <w:rFonts w:ascii="Book Antiqua" w:hAnsi="Book Antiqua"/>
          <w:szCs w:val="24"/>
        </w:rPr>
        <w:br w:type="page"/>
      </w:r>
    </w:p>
    <w:p w:rsidR="00D71F50" w:rsidRPr="001339DB" w:rsidRDefault="001339DB" w:rsidP="001339DB">
      <w:pPr>
        <w:pStyle w:val="Heading1"/>
        <w:adjustRightInd w:val="0"/>
        <w:snapToGrid w:val="0"/>
        <w:spacing w:before="0" w:after="0" w:line="360" w:lineRule="auto"/>
        <w:jc w:val="both"/>
        <w:rPr>
          <w:rFonts w:ascii="Book Antiqua" w:hAnsi="Book Antiqua"/>
          <w:szCs w:val="24"/>
        </w:rPr>
      </w:pPr>
      <w:r w:rsidRPr="001339DB">
        <w:rPr>
          <w:rFonts w:ascii="Book Antiqua" w:hAnsi="Book Antiqua"/>
          <w:caps w:val="0"/>
          <w:szCs w:val="24"/>
        </w:rPr>
        <w:lastRenderedPageBreak/>
        <w:t>Abstract</w:t>
      </w:r>
    </w:p>
    <w:p w:rsidR="001339DB" w:rsidRPr="001339DB" w:rsidRDefault="001339DB" w:rsidP="001339DB">
      <w:pPr>
        <w:adjustRightInd w:val="0"/>
        <w:snapToGrid w:val="0"/>
        <w:spacing w:after="0" w:line="360" w:lineRule="auto"/>
        <w:jc w:val="both"/>
        <w:rPr>
          <w:rFonts w:ascii="Book Antiqua" w:hAnsi="Book Antiqua"/>
          <w:i/>
          <w:sz w:val="24"/>
          <w:szCs w:val="24"/>
          <w:lang w:val="en-GB" w:eastAsia="zh-CN"/>
        </w:rPr>
      </w:pPr>
      <w:r w:rsidRPr="001339DB">
        <w:rPr>
          <w:rFonts w:ascii="Book Antiqua" w:hAnsi="Book Antiqua"/>
          <w:b/>
          <w:i/>
          <w:sz w:val="24"/>
          <w:szCs w:val="24"/>
          <w:lang w:val="en-GB"/>
        </w:rPr>
        <w:t>AIM</w:t>
      </w:r>
    </w:p>
    <w:p w:rsidR="00674201" w:rsidRDefault="00E22E31" w:rsidP="001339DB">
      <w:pPr>
        <w:adjustRightInd w:val="0"/>
        <w:snapToGrid w:val="0"/>
        <w:spacing w:after="0" w:line="360" w:lineRule="auto"/>
        <w:jc w:val="both"/>
        <w:rPr>
          <w:rFonts w:ascii="Book Antiqua" w:hAnsi="Book Antiqua"/>
          <w:sz w:val="24"/>
          <w:szCs w:val="24"/>
          <w:lang w:val="en-GB" w:eastAsia="zh-CN"/>
        </w:rPr>
      </w:pPr>
      <w:r w:rsidRPr="001339DB">
        <w:rPr>
          <w:rFonts w:ascii="Book Antiqua" w:hAnsi="Book Antiqua"/>
          <w:sz w:val="24"/>
          <w:szCs w:val="24"/>
          <w:lang w:val="en-GB"/>
        </w:rPr>
        <w:t xml:space="preserve">To </w:t>
      </w:r>
      <w:r w:rsidR="00674201" w:rsidRPr="001339DB">
        <w:rPr>
          <w:rFonts w:ascii="Book Antiqua" w:hAnsi="Book Antiqua"/>
          <w:sz w:val="24"/>
          <w:szCs w:val="24"/>
          <w:lang w:val="en-GB"/>
        </w:rPr>
        <w:t>assess liver fibrosis (LF) in hepatitis C virus (HCV) an</w:t>
      </w:r>
      <w:r>
        <w:rPr>
          <w:rFonts w:ascii="Book Antiqua" w:hAnsi="Book Antiqua"/>
          <w:sz w:val="24"/>
          <w:szCs w:val="24"/>
          <w:lang w:val="en-GB"/>
        </w:rPr>
        <w:t>d alcoholic liver disease (ALD)</w:t>
      </w:r>
      <w:r>
        <w:rPr>
          <w:rFonts w:ascii="Book Antiqua" w:hAnsi="Book Antiqua" w:hint="eastAsia"/>
          <w:sz w:val="24"/>
          <w:szCs w:val="24"/>
          <w:lang w:val="en-GB" w:eastAsia="zh-CN"/>
        </w:rPr>
        <w:t xml:space="preserve">, </w:t>
      </w:r>
      <w:r>
        <w:rPr>
          <w:rFonts w:ascii="Book Antiqua" w:hAnsi="Book Antiqua"/>
          <w:sz w:val="24"/>
          <w:szCs w:val="24"/>
          <w:lang w:val="en-GB"/>
        </w:rPr>
        <w:t>estimate</w:t>
      </w:r>
      <w:r w:rsidRPr="00E22E31">
        <w:rPr>
          <w:rFonts w:ascii="Book Antiqua" w:hAnsi="Book Antiqua"/>
          <w:sz w:val="24"/>
          <w:szCs w:val="24"/>
          <w:lang w:val="en-GB"/>
        </w:rPr>
        <w:t xml:space="preserve"> health outcomes and costs of new </w:t>
      </w:r>
      <w:proofErr w:type="spellStart"/>
      <w:r w:rsidRPr="00E22E31">
        <w:rPr>
          <w:rFonts w:ascii="Book Antiqua" w:hAnsi="Book Antiqua"/>
          <w:sz w:val="24"/>
          <w:szCs w:val="24"/>
          <w:lang w:val="en-GB"/>
        </w:rPr>
        <w:t>noninvasive</w:t>
      </w:r>
      <w:proofErr w:type="spellEnd"/>
      <w:r w:rsidRPr="00E22E31">
        <w:rPr>
          <w:rFonts w:ascii="Book Antiqua" w:hAnsi="Book Antiqua"/>
          <w:sz w:val="24"/>
          <w:szCs w:val="24"/>
          <w:lang w:val="en-GB"/>
        </w:rPr>
        <w:t xml:space="preserve"> testing strategies</w:t>
      </w:r>
    </w:p>
    <w:p w:rsidR="001339DB" w:rsidRPr="00E22E31" w:rsidRDefault="001339DB" w:rsidP="001339DB">
      <w:pPr>
        <w:adjustRightInd w:val="0"/>
        <w:snapToGrid w:val="0"/>
        <w:spacing w:after="0" w:line="360" w:lineRule="auto"/>
        <w:jc w:val="both"/>
        <w:rPr>
          <w:rFonts w:ascii="Book Antiqua" w:hAnsi="Book Antiqua"/>
          <w:sz w:val="24"/>
          <w:szCs w:val="24"/>
          <w:lang w:val="en-GB" w:eastAsia="zh-CN"/>
        </w:rPr>
      </w:pPr>
    </w:p>
    <w:p w:rsidR="001339DB" w:rsidRPr="001339DB" w:rsidRDefault="001339DB" w:rsidP="001339DB">
      <w:pPr>
        <w:adjustRightInd w:val="0"/>
        <w:snapToGrid w:val="0"/>
        <w:spacing w:after="0" w:line="360" w:lineRule="auto"/>
        <w:jc w:val="both"/>
        <w:rPr>
          <w:rFonts w:ascii="Book Antiqua" w:hAnsi="Book Antiqua"/>
          <w:i/>
          <w:sz w:val="24"/>
          <w:szCs w:val="24"/>
          <w:lang w:val="en-GB" w:eastAsia="zh-CN"/>
        </w:rPr>
      </w:pPr>
      <w:r w:rsidRPr="001339DB">
        <w:rPr>
          <w:rFonts w:ascii="Book Antiqua" w:hAnsi="Book Antiqua"/>
          <w:b/>
          <w:i/>
          <w:sz w:val="24"/>
          <w:szCs w:val="24"/>
          <w:lang w:val="en-GB"/>
        </w:rPr>
        <w:t>METHODS</w:t>
      </w:r>
    </w:p>
    <w:p w:rsidR="004F4664" w:rsidRDefault="0099283A" w:rsidP="001339DB">
      <w:pPr>
        <w:adjustRightInd w:val="0"/>
        <w:snapToGrid w:val="0"/>
        <w:spacing w:after="0" w:line="360" w:lineRule="auto"/>
        <w:jc w:val="both"/>
        <w:rPr>
          <w:rFonts w:ascii="Book Antiqua" w:hAnsi="Book Antiqua"/>
          <w:sz w:val="24"/>
          <w:szCs w:val="24"/>
          <w:lang w:val="en-GB" w:eastAsia="zh-CN"/>
        </w:rPr>
      </w:pPr>
      <w:r w:rsidRPr="001339DB">
        <w:rPr>
          <w:rFonts w:ascii="Book Antiqua" w:hAnsi="Book Antiqua"/>
          <w:sz w:val="24"/>
          <w:szCs w:val="24"/>
          <w:lang w:val="en-GB"/>
        </w:rPr>
        <w:t>A</w:t>
      </w:r>
      <w:r w:rsidR="004F4664" w:rsidRPr="001339DB">
        <w:rPr>
          <w:rFonts w:ascii="Book Antiqua" w:hAnsi="Book Antiqua"/>
          <w:sz w:val="24"/>
          <w:szCs w:val="24"/>
          <w:lang w:val="en-GB"/>
        </w:rPr>
        <w:t xml:space="preserve"> Markov model </w:t>
      </w:r>
      <w:r w:rsidRPr="001339DB">
        <w:rPr>
          <w:rFonts w:ascii="Book Antiqua" w:hAnsi="Book Antiqua"/>
          <w:sz w:val="24"/>
          <w:szCs w:val="24"/>
          <w:lang w:val="en-GB"/>
        </w:rPr>
        <w:t xml:space="preserve">was developed </w:t>
      </w:r>
      <w:r w:rsidR="004F4664" w:rsidRPr="001339DB">
        <w:rPr>
          <w:rFonts w:ascii="Book Antiqua" w:hAnsi="Book Antiqua"/>
          <w:sz w:val="24"/>
          <w:szCs w:val="24"/>
          <w:lang w:val="en-GB"/>
        </w:rPr>
        <w:t xml:space="preserve">to simulate LF progression in HCV and ALD for a cohort of 40-year-old men with abnormal levels of transaminases. Three different testing alternatives were studied: a single liver biopsy; annual Enhanced Liver Fibrosis (ELF™) followed by </w:t>
      </w:r>
      <w:r w:rsidR="003E32E4" w:rsidRPr="001339DB">
        <w:rPr>
          <w:rFonts w:ascii="Book Antiqua" w:hAnsi="Book Antiqua"/>
          <w:sz w:val="24"/>
          <w:szCs w:val="24"/>
          <w:lang w:val="en-GB"/>
        </w:rPr>
        <w:t>liver stiffness measurement</w:t>
      </w:r>
      <w:r w:rsidR="004F4664" w:rsidRPr="001339DB">
        <w:rPr>
          <w:rFonts w:ascii="Book Antiqua" w:hAnsi="Book Antiqua"/>
          <w:sz w:val="24"/>
          <w:szCs w:val="24"/>
          <w:lang w:val="en-GB"/>
        </w:rPr>
        <w:t xml:space="preserve"> (</w:t>
      </w:r>
      <w:r w:rsidR="003E32E4" w:rsidRPr="001339DB">
        <w:rPr>
          <w:rFonts w:ascii="Book Antiqua" w:hAnsi="Book Antiqua"/>
          <w:sz w:val="24"/>
          <w:szCs w:val="24"/>
          <w:lang w:val="en-GB"/>
        </w:rPr>
        <w:t>LSM</w:t>
      </w:r>
      <w:r w:rsidR="004F4664" w:rsidRPr="001339DB">
        <w:rPr>
          <w:rFonts w:ascii="Book Antiqua" w:hAnsi="Book Antiqua"/>
          <w:sz w:val="24"/>
          <w:szCs w:val="24"/>
          <w:lang w:val="en-GB"/>
        </w:rPr>
        <w:t xml:space="preserve">) imaging as a confirmation test if the ELF test is positive; and annual ELF test without </w:t>
      </w:r>
      <w:r w:rsidR="003E32E4" w:rsidRPr="001339DB">
        <w:rPr>
          <w:rFonts w:ascii="Book Antiqua" w:hAnsi="Book Antiqua"/>
          <w:sz w:val="24"/>
          <w:szCs w:val="24"/>
          <w:lang w:val="en-GB"/>
        </w:rPr>
        <w:t>LSM</w:t>
      </w:r>
      <w:r w:rsidR="004F4664" w:rsidRPr="001339DB">
        <w:rPr>
          <w:rFonts w:ascii="Book Antiqua" w:hAnsi="Book Antiqua"/>
          <w:sz w:val="24"/>
          <w:szCs w:val="24"/>
          <w:lang w:val="en-GB"/>
        </w:rPr>
        <w:t>. The analysis was performed from the perspective of a university hospital in Spain. Clinical data were obtained from published literature. Costs were sourced from administrative databases of the hospital. Deterministic and probabilistic sensitivity analyses were performed.</w:t>
      </w:r>
    </w:p>
    <w:p w:rsidR="001339DB" w:rsidRPr="001339DB" w:rsidRDefault="001339DB" w:rsidP="001339DB">
      <w:pPr>
        <w:adjustRightInd w:val="0"/>
        <w:snapToGrid w:val="0"/>
        <w:spacing w:after="0" w:line="360" w:lineRule="auto"/>
        <w:jc w:val="both"/>
        <w:rPr>
          <w:rFonts w:ascii="Book Antiqua" w:hAnsi="Book Antiqua"/>
          <w:sz w:val="24"/>
          <w:szCs w:val="24"/>
          <w:lang w:val="en-GB" w:eastAsia="zh-CN"/>
        </w:rPr>
      </w:pPr>
    </w:p>
    <w:p w:rsidR="001339DB" w:rsidRPr="001339DB" w:rsidRDefault="001339DB" w:rsidP="001339DB">
      <w:pPr>
        <w:adjustRightInd w:val="0"/>
        <w:snapToGrid w:val="0"/>
        <w:spacing w:after="0" w:line="360" w:lineRule="auto"/>
        <w:jc w:val="both"/>
        <w:rPr>
          <w:rFonts w:ascii="Book Antiqua" w:hAnsi="Book Antiqua"/>
          <w:i/>
          <w:sz w:val="24"/>
          <w:szCs w:val="24"/>
          <w:lang w:val="en-GB" w:eastAsia="zh-CN"/>
        </w:rPr>
      </w:pPr>
      <w:r w:rsidRPr="001339DB">
        <w:rPr>
          <w:rFonts w:ascii="Book Antiqua" w:hAnsi="Book Antiqua"/>
          <w:b/>
          <w:i/>
          <w:sz w:val="24"/>
          <w:szCs w:val="24"/>
          <w:lang w:val="en-GB"/>
        </w:rPr>
        <w:t>RESULTS</w:t>
      </w:r>
    </w:p>
    <w:p w:rsidR="004F4664" w:rsidRDefault="004F4664" w:rsidP="001339DB">
      <w:pPr>
        <w:adjustRightInd w:val="0"/>
        <w:snapToGrid w:val="0"/>
        <w:spacing w:after="0" w:line="360" w:lineRule="auto"/>
        <w:jc w:val="both"/>
        <w:rPr>
          <w:rFonts w:ascii="Book Antiqua" w:hAnsi="Book Antiqua"/>
          <w:sz w:val="24"/>
          <w:szCs w:val="24"/>
          <w:lang w:val="en-GB" w:eastAsia="zh-CN"/>
        </w:rPr>
      </w:pPr>
      <w:r w:rsidRPr="001339DB">
        <w:rPr>
          <w:rFonts w:ascii="Book Antiqua" w:hAnsi="Book Antiqua"/>
          <w:sz w:val="24"/>
          <w:szCs w:val="24"/>
          <w:lang w:val="en-GB"/>
        </w:rPr>
        <w:t>In HCV patients, annual sequential ELF test/</w:t>
      </w:r>
      <w:r w:rsidR="003E32E4" w:rsidRPr="001339DB">
        <w:rPr>
          <w:rFonts w:ascii="Book Antiqua" w:hAnsi="Book Antiqua"/>
          <w:sz w:val="24"/>
          <w:szCs w:val="24"/>
          <w:lang w:val="en-GB"/>
        </w:rPr>
        <w:t>LSM</w:t>
      </w:r>
      <w:r w:rsidRPr="001339DB">
        <w:rPr>
          <w:rFonts w:ascii="Book Antiqua" w:hAnsi="Book Antiqua"/>
          <w:sz w:val="24"/>
          <w:szCs w:val="24"/>
          <w:lang w:val="en-GB"/>
        </w:rPr>
        <w:t xml:space="preserve"> and annual ELF test alone prevented respectively 12.9 and 13.3 liver fibrosis-related deaths per 100 persons tested, compared to biopsy. The incremental cost-effectiveness rati</w:t>
      </w:r>
      <w:r w:rsidR="00E22E31">
        <w:rPr>
          <w:rFonts w:ascii="Book Antiqua" w:hAnsi="Book Antiqua"/>
          <w:sz w:val="24"/>
          <w:szCs w:val="24"/>
          <w:lang w:val="en-GB"/>
        </w:rPr>
        <w:t>os (ICERs) were respectively 13400€ and 11</w:t>
      </w:r>
      <w:r w:rsidRPr="001339DB">
        <w:rPr>
          <w:rFonts w:ascii="Book Antiqua" w:hAnsi="Book Antiqua"/>
          <w:sz w:val="24"/>
          <w:szCs w:val="24"/>
          <w:lang w:val="en-GB"/>
        </w:rPr>
        <w:t>500€ per quality-adjusted life year (QALY). In ALD, fibrosis-related deaths decreased by 11.7 and 22.1 per 100 persons tested respectively with sequential ELF test/</w:t>
      </w:r>
      <w:r w:rsidR="003E32E4" w:rsidRPr="001339DB">
        <w:rPr>
          <w:rFonts w:ascii="Book Antiqua" w:hAnsi="Book Antiqua"/>
          <w:sz w:val="24"/>
          <w:szCs w:val="24"/>
          <w:lang w:val="en-GB"/>
        </w:rPr>
        <w:t>LSM</w:t>
      </w:r>
      <w:r w:rsidRPr="001339DB">
        <w:rPr>
          <w:rFonts w:ascii="Book Antiqua" w:hAnsi="Book Antiqua"/>
          <w:sz w:val="24"/>
          <w:szCs w:val="24"/>
          <w:lang w:val="en-GB"/>
        </w:rPr>
        <w:t xml:space="preserve"> and annual ELF test alone. ICERs were 280€ and 190€ per QALY, respectively.</w:t>
      </w:r>
    </w:p>
    <w:p w:rsidR="001339DB" w:rsidRPr="001339DB" w:rsidRDefault="001339DB" w:rsidP="001339DB">
      <w:pPr>
        <w:adjustRightInd w:val="0"/>
        <w:snapToGrid w:val="0"/>
        <w:spacing w:after="0" w:line="360" w:lineRule="auto"/>
        <w:jc w:val="both"/>
        <w:rPr>
          <w:rFonts w:ascii="Book Antiqua" w:hAnsi="Book Antiqua"/>
          <w:sz w:val="24"/>
          <w:szCs w:val="24"/>
          <w:lang w:val="en-GB" w:eastAsia="zh-CN"/>
        </w:rPr>
      </w:pPr>
    </w:p>
    <w:p w:rsidR="001339DB" w:rsidRPr="001339DB" w:rsidRDefault="001339DB" w:rsidP="001339DB">
      <w:pPr>
        <w:adjustRightInd w:val="0"/>
        <w:snapToGrid w:val="0"/>
        <w:spacing w:after="0" w:line="360" w:lineRule="auto"/>
        <w:jc w:val="both"/>
        <w:rPr>
          <w:rFonts w:ascii="Book Antiqua" w:hAnsi="Book Antiqua"/>
          <w:i/>
          <w:sz w:val="24"/>
          <w:szCs w:val="24"/>
          <w:lang w:val="en-GB" w:eastAsia="zh-CN"/>
        </w:rPr>
      </w:pPr>
      <w:r w:rsidRPr="001339DB">
        <w:rPr>
          <w:rFonts w:ascii="Book Antiqua" w:hAnsi="Book Antiqua"/>
          <w:b/>
          <w:i/>
          <w:sz w:val="24"/>
          <w:szCs w:val="24"/>
          <w:lang w:val="en-GB"/>
        </w:rPr>
        <w:t>CONCLUSION</w:t>
      </w:r>
    </w:p>
    <w:p w:rsidR="00196848" w:rsidRPr="001339DB" w:rsidRDefault="004F4664" w:rsidP="001339DB">
      <w:pPr>
        <w:adjustRightInd w:val="0"/>
        <w:snapToGrid w:val="0"/>
        <w:spacing w:after="0" w:line="360" w:lineRule="auto"/>
        <w:jc w:val="both"/>
        <w:rPr>
          <w:rFonts w:ascii="Book Antiqua" w:hAnsi="Book Antiqua"/>
          <w:sz w:val="24"/>
          <w:szCs w:val="24"/>
          <w:lang w:val="en-GB"/>
        </w:rPr>
      </w:pPr>
      <w:r w:rsidRPr="001339DB">
        <w:rPr>
          <w:rFonts w:ascii="Book Antiqua" w:hAnsi="Book Antiqua"/>
          <w:sz w:val="24"/>
          <w:szCs w:val="24"/>
          <w:lang w:val="en-GB"/>
        </w:rPr>
        <w:t xml:space="preserve">The use of the ELF test with or without a confirmation </w:t>
      </w:r>
      <w:r w:rsidR="003E32E4" w:rsidRPr="001339DB">
        <w:rPr>
          <w:rFonts w:ascii="Book Antiqua" w:hAnsi="Book Antiqua"/>
          <w:sz w:val="24"/>
          <w:szCs w:val="24"/>
          <w:lang w:val="en-GB"/>
        </w:rPr>
        <w:t>LSM</w:t>
      </w:r>
      <w:r w:rsidRPr="001339DB">
        <w:rPr>
          <w:rFonts w:ascii="Book Antiqua" w:hAnsi="Book Antiqua"/>
          <w:sz w:val="24"/>
          <w:szCs w:val="24"/>
          <w:lang w:val="en-GB"/>
        </w:rPr>
        <w:t xml:space="preserve"> are cost-effective options compared to </w:t>
      </w:r>
      <w:r w:rsidR="003D5A3B" w:rsidRPr="001339DB">
        <w:rPr>
          <w:rFonts w:ascii="Book Antiqua" w:hAnsi="Book Antiqua"/>
          <w:sz w:val="24"/>
          <w:szCs w:val="24"/>
          <w:lang w:val="en-GB"/>
        </w:rPr>
        <w:t xml:space="preserve">a single </w:t>
      </w:r>
      <w:r w:rsidRPr="001339DB">
        <w:rPr>
          <w:rFonts w:ascii="Book Antiqua" w:hAnsi="Book Antiqua"/>
          <w:sz w:val="24"/>
          <w:szCs w:val="24"/>
          <w:lang w:val="en-GB"/>
        </w:rPr>
        <w:t>liver biopsy for testing liver fibrosis in HCV and ALD patients in Spain.</w:t>
      </w:r>
    </w:p>
    <w:p w:rsidR="008326F6" w:rsidRDefault="008326F6" w:rsidP="001339DB">
      <w:pPr>
        <w:adjustRightInd w:val="0"/>
        <w:snapToGrid w:val="0"/>
        <w:spacing w:after="0" w:line="360" w:lineRule="auto"/>
        <w:jc w:val="both"/>
        <w:rPr>
          <w:rFonts w:ascii="Book Antiqua" w:hAnsi="Book Antiqua"/>
          <w:sz w:val="24"/>
          <w:szCs w:val="24"/>
          <w:lang w:val="en-GB" w:eastAsia="zh-CN"/>
        </w:rPr>
      </w:pPr>
    </w:p>
    <w:p w:rsidR="001339DB" w:rsidRPr="001339DB" w:rsidRDefault="001339DB" w:rsidP="001339DB">
      <w:pPr>
        <w:adjustRightInd w:val="0"/>
        <w:snapToGrid w:val="0"/>
        <w:spacing w:after="0" w:line="360" w:lineRule="auto"/>
        <w:jc w:val="both"/>
        <w:rPr>
          <w:rFonts w:ascii="Book Antiqua" w:hAnsi="Book Antiqua"/>
          <w:sz w:val="24"/>
          <w:szCs w:val="24"/>
          <w:lang w:eastAsia="zh-CN"/>
        </w:rPr>
      </w:pPr>
      <w:r w:rsidRPr="001339DB">
        <w:rPr>
          <w:rFonts w:ascii="Book Antiqua" w:hAnsi="Book Antiqua"/>
          <w:b/>
          <w:sz w:val="24"/>
          <w:szCs w:val="24"/>
          <w:lang w:eastAsia="zh-CN"/>
        </w:rPr>
        <w:t>Key</w:t>
      </w:r>
      <w:r w:rsidRPr="001339DB">
        <w:rPr>
          <w:rFonts w:ascii="Book Antiqua" w:hAnsi="Book Antiqua" w:hint="eastAsia"/>
          <w:b/>
          <w:sz w:val="24"/>
          <w:szCs w:val="24"/>
          <w:lang w:eastAsia="zh-CN"/>
        </w:rPr>
        <w:t xml:space="preserve"> </w:t>
      </w:r>
      <w:r w:rsidRPr="001339DB">
        <w:rPr>
          <w:rFonts w:ascii="Book Antiqua" w:hAnsi="Book Antiqua"/>
          <w:b/>
          <w:sz w:val="24"/>
          <w:szCs w:val="24"/>
          <w:lang w:eastAsia="zh-CN"/>
        </w:rPr>
        <w:t>words</w:t>
      </w:r>
      <w:r w:rsidRPr="001339DB">
        <w:rPr>
          <w:rFonts w:ascii="Book Antiqua" w:hAnsi="Book Antiqua"/>
          <w:sz w:val="24"/>
          <w:szCs w:val="24"/>
          <w:lang w:eastAsia="zh-CN"/>
        </w:rPr>
        <w:t>: Cost-effectiveness analysis; Liver fibrosis; Noninvasive diagnostic assessment; Hepatitis C; Alcoholic liver diseas</w:t>
      </w:r>
      <w:r w:rsidRPr="001339DB">
        <w:rPr>
          <w:rFonts w:ascii="Book Antiqua" w:hAnsi="Book Antiqua" w:hint="eastAsia"/>
          <w:sz w:val="24"/>
          <w:szCs w:val="24"/>
          <w:lang w:eastAsia="zh-CN"/>
        </w:rPr>
        <w:t>e</w:t>
      </w:r>
    </w:p>
    <w:p w:rsidR="001339DB" w:rsidRDefault="001339DB" w:rsidP="001339DB">
      <w:pPr>
        <w:adjustRightInd w:val="0"/>
        <w:snapToGrid w:val="0"/>
        <w:spacing w:after="0" w:line="360" w:lineRule="auto"/>
        <w:jc w:val="both"/>
        <w:rPr>
          <w:rFonts w:ascii="Book Antiqua" w:hAnsi="Book Antiqua"/>
          <w:sz w:val="24"/>
          <w:szCs w:val="24"/>
          <w:lang w:eastAsia="zh-CN"/>
        </w:rPr>
      </w:pPr>
    </w:p>
    <w:p w:rsidR="00E22E31" w:rsidRDefault="00E22E31" w:rsidP="00E22E31">
      <w:pPr>
        <w:widowControl w:val="0"/>
        <w:adjustRightInd w:val="0"/>
        <w:snapToGrid w:val="0"/>
        <w:spacing w:after="0" w:line="360" w:lineRule="auto"/>
        <w:jc w:val="both"/>
        <w:rPr>
          <w:rFonts w:ascii="Book Antiqua" w:eastAsia="SimSun" w:hAnsi="Book Antiqua" w:cs="Times New Roman"/>
          <w:color w:val="000000"/>
          <w:kern w:val="2"/>
          <w:sz w:val="24"/>
          <w:szCs w:val="24"/>
          <w:lang w:eastAsia="zh-CN"/>
        </w:rPr>
      </w:pPr>
      <w:bookmarkStart w:id="246" w:name="OLE_LINK363"/>
      <w:bookmarkStart w:id="247" w:name="OLE_LINK364"/>
      <w:bookmarkStart w:id="248" w:name="OLE_LINK359"/>
      <w:bookmarkStart w:id="249" w:name="OLE_LINK2"/>
      <w:bookmarkStart w:id="250" w:name="OLE_LINK1037"/>
      <w:bookmarkStart w:id="251" w:name="OLE_LINK1195"/>
      <w:bookmarkStart w:id="252" w:name="OLE_LINK1140"/>
      <w:bookmarkStart w:id="253" w:name="OLE_LINK1062"/>
      <w:bookmarkStart w:id="254" w:name="OLE_LINK1327"/>
      <w:bookmarkStart w:id="255" w:name="OLE_LINK1174"/>
      <w:bookmarkStart w:id="256" w:name="OLE_LINK1348"/>
      <w:bookmarkStart w:id="257" w:name="OLE_LINK1519"/>
      <w:bookmarkStart w:id="258" w:name="OLE_LINK1571"/>
      <w:bookmarkStart w:id="259" w:name="OLE_LINK1666"/>
      <w:bookmarkStart w:id="260" w:name="OLE_LINK11"/>
      <w:bookmarkStart w:id="261" w:name="OLE_LINK1438"/>
      <w:bookmarkStart w:id="262" w:name="OLE_LINK1375"/>
      <w:bookmarkStart w:id="263" w:name="OLE_LINK1429"/>
      <w:bookmarkStart w:id="264" w:name="OLE_LINK1497"/>
      <w:bookmarkStart w:id="265" w:name="OLE_LINK1581"/>
      <w:bookmarkStart w:id="266" w:name="OLE_LINK1356"/>
      <w:bookmarkStart w:id="267" w:name="OLE_LINK1469"/>
      <w:bookmarkStart w:id="268" w:name="OLE_LINK1546"/>
      <w:bookmarkStart w:id="269" w:name="OLE_LINK1694"/>
      <w:bookmarkStart w:id="270" w:name="OLE_LINK1727"/>
      <w:bookmarkStart w:id="271" w:name="OLE_LINK1797"/>
      <w:bookmarkStart w:id="272" w:name="OLE_LINK1887"/>
      <w:bookmarkStart w:id="273" w:name="OLE_LINK1975"/>
      <w:bookmarkStart w:id="274" w:name="OLE_LINK2186"/>
      <w:bookmarkStart w:id="275" w:name="OLE_LINK768"/>
      <w:bookmarkStart w:id="276" w:name="OLE_LINK2332"/>
      <w:bookmarkStart w:id="277" w:name="OLE_LINK2353"/>
      <w:bookmarkStart w:id="278" w:name="OLE_LINK2448"/>
      <w:bookmarkStart w:id="279" w:name="OLE_LINK2467"/>
      <w:bookmarkStart w:id="280" w:name="OLE_LINK2563"/>
      <w:bookmarkStart w:id="281" w:name="OLE_LINK2608"/>
      <w:bookmarkStart w:id="282" w:name="OLE_LINK2654"/>
      <w:bookmarkStart w:id="283" w:name="OLE_LINK2695"/>
      <w:bookmarkStart w:id="284" w:name="OLE_LINK2732"/>
      <w:bookmarkStart w:id="285" w:name="OLE_LINK2658"/>
      <w:bookmarkStart w:id="286" w:name="OLE_LINK2775"/>
      <w:bookmarkStart w:id="287" w:name="OLE_LINK52"/>
      <w:bookmarkStart w:id="288" w:name="OLE_LINK2910"/>
      <w:bookmarkStart w:id="289" w:name="OLE_LINK2933"/>
      <w:bookmarkStart w:id="290" w:name="OLE_LINK3527"/>
      <w:bookmarkStart w:id="291" w:name="OLE_LINK2950"/>
      <w:bookmarkStart w:id="292" w:name="OLE_LINK3497"/>
      <w:bookmarkStart w:id="293" w:name="OLE_LINK3130"/>
      <w:bookmarkStart w:id="294" w:name="OLE_LINK3036"/>
      <w:bookmarkStart w:id="295" w:name="OLE_LINK3172"/>
      <w:bookmarkStart w:id="296" w:name="OLE_LINK3212"/>
      <w:bookmarkStart w:id="297" w:name="OLE_LINK3236"/>
      <w:bookmarkStart w:id="298" w:name="OLE_LINK66"/>
      <w:bookmarkStart w:id="299" w:name="OLE_LINK3632"/>
      <w:bookmarkStart w:id="300" w:name="OLE_LINK68"/>
      <w:bookmarkStart w:id="301" w:name="OLE_LINK73"/>
      <w:bookmarkStart w:id="302" w:name="OLE_LINK3790"/>
      <w:bookmarkStart w:id="303" w:name="OLE_LINK109"/>
      <w:bookmarkStart w:id="304" w:name="OLE_LINK3700"/>
      <w:bookmarkStart w:id="305" w:name="OLE_LINK88"/>
      <w:bookmarkStart w:id="306" w:name="OLE_LINK3612"/>
      <w:bookmarkStart w:id="307" w:name="OLE_LINK3749"/>
      <w:bookmarkStart w:id="308" w:name="OLE_LINK3760"/>
      <w:bookmarkStart w:id="309" w:name="OLE_LINK3703"/>
      <w:bookmarkStart w:id="310" w:name="OLE_LINK3825"/>
      <w:bookmarkStart w:id="311" w:name="OLE_LINK3959"/>
      <w:bookmarkStart w:id="312" w:name="OLE_LINK101"/>
      <w:bookmarkStart w:id="313" w:name="OLE_LINK3900"/>
      <w:bookmarkStart w:id="314" w:name="OLE_LINK3872"/>
      <w:bookmarkStart w:id="315" w:name="OLE_LINK3963"/>
      <w:bookmarkStart w:id="316" w:name="OLE_LINK119"/>
      <w:bookmarkStart w:id="317" w:name="OLE_LINK160"/>
      <w:bookmarkStart w:id="318" w:name="OLE_LINK146"/>
      <w:bookmarkStart w:id="319" w:name="OLE_LINK4033"/>
      <w:bookmarkStart w:id="320" w:name="OLE_LINK4096"/>
      <w:r w:rsidRPr="00E22E31">
        <w:rPr>
          <w:rFonts w:ascii="Book Antiqua" w:eastAsia="SimSun" w:hAnsi="Book Antiqua" w:cs="Times New Roman" w:hint="eastAsia"/>
          <w:b/>
          <w:color w:val="000000"/>
          <w:kern w:val="2"/>
          <w:sz w:val="24"/>
          <w:szCs w:val="24"/>
          <w:lang w:eastAsia="zh-CN"/>
        </w:rPr>
        <w:t>©</w:t>
      </w:r>
      <w:r w:rsidRPr="00E22E31">
        <w:rPr>
          <w:rFonts w:ascii="Book Antiqua" w:eastAsia="SimSun" w:hAnsi="Book Antiqua" w:cs="Times New Roman"/>
          <w:b/>
          <w:color w:val="000000"/>
          <w:kern w:val="2"/>
          <w:sz w:val="24"/>
          <w:szCs w:val="24"/>
          <w:lang w:eastAsia="zh-CN"/>
        </w:rPr>
        <w:t xml:space="preserve"> The Author(s) 201</w:t>
      </w:r>
      <w:r w:rsidRPr="00E22E31">
        <w:rPr>
          <w:rFonts w:ascii="Book Antiqua" w:eastAsia="SimSun" w:hAnsi="Book Antiqua" w:cs="Times New Roman" w:hint="eastAsia"/>
          <w:b/>
          <w:color w:val="000000"/>
          <w:kern w:val="2"/>
          <w:sz w:val="24"/>
          <w:szCs w:val="24"/>
          <w:lang w:eastAsia="zh-CN"/>
        </w:rPr>
        <w:t>7</w:t>
      </w:r>
      <w:r w:rsidRPr="00E22E31">
        <w:rPr>
          <w:rFonts w:ascii="Book Antiqua" w:eastAsia="SimSun" w:hAnsi="Book Antiqua" w:cs="Times New Roman"/>
          <w:b/>
          <w:color w:val="000000"/>
          <w:kern w:val="2"/>
          <w:sz w:val="24"/>
          <w:szCs w:val="24"/>
          <w:lang w:eastAsia="zh-CN"/>
        </w:rPr>
        <w:t>.</w:t>
      </w:r>
      <w:r w:rsidRPr="00E22E31">
        <w:rPr>
          <w:rFonts w:ascii="Book Antiqua" w:eastAsia="SimSun" w:hAnsi="Book Antiqua" w:cs="Times New Roman"/>
          <w:color w:val="000000"/>
          <w:kern w:val="2"/>
          <w:sz w:val="24"/>
          <w:szCs w:val="24"/>
          <w:lang w:eastAsia="zh-CN"/>
        </w:rPr>
        <w:t xml:space="preserve"> Published by </w:t>
      </w:r>
      <w:proofErr w:type="spellStart"/>
      <w:r w:rsidRPr="00E22E31">
        <w:rPr>
          <w:rFonts w:ascii="Book Antiqua" w:eastAsia="SimSun" w:hAnsi="Book Antiqua" w:cs="Times New Roman"/>
          <w:color w:val="000000"/>
          <w:kern w:val="2"/>
          <w:sz w:val="24"/>
          <w:szCs w:val="24"/>
          <w:lang w:eastAsia="zh-CN"/>
        </w:rPr>
        <w:t>Baishideng</w:t>
      </w:r>
      <w:proofErr w:type="spellEnd"/>
      <w:r w:rsidRPr="00E22E31">
        <w:rPr>
          <w:rFonts w:ascii="Book Antiqua" w:eastAsia="SimSun" w:hAnsi="Book Antiqua" w:cs="Times New Roman"/>
          <w:color w:val="000000"/>
          <w:kern w:val="2"/>
          <w:sz w:val="24"/>
          <w:szCs w:val="24"/>
          <w:lang w:eastAsia="zh-CN"/>
        </w:rPr>
        <w:t xml:space="preserve"> Publishing Group Inc. All rights reserved.</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rsidR="00E22E31" w:rsidRDefault="00E22E31" w:rsidP="00E22E31">
      <w:pPr>
        <w:widowControl w:val="0"/>
        <w:adjustRightInd w:val="0"/>
        <w:snapToGrid w:val="0"/>
        <w:spacing w:after="0" w:line="360" w:lineRule="auto"/>
        <w:jc w:val="both"/>
        <w:rPr>
          <w:rFonts w:ascii="Book Antiqua" w:eastAsia="SimSun" w:hAnsi="Book Antiqua" w:cs="Times New Roman"/>
          <w:color w:val="000000"/>
          <w:kern w:val="2"/>
          <w:sz w:val="24"/>
          <w:szCs w:val="24"/>
          <w:lang w:eastAsia="zh-CN"/>
        </w:rPr>
      </w:pPr>
    </w:p>
    <w:p w:rsidR="00E22E31" w:rsidRDefault="00A7778A" w:rsidP="00E22E31">
      <w:pPr>
        <w:widowControl w:val="0"/>
        <w:adjustRightInd w:val="0"/>
        <w:snapToGrid w:val="0"/>
        <w:spacing w:after="0" w:line="360" w:lineRule="auto"/>
        <w:jc w:val="both"/>
        <w:rPr>
          <w:rFonts w:ascii="Book Antiqua" w:hAnsi="Book Antiqua"/>
          <w:sz w:val="24"/>
          <w:szCs w:val="24"/>
          <w:lang w:val="en-GB"/>
        </w:rPr>
      </w:pPr>
      <w:r w:rsidRPr="00E22E31">
        <w:rPr>
          <w:rFonts w:ascii="Book Antiqua" w:hAnsi="Book Antiqua"/>
          <w:b/>
          <w:szCs w:val="24"/>
        </w:rPr>
        <w:t>C</w:t>
      </w:r>
      <w:r w:rsidR="00E22E31" w:rsidRPr="00E22E31">
        <w:rPr>
          <w:rFonts w:ascii="Book Antiqua" w:hAnsi="Book Antiqua"/>
          <w:b/>
          <w:szCs w:val="24"/>
        </w:rPr>
        <w:t>ore tip</w:t>
      </w:r>
      <w:r w:rsidR="00E22E31" w:rsidRPr="00E22E31">
        <w:rPr>
          <w:rFonts w:ascii="Book Antiqua" w:hAnsi="Book Antiqua"/>
          <w:b/>
          <w:szCs w:val="24"/>
          <w:lang w:eastAsia="zh-CN"/>
        </w:rPr>
        <w:t>:</w:t>
      </w:r>
      <w:r w:rsidR="00E22E31">
        <w:rPr>
          <w:rFonts w:ascii="Book Antiqua" w:eastAsia="SimSun" w:hAnsi="Book Antiqua" w:cs="Times New Roman" w:hint="eastAsia"/>
          <w:b/>
          <w:color w:val="000000"/>
          <w:kern w:val="2"/>
          <w:sz w:val="24"/>
          <w:szCs w:val="24"/>
          <w:lang w:eastAsia="zh-CN"/>
        </w:rPr>
        <w:t xml:space="preserve"> </w:t>
      </w:r>
      <w:r w:rsidRPr="001339DB">
        <w:rPr>
          <w:rFonts w:ascii="Book Antiqua" w:hAnsi="Book Antiqua"/>
          <w:sz w:val="24"/>
          <w:szCs w:val="24"/>
        </w:rPr>
        <w:t xml:space="preserve">Noninvasive methods to diagnose liver fibrosis have been proposed as an alternative to liver biopsy in patients with abnormal level of transaminases. In a Markov model, sequential testing with Enhanced Liver Fibrosis (ELF) test followed by liver stiffness </w:t>
      </w:r>
      <w:r w:rsidRPr="001339DB">
        <w:rPr>
          <w:rFonts w:ascii="Book Antiqua" w:hAnsi="Book Antiqua"/>
          <w:sz w:val="24"/>
          <w:szCs w:val="24"/>
          <w:lang w:val="en-GB"/>
        </w:rPr>
        <w:t xml:space="preserve">measurement </w:t>
      </w:r>
      <w:r w:rsidRPr="001339DB">
        <w:rPr>
          <w:rFonts w:ascii="Book Antiqua" w:hAnsi="Book Antiqua"/>
          <w:sz w:val="24"/>
          <w:szCs w:val="24"/>
        </w:rPr>
        <w:t xml:space="preserve">(LSM) </w:t>
      </w:r>
      <w:r w:rsidR="008C36B5" w:rsidRPr="001339DB">
        <w:rPr>
          <w:rFonts w:ascii="Book Antiqua" w:hAnsi="Book Antiqua"/>
          <w:sz w:val="24"/>
          <w:szCs w:val="24"/>
        </w:rPr>
        <w:t>significantly reduce</w:t>
      </w:r>
      <w:r w:rsidRPr="001339DB">
        <w:rPr>
          <w:rFonts w:ascii="Book Antiqua" w:hAnsi="Book Antiqua"/>
          <w:sz w:val="24"/>
          <w:szCs w:val="24"/>
        </w:rPr>
        <w:t xml:space="preserve"> liver-related lifetime morbidity and mortality, compared with biopsy, in </w:t>
      </w:r>
      <w:r w:rsidR="00E22E31" w:rsidRPr="00E22E31">
        <w:rPr>
          <w:rFonts w:ascii="Book Antiqua" w:hAnsi="Book Antiqua"/>
          <w:sz w:val="24"/>
          <w:szCs w:val="24"/>
          <w:lang w:val="en-GB"/>
        </w:rPr>
        <w:t>hepatitis C virus (HCV)</w:t>
      </w:r>
      <w:r w:rsidR="00E22E31">
        <w:rPr>
          <w:rFonts w:ascii="Book Antiqua" w:hAnsi="Book Antiqua" w:hint="eastAsia"/>
          <w:sz w:val="24"/>
          <w:szCs w:val="24"/>
          <w:lang w:val="en-GB" w:eastAsia="zh-CN"/>
        </w:rPr>
        <w:t xml:space="preserve"> </w:t>
      </w:r>
      <w:r w:rsidRPr="001339DB">
        <w:rPr>
          <w:rFonts w:ascii="Book Antiqua" w:hAnsi="Book Antiqua"/>
          <w:sz w:val="24"/>
          <w:szCs w:val="24"/>
        </w:rPr>
        <w:t xml:space="preserve">and </w:t>
      </w:r>
      <w:r w:rsidR="00E22E31" w:rsidRPr="00E22E31">
        <w:rPr>
          <w:rFonts w:ascii="Book Antiqua" w:hAnsi="Book Antiqua"/>
          <w:sz w:val="24"/>
          <w:szCs w:val="24"/>
          <w:lang w:val="en-GB"/>
        </w:rPr>
        <w:t xml:space="preserve">alcoholic liver disease </w:t>
      </w:r>
      <w:r w:rsidRPr="001339DB">
        <w:rPr>
          <w:rFonts w:ascii="Book Antiqua" w:hAnsi="Book Antiqua"/>
          <w:sz w:val="24"/>
          <w:szCs w:val="24"/>
        </w:rPr>
        <w:t xml:space="preserve">patients. Noninvasive methods </w:t>
      </w:r>
      <w:r w:rsidR="008C36B5" w:rsidRPr="001339DB">
        <w:rPr>
          <w:rFonts w:ascii="Book Antiqua" w:hAnsi="Book Antiqua"/>
          <w:sz w:val="24"/>
          <w:szCs w:val="24"/>
        </w:rPr>
        <w:t>are</w:t>
      </w:r>
      <w:r w:rsidRPr="001339DB">
        <w:rPr>
          <w:rFonts w:ascii="Book Antiqua" w:hAnsi="Book Antiqua"/>
          <w:sz w:val="24"/>
          <w:szCs w:val="24"/>
        </w:rPr>
        <w:t xml:space="preserve"> also associated with an increase in quality-adjusted life years and costs. Overall, they </w:t>
      </w:r>
      <w:r w:rsidR="008C36B5" w:rsidRPr="001339DB">
        <w:rPr>
          <w:rFonts w:ascii="Book Antiqua" w:hAnsi="Book Antiqua"/>
          <w:sz w:val="24"/>
          <w:szCs w:val="24"/>
        </w:rPr>
        <w:t>are</w:t>
      </w:r>
      <w:r w:rsidRPr="001339DB">
        <w:rPr>
          <w:rFonts w:ascii="Book Antiqua" w:hAnsi="Book Antiqua"/>
          <w:sz w:val="24"/>
          <w:szCs w:val="24"/>
        </w:rPr>
        <w:t xml:space="preserve"> cost-effective strategies compared with biopsy. ELF test with or without a confirmation LSM may represent a more affordable strategy than the “treat-all” option in HCV patients</w:t>
      </w:r>
      <w:r w:rsidRPr="001339DB">
        <w:rPr>
          <w:rFonts w:ascii="Book Antiqua" w:hAnsi="Book Antiqua"/>
          <w:sz w:val="24"/>
          <w:szCs w:val="24"/>
          <w:lang w:val="en-GB"/>
        </w:rPr>
        <w:t>.</w:t>
      </w:r>
      <w:r w:rsidR="00C731E9">
        <w:rPr>
          <w:rFonts w:ascii="Book Antiqua" w:hAnsi="Book Antiqua"/>
          <w:sz w:val="24"/>
          <w:szCs w:val="24"/>
          <w:lang w:val="en-GB"/>
        </w:rPr>
        <w:t xml:space="preserve"> </w:t>
      </w:r>
    </w:p>
    <w:p w:rsidR="00E22E31" w:rsidRDefault="00E22E31">
      <w:pPr>
        <w:spacing w:after="200"/>
        <w:rPr>
          <w:rFonts w:ascii="Book Antiqua" w:hAnsi="Book Antiqua"/>
          <w:sz w:val="24"/>
          <w:szCs w:val="24"/>
          <w:lang w:val="en-GB" w:eastAsia="zh-CN"/>
        </w:rPr>
      </w:pPr>
    </w:p>
    <w:p w:rsidR="00E22E31" w:rsidRPr="00E22E31" w:rsidRDefault="00E22E31" w:rsidP="00E22E31">
      <w:pPr>
        <w:adjustRightInd w:val="0"/>
        <w:snapToGrid w:val="0"/>
        <w:spacing w:line="360" w:lineRule="auto"/>
        <w:jc w:val="both"/>
        <w:rPr>
          <w:rFonts w:ascii="Book Antiqua" w:hAnsi="Book Antiqua"/>
          <w:color w:val="000000"/>
          <w:sz w:val="24"/>
        </w:rPr>
      </w:pPr>
      <w:r w:rsidRPr="00E22E31">
        <w:rPr>
          <w:rFonts w:ascii="Book Antiqua" w:hAnsi="Book Antiqua"/>
          <w:sz w:val="24"/>
          <w:szCs w:val="24"/>
        </w:rPr>
        <w:t>Soto</w:t>
      </w:r>
      <w:r w:rsidRPr="00E22E31">
        <w:rPr>
          <w:rFonts w:ascii="Book Antiqua" w:hAnsi="Book Antiqua" w:hint="eastAsia"/>
          <w:sz w:val="24"/>
          <w:szCs w:val="24"/>
          <w:lang w:eastAsia="zh-CN"/>
        </w:rPr>
        <w:t xml:space="preserve"> M,</w:t>
      </w:r>
      <w:r w:rsidRPr="00E22E31">
        <w:rPr>
          <w:rFonts w:ascii="Book Antiqua" w:hAnsi="Book Antiqua"/>
          <w:sz w:val="24"/>
          <w:szCs w:val="24"/>
        </w:rPr>
        <w:t xml:space="preserve"> </w:t>
      </w:r>
      <w:proofErr w:type="spellStart"/>
      <w:r w:rsidRPr="00E22E31">
        <w:rPr>
          <w:rFonts w:ascii="Book Antiqua" w:hAnsi="Book Antiqua"/>
          <w:sz w:val="24"/>
          <w:szCs w:val="24"/>
        </w:rPr>
        <w:t>Sampietro</w:t>
      </w:r>
      <w:proofErr w:type="spellEnd"/>
      <w:r w:rsidRPr="00E22E31">
        <w:rPr>
          <w:rFonts w:ascii="Book Antiqua" w:hAnsi="Book Antiqua"/>
          <w:sz w:val="24"/>
          <w:szCs w:val="24"/>
        </w:rPr>
        <w:t>-Colom</w:t>
      </w:r>
      <w:r w:rsidRPr="00E22E31">
        <w:rPr>
          <w:rFonts w:ascii="Book Antiqua" w:hAnsi="Book Antiqua" w:hint="eastAsia"/>
          <w:sz w:val="24"/>
          <w:szCs w:val="24"/>
          <w:lang w:eastAsia="zh-CN"/>
        </w:rPr>
        <w:t xml:space="preserve"> L, </w:t>
      </w:r>
      <w:proofErr w:type="spellStart"/>
      <w:r w:rsidRPr="00E22E31">
        <w:rPr>
          <w:rFonts w:ascii="Book Antiqua" w:hAnsi="Book Antiqua"/>
          <w:sz w:val="24"/>
          <w:szCs w:val="24"/>
        </w:rPr>
        <w:t>Lasalvia</w:t>
      </w:r>
      <w:proofErr w:type="spellEnd"/>
      <w:r w:rsidRPr="00E22E31">
        <w:rPr>
          <w:rFonts w:ascii="Book Antiqua" w:hAnsi="Book Antiqua" w:hint="eastAsia"/>
          <w:sz w:val="24"/>
          <w:szCs w:val="24"/>
          <w:lang w:eastAsia="zh-CN"/>
        </w:rPr>
        <w:t xml:space="preserve"> L,</w:t>
      </w:r>
      <w:r w:rsidRPr="00E22E31">
        <w:rPr>
          <w:rFonts w:ascii="Book Antiqua" w:hAnsi="Book Antiqua"/>
          <w:sz w:val="24"/>
          <w:szCs w:val="24"/>
        </w:rPr>
        <w:t xml:space="preserve"> Mira</w:t>
      </w:r>
      <w:r w:rsidRPr="00E22E31">
        <w:rPr>
          <w:rFonts w:ascii="Book Antiqua" w:hAnsi="Book Antiqua" w:hint="eastAsia"/>
          <w:sz w:val="24"/>
          <w:szCs w:val="24"/>
          <w:lang w:eastAsia="zh-CN"/>
        </w:rPr>
        <w:t xml:space="preserve"> A,</w:t>
      </w:r>
      <w:r w:rsidRPr="00E22E31">
        <w:rPr>
          <w:rFonts w:ascii="Book Antiqua" w:hAnsi="Book Antiqua"/>
          <w:sz w:val="24"/>
          <w:szCs w:val="24"/>
        </w:rPr>
        <w:t xml:space="preserve"> Jiménez</w:t>
      </w:r>
      <w:r w:rsidRPr="00E22E31">
        <w:rPr>
          <w:rFonts w:ascii="Book Antiqua" w:hAnsi="Book Antiqua" w:hint="eastAsia"/>
          <w:sz w:val="24"/>
          <w:szCs w:val="24"/>
          <w:lang w:eastAsia="zh-CN"/>
        </w:rPr>
        <w:t xml:space="preserve"> W,</w:t>
      </w:r>
      <w:r w:rsidRPr="00E22E31">
        <w:rPr>
          <w:rFonts w:ascii="Book Antiqua" w:hAnsi="Book Antiqua"/>
          <w:sz w:val="24"/>
          <w:szCs w:val="24"/>
        </w:rPr>
        <w:t xml:space="preserve"> </w:t>
      </w:r>
      <w:proofErr w:type="spellStart"/>
      <w:r w:rsidRPr="00E22E31">
        <w:rPr>
          <w:rFonts w:ascii="Book Antiqua" w:hAnsi="Book Antiqua"/>
          <w:sz w:val="24"/>
          <w:szCs w:val="24"/>
        </w:rPr>
        <w:t>Navasa</w:t>
      </w:r>
      <w:proofErr w:type="spellEnd"/>
      <w:r w:rsidRPr="00E22E31">
        <w:rPr>
          <w:rFonts w:ascii="Book Antiqua" w:hAnsi="Book Antiqua" w:hint="eastAsia"/>
          <w:sz w:val="24"/>
          <w:szCs w:val="24"/>
          <w:lang w:eastAsia="zh-CN"/>
        </w:rPr>
        <w:t xml:space="preserve"> M.</w:t>
      </w:r>
      <w:r w:rsidRPr="00E22E31">
        <w:rPr>
          <w:rFonts w:ascii="Book Antiqua" w:hAnsi="Book Antiqua"/>
          <w:sz w:val="24"/>
          <w:szCs w:val="24"/>
        </w:rPr>
        <w:t xml:space="preserve"> Cost-effectiveness of enhanced liver fibrosis test to assess liver fibrosis in chronic hepatitis C virus and alcoholic liver disease patients</w:t>
      </w:r>
      <w:r w:rsidRPr="00E22E31">
        <w:rPr>
          <w:rFonts w:ascii="Book Antiqua" w:hAnsi="Book Antiqua" w:hint="eastAsia"/>
          <w:sz w:val="24"/>
          <w:szCs w:val="24"/>
          <w:lang w:eastAsia="zh-CN"/>
        </w:rPr>
        <w:t xml:space="preserve">. </w:t>
      </w:r>
      <w:bookmarkStart w:id="321" w:name="OLE_LINK2756"/>
      <w:bookmarkStart w:id="322" w:name="OLE_LINK2349"/>
      <w:bookmarkStart w:id="323" w:name="OLE_LINK2413"/>
      <w:bookmarkStart w:id="324" w:name="OLE_LINK2287"/>
      <w:bookmarkStart w:id="325" w:name="OLE_LINK2309"/>
      <w:bookmarkStart w:id="326" w:name="OLE_LINK2329"/>
      <w:bookmarkStart w:id="327" w:name="OLE_LINK2285"/>
      <w:bookmarkStart w:id="328" w:name="OLE_LINK2245"/>
      <w:bookmarkStart w:id="329" w:name="OLE_LINK2212"/>
      <w:bookmarkStart w:id="330" w:name="OLE_LINK2178"/>
      <w:bookmarkStart w:id="331" w:name="OLE_LINK2039"/>
      <w:bookmarkStart w:id="332" w:name="OLE_LINK3369"/>
      <w:bookmarkStart w:id="333" w:name="OLE_LINK3314"/>
      <w:bookmarkStart w:id="334" w:name="OLE_LINK2028"/>
      <w:bookmarkStart w:id="335" w:name="OLE_LINK2206"/>
      <w:bookmarkStart w:id="336" w:name="OLE_LINK2158"/>
      <w:bookmarkStart w:id="337" w:name="OLE_LINK2074"/>
      <w:bookmarkStart w:id="338" w:name="OLE_LINK2176"/>
      <w:bookmarkStart w:id="339" w:name="OLE_LINK1942"/>
      <w:bookmarkStart w:id="340" w:name="OLE_LINK1917"/>
      <w:bookmarkStart w:id="341" w:name="OLE_LINK1875"/>
      <w:bookmarkStart w:id="342" w:name="OLE_LINK1869"/>
      <w:bookmarkStart w:id="343" w:name="OLE_LINK1796"/>
      <w:bookmarkStart w:id="344" w:name="OLE_LINK1719"/>
      <w:bookmarkStart w:id="345" w:name="OLE_LINK1802"/>
      <w:bookmarkStart w:id="346" w:name="OLE_LINK1369"/>
      <w:bookmarkStart w:id="347" w:name="OLE_LINK1236"/>
      <w:bookmarkStart w:id="348" w:name="OLE_LINK658"/>
      <w:bookmarkStart w:id="349" w:name="OLE_LINK699"/>
      <w:bookmarkStart w:id="350" w:name="OLE_LINK140"/>
      <w:bookmarkStart w:id="351" w:name="OLE_LINK111"/>
      <w:bookmarkStart w:id="352" w:name="OLE_LINK110"/>
      <w:bookmarkStart w:id="353" w:name="OLE_LINK47"/>
      <w:bookmarkStart w:id="354" w:name="OLE_LINK48"/>
      <w:bookmarkStart w:id="355" w:name="OLE_LINK2951"/>
      <w:bookmarkStart w:id="356" w:name="OLE_LINK3500"/>
      <w:bookmarkStart w:id="357" w:name="OLE_LINK58"/>
      <w:bookmarkStart w:id="358" w:name="OLE_LINK3037"/>
      <w:bookmarkStart w:id="359" w:name="OLE_LINK61"/>
      <w:bookmarkStart w:id="360" w:name="OLE_LINK3055"/>
      <w:bookmarkStart w:id="361" w:name="OLE_LINK3169"/>
      <w:bookmarkStart w:id="362" w:name="OLE_LINK3178"/>
      <w:bookmarkStart w:id="363" w:name="OLE_LINK3179"/>
      <w:bookmarkStart w:id="364" w:name="OLE_LINK69"/>
      <w:bookmarkStart w:id="365" w:name="OLE_LINK3294"/>
      <w:bookmarkStart w:id="366" w:name="OLE_LINK3752"/>
      <w:bookmarkStart w:id="367" w:name="OLE_LINK3534"/>
      <w:bookmarkStart w:id="368" w:name="OLE_LINK3566"/>
      <w:bookmarkStart w:id="369" w:name="OLE_LINK82"/>
      <w:bookmarkStart w:id="370" w:name="OLE_LINK105"/>
      <w:bookmarkStart w:id="371" w:name="OLE_LINK106"/>
      <w:bookmarkStart w:id="372" w:name="OLE_LINK87"/>
      <w:bookmarkStart w:id="373" w:name="OLE_LINK3747"/>
      <w:bookmarkStart w:id="374" w:name="OLE_LINK89"/>
      <w:bookmarkStart w:id="375" w:name="OLE_LINK3689"/>
      <w:bookmarkStart w:id="376" w:name="OLE_LINK3826"/>
      <w:bookmarkStart w:id="377" w:name="OLE_LINK115"/>
      <w:bookmarkStart w:id="378" w:name="OLE_LINK172"/>
      <w:bookmarkStart w:id="379" w:name="OLE_LINK98"/>
      <w:bookmarkStart w:id="380" w:name="OLE_LINK3936"/>
      <w:bookmarkStart w:id="381" w:name="OLE_LINK104"/>
      <w:bookmarkStart w:id="382" w:name="OLE_LINK3904"/>
      <w:bookmarkStart w:id="383" w:name="OLE_LINK116"/>
      <w:bookmarkStart w:id="384" w:name="OLE_LINK3927"/>
      <w:bookmarkStart w:id="385" w:name="OLE_LINK3978"/>
      <w:bookmarkStart w:id="386" w:name="OLE_LINK124"/>
      <w:bookmarkStart w:id="387" w:name="OLE_LINK4030"/>
      <w:bookmarkStart w:id="388" w:name="OLE_LINK4097"/>
      <w:bookmarkStart w:id="389" w:name="OLE_LINK4060"/>
      <w:r w:rsidRPr="00E22E31">
        <w:rPr>
          <w:rFonts w:ascii="Book Antiqua" w:hAnsi="Book Antiqua"/>
          <w:i/>
          <w:color w:val="000000"/>
          <w:sz w:val="24"/>
        </w:rPr>
        <w:t xml:space="preserve">World J </w:t>
      </w:r>
      <w:proofErr w:type="spellStart"/>
      <w:r w:rsidRPr="00E22E31">
        <w:rPr>
          <w:rFonts w:ascii="Book Antiqua" w:hAnsi="Book Antiqua"/>
          <w:i/>
          <w:color w:val="000000"/>
          <w:sz w:val="24"/>
        </w:rPr>
        <w:t>Gastroenterol</w:t>
      </w:r>
      <w:proofErr w:type="spellEnd"/>
      <w:r w:rsidRPr="00E22E31">
        <w:rPr>
          <w:rFonts w:ascii="Book Antiqua" w:hAnsi="Book Antiqua"/>
          <w:i/>
          <w:color w:val="000000"/>
          <w:sz w:val="24"/>
        </w:rPr>
        <w:t xml:space="preserve"> </w:t>
      </w:r>
      <w:r w:rsidRPr="00E22E31">
        <w:rPr>
          <w:rFonts w:ascii="Book Antiqua" w:hAnsi="Book Antiqua"/>
          <w:color w:val="000000"/>
          <w:sz w:val="24"/>
        </w:rPr>
        <w:t>201</w:t>
      </w:r>
      <w:r w:rsidRPr="00E22E31">
        <w:rPr>
          <w:rFonts w:ascii="Book Antiqua" w:hAnsi="Book Antiqua" w:hint="eastAsia"/>
          <w:color w:val="000000"/>
          <w:sz w:val="24"/>
        </w:rPr>
        <w:t>7</w:t>
      </w:r>
      <w:r w:rsidRPr="00E22E31">
        <w:rPr>
          <w:rFonts w:ascii="Book Antiqua" w:hAnsi="Book Antiqua"/>
          <w:color w:val="000000"/>
          <w:sz w:val="24"/>
        </w:rPr>
        <w:t xml:space="preserve">; </w:t>
      </w:r>
      <w:proofErr w:type="gramStart"/>
      <w:r w:rsidRPr="00E22E31">
        <w:rPr>
          <w:rFonts w:ascii="Book Antiqua" w:hAnsi="Book Antiqua"/>
          <w:color w:val="000000"/>
          <w:sz w:val="24"/>
        </w:rPr>
        <w:t>In</w:t>
      </w:r>
      <w:proofErr w:type="gramEnd"/>
      <w:r w:rsidRPr="00E22E31">
        <w:rPr>
          <w:rFonts w:ascii="Book Antiqua" w:hAnsi="Book Antiqua"/>
          <w:color w:val="000000"/>
          <w:sz w:val="24"/>
        </w:rPr>
        <w:t xml:space="preserve"> press</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rsidR="00E22E31" w:rsidRPr="001339DB" w:rsidRDefault="00E22E31" w:rsidP="00E22E31">
      <w:pPr>
        <w:adjustRightInd w:val="0"/>
        <w:snapToGrid w:val="0"/>
        <w:spacing w:after="0" w:line="360" w:lineRule="auto"/>
        <w:jc w:val="both"/>
        <w:rPr>
          <w:rFonts w:ascii="Book Antiqua" w:hAnsi="Book Antiqua"/>
          <w:b/>
          <w:sz w:val="24"/>
          <w:szCs w:val="24"/>
          <w:lang w:eastAsia="zh-CN"/>
        </w:rPr>
      </w:pPr>
    </w:p>
    <w:p w:rsidR="00E22E31" w:rsidRPr="00E22E31" w:rsidRDefault="00E22E31" w:rsidP="00E22E31">
      <w:pPr>
        <w:adjustRightInd w:val="0"/>
        <w:snapToGrid w:val="0"/>
        <w:spacing w:after="0" w:line="360" w:lineRule="auto"/>
        <w:jc w:val="both"/>
        <w:rPr>
          <w:rFonts w:ascii="Book Antiqua" w:hAnsi="Book Antiqua"/>
          <w:sz w:val="24"/>
          <w:szCs w:val="24"/>
          <w:lang w:eastAsia="zh-CN"/>
        </w:rPr>
      </w:pPr>
    </w:p>
    <w:p w:rsidR="00E15934" w:rsidRPr="00E22E31" w:rsidRDefault="00E22E31" w:rsidP="00E22E31">
      <w:pPr>
        <w:spacing w:after="200"/>
        <w:rPr>
          <w:rFonts w:ascii="Book Antiqua" w:hAnsi="Book Antiqua"/>
          <w:b/>
          <w:sz w:val="24"/>
          <w:szCs w:val="24"/>
        </w:rPr>
      </w:pPr>
      <w:r w:rsidRPr="00E22E31">
        <w:rPr>
          <w:rFonts w:ascii="Book Antiqua" w:hAnsi="Book Antiqua"/>
          <w:sz w:val="24"/>
          <w:szCs w:val="24"/>
        </w:rPr>
        <w:br w:type="page"/>
      </w:r>
      <w:r w:rsidRPr="00E22E31">
        <w:rPr>
          <w:rFonts w:ascii="Book Antiqua" w:hAnsi="Book Antiqua"/>
          <w:b/>
          <w:szCs w:val="24"/>
        </w:rPr>
        <w:lastRenderedPageBreak/>
        <w:t>INTRODUCTION</w:t>
      </w:r>
    </w:p>
    <w:p w:rsidR="00F34C50" w:rsidRPr="001339DB" w:rsidRDefault="00F34C50" w:rsidP="001339DB">
      <w:pPr>
        <w:adjustRightInd w:val="0"/>
        <w:snapToGrid w:val="0"/>
        <w:spacing w:after="0" w:line="360" w:lineRule="auto"/>
        <w:jc w:val="both"/>
        <w:rPr>
          <w:rFonts w:ascii="Book Antiqua" w:hAnsi="Book Antiqua"/>
          <w:sz w:val="24"/>
          <w:szCs w:val="24"/>
          <w:lang w:val="en-GB"/>
        </w:rPr>
      </w:pPr>
      <w:r w:rsidRPr="001339DB">
        <w:rPr>
          <w:rFonts w:ascii="Book Antiqua" w:hAnsi="Book Antiqua"/>
          <w:sz w:val="24"/>
          <w:szCs w:val="24"/>
          <w:lang w:val="en-GB"/>
        </w:rPr>
        <w:t xml:space="preserve">The tremendous advances made in biomedicine and biotechnology during the last decade have led to long-standing </w:t>
      </w:r>
      <w:r w:rsidR="00476F58" w:rsidRPr="001339DB">
        <w:rPr>
          <w:rFonts w:ascii="Book Antiqua" w:hAnsi="Book Antiqua"/>
          <w:sz w:val="24"/>
          <w:szCs w:val="24"/>
          <w:lang w:val="en-GB"/>
        </w:rPr>
        <w:t>“</w:t>
      </w:r>
      <w:r w:rsidRPr="001339DB">
        <w:rPr>
          <w:rFonts w:ascii="Book Antiqua" w:hAnsi="Book Antiqua"/>
          <w:sz w:val="24"/>
          <w:szCs w:val="24"/>
          <w:lang w:val="en-GB"/>
        </w:rPr>
        <w:t>gold standard</w:t>
      </w:r>
      <w:r w:rsidR="00476F58" w:rsidRPr="001339DB">
        <w:rPr>
          <w:rFonts w:ascii="Book Antiqua" w:hAnsi="Book Antiqua"/>
          <w:sz w:val="24"/>
          <w:szCs w:val="24"/>
          <w:lang w:val="en-GB"/>
        </w:rPr>
        <w:t>”</w:t>
      </w:r>
      <w:r w:rsidRPr="001339DB">
        <w:rPr>
          <w:rFonts w:ascii="Book Antiqua" w:hAnsi="Book Antiqua"/>
          <w:sz w:val="24"/>
          <w:szCs w:val="24"/>
          <w:lang w:val="en-GB"/>
        </w:rPr>
        <w:t xml:space="preserve"> invasive diagnostic and therapeutic procedures being challenged by novel, rapi</w:t>
      </w:r>
      <w:r w:rsidR="00FC6DD9" w:rsidRPr="001339DB">
        <w:rPr>
          <w:rFonts w:ascii="Book Antiqua" w:hAnsi="Book Antiqua"/>
          <w:sz w:val="24"/>
          <w:szCs w:val="24"/>
          <w:lang w:val="en-GB"/>
        </w:rPr>
        <w:t>d, and noninvasive methods. Non</w:t>
      </w:r>
      <w:r w:rsidRPr="001339DB">
        <w:rPr>
          <w:rFonts w:ascii="Book Antiqua" w:hAnsi="Book Antiqua"/>
          <w:sz w:val="24"/>
          <w:szCs w:val="24"/>
          <w:lang w:val="en-GB"/>
        </w:rPr>
        <w:t xml:space="preserve">invasive diagnosis of liver fibrosis </w:t>
      </w:r>
      <w:r w:rsidR="00FD0E76" w:rsidRPr="001339DB">
        <w:rPr>
          <w:rFonts w:ascii="Book Antiqua" w:hAnsi="Book Antiqua"/>
          <w:sz w:val="24"/>
          <w:szCs w:val="24"/>
          <w:lang w:val="en-GB"/>
        </w:rPr>
        <w:t xml:space="preserve">(LF) </w:t>
      </w:r>
      <w:r w:rsidRPr="001339DB">
        <w:rPr>
          <w:rFonts w:ascii="Book Antiqua" w:hAnsi="Book Antiqua"/>
          <w:sz w:val="24"/>
          <w:szCs w:val="24"/>
          <w:lang w:val="en-GB"/>
        </w:rPr>
        <w:t>is one of the fields that has evolved most rapidly in recent years. Diagnosis and follow-up of liver diseases has long relied on liver biopsy</w:t>
      </w:r>
      <w:r w:rsidR="00413A69" w:rsidRPr="001339DB">
        <w:rPr>
          <w:rFonts w:ascii="Book Antiqua" w:hAnsi="Book Antiqua"/>
          <w:sz w:val="24"/>
          <w:szCs w:val="24"/>
          <w:lang w:val="en-GB"/>
        </w:rPr>
        <w:t>,</w:t>
      </w:r>
      <w:r w:rsidRPr="001339DB">
        <w:rPr>
          <w:rFonts w:ascii="Book Antiqua" w:hAnsi="Book Antiqua"/>
          <w:sz w:val="24"/>
          <w:szCs w:val="24"/>
          <w:lang w:val="en-GB"/>
        </w:rPr>
        <w:t xml:space="preserve"> and only recently has its value as a method to assess the severity of </w:t>
      </w:r>
      <w:r w:rsidR="00364039" w:rsidRPr="001339DB">
        <w:rPr>
          <w:rFonts w:ascii="Book Antiqua" w:hAnsi="Book Antiqua"/>
          <w:sz w:val="24"/>
          <w:szCs w:val="24"/>
          <w:lang w:val="en-GB"/>
        </w:rPr>
        <w:t>LF</w:t>
      </w:r>
      <w:r w:rsidRPr="001339DB">
        <w:rPr>
          <w:rFonts w:ascii="Book Antiqua" w:hAnsi="Book Antiqua"/>
          <w:sz w:val="24"/>
          <w:szCs w:val="24"/>
          <w:lang w:val="en-GB"/>
        </w:rPr>
        <w:t xml:space="preserve"> or to follow-up disease progression been questioned</w:t>
      </w:r>
      <w:r w:rsidR="003827E7" w:rsidRPr="00E22E31">
        <w:rPr>
          <w:rFonts w:ascii="Book Antiqua" w:hAnsi="Book Antiqua"/>
          <w:sz w:val="24"/>
          <w:szCs w:val="24"/>
          <w:vertAlign w:val="superscript"/>
          <w:lang w:val="en-GB"/>
        </w:rPr>
        <w:fldChar w:fldCharType="begin" w:fldLock="1"/>
      </w:r>
      <w:r w:rsidR="00E46EFA" w:rsidRPr="00E22E31">
        <w:rPr>
          <w:rFonts w:ascii="Book Antiqua" w:hAnsi="Book Antiqua"/>
          <w:sz w:val="24"/>
          <w:szCs w:val="24"/>
          <w:vertAlign w:val="superscript"/>
          <w:lang w:val="en-GB"/>
        </w:rPr>
        <w:instrText>ADDIN CSL_CITATION { "citationItems" : [ { "id" : "ITEM-1", "itemData" : { "DOI" : "10.1586/17474124.2.4.541", "ISBN" : "1747-4132 (Electronic)\\r1747-4124 (Linking)", "ISSN" : "1747-4124", "PMID" : "19072402", "abstract" : "Prognosis and management of chronic liver diseases greatly depend on the amount and progression of liver fibrosis. Although liver biopsy is still considered as the gold standard to evaluate fibrosis in the liver, it is an invasive procedure, with rare but potentially life-threatening complications, and is prone to sampling errors. These limitations have stimulated the search for new noninvasive approaches. A number of methods, including serum indices and the measurement of liver stiffness using transient elastography, have been proposed for the noninvasive assessment of hepatic fibrosis, mainly in patients with chronic hepatitis C. It can be anticipated that these noninvasive methods will become an important tool in clinical practice in the near future. This review is aimed at discussing the advantages and limits of these methods and the perspectives for their rationale for use in clinical practice.", "author" : [ { "dropping-particle" : "", "family" : "Castera", "given" : "Laurent", "non-dropping-particle" : "", "parse-names" : false, "suffix" : "" } ], "container-title" : "Expert review of gastroenterology &amp; hepatology", "id" : "ITEM-1", "issue" : "4", "issued" : { "date-parts" : [ [ "2008" ] ] }, "page" : "541-552", "title" : "Assessing liver fibrosis.", "type" : "article-journal", "volume" : "2" }, "uris" : [ "http://www.mendeley.com/documents/?uuid=2179f009-2c67-4913-b847-6185c38b4df3" ] } ], "mendeley" : { "formattedCitation" : "[1]", "plainTextFormattedCitation" : "[1]", "previouslyFormattedCitation" : "[1]" }, "properties" : { "noteIndex" : 0 }, "schema" : "https://github.com/citation-style-language/schema/raw/master/csl-citation.json" }</w:instrText>
      </w:r>
      <w:r w:rsidR="003827E7" w:rsidRPr="00E22E31">
        <w:rPr>
          <w:rFonts w:ascii="Book Antiqua" w:hAnsi="Book Antiqua"/>
          <w:sz w:val="24"/>
          <w:szCs w:val="24"/>
          <w:vertAlign w:val="superscript"/>
          <w:lang w:val="en-GB"/>
        </w:rPr>
        <w:fldChar w:fldCharType="separate"/>
      </w:r>
      <w:r w:rsidR="00E46EFA" w:rsidRPr="00E22E31">
        <w:rPr>
          <w:rFonts w:ascii="Book Antiqua" w:hAnsi="Book Antiqua"/>
          <w:noProof/>
          <w:sz w:val="24"/>
          <w:szCs w:val="24"/>
          <w:vertAlign w:val="superscript"/>
          <w:lang w:val="en-GB"/>
        </w:rPr>
        <w:t>[1]</w:t>
      </w:r>
      <w:r w:rsidR="003827E7" w:rsidRPr="00E22E31">
        <w:rPr>
          <w:rFonts w:ascii="Book Antiqua" w:hAnsi="Book Antiqua"/>
          <w:sz w:val="24"/>
          <w:szCs w:val="24"/>
          <w:vertAlign w:val="superscript"/>
          <w:lang w:val="en-GB"/>
        </w:rPr>
        <w:fldChar w:fldCharType="end"/>
      </w:r>
      <w:r w:rsidR="006B2A60" w:rsidRPr="001339DB">
        <w:rPr>
          <w:rFonts w:ascii="Book Antiqua" w:hAnsi="Book Antiqua"/>
          <w:sz w:val="24"/>
          <w:szCs w:val="24"/>
          <w:lang w:val="en-GB"/>
        </w:rPr>
        <w:t>.</w:t>
      </w:r>
      <w:r w:rsidRPr="001339DB">
        <w:rPr>
          <w:rFonts w:ascii="Book Antiqua" w:hAnsi="Book Antiqua"/>
          <w:sz w:val="24"/>
          <w:szCs w:val="24"/>
          <w:lang w:val="en-GB"/>
        </w:rPr>
        <w:t xml:space="preserve"> Though biopsy is used to stage most cases of liver disease, it is well known that this procedure has several limitations. First, liver biopsies sample </w:t>
      </w:r>
      <w:r w:rsidR="00413A69" w:rsidRPr="001339DB">
        <w:rPr>
          <w:rFonts w:ascii="Book Antiqua" w:hAnsi="Book Antiqua"/>
          <w:sz w:val="24"/>
          <w:szCs w:val="24"/>
          <w:lang w:val="en-GB"/>
        </w:rPr>
        <w:t xml:space="preserve">only </w:t>
      </w:r>
      <w:r w:rsidRPr="001339DB">
        <w:rPr>
          <w:rFonts w:ascii="Book Antiqua" w:hAnsi="Book Antiqua"/>
          <w:sz w:val="24"/>
          <w:szCs w:val="24"/>
          <w:lang w:val="en-GB"/>
        </w:rPr>
        <w:t>an extremely small portion of the liver (1/50000) and</w:t>
      </w:r>
      <w:r w:rsidR="00413A69" w:rsidRPr="001339DB">
        <w:rPr>
          <w:rFonts w:ascii="Book Antiqua" w:hAnsi="Book Antiqua"/>
          <w:sz w:val="24"/>
          <w:szCs w:val="24"/>
          <w:lang w:val="en-GB"/>
        </w:rPr>
        <w:t>,</w:t>
      </w:r>
      <w:r w:rsidRPr="001339DB">
        <w:rPr>
          <w:rFonts w:ascii="Book Antiqua" w:hAnsi="Book Antiqua"/>
          <w:sz w:val="24"/>
          <w:szCs w:val="24"/>
          <w:lang w:val="en-GB"/>
        </w:rPr>
        <w:t xml:space="preserve"> therefore, sampling errors can occur, especially when smaller sized biopsies are </w:t>
      </w:r>
      <w:proofErr w:type="spellStart"/>
      <w:r w:rsidR="00532B87" w:rsidRPr="001339DB">
        <w:rPr>
          <w:rFonts w:ascii="Book Antiqua" w:hAnsi="Book Antiqua"/>
          <w:sz w:val="24"/>
          <w:szCs w:val="24"/>
          <w:lang w:val="en-GB"/>
        </w:rPr>
        <w:t>analy</w:t>
      </w:r>
      <w:r w:rsidR="00413A69" w:rsidRPr="001339DB">
        <w:rPr>
          <w:rFonts w:ascii="Book Antiqua" w:hAnsi="Book Antiqua"/>
          <w:sz w:val="24"/>
          <w:szCs w:val="24"/>
          <w:lang w:val="en-GB"/>
        </w:rPr>
        <w:t>z</w:t>
      </w:r>
      <w:r w:rsidR="00532B87" w:rsidRPr="001339DB">
        <w:rPr>
          <w:rFonts w:ascii="Book Antiqua" w:hAnsi="Book Antiqua"/>
          <w:sz w:val="24"/>
          <w:szCs w:val="24"/>
          <w:lang w:val="en-GB"/>
        </w:rPr>
        <w:t>ed</w:t>
      </w:r>
      <w:proofErr w:type="spellEnd"/>
      <w:r w:rsidR="003827E7" w:rsidRPr="00E22E31">
        <w:rPr>
          <w:rFonts w:ascii="Book Antiqua" w:hAnsi="Book Antiqua"/>
          <w:sz w:val="24"/>
          <w:szCs w:val="24"/>
          <w:vertAlign w:val="superscript"/>
          <w:lang w:val="en-GB"/>
        </w:rPr>
        <w:fldChar w:fldCharType="begin" w:fldLock="1"/>
      </w:r>
      <w:r w:rsidR="00E46EFA" w:rsidRPr="00E22E31">
        <w:rPr>
          <w:rFonts w:ascii="Book Antiqua" w:hAnsi="Book Antiqua"/>
          <w:sz w:val="24"/>
          <w:szCs w:val="24"/>
          <w:vertAlign w:val="superscript"/>
          <w:lang w:val="en-GB"/>
        </w:rPr>
        <w:instrText>ADDIN CSL_CITATION { "citationItems" : [ { "id" : "ITEM-1", "itemData" : { "DOI" : "10.1016/j.hep.2003.09.022", "ISBN" : "0270-9139 (Print)\\n0270-9139 (Linking)", "ISSN" : "0270-9139", "PMID" : "14647056", "abstract" : "Fibrosis is a common endpoint of clinical trials in chronic hepatitis C, and liver biopsy remains the gold standard for fibrosis evaluation. However, variability in the distribution of fibrosis within the liver is a potential limitation. Our aim was to assess the heterogeneity of liver fibrosis and its influence on the accuracy of assessment of fibrosis with liver biopsy. Surgical samples of livers from patients with chronic hepatitis C were studied. Measurement of fibrosis was performed on the whole section by using both image analysis and METAVIR score (reference value). From the digitized image of the whole section, virtual biopsy specimens of increasing length were produced. Fibrosis was assessed independently on each individual virtual biopsy specimen. Results were compared with the reference value according to the length of the biopsy specimen. By using image analysis, the coefficient of variation of fibrosis measurement with 15-mm long biopsy specimens was 55%; and for biopsy specimens of 25-mm length it was 45%. By using the METAVIR scoring system, 65% of biopsies 15 mm in length were categorized correctly according to the reference value. This increased to 75% for a 25-mm liver biopsy specimen without any substantial benefit for longer biopsy specimens. Sampling variability of fibrosis is a significant limitation in the assessment of fibrosis with liver biopsy. In conclusion, this study suggests that a length of at least 25 mm is necessary to evaluate fibrosis accurately with a semiquantitative score. Sampling variability becomes a major limitation when using more accurate methods such as automated image analysis.", "author" : [ { "dropping-particle" : "", "family" : "Bedossa", "given" : "Pierre", "non-dropping-particle" : "", "parse-names" : false, "suffix" : "" }, { "dropping-particle" : "", "family" : "Darg\u00e8re", "given" : "Delphine", "non-dropping-particle" : "", "parse-names" : false, "suffix" : "" }, { "dropping-particle" : "", "family" : "Paradis", "given" : "Valerie", "non-dropping-particle" : "", "parse-names" : false, "suffix" : "" } ], "container-title" : "Hepatology (Baltimore, Md.)", "id" : "ITEM-1", "issue" : "6", "issued" : { "date-parts" : [ [ "2003" ] ] }, "page" : "1449-1457", "title" : "Sampling variability of liver fibrosis in chronic hepatitis C.", "type" : "article-journal", "volume" : "38" }, "uris" : [ "http://www.mendeley.com/documents/?uuid=57d02879-00e5-4e19-a139-878d69a60653" ] } ], "mendeley" : { "formattedCitation" : "[2]", "plainTextFormattedCitation" : "[2]", "previouslyFormattedCitation" : "[2]" }, "properties" : { "noteIndex" : 0 }, "schema" : "https://github.com/citation-style-language/schema/raw/master/csl-citation.json" }</w:instrText>
      </w:r>
      <w:r w:rsidR="003827E7" w:rsidRPr="00E22E31">
        <w:rPr>
          <w:rFonts w:ascii="Book Antiqua" w:hAnsi="Book Antiqua"/>
          <w:sz w:val="24"/>
          <w:szCs w:val="24"/>
          <w:vertAlign w:val="superscript"/>
          <w:lang w:val="en-GB"/>
        </w:rPr>
        <w:fldChar w:fldCharType="separate"/>
      </w:r>
      <w:r w:rsidR="00E46EFA" w:rsidRPr="00E22E31">
        <w:rPr>
          <w:rFonts w:ascii="Book Antiqua" w:hAnsi="Book Antiqua"/>
          <w:sz w:val="24"/>
          <w:szCs w:val="24"/>
          <w:vertAlign w:val="superscript"/>
          <w:lang w:val="en-GB"/>
        </w:rPr>
        <w:t>[2]</w:t>
      </w:r>
      <w:r w:rsidR="003827E7" w:rsidRPr="00E22E31">
        <w:rPr>
          <w:rFonts w:ascii="Book Antiqua" w:hAnsi="Book Antiqua"/>
          <w:sz w:val="24"/>
          <w:szCs w:val="24"/>
          <w:vertAlign w:val="superscript"/>
          <w:lang w:val="en-GB"/>
        </w:rPr>
        <w:fldChar w:fldCharType="end"/>
      </w:r>
      <w:r w:rsidR="006B2A60" w:rsidRPr="001339DB">
        <w:rPr>
          <w:rFonts w:ascii="Book Antiqua" w:hAnsi="Book Antiqua"/>
          <w:sz w:val="24"/>
          <w:szCs w:val="24"/>
          <w:lang w:val="en-GB"/>
        </w:rPr>
        <w:t>.</w:t>
      </w:r>
      <w:r w:rsidRPr="001339DB">
        <w:rPr>
          <w:rFonts w:ascii="Book Antiqua" w:hAnsi="Book Antiqua"/>
          <w:sz w:val="24"/>
          <w:szCs w:val="24"/>
          <w:lang w:val="en-GB"/>
        </w:rPr>
        <w:t xml:space="preserve"> In addition, histological examination is prone to intra- and </w:t>
      </w:r>
      <w:proofErr w:type="spellStart"/>
      <w:r w:rsidRPr="001339DB">
        <w:rPr>
          <w:rFonts w:ascii="Book Antiqua" w:hAnsi="Book Antiqua"/>
          <w:sz w:val="24"/>
          <w:szCs w:val="24"/>
          <w:lang w:val="en-GB"/>
        </w:rPr>
        <w:t>interobserver</w:t>
      </w:r>
      <w:proofErr w:type="spellEnd"/>
      <w:r w:rsidRPr="001339DB">
        <w:rPr>
          <w:rFonts w:ascii="Book Antiqua" w:hAnsi="Book Antiqua"/>
          <w:sz w:val="24"/>
          <w:szCs w:val="24"/>
          <w:lang w:val="en-GB"/>
        </w:rPr>
        <w:t xml:space="preserve"> variation, which may occur even when widely validated systems are used to score liver damage. Finally, liver biopsy is an invasive procedure with associated morbidity: pain occurs in 20% of patients and major complications (such as bleeding or hemobilia) in 0.5%</w:t>
      </w:r>
      <w:r w:rsidR="003827E7" w:rsidRPr="00E22E31">
        <w:rPr>
          <w:rFonts w:ascii="Book Antiqua" w:hAnsi="Book Antiqua"/>
          <w:sz w:val="24"/>
          <w:szCs w:val="24"/>
          <w:vertAlign w:val="superscript"/>
          <w:lang w:val="en-GB"/>
        </w:rPr>
        <w:fldChar w:fldCharType="begin" w:fldLock="1"/>
      </w:r>
      <w:r w:rsidR="00D524BB" w:rsidRPr="00E22E31">
        <w:rPr>
          <w:rFonts w:ascii="Book Antiqua" w:hAnsi="Book Antiqua"/>
          <w:sz w:val="24"/>
          <w:szCs w:val="24"/>
          <w:vertAlign w:val="superscript"/>
          <w:lang w:val="en-GB"/>
        </w:rPr>
        <w:instrText>ADDIN CSL_CITATION { "citationItems" : [ { "id" : "ITEM-1", "itemData" : { "DOI" : "10.1053/jhep.2000.16602", "ISBN" : "0270-9139 (Print)\\r0270-9139 (Linking)", "ISSN" : "0270-9139", "PMID" : "10960438", "abstract" : "A nationwide prospective study was conducted in France in 89 university and primary referral hospitals' liver units to evaluate practices of liver biopsy and the occurrence of complications. A total of 2,084 biopsies were analyzed, recording the indication, hemostasis parameters, experience of operator, route of biopsy, use of ultrasonography (US), type of hospitalization, side effects, and complications. Pain, anxiety, and discomfort were evaluated by patients by visual analogue scale (VAS). Biopsies were performed by experienced physicians (&gt;150 procedures performed) in 72%, and hepato-gastroenterologists in 89% of the cases. Hepatitis C was the indication in 54%. Sedation or premedication (atropine) was given in 46%. US-guidance was used in 56% of the cases. A day-care procedure was used in 27%. No deaths occurred, but severe complications were observed in 0.57% and increased with the number of passes and decreased with experience of operator, use of atropine, and US-guidance. Pain was independently related to general anesthesia, experience of the operator, female sex, and hepatitis C. Anxiety was increased in women. Discomfort was increased by venous access and decreased with an experienced operator. Acceptance of additional biopsies was related to a day-care procedure and independently related to general anesthesia and multiples passes. This study showed that (1) liver biopsy procedures vary greatly in France, (2) hepatitis C is the main indication for liver biopsy at present, (3) US-guidance should be developed to reduce severe complications, and (4) day-care procedures increase acceptance of a future biopsy and should also be used more often.", "author" : [ { "dropping-particle" : "", "family" : "Cadranel", "given" : "J F", "non-dropping-particle" : "", "parse-names" : false, "suffix" : "" }, { "dropping-particle" : "", "family" : "Rufat", "given" : "P", "non-dropping-particle" : "", "parse-names" : false, "suffix" : "" }, { "dropping-particle" : "", "family" : "Degos", "given" : "F", "non-dropping-particle" : "", "parse-names" : false, "suffix" : "" } ], "container-title" : "Hepatology (Baltimore, Md.)", "id" : "ITEM-1", "issue" : "3", "issued" : { "date-parts" : [ [ "2000" ] ] }, "page" : "477-481", "title" : "Practices of liver biopsy in France: results of a prospective nationwide survey. For the Group of Epidemiology of the French Association for the Study of the Liver (AFEF).", "type" : "article-journal", "volume" : "32" }, "uris" : [ "http://www.mendeley.com/documents/?uuid=7128fb3d-4783-4284-b02f-49365af312ea" ] } ], "mendeley" : { "formattedCitation" : "[3]", "plainTextFormattedCitation" : "[3]", "previouslyFormattedCitation" : "[3]" }, "properties" : { "noteIndex" : 0 }, "schema" : "https://github.com/citation-style-language/schema/raw/master/csl-citation.json" }</w:instrText>
      </w:r>
      <w:r w:rsidR="003827E7" w:rsidRPr="00E22E31">
        <w:rPr>
          <w:rFonts w:ascii="Book Antiqua" w:hAnsi="Book Antiqua"/>
          <w:sz w:val="24"/>
          <w:szCs w:val="24"/>
          <w:vertAlign w:val="superscript"/>
          <w:lang w:val="en-GB"/>
        </w:rPr>
        <w:fldChar w:fldCharType="separate"/>
      </w:r>
      <w:r w:rsidR="00D524BB" w:rsidRPr="00E22E31">
        <w:rPr>
          <w:rFonts w:ascii="Book Antiqua" w:hAnsi="Book Antiqua"/>
          <w:noProof/>
          <w:sz w:val="24"/>
          <w:szCs w:val="24"/>
          <w:vertAlign w:val="superscript"/>
          <w:lang w:val="en-GB"/>
        </w:rPr>
        <w:t>[3]</w:t>
      </w:r>
      <w:r w:rsidR="003827E7" w:rsidRPr="00E22E31">
        <w:rPr>
          <w:rFonts w:ascii="Book Antiqua" w:hAnsi="Book Antiqua"/>
          <w:sz w:val="24"/>
          <w:szCs w:val="24"/>
          <w:vertAlign w:val="superscript"/>
          <w:lang w:val="en-GB"/>
        </w:rPr>
        <w:fldChar w:fldCharType="end"/>
      </w:r>
      <w:r w:rsidR="006B2A60" w:rsidRPr="001339DB">
        <w:rPr>
          <w:rFonts w:ascii="Book Antiqua" w:hAnsi="Book Antiqua"/>
          <w:sz w:val="24"/>
          <w:szCs w:val="24"/>
          <w:lang w:val="en-GB"/>
        </w:rPr>
        <w:t>.</w:t>
      </w:r>
      <w:r w:rsidRPr="001339DB">
        <w:rPr>
          <w:rFonts w:ascii="Book Antiqua" w:hAnsi="Book Antiqua"/>
          <w:sz w:val="24"/>
          <w:szCs w:val="24"/>
          <w:lang w:val="en-GB"/>
        </w:rPr>
        <w:t xml:space="preserve"> For this reason, liver biopsy has poor tolerance, particularly if it needs to be repeated over time in an individual patient. Moreover, patients are nowadays aware of noninvasive methods to assess the degree of liver damage and </w:t>
      </w:r>
      <w:r w:rsidR="00051E02" w:rsidRPr="001339DB">
        <w:rPr>
          <w:rFonts w:ascii="Book Antiqua" w:hAnsi="Book Antiqua"/>
          <w:sz w:val="24"/>
          <w:szCs w:val="24"/>
          <w:lang w:val="en-GB"/>
        </w:rPr>
        <w:t xml:space="preserve">so they </w:t>
      </w:r>
      <w:r w:rsidR="008D627C" w:rsidRPr="001339DB">
        <w:rPr>
          <w:rFonts w:ascii="Book Antiqua" w:hAnsi="Book Antiqua"/>
          <w:sz w:val="24"/>
          <w:szCs w:val="24"/>
          <w:lang w:val="en-GB"/>
        </w:rPr>
        <w:t>may</w:t>
      </w:r>
      <w:r w:rsidR="00051E02" w:rsidRPr="001339DB">
        <w:rPr>
          <w:rFonts w:ascii="Book Antiqua" w:hAnsi="Book Antiqua"/>
          <w:sz w:val="24"/>
          <w:szCs w:val="24"/>
          <w:lang w:val="en-GB"/>
        </w:rPr>
        <w:t xml:space="preserve"> be </w:t>
      </w:r>
      <w:r w:rsidRPr="001339DB">
        <w:rPr>
          <w:rFonts w:ascii="Book Antiqua" w:hAnsi="Book Antiqua"/>
          <w:sz w:val="24"/>
          <w:szCs w:val="24"/>
          <w:lang w:val="en-GB"/>
        </w:rPr>
        <w:t>reluctant to undergo an invasive procedure.</w:t>
      </w:r>
      <w:r w:rsidR="00C731E9">
        <w:rPr>
          <w:rFonts w:ascii="Book Antiqua" w:hAnsi="Book Antiqua"/>
          <w:sz w:val="24"/>
          <w:szCs w:val="24"/>
          <w:lang w:val="en-GB"/>
        </w:rPr>
        <w:t xml:space="preserve"> </w:t>
      </w:r>
    </w:p>
    <w:p w:rsidR="00F34C50" w:rsidRPr="001339DB" w:rsidRDefault="00F34C50" w:rsidP="00E22E31">
      <w:pPr>
        <w:adjustRightInd w:val="0"/>
        <w:snapToGrid w:val="0"/>
        <w:spacing w:after="0" w:line="360" w:lineRule="auto"/>
        <w:ind w:firstLineChars="100" w:firstLine="240"/>
        <w:jc w:val="both"/>
        <w:rPr>
          <w:rFonts w:ascii="Book Antiqua" w:hAnsi="Book Antiqua"/>
          <w:sz w:val="24"/>
          <w:szCs w:val="24"/>
          <w:lang w:val="en-GB"/>
        </w:rPr>
      </w:pPr>
      <w:r w:rsidRPr="001339DB">
        <w:rPr>
          <w:rFonts w:ascii="Book Antiqua" w:hAnsi="Book Antiqua"/>
          <w:sz w:val="24"/>
          <w:szCs w:val="24"/>
          <w:lang w:val="en-GB"/>
        </w:rPr>
        <w:t>Most well-validated noninvasive methods have shown good diagnostic accuracy in identifying patients with a significant degree of fibrosis (</w:t>
      </w:r>
      <w:r w:rsidR="00E22E31" w:rsidRPr="00E22E31">
        <w:rPr>
          <w:rFonts w:ascii="Book Antiqua" w:hAnsi="Book Antiqua"/>
          <w:i/>
          <w:sz w:val="24"/>
          <w:szCs w:val="24"/>
          <w:lang w:val="en-GB"/>
        </w:rPr>
        <w:t>i.e</w:t>
      </w:r>
      <w:r w:rsidRPr="001339DB">
        <w:rPr>
          <w:rFonts w:ascii="Book Antiqua" w:hAnsi="Book Antiqua"/>
          <w:sz w:val="24"/>
          <w:szCs w:val="24"/>
          <w:lang w:val="en-GB"/>
        </w:rPr>
        <w:t>., fibrosis expanding beyond the portal tract)</w:t>
      </w:r>
      <w:r w:rsidR="003827E7" w:rsidRPr="00E22E31">
        <w:rPr>
          <w:rFonts w:ascii="Book Antiqua" w:hAnsi="Book Antiqua"/>
          <w:sz w:val="24"/>
          <w:szCs w:val="24"/>
          <w:vertAlign w:val="superscript"/>
          <w:lang w:val="en-GB"/>
        </w:rPr>
        <w:fldChar w:fldCharType="begin" w:fldLock="1"/>
      </w:r>
      <w:r w:rsidR="00D524BB" w:rsidRPr="00E22E31">
        <w:rPr>
          <w:rFonts w:ascii="Book Antiqua" w:hAnsi="Book Antiqua"/>
          <w:sz w:val="24"/>
          <w:szCs w:val="24"/>
          <w:vertAlign w:val="superscript"/>
          <w:lang w:val="en-GB"/>
        </w:rPr>
        <w:instrText>ADDIN CSL_CITATION { "citationItems" : [ { "id" : "ITEM-1", "itemData" : { "DOI" : "10.1002/hep.24013", "ISBN" : "1527-3350", "ISSN" : "02709139", "PMID" : "21254180", "abstract" : "Liver biopsy has long been an important tool for assessing the degree of liver fibrosis. Information on the presence and degree of liver fibrosis is useful before making therapeutic decisions or predicting disease outcomes. The need to stage liver fibrosis, however, should decrease as treatment options become more successful (as has occurred with viral hepatitis). In recent years, noninvasive tests have demonstrated a reasonable ability to identify significant fibrosis, cirrhosis in particular, nor is it surprising that liver disease specialists and patients favor a noninvasive approach. However, only those tests with the highest diagnostic accuracy, cost-effectiveness, and availability should be implemented. Apart from their diagnostic accuracy, the potential ability of these tests to predict disease outcomes (a more relevant endpoint) should be compared with that of liver biopsy. Indeed, the use of a standardized system to evaluate the utility of biomarkers would facilitate their implementation in clinical practice.", "author" : [ { "dropping-particle" : "", "family" : "Mart\u00ednez", "given" : "Stella M.", "non-dropping-particle" : "", "parse-names" : false, "suffix" : "" }, { "dropping-particle" : "", "family" : "Crespo", "given" : "Gonzalo", "non-dropping-particle" : "", "parse-names" : false, "suffix" : "" }, { "dropping-particle" : "", "family" : "Navasa", "given" : "Miquel", "non-dropping-particle" : "", "parse-names" : false, "suffix" : "" }, { "dropping-particle" : "", "family" : "Forns", "given" : "Xavier", "non-dropping-particle" : "", "parse-names" : false, "suffix" : "" } ], "container-title" : "Hepatology", "id" : "ITEM-1", "issue" : "1", "issued" : { "date-parts" : [ [ "2011" ] ] }, "page" : "325-335", "title" : "Noninvasive assessment of liver fibrosis", "type" : "article-journal", "volume" : "53" }, "uris" : [ "http://www.mendeley.com/documents/?uuid=842ee5b8-c850-44db-9cbe-c615df0c5144" ] } ], "mendeley" : { "formattedCitation" : "[4]", "plainTextFormattedCitation" : "[4]", "previouslyFormattedCitation" : "[4]" }, "properties" : { "noteIndex" : 0 }, "schema" : "https://github.com/citation-style-language/schema/raw/master/csl-citation.json" }</w:instrText>
      </w:r>
      <w:r w:rsidR="003827E7" w:rsidRPr="00E22E31">
        <w:rPr>
          <w:rFonts w:ascii="Book Antiqua" w:hAnsi="Book Antiqua"/>
          <w:sz w:val="24"/>
          <w:szCs w:val="24"/>
          <w:vertAlign w:val="superscript"/>
          <w:lang w:val="en-GB"/>
        </w:rPr>
        <w:fldChar w:fldCharType="separate"/>
      </w:r>
      <w:r w:rsidR="00D524BB" w:rsidRPr="00E22E31">
        <w:rPr>
          <w:rFonts w:ascii="Book Antiqua" w:hAnsi="Book Antiqua"/>
          <w:noProof/>
          <w:sz w:val="24"/>
          <w:szCs w:val="24"/>
          <w:vertAlign w:val="superscript"/>
          <w:lang w:val="en-GB"/>
        </w:rPr>
        <w:t>[4]</w:t>
      </w:r>
      <w:r w:rsidR="003827E7" w:rsidRPr="00E22E31">
        <w:rPr>
          <w:rFonts w:ascii="Book Antiqua" w:hAnsi="Book Antiqua"/>
          <w:sz w:val="24"/>
          <w:szCs w:val="24"/>
          <w:vertAlign w:val="superscript"/>
          <w:lang w:val="en-GB"/>
        </w:rPr>
        <w:fldChar w:fldCharType="end"/>
      </w:r>
      <w:r w:rsidR="006B2A60" w:rsidRPr="001339DB">
        <w:rPr>
          <w:rFonts w:ascii="Book Antiqua" w:hAnsi="Book Antiqua"/>
          <w:sz w:val="24"/>
          <w:szCs w:val="24"/>
          <w:lang w:val="en-GB"/>
        </w:rPr>
        <w:t>.</w:t>
      </w:r>
      <w:r w:rsidRPr="001339DB">
        <w:rPr>
          <w:rFonts w:ascii="Book Antiqua" w:hAnsi="Book Antiqua"/>
          <w:sz w:val="24"/>
          <w:szCs w:val="24"/>
          <w:lang w:val="en-GB"/>
        </w:rPr>
        <w:t xml:space="preserve"> Sensitivit</w:t>
      </w:r>
      <w:r w:rsidR="00364039" w:rsidRPr="001339DB">
        <w:rPr>
          <w:rFonts w:ascii="Book Antiqua" w:hAnsi="Book Antiqua"/>
          <w:sz w:val="24"/>
          <w:szCs w:val="24"/>
          <w:lang w:val="en-GB"/>
        </w:rPr>
        <w:t>y</w:t>
      </w:r>
      <w:r w:rsidRPr="001339DB">
        <w:rPr>
          <w:rFonts w:ascii="Book Antiqua" w:hAnsi="Book Antiqua"/>
          <w:sz w:val="24"/>
          <w:szCs w:val="24"/>
          <w:lang w:val="en-GB"/>
        </w:rPr>
        <w:t xml:space="preserve"> and specificit</w:t>
      </w:r>
      <w:r w:rsidR="00364039" w:rsidRPr="001339DB">
        <w:rPr>
          <w:rFonts w:ascii="Book Antiqua" w:hAnsi="Book Antiqua"/>
          <w:sz w:val="24"/>
          <w:szCs w:val="24"/>
          <w:lang w:val="en-GB"/>
        </w:rPr>
        <w:t>y</w:t>
      </w:r>
      <w:r w:rsidRPr="001339DB">
        <w:rPr>
          <w:rFonts w:ascii="Book Antiqua" w:hAnsi="Book Antiqua"/>
          <w:sz w:val="24"/>
          <w:szCs w:val="24"/>
          <w:lang w:val="en-GB"/>
        </w:rPr>
        <w:t xml:space="preserve"> above 85% can be considered sufficient due to the lack of relevant clinical consequences for false</w:t>
      </w:r>
      <w:r w:rsidR="00413A69" w:rsidRPr="001339DB">
        <w:rPr>
          <w:rFonts w:ascii="Book Antiqua" w:hAnsi="Book Antiqua"/>
          <w:sz w:val="24"/>
          <w:szCs w:val="24"/>
          <w:lang w:val="en-GB"/>
        </w:rPr>
        <w:t>-</w:t>
      </w:r>
      <w:r w:rsidRPr="001339DB">
        <w:rPr>
          <w:rFonts w:ascii="Book Antiqua" w:hAnsi="Book Antiqua"/>
          <w:sz w:val="24"/>
          <w:szCs w:val="24"/>
          <w:lang w:val="en-GB"/>
        </w:rPr>
        <w:t>positive and false</w:t>
      </w:r>
      <w:r w:rsidR="00413A69" w:rsidRPr="001339DB">
        <w:rPr>
          <w:rFonts w:ascii="Book Antiqua" w:hAnsi="Book Antiqua"/>
          <w:sz w:val="24"/>
          <w:szCs w:val="24"/>
          <w:lang w:val="en-GB"/>
        </w:rPr>
        <w:t>-</w:t>
      </w:r>
      <w:r w:rsidRPr="001339DB">
        <w:rPr>
          <w:rFonts w:ascii="Book Antiqua" w:hAnsi="Book Antiqua"/>
          <w:sz w:val="24"/>
          <w:szCs w:val="24"/>
          <w:lang w:val="en-GB"/>
        </w:rPr>
        <w:t>negative cases. In addition, noninvasive tests can be repeated over time, and in cases of indeterminate results two or more methods can be combined.</w:t>
      </w:r>
      <w:r w:rsidR="00C731E9">
        <w:rPr>
          <w:rFonts w:ascii="Book Antiqua" w:hAnsi="Book Antiqua"/>
          <w:sz w:val="24"/>
          <w:szCs w:val="24"/>
          <w:lang w:val="en-GB"/>
        </w:rPr>
        <w:t xml:space="preserve"> </w:t>
      </w:r>
      <w:r w:rsidRPr="001339DB">
        <w:rPr>
          <w:rFonts w:ascii="Book Antiqua" w:hAnsi="Book Antiqua"/>
          <w:sz w:val="24"/>
          <w:szCs w:val="24"/>
          <w:lang w:val="en-GB"/>
        </w:rPr>
        <w:t>Although the identification of significant fibrosis (≥ F2) has been regarded as an important target (particularly in the field of viral hepatitis</w:t>
      </w:r>
      <w:r w:rsidR="004350DD" w:rsidRPr="001339DB">
        <w:rPr>
          <w:rFonts w:ascii="Book Antiqua" w:hAnsi="Book Antiqua"/>
          <w:sz w:val="24"/>
          <w:szCs w:val="24"/>
          <w:lang w:val="en-GB"/>
        </w:rPr>
        <w:t>, HCV</w:t>
      </w:r>
      <w:r w:rsidRPr="001339DB">
        <w:rPr>
          <w:rFonts w:ascii="Book Antiqua" w:hAnsi="Book Antiqua"/>
          <w:sz w:val="24"/>
          <w:szCs w:val="24"/>
          <w:lang w:val="en-GB"/>
        </w:rPr>
        <w:t xml:space="preserve">), its real value as a static measure of disease severity is arguable. The identification of individuals with </w:t>
      </w:r>
      <w:r w:rsidRPr="001339DB">
        <w:rPr>
          <w:rFonts w:ascii="Book Antiqua" w:hAnsi="Book Antiqua"/>
          <w:sz w:val="24"/>
          <w:szCs w:val="24"/>
          <w:lang w:val="en-GB"/>
        </w:rPr>
        <w:lastRenderedPageBreak/>
        <w:t>bridging fibrosis or liver cirrhosis is more critical:</w:t>
      </w:r>
      <w:r w:rsidR="00C731E9">
        <w:rPr>
          <w:rFonts w:ascii="Book Antiqua" w:hAnsi="Book Antiqua"/>
          <w:sz w:val="24"/>
          <w:szCs w:val="24"/>
          <w:lang w:val="en-GB"/>
        </w:rPr>
        <w:t xml:space="preserve"> </w:t>
      </w:r>
      <w:r w:rsidRPr="001339DB">
        <w:rPr>
          <w:rFonts w:ascii="Book Antiqua" w:hAnsi="Book Antiqua"/>
          <w:sz w:val="24"/>
          <w:szCs w:val="24"/>
          <w:lang w:val="en-GB"/>
        </w:rPr>
        <w:t>in such cases, sensitivity must be very high, not only due to the potential indication of a specific treatment, but also because screening for hepatocellular carcinoma and gastro</w:t>
      </w:r>
      <w:r w:rsidR="00D71F50" w:rsidRPr="001339DB">
        <w:rPr>
          <w:rFonts w:ascii="Book Antiqua" w:hAnsi="Book Antiqua"/>
          <w:sz w:val="24"/>
          <w:szCs w:val="24"/>
          <w:lang w:val="en-GB"/>
        </w:rPr>
        <w:t>esophageal</w:t>
      </w:r>
      <w:r w:rsidRPr="001339DB">
        <w:rPr>
          <w:rFonts w:ascii="Book Antiqua" w:hAnsi="Book Antiqua"/>
          <w:sz w:val="24"/>
          <w:szCs w:val="24"/>
          <w:lang w:val="en-GB"/>
        </w:rPr>
        <w:t xml:space="preserve"> varices is mandatory in patients with liver cirrhosis. Fortunately, the performance of noninvasive methods to assess the presence of cirrhosis is excellent</w:t>
      </w:r>
      <w:r w:rsidR="003827E7" w:rsidRPr="00E22E31">
        <w:rPr>
          <w:rFonts w:ascii="Book Antiqua" w:hAnsi="Book Antiqua"/>
          <w:sz w:val="24"/>
          <w:szCs w:val="24"/>
          <w:vertAlign w:val="superscript"/>
          <w:lang w:val="en-GB"/>
        </w:rPr>
        <w:fldChar w:fldCharType="begin" w:fldLock="1"/>
      </w:r>
      <w:r w:rsidR="00D524BB" w:rsidRPr="00E22E31">
        <w:rPr>
          <w:rFonts w:ascii="Book Antiqua" w:hAnsi="Book Antiqua"/>
          <w:sz w:val="24"/>
          <w:szCs w:val="24"/>
          <w:vertAlign w:val="superscript"/>
          <w:lang w:val="en-GB"/>
        </w:rPr>
        <w:instrText>ADDIN CSL_CITATION { "citationItems" : [ { "id" : "ITEM-1", "itemData" : { "DOI" : "10.1002/hep.24013", "ISBN" : "1527-3350", "ISSN" : "02709139", "PMID" : "21254180", "abstract" : "Liver biopsy has long been an important tool for assessing the degree of liver fibrosis. Information on the presence and degree of liver fibrosis is useful before making therapeutic decisions or predicting disease outcomes. The need to stage liver fibrosis, however, should decrease as treatment options become more successful (as has occurred with viral hepatitis). In recent years, noninvasive tests have demonstrated a reasonable ability to identify significant fibrosis, cirrhosis in particular, nor is it surprising that liver disease specialists and patients favor a noninvasive approach. However, only those tests with the highest diagnostic accuracy, cost-effectiveness, and availability should be implemented. Apart from their diagnostic accuracy, the potential ability of these tests to predict disease outcomes (a more relevant endpoint) should be compared with that of liver biopsy. Indeed, the use of a standardized system to evaluate the utility of biomarkers would facilitate their implementation in clinical practice.", "author" : [ { "dropping-particle" : "", "family" : "Mart\u00ednez", "given" : "Stella M.", "non-dropping-particle" : "", "parse-names" : false, "suffix" : "" }, { "dropping-particle" : "", "family" : "Crespo", "given" : "Gonzalo", "non-dropping-particle" : "", "parse-names" : false, "suffix" : "" }, { "dropping-particle" : "", "family" : "Navasa", "given" : "Miquel", "non-dropping-particle" : "", "parse-names" : false, "suffix" : "" }, { "dropping-particle" : "", "family" : "Forns", "given" : "Xavier", "non-dropping-particle" : "", "parse-names" : false, "suffix" : "" } ], "container-title" : "Hepatology", "id" : "ITEM-1", "issue" : "1", "issued" : { "date-parts" : [ [ "2011" ] ] }, "page" : "325-335", "title" : "Noninvasive assessment of liver fibrosis", "type" : "article-journal", "volume" : "53" }, "uris" : [ "http://www.mendeley.com/documents/?uuid=842ee5b8-c850-44db-9cbe-c615df0c5144" ] }, { "id" : "ITEM-2", "itemData" : { "DOI" : "10.3233/DMA-2011-0835", "ISBN" : "1875-8630 (Electronic)\r0278-0240 (Linking)", "ISSN" : "02780240", "PMID" : "22045398", "abstract" : "Cirrhosis is the final stage of most of chronic liver diseases, and is almost invariably complicated by portal hypertension, which is the most important cause of morbidity and mortality in these patients. This review will focus on the non-invasive methods currently used in clinical practice for diagnosing liver cirrhosis and portal hypertension. The first-line techniques include physical examination, laboratory parameters, transient elastography and Doppler-US. More sophisticated imaging methods which are less commonly employed are CT scan and MRI, and new technologies which are currently under evaluation are MR elastography and acoustic radiation force imaging (ARFI). Even if none of them can replace the invasive measurement of hepatic venous pressure gradient and the endoscopic screening of gastroesophageal varices, they notably facilitate the clinical management of patients with cirrhosis and portal hypertension, and provide valuable prognostic information.", "author" : [ { "dropping-particle" : "", "family" : "Berzigotti", "given" : "Annalisa", "non-dropping-particle" : "", "parse-names" : false, "suffix" : "" }, { "dropping-particle" : "", "family" : "Ashkenazi", "given" : "Eyal", "non-dropping-particle" : "", "parse-names" : false, "suffix" : "" }, { "dropping-particle" : "", "family" : "Reverter", "given" : "Enric", "non-dropping-particle" : "", "parse-names" : false, "suffix" : "" }, { "dropping-particle" : "", "family" : "Abraldes", "given" : "Juan G.", "non-dropping-particle" : "", "parse-names" : false, "suffix" : "" }, { "dropping-particle" : "", "family" : "Bosch", "given" : "Jaime", "non-dropping-particle" : "", "parse-names" : false, "suffix" : "" } ], "container-title" : "Disease Markers", "id" : "ITEM-2", "issue" : "3", "issued" : { "date-parts" : [ [ "2011" ] ] }, "page" : "129-138", "title" : "Non-invasive diagnostic and prognostic evaluation of liver cirrhosis and portal hypertension", "type" : "article-journal", "volume" : "31" }, "uris" : [ "http://www.mendeley.com/documents/?uuid=fc2cd570-5839-4966-9877-751e16ad54fc" ] } ], "mendeley" : { "formattedCitation" : "[4,5]", "plainTextFormattedCitation" : "[4,5]", "previouslyFormattedCitation" : "[4,5]" }, "properties" : { "noteIndex" : 0 }, "schema" : "https://github.com/citation-style-language/schema/raw/master/csl-citation.json" }</w:instrText>
      </w:r>
      <w:r w:rsidR="003827E7" w:rsidRPr="00E22E31">
        <w:rPr>
          <w:rFonts w:ascii="Book Antiqua" w:hAnsi="Book Antiqua"/>
          <w:sz w:val="24"/>
          <w:szCs w:val="24"/>
          <w:vertAlign w:val="superscript"/>
          <w:lang w:val="en-GB"/>
        </w:rPr>
        <w:fldChar w:fldCharType="separate"/>
      </w:r>
      <w:r w:rsidR="00D524BB" w:rsidRPr="00E22E31">
        <w:rPr>
          <w:rFonts w:ascii="Book Antiqua" w:hAnsi="Book Antiqua"/>
          <w:noProof/>
          <w:sz w:val="24"/>
          <w:szCs w:val="24"/>
          <w:vertAlign w:val="superscript"/>
          <w:lang w:val="en-GB"/>
        </w:rPr>
        <w:t>[4,5]</w:t>
      </w:r>
      <w:r w:rsidR="003827E7" w:rsidRPr="00E22E31">
        <w:rPr>
          <w:rFonts w:ascii="Book Antiqua" w:hAnsi="Book Antiqua"/>
          <w:sz w:val="24"/>
          <w:szCs w:val="24"/>
          <w:vertAlign w:val="superscript"/>
          <w:lang w:val="en-GB"/>
        </w:rPr>
        <w:fldChar w:fldCharType="end"/>
      </w:r>
      <w:r w:rsidR="006B2A60" w:rsidRPr="001339DB">
        <w:rPr>
          <w:rFonts w:ascii="Book Antiqua" w:hAnsi="Book Antiqua"/>
          <w:sz w:val="24"/>
          <w:szCs w:val="24"/>
          <w:lang w:val="en-GB"/>
        </w:rPr>
        <w:t>.</w:t>
      </w:r>
    </w:p>
    <w:p w:rsidR="00F34C50" w:rsidRDefault="00F34C50" w:rsidP="00E22E31">
      <w:pPr>
        <w:adjustRightInd w:val="0"/>
        <w:snapToGrid w:val="0"/>
        <w:spacing w:after="0" w:line="360" w:lineRule="auto"/>
        <w:ind w:firstLineChars="100" w:firstLine="240"/>
        <w:jc w:val="both"/>
        <w:rPr>
          <w:rFonts w:ascii="Book Antiqua" w:hAnsi="Book Antiqua"/>
          <w:sz w:val="24"/>
          <w:szCs w:val="24"/>
          <w:lang w:val="en-GB" w:eastAsia="zh-CN"/>
        </w:rPr>
      </w:pPr>
      <w:r w:rsidRPr="001339DB">
        <w:rPr>
          <w:rFonts w:ascii="Book Antiqua" w:hAnsi="Book Antiqua"/>
          <w:sz w:val="24"/>
          <w:szCs w:val="24"/>
          <w:lang w:val="en-GB"/>
        </w:rPr>
        <w:t xml:space="preserve">A different approach is the sequential evaluation of the severity of liver disease when screening candidates for a specific treatment or intervention or a different follow-up, </w:t>
      </w:r>
      <w:r w:rsidR="00E22E31" w:rsidRPr="00E22E31">
        <w:rPr>
          <w:rFonts w:ascii="Book Antiqua" w:hAnsi="Book Antiqua"/>
          <w:i/>
          <w:sz w:val="24"/>
          <w:szCs w:val="24"/>
          <w:lang w:val="en-GB"/>
        </w:rPr>
        <w:t>i.e</w:t>
      </w:r>
      <w:r w:rsidR="00413A69" w:rsidRPr="001339DB">
        <w:rPr>
          <w:rFonts w:ascii="Book Antiqua" w:hAnsi="Book Antiqua"/>
          <w:sz w:val="24"/>
          <w:szCs w:val="24"/>
          <w:lang w:val="en-GB"/>
        </w:rPr>
        <w:t>.</w:t>
      </w:r>
      <w:r w:rsidRPr="001339DB">
        <w:rPr>
          <w:rFonts w:ascii="Book Antiqua" w:hAnsi="Book Antiqua"/>
          <w:sz w:val="24"/>
          <w:szCs w:val="24"/>
          <w:lang w:val="en-GB"/>
        </w:rPr>
        <w:t>, priori</w:t>
      </w:r>
      <w:r w:rsidR="00D71F50" w:rsidRPr="001339DB">
        <w:rPr>
          <w:rFonts w:ascii="Book Antiqua" w:hAnsi="Book Antiqua"/>
          <w:sz w:val="24"/>
          <w:szCs w:val="24"/>
          <w:lang w:val="en-GB"/>
        </w:rPr>
        <w:t>ti</w:t>
      </w:r>
      <w:r w:rsidRPr="001339DB">
        <w:rPr>
          <w:rFonts w:ascii="Book Antiqua" w:hAnsi="Book Antiqua"/>
          <w:sz w:val="24"/>
          <w:szCs w:val="24"/>
          <w:lang w:val="en-GB"/>
        </w:rPr>
        <w:t xml:space="preserve">zation in the treatment of HCV, interventions </w:t>
      </w:r>
      <w:r w:rsidR="00413A69" w:rsidRPr="001339DB">
        <w:rPr>
          <w:rFonts w:ascii="Book Antiqua" w:hAnsi="Book Antiqua"/>
          <w:sz w:val="24"/>
          <w:szCs w:val="24"/>
          <w:lang w:val="en-GB"/>
        </w:rPr>
        <w:t xml:space="preserve">in </w:t>
      </w:r>
      <w:r w:rsidRPr="001339DB">
        <w:rPr>
          <w:rFonts w:ascii="Book Antiqua" w:hAnsi="Book Antiqua"/>
          <w:sz w:val="24"/>
          <w:szCs w:val="24"/>
          <w:lang w:val="en-GB"/>
        </w:rPr>
        <w:t>alcohol consumption or diet, and follow</w:t>
      </w:r>
      <w:r w:rsidR="00413A69" w:rsidRPr="001339DB">
        <w:rPr>
          <w:rFonts w:ascii="Book Antiqua" w:hAnsi="Book Antiqua"/>
          <w:sz w:val="24"/>
          <w:szCs w:val="24"/>
          <w:lang w:val="en-GB"/>
        </w:rPr>
        <w:t>-</w:t>
      </w:r>
      <w:r w:rsidRPr="001339DB">
        <w:rPr>
          <w:rFonts w:ascii="Book Antiqua" w:hAnsi="Book Antiqua"/>
          <w:sz w:val="24"/>
          <w:szCs w:val="24"/>
          <w:lang w:val="en-GB"/>
        </w:rPr>
        <w:t xml:space="preserve">up of patients with cirrhosis. The sequential use of </w:t>
      </w:r>
      <w:r w:rsidR="00F53A38" w:rsidRPr="001339DB">
        <w:rPr>
          <w:rFonts w:ascii="Book Antiqua" w:hAnsi="Book Antiqua"/>
          <w:sz w:val="24"/>
          <w:szCs w:val="24"/>
          <w:lang w:val="en-GB"/>
        </w:rPr>
        <w:t xml:space="preserve">an </w:t>
      </w:r>
      <w:r w:rsidRPr="001339DB">
        <w:rPr>
          <w:rFonts w:ascii="Book Antiqua" w:hAnsi="Book Antiqua"/>
          <w:sz w:val="24"/>
          <w:szCs w:val="24"/>
          <w:lang w:val="en-GB"/>
        </w:rPr>
        <w:t xml:space="preserve">ELF </w:t>
      </w:r>
      <w:r w:rsidR="00F53A38" w:rsidRPr="001339DB">
        <w:rPr>
          <w:rFonts w:ascii="Book Antiqua" w:hAnsi="Book Antiqua"/>
          <w:sz w:val="24"/>
          <w:szCs w:val="24"/>
          <w:lang w:val="en-GB"/>
        </w:rPr>
        <w:t xml:space="preserve">test </w:t>
      </w:r>
      <w:r w:rsidRPr="001339DB">
        <w:rPr>
          <w:rFonts w:ascii="Book Antiqua" w:hAnsi="Book Antiqua"/>
          <w:sz w:val="24"/>
          <w:szCs w:val="24"/>
          <w:lang w:val="en-GB"/>
        </w:rPr>
        <w:t xml:space="preserve">(as a blood test for patients with suspected liver disease), and </w:t>
      </w:r>
      <w:r w:rsidR="003E32E4" w:rsidRPr="001339DB">
        <w:rPr>
          <w:rFonts w:ascii="Book Antiqua" w:hAnsi="Book Antiqua"/>
          <w:sz w:val="24"/>
          <w:szCs w:val="24"/>
          <w:lang w:val="en-GB"/>
        </w:rPr>
        <w:t>LSM</w:t>
      </w:r>
      <w:r w:rsidRPr="001339DB">
        <w:rPr>
          <w:rFonts w:ascii="Book Antiqua" w:hAnsi="Book Antiqua"/>
          <w:sz w:val="24"/>
          <w:szCs w:val="24"/>
          <w:lang w:val="en-GB"/>
        </w:rPr>
        <w:t xml:space="preserve"> (as a specific tool to confirm the presence and severity of liver disease) ha</w:t>
      </w:r>
      <w:r w:rsidR="009B36D1" w:rsidRPr="001339DB">
        <w:rPr>
          <w:rFonts w:ascii="Book Antiqua" w:hAnsi="Book Antiqua"/>
          <w:sz w:val="24"/>
          <w:szCs w:val="24"/>
          <w:lang w:val="en-GB"/>
        </w:rPr>
        <w:t>s</w:t>
      </w:r>
      <w:r w:rsidRPr="001339DB">
        <w:rPr>
          <w:rFonts w:ascii="Book Antiqua" w:hAnsi="Book Antiqua"/>
          <w:sz w:val="24"/>
          <w:szCs w:val="24"/>
          <w:lang w:val="en-GB"/>
        </w:rPr>
        <w:t xml:space="preserve"> been proposed</w:t>
      </w:r>
      <w:r w:rsidR="003827E7" w:rsidRPr="00E22E31">
        <w:rPr>
          <w:rFonts w:ascii="Book Antiqua" w:hAnsi="Book Antiqua"/>
          <w:sz w:val="24"/>
          <w:szCs w:val="24"/>
          <w:vertAlign w:val="superscript"/>
          <w:lang w:val="en-GB"/>
        </w:rPr>
        <w:fldChar w:fldCharType="begin" w:fldLock="1"/>
      </w:r>
      <w:r w:rsidR="00D524BB" w:rsidRPr="00E22E31">
        <w:rPr>
          <w:rFonts w:ascii="Book Antiqua" w:hAnsi="Book Antiqua"/>
          <w:sz w:val="24"/>
          <w:szCs w:val="24"/>
          <w:vertAlign w:val="superscript"/>
          <w:lang w:val="en-GB"/>
        </w:rPr>
        <w:instrText>ADDIN CSL_CITATION { "citationItems" : [ { "id" : "ITEM-1", "itemData" : { "DOI" : "10.1016/j.jhep.2012.03.016", "ISSN" : "01688278", "PMID" : "22521355", "abstract" : "Background &amp; Aims: Our aim was to evaluate a serologic marker (ELF) and two ultrasound-based methods (FibroScan\u00ae and ARFI), as well as their combinations, in the assessment of liver fibrosis. Methods: One-hundred and forty-six patients (87 liver transplant recipients, 59 non-transplant patients) who underwent liver biopsy were prospectively included. We evaluated the diagnostic accuracy of FibroScan\u00ae, ARFI, ELF and the combination of ELF with either ARFI or FibroScan\u00ae. After analyzing in separate transplant and non-transplant patients, the whole cohort was divided into a training set and a validation set. Results: ARFI imaging was successfully performed across the whole cohort, while FibroScan\u00ae failed in 16 (11%) patients. The three methods showed similar AUROCs and best cut-off values in transplant and non-transplant patients. In the training set, differences between the AUROCs of ARFI, FibroScan\u00ae and ELF to diagnose F \u22652 (0.879, 0.861, and 0.764, respectively) and cirrhosis (0.936, 0.918, and 0.841) were not statistically significant, although both ultrasound-based methods showed higher accuracy than ELF. The combination of ELF with ARFI or FibroScan\u00ae increased the negative and positive predictive values of single tests for the diagnosis of F \u22652 and cirrhosis. Similar results were obtained when the methods were tested in the validation set. Conclusions: ARFI is as effective as either FibroScan\u00ae or ELF in the non-invasive assessment of liver fibrosis, and its inclusion in an ultrasound device could facilitate its incorporation into routine clinical practice. The combination of ARFI or FibroScan\u00ae with ELF may help better identify patients with or without significant fibrosis or cirrhosis. \u00a9 2012 European Association for the Study of the Liver. Published by Elsevier B.V. All rights reserved.", "author" : [ { "dropping-particle" : "", "family" : "Crespo", "given" : "Gonzalo", "non-dropping-particle" : "", "parse-names" : false, "suffix" : "" }, { "dropping-particle" : "", "family" : "Fern\u00e1ndez-Varo", "given" : "Guillermo", "non-dropping-particle" : "", "parse-names" : false, "suffix" : "" }, { "dropping-particle" : "", "family" : "Mari\u00f1o", "given" : "Zoe", "non-dropping-particle" : "", "parse-names" : false, "suffix" : "" }, { "dropping-particle" : "", "family" : "Casals", "given" : "Gregori", "non-dropping-particle" : "", "parse-names" : false, "suffix" : "" }, { "dropping-particle" : "", "family" : "Miquel", "given" : "Rosa", "non-dropping-particle" : "", "parse-names" : false, "suffix" : "" }, { "dropping-particle" : "", "family" : "Mart\u00ednez", "given" : "Stella M.", "non-dropping-particle" : "", "parse-names" : false, "suffix" : "" }, { "dropping-particle" : "", "family" : "Gilabert", "given" : "Rosa", "non-dropping-particle" : "", "parse-names" : false, "suffix" : "" }, { "dropping-particle" : "", "family" : "Forns", "given" : "Xavier", "non-dropping-particle" : "", "parse-names" : false, "suffix" : "" }, { "dropping-particle" : "", "family" : "Jim\u00e9nez", "given" : "Wladimiro", "non-dropping-particle" : "", "parse-names" : false, "suffix" : "" }, { "dropping-particle" : "", "family" : "Navasa", "given" : "Miquel", "non-dropping-particle" : "", "parse-names" : false, "suffix" : "" } ], "container-title" : "Journal of Hepatology", "id" : "ITEM-1", "issue" : "2", "issued" : { "date-parts" : [ [ "2012" ] ] }, "page" : "281-287", "publisher" : "European Association for the Study of the Liver", "title" : "ARFI, FibroScan\u00ae, ELF, and their combinations in the assessment of liver fibrosis: A prospective study", "type" : "article-journal", "volume" : "57" }, "uris" : [ "http://www.mendeley.com/documents/?uuid=4a4359e6-100e-4c1a-a394-b007cb63ce31" ] } ], "mendeley" : { "formattedCitation" : "[6]", "plainTextFormattedCitation" : "[6]", "previouslyFormattedCitation" : "[6]" }, "properties" : { "noteIndex" : 0 }, "schema" : "https://github.com/citation-style-language/schema/raw/master/csl-citation.json" }</w:instrText>
      </w:r>
      <w:r w:rsidR="003827E7" w:rsidRPr="00E22E31">
        <w:rPr>
          <w:rFonts w:ascii="Book Antiqua" w:hAnsi="Book Antiqua"/>
          <w:sz w:val="24"/>
          <w:szCs w:val="24"/>
          <w:vertAlign w:val="superscript"/>
          <w:lang w:val="en-GB"/>
        </w:rPr>
        <w:fldChar w:fldCharType="separate"/>
      </w:r>
      <w:r w:rsidR="00D524BB" w:rsidRPr="00E22E31">
        <w:rPr>
          <w:rFonts w:ascii="Book Antiqua" w:hAnsi="Book Antiqua"/>
          <w:noProof/>
          <w:sz w:val="24"/>
          <w:szCs w:val="24"/>
          <w:vertAlign w:val="superscript"/>
          <w:lang w:val="en-GB"/>
        </w:rPr>
        <w:t>[6]</w:t>
      </w:r>
      <w:r w:rsidR="003827E7" w:rsidRPr="00E22E31">
        <w:rPr>
          <w:rFonts w:ascii="Book Antiqua" w:hAnsi="Book Antiqua"/>
          <w:sz w:val="24"/>
          <w:szCs w:val="24"/>
          <w:vertAlign w:val="superscript"/>
          <w:lang w:val="en-GB"/>
        </w:rPr>
        <w:fldChar w:fldCharType="end"/>
      </w:r>
      <w:r w:rsidRPr="001339DB">
        <w:rPr>
          <w:rFonts w:ascii="Book Antiqua" w:hAnsi="Book Antiqua"/>
          <w:sz w:val="24"/>
          <w:szCs w:val="24"/>
          <w:lang w:val="en-GB"/>
        </w:rPr>
        <w:t xml:space="preserve"> and</w:t>
      </w:r>
      <w:r w:rsidR="00413A69" w:rsidRPr="001339DB">
        <w:rPr>
          <w:rFonts w:ascii="Book Antiqua" w:hAnsi="Book Antiqua"/>
          <w:sz w:val="24"/>
          <w:szCs w:val="24"/>
          <w:lang w:val="en-GB"/>
        </w:rPr>
        <w:t>,</w:t>
      </w:r>
      <w:r w:rsidRPr="001339DB">
        <w:rPr>
          <w:rFonts w:ascii="Book Antiqua" w:hAnsi="Book Antiqua"/>
          <w:sz w:val="24"/>
          <w:szCs w:val="24"/>
          <w:lang w:val="en-GB"/>
        </w:rPr>
        <w:t xml:space="preserve"> theoretically, it could be easy to apply. However, health and economic implications of this </w:t>
      </w:r>
      <w:r w:rsidR="00A5485D" w:rsidRPr="001339DB">
        <w:rPr>
          <w:rFonts w:ascii="Book Antiqua" w:hAnsi="Book Antiqua"/>
          <w:sz w:val="24"/>
          <w:szCs w:val="24"/>
          <w:lang w:val="en-GB"/>
        </w:rPr>
        <w:t>approach have not been reported</w:t>
      </w:r>
      <w:r w:rsidRPr="001339DB">
        <w:rPr>
          <w:rFonts w:ascii="Book Antiqua" w:hAnsi="Book Antiqua"/>
          <w:sz w:val="24"/>
          <w:szCs w:val="24"/>
          <w:lang w:val="en-GB"/>
        </w:rPr>
        <w:t xml:space="preserve">. Therefore, the aim of the current study </w:t>
      </w:r>
      <w:r w:rsidR="009B36D1" w:rsidRPr="001339DB">
        <w:rPr>
          <w:rFonts w:ascii="Book Antiqua" w:hAnsi="Book Antiqua"/>
          <w:sz w:val="24"/>
          <w:szCs w:val="24"/>
          <w:lang w:val="en-GB"/>
        </w:rPr>
        <w:t>is</w:t>
      </w:r>
      <w:r w:rsidRPr="001339DB">
        <w:rPr>
          <w:rFonts w:ascii="Book Antiqua" w:hAnsi="Book Antiqua"/>
          <w:sz w:val="24"/>
          <w:szCs w:val="24"/>
          <w:lang w:val="en-GB"/>
        </w:rPr>
        <w:t xml:space="preserve"> to assess </w:t>
      </w:r>
      <w:r w:rsidR="00413A69" w:rsidRPr="001339DB">
        <w:rPr>
          <w:rFonts w:ascii="Book Antiqua" w:hAnsi="Book Antiqua"/>
          <w:sz w:val="24"/>
          <w:szCs w:val="24"/>
          <w:lang w:val="en-GB"/>
        </w:rPr>
        <w:t xml:space="preserve">both </w:t>
      </w:r>
      <w:r w:rsidRPr="001339DB">
        <w:rPr>
          <w:rFonts w:ascii="Book Antiqua" w:hAnsi="Book Antiqua"/>
          <w:sz w:val="24"/>
          <w:szCs w:val="24"/>
          <w:lang w:val="en-GB"/>
        </w:rPr>
        <w:t>the accuracy of the sequential use of ELF</w:t>
      </w:r>
      <w:r w:rsidR="00F53A38" w:rsidRPr="001339DB">
        <w:rPr>
          <w:rFonts w:ascii="Book Antiqua" w:hAnsi="Book Antiqua"/>
          <w:sz w:val="24"/>
          <w:szCs w:val="24"/>
          <w:lang w:val="en-GB"/>
        </w:rPr>
        <w:t xml:space="preserve"> test</w:t>
      </w:r>
      <w:r w:rsidRPr="001339DB">
        <w:rPr>
          <w:rFonts w:ascii="Book Antiqua" w:hAnsi="Book Antiqua"/>
          <w:sz w:val="24"/>
          <w:szCs w:val="24"/>
          <w:lang w:val="en-GB"/>
        </w:rPr>
        <w:t>/</w:t>
      </w:r>
      <w:r w:rsidR="003E32E4" w:rsidRPr="001339DB">
        <w:rPr>
          <w:rFonts w:ascii="Book Antiqua" w:hAnsi="Book Antiqua"/>
          <w:sz w:val="24"/>
          <w:szCs w:val="24"/>
          <w:lang w:val="en-GB"/>
        </w:rPr>
        <w:t>LSM</w:t>
      </w:r>
      <w:r w:rsidRPr="001339DB">
        <w:rPr>
          <w:rFonts w:ascii="Book Antiqua" w:hAnsi="Book Antiqua"/>
          <w:sz w:val="24"/>
          <w:szCs w:val="24"/>
          <w:lang w:val="en-GB"/>
        </w:rPr>
        <w:t xml:space="preserve"> in the </w:t>
      </w:r>
      <w:r w:rsidR="00A5485D" w:rsidRPr="001339DB">
        <w:rPr>
          <w:rFonts w:ascii="Book Antiqua" w:hAnsi="Book Antiqua"/>
          <w:sz w:val="24"/>
          <w:szCs w:val="24"/>
          <w:lang w:val="en-GB"/>
        </w:rPr>
        <w:t xml:space="preserve">evaluation of </w:t>
      </w:r>
      <w:r w:rsidRPr="001339DB">
        <w:rPr>
          <w:rFonts w:ascii="Book Antiqua" w:hAnsi="Book Antiqua"/>
          <w:sz w:val="24"/>
          <w:szCs w:val="24"/>
          <w:lang w:val="en-GB"/>
        </w:rPr>
        <w:t>the severity of liver disease</w:t>
      </w:r>
      <w:r w:rsidR="004350DD" w:rsidRPr="001339DB">
        <w:rPr>
          <w:rFonts w:ascii="Book Antiqua" w:hAnsi="Book Antiqua"/>
          <w:sz w:val="24"/>
          <w:szCs w:val="24"/>
          <w:lang w:val="en-GB"/>
        </w:rPr>
        <w:t xml:space="preserve"> </w:t>
      </w:r>
      <w:r w:rsidR="00413A69" w:rsidRPr="001339DB">
        <w:rPr>
          <w:rFonts w:ascii="Book Antiqua" w:hAnsi="Book Antiqua"/>
          <w:sz w:val="24"/>
          <w:szCs w:val="24"/>
          <w:lang w:val="en-GB"/>
        </w:rPr>
        <w:t xml:space="preserve">and </w:t>
      </w:r>
      <w:r w:rsidR="004350DD" w:rsidRPr="001339DB">
        <w:rPr>
          <w:rFonts w:ascii="Book Antiqua" w:hAnsi="Book Antiqua"/>
          <w:sz w:val="24"/>
          <w:szCs w:val="24"/>
          <w:lang w:val="en-GB"/>
        </w:rPr>
        <w:t xml:space="preserve">its cost-effectiveness compared with the use of </w:t>
      </w:r>
      <w:r w:rsidR="00BD6EDC" w:rsidRPr="001339DB">
        <w:rPr>
          <w:rFonts w:ascii="Book Antiqua" w:hAnsi="Book Antiqua"/>
          <w:sz w:val="24"/>
          <w:szCs w:val="24"/>
          <w:lang w:val="en-GB"/>
        </w:rPr>
        <w:t>biopsy in patients with HCV or alcoholic liver disease (ALD).</w:t>
      </w:r>
      <w:r w:rsidR="004350DD" w:rsidRPr="001339DB">
        <w:rPr>
          <w:rFonts w:ascii="Book Antiqua" w:hAnsi="Book Antiqua"/>
          <w:sz w:val="24"/>
          <w:szCs w:val="24"/>
          <w:lang w:val="en-GB"/>
        </w:rPr>
        <w:t xml:space="preserve"> </w:t>
      </w:r>
    </w:p>
    <w:p w:rsidR="00E22E31" w:rsidRPr="001339DB" w:rsidRDefault="00E22E31" w:rsidP="00E22E31">
      <w:pPr>
        <w:adjustRightInd w:val="0"/>
        <w:snapToGrid w:val="0"/>
        <w:spacing w:after="0" w:line="360" w:lineRule="auto"/>
        <w:ind w:firstLineChars="100" w:firstLine="240"/>
        <w:jc w:val="both"/>
        <w:rPr>
          <w:rFonts w:ascii="Book Antiqua" w:hAnsi="Book Antiqua"/>
          <w:sz w:val="24"/>
          <w:szCs w:val="24"/>
          <w:lang w:val="en-GB" w:eastAsia="zh-CN"/>
        </w:rPr>
      </w:pPr>
    </w:p>
    <w:p w:rsidR="00E15934" w:rsidRPr="001339DB" w:rsidRDefault="00E22E31" w:rsidP="001339DB">
      <w:pPr>
        <w:pStyle w:val="Heading1"/>
        <w:adjustRightInd w:val="0"/>
        <w:snapToGrid w:val="0"/>
        <w:spacing w:before="0" w:after="0" w:line="360" w:lineRule="auto"/>
        <w:jc w:val="both"/>
        <w:rPr>
          <w:rFonts w:ascii="Book Antiqua" w:hAnsi="Book Antiqua"/>
          <w:szCs w:val="24"/>
        </w:rPr>
      </w:pPr>
      <w:r>
        <w:rPr>
          <w:rFonts w:ascii="Book Antiqua" w:eastAsiaTheme="minorEastAsia" w:hAnsi="Book Antiqua" w:hint="eastAsia"/>
          <w:szCs w:val="24"/>
          <w:lang w:eastAsia="zh-CN"/>
        </w:rPr>
        <w:t xml:space="preserve">MATERIALS AND </w:t>
      </w:r>
      <w:r w:rsidR="000B71FD" w:rsidRPr="001339DB">
        <w:rPr>
          <w:rFonts w:ascii="Book Antiqua" w:hAnsi="Book Antiqua"/>
          <w:szCs w:val="24"/>
        </w:rPr>
        <w:t>Methods</w:t>
      </w:r>
    </w:p>
    <w:p w:rsidR="000B71FD" w:rsidRPr="00E22E31" w:rsidRDefault="006E492B" w:rsidP="001339DB">
      <w:pPr>
        <w:pStyle w:val="Heading2"/>
        <w:adjustRightInd w:val="0"/>
        <w:snapToGrid w:val="0"/>
        <w:spacing w:before="0" w:after="0" w:line="360" w:lineRule="auto"/>
        <w:jc w:val="both"/>
        <w:rPr>
          <w:rFonts w:ascii="Book Antiqua" w:hAnsi="Book Antiqua"/>
          <w:i/>
          <w:sz w:val="24"/>
          <w:szCs w:val="24"/>
        </w:rPr>
      </w:pPr>
      <w:r w:rsidRPr="00E22E31">
        <w:rPr>
          <w:rStyle w:val="Heading2Char"/>
          <w:rFonts w:ascii="Book Antiqua" w:hAnsi="Book Antiqua"/>
          <w:b/>
          <w:bCs/>
          <w:i/>
          <w:sz w:val="24"/>
          <w:szCs w:val="24"/>
        </w:rPr>
        <w:t>Model overview</w:t>
      </w:r>
    </w:p>
    <w:p w:rsidR="00B56F65" w:rsidRPr="001339DB" w:rsidRDefault="00791E6A" w:rsidP="001339DB">
      <w:pPr>
        <w:adjustRightInd w:val="0"/>
        <w:snapToGrid w:val="0"/>
        <w:spacing w:after="0" w:line="360" w:lineRule="auto"/>
        <w:jc w:val="both"/>
        <w:rPr>
          <w:rFonts w:ascii="Book Antiqua" w:hAnsi="Book Antiqua"/>
          <w:sz w:val="24"/>
          <w:szCs w:val="24"/>
        </w:rPr>
      </w:pPr>
      <w:r w:rsidRPr="001339DB">
        <w:rPr>
          <w:rFonts w:ascii="Book Antiqua" w:hAnsi="Book Antiqua"/>
          <w:sz w:val="24"/>
          <w:szCs w:val="24"/>
        </w:rPr>
        <w:t xml:space="preserve">A Markov model </w:t>
      </w:r>
      <w:r w:rsidR="007209B0" w:rsidRPr="001339DB">
        <w:rPr>
          <w:rFonts w:ascii="Book Antiqua" w:hAnsi="Book Antiqua"/>
          <w:sz w:val="24"/>
          <w:szCs w:val="24"/>
        </w:rPr>
        <w:t>w</w:t>
      </w:r>
      <w:r w:rsidR="00BD6434" w:rsidRPr="001339DB">
        <w:rPr>
          <w:rFonts w:ascii="Book Antiqua" w:hAnsi="Book Antiqua"/>
          <w:sz w:val="24"/>
          <w:szCs w:val="24"/>
        </w:rPr>
        <w:t xml:space="preserve">as </w:t>
      </w:r>
      <w:r w:rsidRPr="001339DB">
        <w:rPr>
          <w:rFonts w:ascii="Book Antiqua" w:hAnsi="Book Antiqua"/>
          <w:sz w:val="24"/>
          <w:szCs w:val="24"/>
        </w:rPr>
        <w:t xml:space="preserve">developed to estimate </w:t>
      </w:r>
      <w:r w:rsidR="00DC34A7" w:rsidRPr="001339DB">
        <w:rPr>
          <w:rFonts w:ascii="Book Antiqua" w:hAnsi="Book Antiqua"/>
          <w:sz w:val="24"/>
          <w:szCs w:val="24"/>
        </w:rPr>
        <w:t>clinical</w:t>
      </w:r>
      <w:r w:rsidRPr="001339DB">
        <w:rPr>
          <w:rFonts w:ascii="Book Antiqua" w:hAnsi="Book Antiqua"/>
          <w:sz w:val="24"/>
          <w:szCs w:val="24"/>
        </w:rPr>
        <w:t xml:space="preserve"> outcomes</w:t>
      </w:r>
      <w:r w:rsidR="00BD6EDC" w:rsidRPr="001339DB">
        <w:rPr>
          <w:rFonts w:ascii="Book Antiqua" w:hAnsi="Book Antiqua"/>
          <w:sz w:val="24"/>
          <w:szCs w:val="24"/>
        </w:rPr>
        <w:t xml:space="preserve"> </w:t>
      </w:r>
      <w:r w:rsidRPr="001339DB">
        <w:rPr>
          <w:rFonts w:ascii="Book Antiqua" w:hAnsi="Book Antiqua"/>
          <w:sz w:val="24"/>
          <w:szCs w:val="24"/>
        </w:rPr>
        <w:t xml:space="preserve">and </w:t>
      </w:r>
      <w:r w:rsidR="00BD6EDC" w:rsidRPr="001339DB">
        <w:rPr>
          <w:rFonts w:ascii="Book Antiqua" w:hAnsi="Book Antiqua"/>
          <w:sz w:val="24"/>
          <w:szCs w:val="24"/>
        </w:rPr>
        <w:t xml:space="preserve">associated </w:t>
      </w:r>
      <w:r w:rsidRPr="001339DB">
        <w:rPr>
          <w:rFonts w:ascii="Book Antiqua" w:hAnsi="Book Antiqua"/>
          <w:sz w:val="24"/>
          <w:szCs w:val="24"/>
        </w:rPr>
        <w:t xml:space="preserve">costs of </w:t>
      </w:r>
      <w:r w:rsidR="00497098" w:rsidRPr="001339DB">
        <w:rPr>
          <w:rFonts w:ascii="Book Antiqua" w:hAnsi="Book Antiqua"/>
          <w:sz w:val="24"/>
          <w:szCs w:val="24"/>
        </w:rPr>
        <w:t xml:space="preserve">the </w:t>
      </w:r>
      <w:r w:rsidRPr="001339DB">
        <w:rPr>
          <w:rFonts w:ascii="Book Antiqua" w:hAnsi="Book Antiqua"/>
          <w:sz w:val="24"/>
          <w:szCs w:val="24"/>
        </w:rPr>
        <w:t>different options for assessing liver fibrosis</w:t>
      </w:r>
      <w:r w:rsidR="00203D40" w:rsidRPr="001339DB">
        <w:rPr>
          <w:rFonts w:ascii="Book Antiqua" w:hAnsi="Book Antiqua"/>
          <w:sz w:val="24"/>
          <w:szCs w:val="24"/>
        </w:rPr>
        <w:t>.</w:t>
      </w:r>
      <w:r w:rsidR="00F501D6" w:rsidRPr="001339DB">
        <w:rPr>
          <w:rFonts w:ascii="Book Antiqua" w:hAnsi="Book Antiqua"/>
          <w:sz w:val="24"/>
          <w:szCs w:val="24"/>
        </w:rPr>
        <w:t xml:space="preserve"> </w:t>
      </w:r>
      <w:r w:rsidR="00203D40" w:rsidRPr="001339DB">
        <w:rPr>
          <w:rFonts w:ascii="Book Antiqua" w:hAnsi="Book Antiqua"/>
          <w:sz w:val="24"/>
          <w:szCs w:val="24"/>
        </w:rPr>
        <w:t>Three mutually exclusive testing strategies were considered in the analysis</w:t>
      </w:r>
      <w:r w:rsidR="009E2120" w:rsidRPr="001339DB">
        <w:rPr>
          <w:rFonts w:ascii="Book Antiqua" w:hAnsi="Book Antiqua"/>
          <w:sz w:val="24"/>
          <w:szCs w:val="24"/>
        </w:rPr>
        <w:t xml:space="preserve"> (T</w:t>
      </w:r>
      <w:r w:rsidR="00203D40" w:rsidRPr="001339DB">
        <w:rPr>
          <w:rFonts w:ascii="Book Antiqua" w:hAnsi="Book Antiqua"/>
          <w:sz w:val="24"/>
          <w:szCs w:val="24"/>
        </w:rPr>
        <w:t xml:space="preserve">able 1): </w:t>
      </w:r>
      <w:r w:rsidR="00E22E31">
        <w:rPr>
          <w:rFonts w:ascii="Book Antiqua" w:hAnsi="Book Antiqua" w:hint="eastAsia"/>
          <w:sz w:val="24"/>
          <w:szCs w:val="24"/>
          <w:lang w:eastAsia="zh-CN"/>
        </w:rPr>
        <w:t>(</w:t>
      </w:r>
      <w:r w:rsidR="00203D40" w:rsidRPr="001339DB">
        <w:rPr>
          <w:rFonts w:ascii="Book Antiqua" w:hAnsi="Book Antiqua"/>
          <w:sz w:val="24"/>
          <w:szCs w:val="24"/>
        </w:rPr>
        <w:t>1) </w:t>
      </w:r>
      <w:r w:rsidR="007B3BCF" w:rsidRPr="001339DB">
        <w:rPr>
          <w:rFonts w:ascii="Book Antiqua" w:hAnsi="Book Antiqua"/>
          <w:sz w:val="24"/>
          <w:szCs w:val="24"/>
        </w:rPr>
        <w:t>a</w:t>
      </w:r>
      <w:r w:rsidR="00203D40" w:rsidRPr="001339DB">
        <w:rPr>
          <w:rFonts w:ascii="Book Antiqua" w:hAnsi="Book Antiqua"/>
          <w:sz w:val="24"/>
          <w:szCs w:val="24"/>
        </w:rPr>
        <w:t xml:space="preserve"> unique percutaneous liver biopsy</w:t>
      </w:r>
      <w:r w:rsidR="00E22E31">
        <w:rPr>
          <w:rFonts w:ascii="Book Antiqua" w:hAnsi="Book Antiqua" w:hint="eastAsia"/>
          <w:sz w:val="24"/>
          <w:szCs w:val="24"/>
          <w:lang w:eastAsia="zh-CN"/>
        </w:rPr>
        <w:t>;</w:t>
      </w:r>
      <w:r w:rsidR="00203D40" w:rsidRPr="001339DB">
        <w:rPr>
          <w:rFonts w:ascii="Book Antiqua" w:hAnsi="Book Antiqua"/>
          <w:sz w:val="24"/>
          <w:szCs w:val="24"/>
        </w:rPr>
        <w:t xml:space="preserve"> </w:t>
      </w:r>
      <w:r w:rsidR="00E22E31">
        <w:rPr>
          <w:rFonts w:ascii="Book Antiqua" w:hAnsi="Book Antiqua" w:hint="eastAsia"/>
          <w:sz w:val="24"/>
          <w:szCs w:val="24"/>
          <w:lang w:eastAsia="zh-CN"/>
        </w:rPr>
        <w:t>(</w:t>
      </w:r>
      <w:r w:rsidR="00203D40" w:rsidRPr="001339DB">
        <w:rPr>
          <w:rFonts w:ascii="Book Antiqua" w:hAnsi="Book Antiqua"/>
          <w:sz w:val="24"/>
          <w:szCs w:val="24"/>
        </w:rPr>
        <w:t>2) </w:t>
      </w:r>
      <w:r w:rsidR="007B3BCF" w:rsidRPr="001339DB">
        <w:rPr>
          <w:rFonts w:ascii="Book Antiqua" w:hAnsi="Book Antiqua"/>
          <w:sz w:val="24"/>
          <w:szCs w:val="24"/>
        </w:rPr>
        <w:t>a</w:t>
      </w:r>
      <w:r w:rsidR="00203D40" w:rsidRPr="001339DB">
        <w:rPr>
          <w:rFonts w:ascii="Book Antiqua" w:hAnsi="Book Antiqua"/>
          <w:sz w:val="24"/>
          <w:szCs w:val="24"/>
        </w:rPr>
        <w:t xml:space="preserve">nnual ELF </w:t>
      </w:r>
      <w:r w:rsidR="00F53A38" w:rsidRPr="001339DB">
        <w:rPr>
          <w:rFonts w:ascii="Book Antiqua" w:hAnsi="Book Antiqua"/>
          <w:sz w:val="24"/>
          <w:szCs w:val="24"/>
        </w:rPr>
        <w:t xml:space="preserve">test </w:t>
      </w:r>
      <w:r w:rsidR="00203D40" w:rsidRPr="001339DB">
        <w:rPr>
          <w:rFonts w:ascii="Book Antiqua" w:hAnsi="Book Antiqua"/>
          <w:sz w:val="24"/>
          <w:szCs w:val="24"/>
        </w:rPr>
        <w:t xml:space="preserve">with confirmation </w:t>
      </w:r>
      <w:r w:rsidR="003E32E4" w:rsidRPr="001339DB">
        <w:rPr>
          <w:rFonts w:ascii="Book Antiqua" w:hAnsi="Book Antiqua"/>
          <w:sz w:val="24"/>
          <w:szCs w:val="24"/>
        </w:rPr>
        <w:t>LSM</w:t>
      </w:r>
      <w:r w:rsidR="00203D40" w:rsidRPr="001339DB">
        <w:rPr>
          <w:rFonts w:ascii="Book Antiqua" w:hAnsi="Book Antiqua"/>
          <w:sz w:val="24"/>
          <w:szCs w:val="24"/>
        </w:rPr>
        <w:t xml:space="preserve"> in case of a positive ELF</w:t>
      </w:r>
      <w:r w:rsidR="00F53A38" w:rsidRPr="001339DB">
        <w:rPr>
          <w:rFonts w:ascii="Book Antiqua" w:hAnsi="Book Antiqua"/>
          <w:sz w:val="24"/>
          <w:szCs w:val="24"/>
        </w:rPr>
        <w:t xml:space="preserve"> score</w:t>
      </w:r>
      <w:r w:rsidR="00E22E31">
        <w:rPr>
          <w:rFonts w:ascii="Book Antiqua" w:hAnsi="Book Antiqua" w:hint="eastAsia"/>
          <w:sz w:val="24"/>
          <w:szCs w:val="24"/>
          <w:lang w:eastAsia="zh-CN"/>
        </w:rPr>
        <w:t>;</w:t>
      </w:r>
      <w:r w:rsidR="007B3BCF" w:rsidRPr="001339DB">
        <w:rPr>
          <w:rFonts w:ascii="Book Antiqua" w:hAnsi="Book Antiqua"/>
          <w:sz w:val="24"/>
          <w:szCs w:val="24"/>
        </w:rPr>
        <w:t xml:space="preserve"> and</w:t>
      </w:r>
      <w:r w:rsidR="00203D40" w:rsidRPr="001339DB">
        <w:rPr>
          <w:rFonts w:ascii="Book Antiqua" w:hAnsi="Book Antiqua"/>
          <w:sz w:val="24"/>
          <w:szCs w:val="24"/>
        </w:rPr>
        <w:t xml:space="preserve"> </w:t>
      </w:r>
      <w:r w:rsidR="00E22E31">
        <w:rPr>
          <w:rFonts w:ascii="Book Antiqua" w:hAnsi="Book Antiqua" w:hint="eastAsia"/>
          <w:sz w:val="24"/>
          <w:szCs w:val="24"/>
          <w:lang w:eastAsia="zh-CN"/>
        </w:rPr>
        <w:t>(</w:t>
      </w:r>
      <w:r w:rsidR="00203D40" w:rsidRPr="001339DB">
        <w:rPr>
          <w:rFonts w:ascii="Book Antiqua" w:hAnsi="Book Antiqua"/>
          <w:sz w:val="24"/>
          <w:szCs w:val="24"/>
        </w:rPr>
        <w:t xml:space="preserve">3) </w:t>
      </w:r>
      <w:r w:rsidR="007B3BCF" w:rsidRPr="001339DB">
        <w:rPr>
          <w:rFonts w:ascii="Book Antiqua" w:hAnsi="Book Antiqua"/>
          <w:sz w:val="24"/>
          <w:szCs w:val="24"/>
        </w:rPr>
        <w:t>a</w:t>
      </w:r>
      <w:r w:rsidR="00203D40" w:rsidRPr="001339DB">
        <w:rPr>
          <w:rFonts w:ascii="Book Antiqua" w:hAnsi="Book Antiqua"/>
          <w:sz w:val="24"/>
          <w:szCs w:val="24"/>
        </w:rPr>
        <w:t xml:space="preserve">nnual ELF </w:t>
      </w:r>
      <w:r w:rsidR="00F53A38" w:rsidRPr="001339DB">
        <w:rPr>
          <w:rFonts w:ascii="Book Antiqua" w:hAnsi="Book Antiqua"/>
          <w:sz w:val="24"/>
          <w:szCs w:val="24"/>
        </w:rPr>
        <w:t xml:space="preserve">test </w:t>
      </w:r>
      <w:r w:rsidR="00203D40" w:rsidRPr="001339DB">
        <w:rPr>
          <w:rFonts w:ascii="Book Antiqua" w:hAnsi="Book Antiqua"/>
          <w:sz w:val="24"/>
          <w:szCs w:val="24"/>
        </w:rPr>
        <w:t>alone.</w:t>
      </w:r>
      <w:r w:rsidR="00460691" w:rsidRPr="001339DB">
        <w:rPr>
          <w:rFonts w:ascii="Book Antiqua" w:hAnsi="Book Antiqua"/>
          <w:sz w:val="24"/>
          <w:szCs w:val="24"/>
        </w:rPr>
        <w:t xml:space="preserve"> </w:t>
      </w:r>
      <w:r w:rsidR="009B36D1" w:rsidRPr="001339DB">
        <w:rPr>
          <w:rFonts w:ascii="Book Antiqua" w:hAnsi="Book Antiqua"/>
          <w:sz w:val="24"/>
          <w:szCs w:val="24"/>
        </w:rPr>
        <w:t>O</w:t>
      </w:r>
      <w:r w:rsidR="00460691" w:rsidRPr="001339DB">
        <w:rPr>
          <w:rFonts w:ascii="Book Antiqua" w:hAnsi="Book Antiqua"/>
          <w:sz w:val="24"/>
          <w:szCs w:val="24"/>
        </w:rPr>
        <w:t xml:space="preserve">utcomes were also computed assuming that </w:t>
      </w:r>
      <w:r w:rsidR="006472E3" w:rsidRPr="001339DB">
        <w:rPr>
          <w:rFonts w:ascii="Book Antiqua" w:hAnsi="Book Antiqua"/>
          <w:sz w:val="24"/>
          <w:szCs w:val="24"/>
        </w:rPr>
        <w:t xml:space="preserve">no test </w:t>
      </w:r>
      <w:r w:rsidR="00FD0E76" w:rsidRPr="001339DB">
        <w:rPr>
          <w:rFonts w:ascii="Book Antiqua" w:hAnsi="Book Antiqua"/>
          <w:sz w:val="24"/>
          <w:szCs w:val="24"/>
        </w:rPr>
        <w:t>for</w:t>
      </w:r>
      <w:r w:rsidR="006472E3" w:rsidRPr="001339DB">
        <w:rPr>
          <w:rFonts w:ascii="Book Antiqua" w:hAnsi="Book Antiqua"/>
          <w:sz w:val="24"/>
          <w:szCs w:val="24"/>
        </w:rPr>
        <w:t xml:space="preserve"> liver fibrosis was performed.</w:t>
      </w:r>
    </w:p>
    <w:p w:rsidR="00475CD2" w:rsidRDefault="004B5603" w:rsidP="00E22E31">
      <w:pPr>
        <w:adjustRightInd w:val="0"/>
        <w:snapToGrid w:val="0"/>
        <w:spacing w:after="0" w:line="360" w:lineRule="auto"/>
        <w:ind w:firstLineChars="100" w:firstLine="240"/>
        <w:jc w:val="both"/>
        <w:rPr>
          <w:rFonts w:ascii="Book Antiqua" w:hAnsi="Book Antiqua"/>
          <w:sz w:val="24"/>
          <w:szCs w:val="24"/>
          <w:lang w:eastAsia="zh-CN"/>
        </w:rPr>
      </w:pPr>
      <w:r w:rsidRPr="001339DB">
        <w:rPr>
          <w:rFonts w:ascii="Book Antiqua" w:hAnsi="Book Antiqua"/>
          <w:sz w:val="24"/>
          <w:szCs w:val="24"/>
        </w:rPr>
        <w:t>In the base case analysis p</w:t>
      </w:r>
      <w:r w:rsidR="007209B0" w:rsidRPr="001339DB">
        <w:rPr>
          <w:rFonts w:ascii="Book Antiqua" w:hAnsi="Book Antiqua"/>
          <w:sz w:val="24"/>
          <w:szCs w:val="24"/>
        </w:rPr>
        <w:t>a</w:t>
      </w:r>
      <w:r w:rsidR="00BD6EDC" w:rsidRPr="001339DB">
        <w:rPr>
          <w:rFonts w:ascii="Book Antiqua" w:hAnsi="Book Antiqua"/>
          <w:sz w:val="24"/>
          <w:szCs w:val="24"/>
        </w:rPr>
        <w:t>tients</w:t>
      </w:r>
      <w:r w:rsidR="007209B0" w:rsidRPr="001339DB">
        <w:rPr>
          <w:rFonts w:ascii="Book Antiqua" w:hAnsi="Book Antiqua"/>
          <w:sz w:val="24"/>
          <w:szCs w:val="24"/>
        </w:rPr>
        <w:t xml:space="preserve"> </w:t>
      </w:r>
      <w:r w:rsidRPr="001339DB">
        <w:rPr>
          <w:rFonts w:ascii="Book Antiqua" w:hAnsi="Book Antiqua"/>
          <w:sz w:val="24"/>
          <w:szCs w:val="24"/>
        </w:rPr>
        <w:t xml:space="preserve">were </w:t>
      </w:r>
      <w:r w:rsidR="00BD51A7" w:rsidRPr="001339DB">
        <w:rPr>
          <w:rFonts w:ascii="Book Antiqua" w:hAnsi="Book Antiqua"/>
          <w:sz w:val="24"/>
          <w:szCs w:val="24"/>
        </w:rPr>
        <w:t>40</w:t>
      </w:r>
      <w:r w:rsidR="007B3BCF" w:rsidRPr="001339DB">
        <w:rPr>
          <w:rFonts w:ascii="Book Antiqua" w:hAnsi="Book Antiqua"/>
          <w:sz w:val="24"/>
          <w:szCs w:val="24"/>
        </w:rPr>
        <w:t>-</w:t>
      </w:r>
      <w:r w:rsidR="00BD51A7" w:rsidRPr="001339DB">
        <w:rPr>
          <w:rFonts w:ascii="Book Antiqua" w:hAnsi="Book Antiqua"/>
          <w:sz w:val="24"/>
          <w:szCs w:val="24"/>
        </w:rPr>
        <w:t>year-old men</w:t>
      </w:r>
      <w:r w:rsidR="007209B0" w:rsidRPr="001339DB">
        <w:rPr>
          <w:rFonts w:ascii="Book Antiqua" w:hAnsi="Book Antiqua"/>
          <w:sz w:val="24"/>
          <w:szCs w:val="24"/>
        </w:rPr>
        <w:t xml:space="preserve"> with </w:t>
      </w:r>
      <w:r w:rsidR="00E65D28" w:rsidRPr="001339DB">
        <w:rPr>
          <w:rFonts w:ascii="Book Antiqua" w:hAnsi="Book Antiqua"/>
          <w:sz w:val="24"/>
          <w:szCs w:val="24"/>
        </w:rPr>
        <w:t xml:space="preserve">abnormal </w:t>
      </w:r>
      <w:r w:rsidR="007209B0" w:rsidRPr="001339DB">
        <w:rPr>
          <w:rFonts w:ascii="Book Antiqua" w:hAnsi="Book Antiqua"/>
          <w:sz w:val="24"/>
          <w:szCs w:val="24"/>
        </w:rPr>
        <w:t xml:space="preserve">levels of transaminases </w:t>
      </w:r>
      <w:r w:rsidR="00126DD8" w:rsidRPr="001339DB">
        <w:rPr>
          <w:rFonts w:ascii="Book Antiqua" w:hAnsi="Book Antiqua"/>
          <w:sz w:val="24"/>
          <w:szCs w:val="24"/>
        </w:rPr>
        <w:t xml:space="preserve">and </w:t>
      </w:r>
      <w:r w:rsidR="007209B0" w:rsidRPr="001339DB">
        <w:rPr>
          <w:rFonts w:ascii="Book Antiqua" w:hAnsi="Book Antiqua"/>
          <w:sz w:val="24"/>
          <w:szCs w:val="24"/>
        </w:rPr>
        <w:t xml:space="preserve">diagnosed with HCV or ALD. </w:t>
      </w:r>
      <w:r w:rsidR="00C26DC5" w:rsidRPr="001339DB">
        <w:rPr>
          <w:rFonts w:ascii="Book Antiqua" w:hAnsi="Book Antiqua"/>
          <w:sz w:val="24"/>
          <w:szCs w:val="24"/>
        </w:rPr>
        <w:t xml:space="preserve">The analysis was conducted separately for each etiology group. </w:t>
      </w:r>
      <w:r w:rsidR="00BA5947" w:rsidRPr="001339DB">
        <w:rPr>
          <w:rFonts w:ascii="Book Antiqua" w:hAnsi="Book Antiqua"/>
          <w:sz w:val="24"/>
          <w:szCs w:val="24"/>
        </w:rPr>
        <w:t>In</w:t>
      </w:r>
      <w:r w:rsidR="00BD6EDC" w:rsidRPr="001339DB">
        <w:rPr>
          <w:rFonts w:ascii="Book Antiqua" w:hAnsi="Book Antiqua"/>
          <w:sz w:val="24"/>
          <w:szCs w:val="24"/>
        </w:rPr>
        <w:t xml:space="preserve"> the Markov model,</w:t>
      </w:r>
      <w:r w:rsidR="003D1866" w:rsidRPr="001339DB">
        <w:rPr>
          <w:rFonts w:ascii="Book Antiqua" w:hAnsi="Book Antiqua"/>
          <w:sz w:val="24"/>
          <w:szCs w:val="24"/>
        </w:rPr>
        <w:t xml:space="preserve"> disease </w:t>
      </w:r>
      <w:r w:rsidR="00E349CD" w:rsidRPr="001339DB">
        <w:rPr>
          <w:rFonts w:ascii="Book Antiqua" w:hAnsi="Book Antiqua"/>
          <w:sz w:val="24"/>
          <w:szCs w:val="24"/>
        </w:rPr>
        <w:t>p</w:t>
      </w:r>
      <w:r w:rsidR="00C26DC5" w:rsidRPr="001339DB">
        <w:rPr>
          <w:rFonts w:ascii="Book Antiqua" w:hAnsi="Book Antiqua"/>
          <w:sz w:val="24"/>
          <w:szCs w:val="24"/>
        </w:rPr>
        <w:t xml:space="preserve">rogression is </w:t>
      </w:r>
      <w:r w:rsidR="00C26DC5" w:rsidRPr="001339DB">
        <w:rPr>
          <w:rFonts w:ascii="Book Antiqua" w:hAnsi="Book Antiqua"/>
          <w:sz w:val="24"/>
          <w:szCs w:val="24"/>
        </w:rPr>
        <w:lastRenderedPageBreak/>
        <w:t>represented as transitions between different health states</w:t>
      </w:r>
      <w:r w:rsidR="00DD1A87" w:rsidRPr="001339DB">
        <w:rPr>
          <w:rFonts w:ascii="Book Antiqua" w:hAnsi="Book Antiqua"/>
          <w:sz w:val="24"/>
          <w:szCs w:val="24"/>
        </w:rPr>
        <w:t xml:space="preserve"> over time,</w:t>
      </w:r>
      <w:r w:rsidR="00C26DC5" w:rsidRPr="001339DB">
        <w:rPr>
          <w:rFonts w:ascii="Book Antiqua" w:hAnsi="Book Antiqua"/>
          <w:sz w:val="24"/>
          <w:szCs w:val="24"/>
        </w:rPr>
        <w:t xml:space="preserve"> </w:t>
      </w:r>
      <w:r w:rsidR="00DD1A87" w:rsidRPr="001339DB">
        <w:rPr>
          <w:rFonts w:ascii="Book Antiqua" w:hAnsi="Book Antiqua"/>
          <w:sz w:val="24"/>
          <w:szCs w:val="24"/>
        </w:rPr>
        <w:t>which</w:t>
      </w:r>
      <w:r w:rsidR="004A3816" w:rsidRPr="001339DB">
        <w:rPr>
          <w:rFonts w:ascii="Book Antiqua" w:hAnsi="Book Antiqua"/>
          <w:sz w:val="24"/>
          <w:szCs w:val="24"/>
        </w:rPr>
        <w:t xml:space="preserve"> </w:t>
      </w:r>
      <w:r w:rsidR="00375984" w:rsidRPr="001339DB">
        <w:rPr>
          <w:rFonts w:ascii="Book Antiqua" w:hAnsi="Book Antiqua"/>
          <w:sz w:val="24"/>
          <w:szCs w:val="24"/>
        </w:rPr>
        <w:t>was</w:t>
      </w:r>
      <w:r w:rsidR="004A3816" w:rsidRPr="001339DB">
        <w:rPr>
          <w:rFonts w:ascii="Book Antiqua" w:hAnsi="Book Antiqua"/>
          <w:sz w:val="24"/>
          <w:szCs w:val="24"/>
        </w:rPr>
        <w:t xml:space="preserve"> </w:t>
      </w:r>
      <w:r w:rsidR="00E65D28" w:rsidRPr="001339DB">
        <w:rPr>
          <w:rFonts w:ascii="Book Antiqua" w:hAnsi="Book Antiqua"/>
          <w:sz w:val="24"/>
          <w:szCs w:val="24"/>
        </w:rPr>
        <w:t>modeled</w:t>
      </w:r>
      <w:r w:rsidR="004A3816" w:rsidRPr="001339DB">
        <w:rPr>
          <w:rFonts w:ascii="Book Antiqua" w:hAnsi="Book Antiqua"/>
          <w:sz w:val="24"/>
          <w:szCs w:val="24"/>
        </w:rPr>
        <w:t xml:space="preserve"> </w:t>
      </w:r>
      <w:r w:rsidR="00375984" w:rsidRPr="001339DB">
        <w:rPr>
          <w:rFonts w:ascii="Book Antiqua" w:hAnsi="Book Antiqua"/>
          <w:sz w:val="24"/>
          <w:szCs w:val="24"/>
        </w:rPr>
        <w:t xml:space="preserve">here </w:t>
      </w:r>
      <w:r w:rsidR="004A3816" w:rsidRPr="001339DB">
        <w:rPr>
          <w:rFonts w:ascii="Book Antiqua" w:hAnsi="Book Antiqua"/>
          <w:sz w:val="24"/>
          <w:szCs w:val="24"/>
        </w:rPr>
        <w:t>as a series of 3-</w:t>
      </w:r>
      <w:r w:rsidR="00E22E31">
        <w:rPr>
          <w:rFonts w:ascii="Book Antiqua" w:hAnsi="Book Antiqua" w:hint="eastAsia"/>
          <w:sz w:val="24"/>
          <w:szCs w:val="24"/>
          <w:lang w:eastAsia="zh-CN"/>
        </w:rPr>
        <w:t>mo</w:t>
      </w:r>
      <w:r w:rsidR="004A3816" w:rsidRPr="001339DB">
        <w:rPr>
          <w:rFonts w:ascii="Book Antiqua" w:hAnsi="Book Antiqua"/>
          <w:sz w:val="24"/>
          <w:szCs w:val="24"/>
        </w:rPr>
        <w:t xml:space="preserve"> cycles</w:t>
      </w:r>
      <w:r w:rsidR="00BD6EDC" w:rsidRPr="001339DB">
        <w:rPr>
          <w:rFonts w:ascii="Book Antiqua" w:hAnsi="Book Antiqua"/>
          <w:sz w:val="24"/>
          <w:szCs w:val="24"/>
        </w:rPr>
        <w:t xml:space="preserve"> (Figure 1</w:t>
      </w:r>
      <w:r w:rsidR="003660F9" w:rsidRPr="001339DB">
        <w:rPr>
          <w:rFonts w:ascii="Book Antiqua" w:hAnsi="Book Antiqua"/>
          <w:sz w:val="24"/>
          <w:szCs w:val="24"/>
        </w:rPr>
        <w:t>A and</w:t>
      </w:r>
      <w:r w:rsidR="00E22E31">
        <w:rPr>
          <w:rFonts w:ascii="Book Antiqua" w:hAnsi="Book Antiqua" w:hint="eastAsia"/>
          <w:sz w:val="24"/>
          <w:szCs w:val="24"/>
          <w:lang w:eastAsia="zh-CN"/>
        </w:rPr>
        <w:t xml:space="preserve"> </w:t>
      </w:r>
      <w:r w:rsidR="003660F9" w:rsidRPr="001339DB">
        <w:rPr>
          <w:rFonts w:ascii="Book Antiqua" w:hAnsi="Book Antiqua"/>
          <w:sz w:val="24"/>
          <w:szCs w:val="24"/>
        </w:rPr>
        <w:t>B</w:t>
      </w:r>
      <w:r w:rsidR="00BD6EDC" w:rsidRPr="001339DB">
        <w:rPr>
          <w:rFonts w:ascii="Book Antiqua" w:hAnsi="Book Antiqua"/>
          <w:sz w:val="24"/>
          <w:szCs w:val="24"/>
        </w:rPr>
        <w:t>)</w:t>
      </w:r>
      <w:r w:rsidR="004A3816" w:rsidRPr="001339DB">
        <w:rPr>
          <w:rFonts w:ascii="Book Antiqua" w:hAnsi="Book Antiqua"/>
          <w:sz w:val="24"/>
          <w:szCs w:val="24"/>
        </w:rPr>
        <w:t xml:space="preserve">. </w:t>
      </w:r>
      <w:r w:rsidR="00C26DC5" w:rsidRPr="001339DB">
        <w:rPr>
          <w:rFonts w:ascii="Book Antiqua" w:hAnsi="Book Antiqua"/>
          <w:sz w:val="24"/>
          <w:szCs w:val="24"/>
        </w:rPr>
        <w:t>Individuals face probabilities of moving to a different state according</w:t>
      </w:r>
      <w:r w:rsidR="003D1866" w:rsidRPr="001339DB">
        <w:rPr>
          <w:rFonts w:ascii="Book Antiqua" w:hAnsi="Book Antiqua"/>
          <w:sz w:val="24"/>
          <w:szCs w:val="24"/>
        </w:rPr>
        <w:t xml:space="preserve"> </w:t>
      </w:r>
      <w:r w:rsidR="00C26DC5" w:rsidRPr="001339DB">
        <w:rPr>
          <w:rFonts w:ascii="Book Antiqua" w:hAnsi="Book Antiqua"/>
          <w:sz w:val="24"/>
          <w:szCs w:val="24"/>
        </w:rPr>
        <w:t>to</w:t>
      </w:r>
      <w:r w:rsidR="003D1866" w:rsidRPr="001339DB">
        <w:rPr>
          <w:rFonts w:ascii="Book Antiqua" w:hAnsi="Book Antiqua"/>
          <w:sz w:val="24"/>
          <w:szCs w:val="24"/>
        </w:rPr>
        <w:t xml:space="preserve"> the</w:t>
      </w:r>
      <w:r w:rsidR="00C26DC5" w:rsidRPr="001339DB">
        <w:rPr>
          <w:rFonts w:ascii="Book Antiqua" w:hAnsi="Book Antiqua"/>
          <w:sz w:val="24"/>
          <w:szCs w:val="24"/>
        </w:rPr>
        <w:t>ir</w:t>
      </w:r>
      <w:r w:rsidR="003D1866" w:rsidRPr="001339DB">
        <w:rPr>
          <w:rFonts w:ascii="Book Antiqua" w:hAnsi="Book Antiqua"/>
          <w:sz w:val="24"/>
          <w:szCs w:val="24"/>
        </w:rPr>
        <w:t xml:space="preserve"> </w:t>
      </w:r>
      <w:r w:rsidR="00A96FB1" w:rsidRPr="001339DB">
        <w:rPr>
          <w:rFonts w:ascii="Book Antiqua" w:hAnsi="Book Antiqua"/>
          <w:sz w:val="24"/>
          <w:szCs w:val="24"/>
        </w:rPr>
        <w:t xml:space="preserve">initial and ensuing </w:t>
      </w:r>
      <w:r w:rsidR="003D1866" w:rsidRPr="001339DB">
        <w:rPr>
          <w:rFonts w:ascii="Book Antiqua" w:hAnsi="Book Antiqua"/>
          <w:sz w:val="24"/>
          <w:szCs w:val="24"/>
        </w:rPr>
        <w:t xml:space="preserve">health </w:t>
      </w:r>
      <w:r w:rsidR="00C26DC5" w:rsidRPr="001339DB">
        <w:rPr>
          <w:rFonts w:ascii="Book Antiqua" w:hAnsi="Book Antiqua"/>
          <w:sz w:val="24"/>
          <w:szCs w:val="24"/>
        </w:rPr>
        <w:t>condition</w:t>
      </w:r>
      <w:r w:rsidR="003D1866" w:rsidRPr="001339DB">
        <w:rPr>
          <w:rFonts w:ascii="Book Antiqua" w:hAnsi="Book Antiqua"/>
          <w:sz w:val="24"/>
          <w:szCs w:val="24"/>
        </w:rPr>
        <w:t>, treatment</w:t>
      </w:r>
      <w:r w:rsidR="007B3BCF" w:rsidRPr="001339DB">
        <w:rPr>
          <w:rFonts w:ascii="Book Antiqua" w:hAnsi="Book Antiqua"/>
          <w:sz w:val="24"/>
          <w:szCs w:val="24"/>
        </w:rPr>
        <w:t>,</w:t>
      </w:r>
      <w:r w:rsidR="003D1866" w:rsidRPr="001339DB">
        <w:rPr>
          <w:rFonts w:ascii="Book Antiqua" w:hAnsi="Book Antiqua"/>
          <w:sz w:val="24"/>
          <w:szCs w:val="24"/>
        </w:rPr>
        <w:t xml:space="preserve"> </w:t>
      </w:r>
      <w:r w:rsidR="00C26DC5" w:rsidRPr="001339DB">
        <w:rPr>
          <w:rFonts w:ascii="Book Antiqua" w:hAnsi="Book Antiqua"/>
          <w:sz w:val="24"/>
          <w:szCs w:val="24"/>
        </w:rPr>
        <w:t xml:space="preserve">and age. </w:t>
      </w:r>
      <w:r w:rsidR="004A3816" w:rsidRPr="001339DB">
        <w:rPr>
          <w:rFonts w:ascii="Book Antiqua" w:hAnsi="Book Antiqua"/>
          <w:sz w:val="24"/>
          <w:szCs w:val="24"/>
        </w:rPr>
        <w:t>Each health state is associated with sp</w:t>
      </w:r>
      <w:r w:rsidR="007242A3" w:rsidRPr="001339DB">
        <w:rPr>
          <w:rFonts w:ascii="Book Antiqua" w:hAnsi="Book Antiqua"/>
          <w:sz w:val="24"/>
          <w:szCs w:val="24"/>
        </w:rPr>
        <w:t>ecific utility levels and costs</w:t>
      </w:r>
      <w:r w:rsidR="00A96FB1" w:rsidRPr="001339DB">
        <w:rPr>
          <w:rFonts w:ascii="Book Antiqua" w:hAnsi="Book Antiqua"/>
          <w:sz w:val="24"/>
          <w:szCs w:val="24"/>
        </w:rPr>
        <w:t xml:space="preserve"> (</w:t>
      </w:r>
      <w:r w:rsidR="00E22E31" w:rsidRPr="00E22E31">
        <w:rPr>
          <w:rFonts w:ascii="Book Antiqua" w:hAnsi="Book Antiqua"/>
          <w:i/>
          <w:sz w:val="24"/>
          <w:szCs w:val="24"/>
        </w:rPr>
        <w:t>e.g.</w:t>
      </w:r>
      <w:r w:rsidR="007B3BCF" w:rsidRPr="001339DB">
        <w:rPr>
          <w:rFonts w:ascii="Book Antiqua" w:hAnsi="Book Antiqua"/>
          <w:sz w:val="24"/>
          <w:szCs w:val="24"/>
        </w:rPr>
        <w:t>,</w:t>
      </w:r>
      <w:r w:rsidR="00A96FB1" w:rsidRPr="001339DB">
        <w:rPr>
          <w:rFonts w:ascii="Book Antiqua" w:hAnsi="Book Antiqua"/>
          <w:sz w:val="24"/>
          <w:szCs w:val="24"/>
        </w:rPr>
        <w:t xml:space="preserve"> hospitalization, screening</w:t>
      </w:r>
      <w:r w:rsidR="00962E02" w:rsidRPr="001339DB">
        <w:rPr>
          <w:rFonts w:ascii="Book Antiqua" w:hAnsi="Book Antiqua"/>
          <w:sz w:val="24"/>
          <w:szCs w:val="24"/>
        </w:rPr>
        <w:t>,</w:t>
      </w:r>
      <w:r w:rsidR="00A96FB1" w:rsidRPr="001339DB">
        <w:rPr>
          <w:rFonts w:ascii="Book Antiqua" w:hAnsi="Book Antiqua"/>
          <w:sz w:val="24"/>
          <w:szCs w:val="24"/>
        </w:rPr>
        <w:t xml:space="preserve"> </w:t>
      </w:r>
      <w:r w:rsidR="00962E02" w:rsidRPr="001339DB">
        <w:rPr>
          <w:rFonts w:ascii="Book Antiqua" w:hAnsi="Book Antiqua"/>
          <w:sz w:val="24"/>
          <w:szCs w:val="24"/>
        </w:rPr>
        <w:t>or</w:t>
      </w:r>
      <w:r w:rsidR="00A96FB1" w:rsidRPr="001339DB">
        <w:rPr>
          <w:rFonts w:ascii="Book Antiqua" w:hAnsi="Book Antiqua"/>
          <w:sz w:val="24"/>
          <w:szCs w:val="24"/>
        </w:rPr>
        <w:t xml:space="preserve"> follow-up).</w:t>
      </w:r>
      <w:r w:rsidR="004A3816" w:rsidRPr="001339DB">
        <w:rPr>
          <w:rFonts w:ascii="Book Antiqua" w:hAnsi="Book Antiqua"/>
          <w:sz w:val="24"/>
          <w:szCs w:val="24"/>
        </w:rPr>
        <w:t xml:space="preserve"> </w:t>
      </w:r>
      <w:r w:rsidR="00C26DC5" w:rsidRPr="001339DB">
        <w:rPr>
          <w:rFonts w:ascii="Book Antiqua" w:hAnsi="Book Antiqua"/>
          <w:sz w:val="24"/>
          <w:szCs w:val="24"/>
        </w:rPr>
        <w:t>C</w:t>
      </w:r>
      <w:r w:rsidR="008F57FA" w:rsidRPr="001339DB">
        <w:rPr>
          <w:rFonts w:ascii="Book Antiqua" w:hAnsi="Book Antiqua"/>
          <w:sz w:val="24"/>
          <w:szCs w:val="24"/>
        </w:rPr>
        <w:t xml:space="preserve">linical outcomes considered </w:t>
      </w:r>
      <w:r w:rsidR="0096620E" w:rsidRPr="001339DB">
        <w:rPr>
          <w:rFonts w:ascii="Book Antiqua" w:hAnsi="Book Antiqua"/>
          <w:sz w:val="24"/>
          <w:szCs w:val="24"/>
        </w:rPr>
        <w:t xml:space="preserve">in the analysis </w:t>
      </w:r>
      <w:r w:rsidR="008F57FA" w:rsidRPr="001339DB">
        <w:rPr>
          <w:rFonts w:ascii="Book Antiqua" w:hAnsi="Book Antiqua"/>
          <w:sz w:val="24"/>
          <w:szCs w:val="24"/>
        </w:rPr>
        <w:t>were the rate of correct diagnosis of each test (true positives and true negatives)</w:t>
      </w:r>
      <w:r w:rsidR="00962E02" w:rsidRPr="001339DB">
        <w:rPr>
          <w:rFonts w:ascii="Book Antiqua" w:hAnsi="Book Antiqua"/>
          <w:sz w:val="24"/>
          <w:szCs w:val="24"/>
        </w:rPr>
        <w:t xml:space="preserve">, frequency of </w:t>
      </w:r>
      <w:r w:rsidR="00364039" w:rsidRPr="001339DB">
        <w:rPr>
          <w:rFonts w:ascii="Book Antiqua" w:hAnsi="Book Antiqua"/>
          <w:sz w:val="24"/>
          <w:szCs w:val="24"/>
        </w:rPr>
        <w:t>adverse</w:t>
      </w:r>
      <w:r w:rsidR="00962E02" w:rsidRPr="001339DB">
        <w:rPr>
          <w:rFonts w:ascii="Book Antiqua" w:hAnsi="Book Antiqua"/>
          <w:sz w:val="24"/>
          <w:szCs w:val="24"/>
        </w:rPr>
        <w:t xml:space="preserve"> health event</w:t>
      </w:r>
      <w:r w:rsidR="00364039" w:rsidRPr="001339DB">
        <w:rPr>
          <w:rFonts w:ascii="Book Antiqua" w:hAnsi="Book Antiqua"/>
          <w:sz w:val="24"/>
          <w:szCs w:val="24"/>
        </w:rPr>
        <w:t>s</w:t>
      </w:r>
      <w:r w:rsidR="007B3BCF" w:rsidRPr="001339DB">
        <w:rPr>
          <w:rFonts w:ascii="Book Antiqua" w:hAnsi="Book Antiqua"/>
          <w:sz w:val="24"/>
          <w:szCs w:val="24"/>
        </w:rPr>
        <w:t>,</w:t>
      </w:r>
      <w:r w:rsidR="008F57FA" w:rsidRPr="001339DB">
        <w:rPr>
          <w:rFonts w:ascii="Book Antiqua" w:hAnsi="Book Antiqua"/>
          <w:sz w:val="24"/>
          <w:szCs w:val="24"/>
        </w:rPr>
        <w:t xml:space="preserve"> and quality-adjusted life years (QALYs)</w:t>
      </w:r>
      <w:r w:rsidR="003827E7" w:rsidRPr="00E22E31">
        <w:rPr>
          <w:rFonts w:ascii="Book Antiqua" w:hAnsi="Book Antiqua"/>
          <w:sz w:val="24"/>
          <w:szCs w:val="24"/>
          <w:vertAlign w:val="superscript"/>
        </w:rPr>
        <w:fldChar w:fldCharType="begin" w:fldLock="1"/>
      </w:r>
      <w:r w:rsidR="00D524BB" w:rsidRPr="00E22E31">
        <w:rPr>
          <w:rFonts w:ascii="Book Antiqua" w:hAnsi="Book Antiqua"/>
          <w:sz w:val="24"/>
          <w:szCs w:val="24"/>
          <w:vertAlign w:val="superscript"/>
        </w:rPr>
        <w:instrText>ADDIN CSL_CITATION { "citationItems" : [ { "id" : "ITEM-1", "itemData" : { "DOI" : "10.1111/j.1524-4733.2009.00515.x", "ISBN" : "1524-4733", "ISSN" : "10983015", "PMID" : "19250132", "abstract" : "The article explains the concept of quality adjusted life year (QALY). According to the authors, QALY is a widely used measure of health improvement that is used to guide health care resource allocation decisions. It was originally developed as a measure of health effectiveness for cost-effectiveness analysis, a method intended to make decision makers charged with allocating scarce resources across competing health care program.", "author" : [ { "dropping-particle" : "", "family" : "Weinstein", "given" : "Milton C", "non-dropping-particle" : "", "parse-names" : false, "suffix" : "" }, { "dropping-particle" : "", "family" : "Torrance", "given" : "George W.", "non-dropping-particle" : "", "parse-names" : false, "suffix" : "" }, { "dropping-particle" : "", "family" : "McGuire", "given" : "Alistair", "non-dropping-particle" : "", "parse-names" : false, "suffix" : "" } ], "container-title" : "Value in Health", "id" : "ITEM-1", "issue" : "SUPPL. 1", "issued" : { "date-parts" : [ [ "2009" ] ] }, "title" : "QALYs: The basics", "type" : "paper-conference", "volume" : "12" }, "uris" : [ "http://www.mendeley.com/documents/?uuid=f2488cdf-e852-4b14-a249-2aebda0ced64" ] } ], "mendeley" : { "formattedCitation" : "[7]", "plainTextFormattedCitation" : "[7]", "previouslyFormattedCitation" : "[7]" }, "properties" : { "noteIndex" : 0 }, "schema" : "https://github.com/citation-style-language/schema/raw/master/csl-citation.json" }</w:instrText>
      </w:r>
      <w:r w:rsidR="003827E7" w:rsidRPr="00E22E31">
        <w:rPr>
          <w:rFonts w:ascii="Book Antiqua" w:hAnsi="Book Antiqua"/>
          <w:sz w:val="24"/>
          <w:szCs w:val="24"/>
          <w:vertAlign w:val="superscript"/>
        </w:rPr>
        <w:fldChar w:fldCharType="separate"/>
      </w:r>
      <w:r w:rsidR="00D524BB" w:rsidRPr="00E22E31">
        <w:rPr>
          <w:rFonts w:ascii="Book Antiqua" w:hAnsi="Book Antiqua"/>
          <w:noProof/>
          <w:sz w:val="24"/>
          <w:szCs w:val="24"/>
          <w:vertAlign w:val="superscript"/>
        </w:rPr>
        <w:t>[7]</w:t>
      </w:r>
      <w:r w:rsidR="003827E7" w:rsidRPr="00E22E31">
        <w:rPr>
          <w:rFonts w:ascii="Book Antiqua" w:hAnsi="Book Antiqua"/>
          <w:sz w:val="24"/>
          <w:szCs w:val="24"/>
          <w:vertAlign w:val="superscript"/>
        </w:rPr>
        <w:fldChar w:fldCharType="end"/>
      </w:r>
      <w:r w:rsidR="006B2A60" w:rsidRPr="001339DB">
        <w:rPr>
          <w:rFonts w:ascii="Book Antiqua" w:hAnsi="Book Antiqua"/>
          <w:sz w:val="24"/>
          <w:szCs w:val="24"/>
        </w:rPr>
        <w:t>.</w:t>
      </w:r>
      <w:r w:rsidR="003D1866" w:rsidRPr="001339DB">
        <w:rPr>
          <w:rFonts w:ascii="Book Antiqua" w:hAnsi="Book Antiqua"/>
          <w:sz w:val="24"/>
          <w:szCs w:val="24"/>
        </w:rPr>
        <w:t xml:space="preserve"> </w:t>
      </w:r>
      <w:r w:rsidR="00AF2E35" w:rsidRPr="001339DB">
        <w:rPr>
          <w:rFonts w:ascii="Book Antiqua" w:hAnsi="Book Antiqua"/>
          <w:sz w:val="24"/>
          <w:szCs w:val="24"/>
        </w:rPr>
        <w:t>Direct h</w:t>
      </w:r>
      <w:r w:rsidR="003D1866" w:rsidRPr="001339DB">
        <w:rPr>
          <w:rFonts w:ascii="Book Antiqua" w:hAnsi="Book Antiqua"/>
          <w:sz w:val="24"/>
          <w:szCs w:val="24"/>
        </w:rPr>
        <w:t xml:space="preserve">ealthcare costs of each testing strategy were estimated from the perspective of </w:t>
      </w:r>
      <w:r w:rsidR="00B971B2" w:rsidRPr="001339DB">
        <w:rPr>
          <w:rFonts w:ascii="Book Antiqua" w:hAnsi="Book Antiqua"/>
          <w:sz w:val="24"/>
          <w:szCs w:val="24"/>
        </w:rPr>
        <w:t>a health care provider (</w:t>
      </w:r>
      <w:r w:rsidR="003D1866" w:rsidRPr="001339DB">
        <w:rPr>
          <w:rFonts w:ascii="Book Antiqua" w:hAnsi="Book Antiqua"/>
          <w:sz w:val="24"/>
          <w:szCs w:val="24"/>
        </w:rPr>
        <w:t>Hospital Clínic</w:t>
      </w:r>
      <w:r w:rsidR="00B971B2" w:rsidRPr="001339DB">
        <w:rPr>
          <w:rFonts w:ascii="Book Antiqua" w:hAnsi="Book Antiqua"/>
          <w:sz w:val="24"/>
          <w:szCs w:val="24"/>
        </w:rPr>
        <w:t xml:space="preserve"> Barcelona)</w:t>
      </w:r>
      <w:r w:rsidR="003D1866" w:rsidRPr="001339DB">
        <w:rPr>
          <w:rFonts w:ascii="Book Antiqua" w:hAnsi="Book Antiqua"/>
          <w:sz w:val="24"/>
          <w:szCs w:val="24"/>
        </w:rPr>
        <w:t xml:space="preserve">. </w:t>
      </w:r>
      <w:r w:rsidR="005A4D29" w:rsidRPr="001339DB">
        <w:rPr>
          <w:rFonts w:ascii="Book Antiqua" w:hAnsi="Book Antiqua"/>
          <w:sz w:val="24"/>
          <w:szCs w:val="24"/>
        </w:rPr>
        <w:t xml:space="preserve">Differences in </w:t>
      </w:r>
      <w:r w:rsidR="00962E02" w:rsidRPr="001339DB">
        <w:rPr>
          <w:rFonts w:ascii="Book Antiqua" w:hAnsi="Book Antiqua"/>
          <w:sz w:val="24"/>
          <w:szCs w:val="24"/>
        </w:rPr>
        <w:t>QALYs</w:t>
      </w:r>
      <w:r w:rsidR="005A4D29" w:rsidRPr="001339DB">
        <w:rPr>
          <w:rFonts w:ascii="Book Antiqua" w:hAnsi="Book Antiqua"/>
          <w:sz w:val="24"/>
          <w:szCs w:val="24"/>
        </w:rPr>
        <w:t xml:space="preserve"> and costs b</w:t>
      </w:r>
      <w:r w:rsidR="005E472B" w:rsidRPr="001339DB">
        <w:rPr>
          <w:rFonts w:ascii="Book Antiqua" w:hAnsi="Book Antiqua"/>
          <w:sz w:val="24"/>
          <w:szCs w:val="24"/>
        </w:rPr>
        <w:t xml:space="preserve">etween testing strategies were </w:t>
      </w:r>
      <w:r w:rsidR="005A4D29" w:rsidRPr="001339DB">
        <w:rPr>
          <w:rFonts w:ascii="Book Antiqua" w:hAnsi="Book Antiqua"/>
          <w:sz w:val="24"/>
          <w:szCs w:val="24"/>
        </w:rPr>
        <w:t>u</w:t>
      </w:r>
      <w:r w:rsidR="005E472B" w:rsidRPr="001339DB">
        <w:rPr>
          <w:rFonts w:ascii="Book Antiqua" w:hAnsi="Book Antiqua"/>
          <w:sz w:val="24"/>
          <w:szCs w:val="24"/>
        </w:rPr>
        <w:t>s</w:t>
      </w:r>
      <w:r w:rsidR="005A4D29" w:rsidRPr="001339DB">
        <w:rPr>
          <w:rFonts w:ascii="Book Antiqua" w:hAnsi="Book Antiqua"/>
          <w:sz w:val="24"/>
          <w:szCs w:val="24"/>
        </w:rPr>
        <w:t>ed to compute incremental cost-effectiveness ratios</w:t>
      </w:r>
      <w:r w:rsidR="007203F6" w:rsidRPr="001339DB">
        <w:rPr>
          <w:rFonts w:ascii="Book Antiqua" w:hAnsi="Book Antiqua"/>
          <w:sz w:val="24"/>
          <w:szCs w:val="24"/>
        </w:rPr>
        <w:t xml:space="preserve"> (ICER</w:t>
      </w:r>
      <w:r w:rsidR="00AF2E35" w:rsidRPr="001339DB">
        <w:rPr>
          <w:rFonts w:ascii="Book Antiqua" w:hAnsi="Book Antiqua"/>
          <w:sz w:val="24"/>
          <w:szCs w:val="24"/>
        </w:rPr>
        <w:t>s</w:t>
      </w:r>
      <w:r w:rsidR="007203F6" w:rsidRPr="001339DB">
        <w:rPr>
          <w:rFonts w:ascii="Book Antiqua" w:hAnsi="Book Antiqua"/>
          <w:sz w:val="24"/>
          <w:szCs w:val="24"/>
        </w:rPr>
        <w:t>)</w:t>
      </w:r>
      <w:r w:rsidR="003827E7" w:rsidRPr="00E22E31">
        <w:rPr>
          <w:rFonts w:ascii="Book Antiqua" w:hAnsi="Book Antiqua"/>
          <w:sz w:val="24"/>
          <w:szCs w:val="24"/>
          <w:vertAlign w:val="superscript"/>
        </w:rPr>
        <w:fldChar w:fldCharType="begin" w:fldLock="1"/>
      </w:r>
      <w:r w:rsidR="00D524BB" w:rsidRPr="00E22E31">
        <w:rPr>
          <w:rFonts w:ascii="Book Antiqua" w:hAnsi="Book Antiqua"/>
          <w:sz w:val="24"/>
          <w:szCs w:val="24"/>
          <w:vertAlign w:val="superscript"/>
        </w:rPr>
        <w:instrText>ADDIN CSL_CITATION { "citationItems" : [ { "id" : "ITEM-1", "itemData" : { "ISBN" : "9780198529446", "abstract" : "This highly successful textbook is now available in its third edition. Over the years it has become the standard textbook in the field world-wide. It mirrors the huge expansion of the field of economic evaluation in health care, since the last edition was published in 1997. This new edition builds on the strengths of previous editions, being clearly written in a style accessible to a wide readership. Key methodological principles are outlined using a critical appraisal checklist that can be applied to any published study. The methodological features of the basic forms of analysis are then explained in more detail with special emphasis of the latest views on productivity costs, the characterisation of uncertainty and the concept of net benefit. The book has been greatly revised and expanded especially concerning analysing patient-level data and decision-analytic modelling. There is discussion of new methodological approaches, including cost effectiveness acceptability curves, net benefit regression, probalistic sensitivity analysis and value of information analysis. There is an expanded chapter on the use of economic evaluation, including discussion of the use of cost-effectiveness thresholds, equity considerations and the transferability of economic data. This new edition is required reading for anyone commissioning, undertaking or using economic evaluations in health care, and will be popular with health service professionals, health economists, pharmacand health care decision makers. It is especially relevant for those taking pharmacoeconomics courses.", "author" : [ { "dropping-particle" : "", "family" : "Drummond", "given" : "Michael F.", "non-dropping-particle" : "", "parse-names" : false, "suffix" : "" }, { "dropping-particle" : "", "family" : "Sculpher", "given" : "Mark J.", "non-dropping-particle" : "", "parse-names" : false, "suffix" : "" }, { "dropping-particle" : "", "family" : "Torrance", "given" : "George W.", "non-dropping-particle" : "", "parse-names" : false, "suffix" : "" }, { "dropping-particle" : "", "family" : "O'Brien", "given" : "Bernie J.", "non-dropping-particle" : "", "parse-names" : false, "suffix" : "" }, { "dropping-particle" : "", "family" : "Stoddart", "given" : "Greg L.", "non-dropping-particle" : "", "parse-names" : false, "suffix" : "" } ], "edition" : "3", "id" : "ITEM-1", "issued" : { "date-parts" : [ [ "2005" ] ] }, "number-of-pages" : "379", "publisher" : "Oxford University Press", "publisher-place" : "Oxford", "title" : "Methods for the economic evaluation of health care programmes", "type" : "book", "volume" : "3" }, "uris" : [ "http://www.mendeley.com/documents/?uuid=b07a6966-3c4b-4040-8879-5a614a01236a" ] } ], "mendeley" : { "formattedCitation" : "[8]", "plainTextFormattedCitation" : "[8]", "previouslyFormattedCitation" : "[8]" }, "properties" : { "noteIndex" : 0 }, "schema" : "https://github.com/citation-style-language/schema/raw/master/csl-citation.json" }</w:instrText>
      </w:r>
      <w:r w:rsidR="003827E7" w:rsidRPr="00E22E31">
        <w:rPr>
          <w:rFonts w:ascii="Book Antiqua" w:hAnsi="Book Antiqua"/>
          <w:sz w:val="24"/>
          <w:szCs w:val="24"/>
          <w:vertAlign w:val="superscript"/>
        </w:rPr>
        <w:fldChar w:fldCharType="separate"/>
      </w:r>
      <w:r w:rsidR="00D524BB" w:rsidRPr="00E22E31">
        <w:rPr>
          <w:rFonts w:ascii="Book Antiqua" w:hAnsi="Book Antiqua"/>
          <w:noProof/>
          <w:sz w:val="24"/>
          <w:szCs w:val="24"/>
          <w:vertAlign w:val="superscript"/>
        </w:rPr>
        <w:t>[8]</w:t>
      </w:r>
      <w:r w:rsidR="003827E7" w:rsidRPr="00E22E31">
        <w:rPr>
          <w:rFonts w:ascii="Book Antiqua" w:hAnsi="Book Antiqua"/>
          <w:sz w:val="24"/>
          <w:szCs w:val="24"/>
          <w:vertAlign w:val="superscript"/>
        </w:rPr>
        <w:fldChar w:fldCharType="end"/>
      </w:r>
      <w:r w:rsidR="006B2A60" w:rsidRPr="001339DB">
        <w:rPr>
          <w:rFonts w:ascii="Book Antiqua" w:hAnsi="Book Antiqua"/>
          <w:sz w:val="24"/>
          <w:szCs w:val="24"/>
        </w:rPr>
        <w:t>.</w:t>
      </w:r>
      <w:r w:rsidR="00373B22" w:rsidRPr="001339DB">
        <w:rPr>
          <w:rFonts w:ascii="Book Antiqua" w:hAnsi="Book Antiqua"/>
          <w:sz w:val="24"/>
          <w:szCs w:val="24"/>
        </w:rPr>
        <w:t xml:space="preserve"> </w:t>
      </w:r>
      <w:r w:rsidR="00375984" w:rsidRPr="001339DB">
        <w:rPr>
          <w:rFonts w:ascii="Book Antiqua" w:hAnsi="Book Antiqua"/>
          <w:sz w:val="24"/>
          <w:szCs w:val="24"/>
        </w:rPr>
        <w:t>QALYs</w:t>
      </w:r>
      <w:r w:rsidR="006E492B" w:rsidRPr="001339DB">
        <w:rPr>
          <w:rFonts w:ascii="Book Antiqua" w:hAnsi="Book Antiqua"/>
          <w:sz w:val="24"/>
          <w:szCs w:val="24"/>
        </w:rPr>
        <w:t xml:space="preserve"> and costs were </w:t>
      </w:r>
      <w:r w:rsidR="003D1866" w:rsidRPr="001339DB">
        <w:rPr>
          <w:rFonts w:ascii="Book Antiqua" w:hAnsi="Book Antiqua"/>
          <w:sz w:val="24"/>
          <w:szCs w:val="24"/>
        </w:rPr>
        <w:t>evaluated</w:t>
      </w:r>
      <w:r w:rsidR="006E492B" w:rsidRPr="001339DB">
        <w:rPr>
          <w:rFonts w:ascii="Book Antiqua" w:hAnsi="Book Antiqua"/>
          <w:sz w:val="24"/>
          <w:szCs w:val="24"/>
        </w:rPr>
        <w:t xml:space="preserve"> from the beginning of the </w:t>
      </w:r>
      <w:r w:rsidR="00F40F26" w:rsidRPr="001339DB">
        <w:rPr>
          <w:rFonts w:ascii="Book Antiqua" w:hAnsi="Book Antiqua"/>
          <w:sz w:val="24"/>
          <w:szCs w:val="24"/>
        </w:rPr>
        <w:t xml:space="preserve">liver </w:t>
      </w:r>
      <w:r w:rsidR="006E492B" w:rsidRPr="001339DB">
        <w:rPr>
          <w:rFonts w:ascii="Book Antiqua" w:hAnsi="Book Antiqua"/>
          <w:sz w:val="24"/>
          <w:szCs w:val="24"/>
        </w:rPr>
        <w:t>assessment with a lifetime horizon and were discounted at an annual rate of 3%</w:t>
      </w:r>
      <w:r w:rsidR="006E6D7B" w:rsidRPr="001339DB">
        <w:rPr>
          <w:rFonts w:ascii="Book Antiqua" w:hAnsi="Book Antiqua"/>
          <w:sz w:val="24"/>
          <w:szCs w:val="24"/>
        </w:rPr>
        <w:t xml:space="preserve"> in accordance with common practice in the literature</w:t>
      </w:r>
      <w:r w:rsidR="00373B22" w:rsidRPr="001339DB">
        <w:rPr>
          <w:rFonts w:ascii="Book Antiqua" w:hAnsi="Book Antiqua"/>
          <w:sz w:val="24"/>
          <w:szCs w:val="24"/>
        </w:rPr>
        <w:t xml:space="preserve"> and Catalan Health Service (</w:t>
      </w:r>
      <w:proofErr w:type="spellStart"/>
      <w:r w:rsidR="00373B22" w:rsidRPr="001339DB">
        <w:rPr>
          <w:rFonts w:ascii="Book Antiqua" w:hAnsi="Book Antiqua"/>
          <w:sz w:val="24"/>
          <w:szCs w:val="24"/>
        </w:rPr>
        <w:t>CatSalut</w:t>
      </w:r>
      <w:proofErr w:type="spellEnd"/>
      <w:r w:rsidR="00373B22" w:rsidRPr="001339DB">
        <w:rPr>
          <w:rFonts w:ascii="Book Antiqua" w:hAnsi="Book Antiqua"/>
          <w:sz w:val="24"/>
          <w:szCs w:val="24"/>
        </w:rPr>
        <w:t>) guidelines</w:t>
      </w:r>
      <w:r w:rsidR="003827E7" w:rsidRPr="00E22E31">
        <w:rPr>
          <w:rFonts w:ascii="Book Antiqua" w:hAnsi="Book Antiqua"/>
          <w:sz w:val="24"/>
          <w:szCs w:val="24"/>
          <w:vertAlign w:val="superscript"/>
        </w:rPr>
        <w:fldChar w:fldCharType="begin" w:fldLock="1"/>
      </w:r>
      <w:r w:rsidR="00D524BB" w:rsidRPr="00E22E31">
        <w:rPr>
          <w:rFonts w:ascii="Book Antiqua" w:hAnsi="Book Antiqua"/>
          <w:sz w:val="24"/>
          <w:szCs w:val="24"/>
          <w:vertAlign w:val="superscript"/>
        </w:rPr>
        <w:instrText>ADDIN CSL_CITATION { "citationItems" : [ { "id" : "ITEM-1", "itemData" : { "DOI" : "10.1002/(SICI)1099-176X(199906)2:2&lt;91::AID-MHP46&gt;3.0.CO;2-I", "ISBN" : "0195108248", "ISSN" : "10914358", "PMID" : "7313", "abstract" : "A unique, in-depth discussion of the uses and conduct of cost-effectiveness analyses (CEAs) as decision-making aids in the health and medical fields, this volume is the product of over two years of comprehensive research and deliberation by a multi-disciplinary panel of economists, ethicists, psychometricians, and clinicians. Exploring cost-effectiveness in the context of societal decision-making for resource allocation purposes, this volume proposes that analysts include a \"reference-case\" analysis in all CEAs designed to inform resource allocation and puts forth the most explicit set of guidelines (together with their rationale) ever defined on the conduct of CEAs. Important theoretical and practical issues encountered in measuring costs and effectiveness, evaluating outcomes, discounting, and dealing with uncertainty are examined in separate chapters. Additional chapters on framing and reporting of CEAs elucidate the purpose of the analysis and the effective communication of its findings. Cost-Effectiveness in Health and Medicine differs from the available literature in several key aspects. Most importantly, it represents a consensus on standard methods-a feature integral to a CEA, whose principal goal is to permit comparisons of the costs and health outcomes of alternative ways of improving health. The detailed level at which the discussion is offered is another major distinction of this book, since guidelines in journal literature and in CEA-related books tend to be rather general-to the extent that the analyst is left with little guidance on specific matters. The focused overview of the theoretical background underlying areas of controversy and of methodological alternatives, and, finally, the accessible writing style make this volume a top choice on the reading lists of analysts in medicine and public health who wish to improve practice and comparability of CEAs. The book will also appeal to decision-makers in government, managed care, and industry who wish to consider the uses and limitations of CEAs.", "author" : [ { "dropping-particle" : "", "family" : "Gold", "given" : "M R", "non-dropping-particle" : "", "parse-names" : false, "suffix" : "" }, { "dropping-particle" : "", "family" : "Siegel", "given" : "J E", "non-dropping-particle" : "", "parse-names" : false, "suffix" : "" }, { "dropping-particle" : "", "family" : "Russell", "given" : "L B", "non-dropping-particle" : "", "parse-names" : false, "suffix" : "" }, { "dropping-particle" : "", "family" : "Weinstein", "given" : "Milton C", "non-dropping-particle" : "", "parse-names" : false, "suffix" : "" } ], "container-title" : "The Journal of Mental Health Policy and Economics", "id" : "ITEM-1", "issued" : { "date-parts" : [ [ "1996" ] ] }, "page" : "425", "title" : "Cost-effectiveness in health and medicine", "type" : "article-journal", "volume" : "2" }, "uris" : [ "http://www.mendeley.com/documents/?uuid=af0056ec-6248-4f42-821d-40b18de64dad" ] }, { "id" : "ITEM-2", "itemData" : { "author" : [ { "dropping-particle" : "", "family" : "National Institute for Health and Care Excellence", "given" : "", "non-dropping-particle" : "", "parse-names" : false, "suffix" : "" } ], "editor" : [ { "dropping-particle" : "", "family" : "NICE", "given" : "", "non-dropping-particle" : "", "parse-names" : false, "suffix" : "" } ], "id" : "ITEM-2", "issued" : { "date-parts" : [ [ "2013" ] ] }, "publisher" : "NICE", "publisher-place" : "London", "title" : "Guide to the Methods of Technology Appraisal", "type" : "book" }, "uris" : [ "http://www.mendeley.com/documents/?uuid=823b04e2-2c5c-4be6-8431-fd90d5834436" ] }, { "id" : "ITEM-3", "itemData" : { "author" : [ { "dropping-particle" : "", "family" : "Puig", "given" : "Jaume", "non-dropping-particle" : "", "parse-names" : false, "suffix" : "" }, { "dropping-particle" : "", "family" : "Oliva", "given" : "Juan", "non-dropping-particle" : "", "parse-names" : false, "suffix" : "" }, { "dropping-particle" : "", "family" : "Trapero", "given" : "Marta", "non-dropping-particle" : "", "parse-names" : false, "suffix" : "" }, { "dropping-particle" : "", "family" : "Perpi\u00f1\u00e1n", "given" : "Jos\u00e9 Mar\u00eda", "non-dropping-particle" : "", "parse-names" : false, "suffix" : "" }, { "dropping-particle" : "", "family" : "Brosa", "given" : "Max", "non-dropping-particle" : "", "parse-names" : false, "suffix" : "" } ], "id" : "ITEM-3", "issued" : { "date-parts" : [ [ "2014" ] ] }, "number-of-pages" : "0-103", "title" : "Gu\u00eda y recomendaciones para la realizaci\u00f3n y presentaci\u00f3n de evaluaciones econ\u00f3micas y an\u00e1lisis de impacto presupuestario de medicamentos en el \u00e1mbito de CatSalut", "type" : "report" }, "uris" : [ "http://www.mendeley.com/documents/?uuid=7a4856a5-14a3-4c6c-bd13-ed394189181e" ] } ], "mendeley" : { "formattedCitation" : "[9\u201311]", "plainTextFormattedCitation" : "[9\u201311]", "previouslyFormattedCitation" : "[9\u201311]" }, "properties" : { "noteIndex" : 0 }, "schema" : "https://github.com/citation-style-language/schema/raw/master/csl-citation.json" }</w:instrText>
      </w:r>
      <w:r w:rsidR="003827E7" w:rsidRPr="00E22E31">
        <w:rPr>
          <w:rFonts w:ascii="Book Antiqua" w:hAnsi="Book Antiqua"/>
          <w:sz w:val="24"/>
          <w:szCs w:val="24"/>
          <w:vertAlign w:val="superscript"/>
        </w:rPr>
        <w:fldChar w:fldCharType="separate"/>
      </w:r>
      <w:r w:rsidR="00D524BB" w:rsidRPr="00E22E31">
        <w:rPr>
          <w:rFonts w:ascii="Book Antiqua" w:hAnsi="Book Antiqua"/>
          <w:noProof/>
          <w:sz w:val="24"/>
          <w:szCs w:val="24"/>
          <w:vertAlign w:val="superscript"/>
        </w:rPr>
        <w:t>[9–11]</w:t>
      </w:r>
      <w:r w:rsidR="003827E7" w:rsidRPr="00E22E31">
        <w:rPr>
          <w:rFonts w:ascii="Book Antiqua" w:hAnsi="Book Antiqua"/>
          <w:sz w:val="24"/>
          <w:szCs w:val="24"/>
          <w:vertAlign w:val="superscript"/>
        </w:rPr>
        <w:fldChar w:fldCharType="end"/>
      </w:r>
      <w:r w:rsidR="006B2A60" w:rsidRPr="001339DB">
        <w:rPr>
          <w:rFonts w:ascii="Book Antiqua" w:hAnsi="Book Antiqua"/>
          <w:sz w:val="24"/>
          <w:szCs w:val="24"/>
        </w:rPr>
        <w:t>.</w:t>
      </w:r>
      <w:r w:rsidR="006E492B" w:rsidRPr="001339DB">
        <w:rPr>
          <w:rFonts w:ascii="Book Antiqua" w:hAnsi="Book Antiqua"/>
          <w:sz w:val="24"/>
          <w:szCs w:val="24"/>
        </w:rPr>
        <w:t xml:space="preserve"> </w:t>
      </w:r>
      <w:r w:rsidR="00475CD2" w:rsidRPr="001339DB">
        <w:rPr>
          <w:rFonts w:ascii="Book Antiqua" w:hAnsi="Book Antiqua"/>
          <w:sz w:val="24"/>
          <w:szCs w:val="24"/>
        </w:rPr>
        <w:t>The analysis was performed using STATA 13.1 (StataCorp, College Station, Texas</w:t>
      </w:r>
      <w:r w:rsidR="00AF2E35" w:rsidRPr="001339DB">
        <w:rPr>
          <w:rFonts w:ascii="Book Antiqua" w:hAnsi="Book Antiqua"/>
          <w:sz w:val="24"/>
          <w:szCs w:val="24"/>
        </w:rPr>
        <w:t>,</w:t>
      </w:r>
      <w:r w:rsidR="00475CD2" w:rsidRPr="001339DB">
        <w:rPr>
          <w:rFonts w:ascii="Book Antiqua" w:hAnsi="Book Antiqua"/>
          <w:sz w:val="24"/>
          <w:szCs w:val="24"/>
        </w:rPr>
        <w:t xml:space="preserve"> USA).</w:t>
      </w:r>
    </w:p>
    <w:p w:rsidR="00E22E31" w:rsidRPr="001339DB" w:rsidRDefault="00E22E31" w:rsidP="00E22E31">
      <w:pPr>
        <w:adjustRightInd w:val="0"/>
        <w:snapToGrid w:val="0"/>
        <w:spacing w:after="0" w:line="360" w:lineRule="auto"/>
        <w:ind w:firstLineChars="100" w:firstLine="240"/>
        <w:jc w:val="both"/>
        <w:rPr>
          <w:rFonts w:ascii="Book Antiqua" w:hAnsi="Book Antiqua"/>
          <w:sz w:val="24"/>
          <w:szCs w:val="24"/>
          <w:lang w:eastAsia="zh-CN"/>
        </w:rPr>
      </w:pPr>
    </w:p>
    <w:p w:rsidR="000B71FD" w:rsidRPr="00E22E31" w:rsidRDefault="001515A5" w:rsidP="001339DB">
      <w:pPr>
        <w:pStyle w:val="Heading2"/>
        <w:adjustRightInd w:val="0"/>
        <w:snapToGrid w:val="0"/>
        <w:spacing w:before="0" w:after="0" w:line="360" w:lineRule="auto"/>
        <w:jc w:val="both"/>
        <w:rPr>
          <w:rFonts w:ascii="Book Antiqua" w:hAnsi="Book Antiqua"/>
          <w:i/>
          <w:sz w:val="24"/>
          <w:szCs w:val="24"/>
        </w:rPr>
      </w:pPr>
      <w:r w:rsidRPr="00E22E31">
        <w:rPr>
          <w:rFonts w:ascii="Book Antiqua" w:hAnsi="Book Antiqua"/>
          <w:i/>
          <w:sz w:val="24"/>
          <w:szCs w:val="24"/>
        </w:rPr>
        <w:t>Markov model</w:t>
      </w:r>
      <w:r w:rsidR="00DE65FF" w:rsidRPr="00E22E31">
        <w:rPr>
          <w:rFonts w:ascii="Book Antiqua" w:hAnsi="Book Antiqua"/>
          <w:i/>
          <w:sz w:val="24"/>
          <w:szCs w:val="24"/>
        </w:rPr>
        <w:t xml:space="preserve"> for HCV</w:t>
      </w:r>
    </w:p>
    <w:p w:rsidR="00382070" w:rsidRPr="001339DB" w:rsidRDefault="00CA3B56" w:rsidP="001339DB">
      <w:pPr>
        <w:adjustRightInd w:val="0"/>
        <w:snapToGrid w:val="0"/>
        <w:spacing w:after="0" w:line="360" w:lineRule="auto"/>
        <w:jc w:val="both"/>
        <w:rPr>
          <w:rFonts w:ascii="Book Antiqua" w:hAnsi="Book Antiqua"/>
          <w:sz w:val="24"/>
          <w:szCs w:val="24"/>
        </w:rPr>
      </w:pPr>
      <w:r w:rsidRPr="001339DB">
        <w:rPr>
          <w:rFonts w:ascii="Book Antiqua" w:hAnsi="Book Antiqua"/>
          <w:sz w:val="24"/>
          <w:szCs w:val="24"/>
        </w:rPr>
        <w:t xml:space="preserve">The structure of the Markov model used in the analysis is similar to earlier work done for </w:t>
      </w:r>
      <w:r w:rsidR="00042CF4" w:rsidRPr="001339DB">
        <w:rPr>
          <w:rFonts w:ascii="Book Antiqua" w:hAnsi="Book Antiqua"/>
          <w:sz w:val="24"/>
          <w:szCs w:val="24"/>
        </w:rPr>
        <w:t>surveillance and treatment of HCV</w:t>
      </w:r>
      <w:r w:rsidR="003028DB" w:rsidRPr="001339DB">
        <w:rPr>
          <w:rFonts w:ascii="Book Antiqua" w:hAnsi="Book Antiqua"/>
          <w:sz w:val="24"/>
          <w:szCs w:val="24"/>
        </w:rPr>
        <w:t xml:space="preserve"> (Figure 1</w:t>
      </w:r>
      <w:r w:rsidR="003660F9" w:rsidRPr="001339DB">
        <w:rPr>
          <w:rFonts w:ascii="Book Antiqua" w:hAnsi="Book Antiqua"/>
          <w:sz w:val="24"/>
          <w:szCs w:val="24"/>
        </w:rPr>
        <w:t>A</w:t>
      </w:r>
      <w:r w:rsidR="003028DB" w:rsidRPr="001339DB">
        <w:rPr>
          <w:rFonts w:ascii="Book Antiqua" w:hAnsi="Book Antiqua"/>
          <w:sz w:val="24"/>
          <w:szCs w:val="24"/>
        </w:rPr>
        <w:t>)</w:t>
      </w:r>
      <w:r w:rsidR="003827E7" w:rsidRPr="00E22E31">
        <w:rPr>
          <w:rFonts w:ascii="Book Antiqua" w:hAnsi="Book Antiqua"/>
          <w:sz w:val="24"/>
          <w:szCs w:val="24"/>
          <w:vertAlign w:val="superscript"/>
        </w:rPr>
        <w:fldChar w:fldCharType="begin" w:fldLock="1"/>
      </w:r>
      <w:r w:rsidR="00A11871" w:rsidRPr="00E22E31">
        <w:rPr>
          <w:rFonts w:ascii="Book Antiqua" w:hAnsi="Book Antiqua"/>
          <w:sz w:val="24"/>
          <w:szCs w:val="24"/>
          <w:vertAlign w:val="superscript"/>
        </w:rPr>
        <w:instrText>ADDIN CSL_CITATION { "citationItems" : [ { "id" : "ITEM-1", "itemData" : { "DOI" : "10.1016/j.jval.2011.06.006", "ISBN" : "1524-4733", "ISSN" : "10983015", "PMID" : "22152176", "abstract" : "Published economic evaluations have reported available treatments for chronic hepatitis C to be cost-effective as part of the current approach to disease management, but as standards of care evolve, their approach to modeling should be reconsidered. This study aimed to review structural frameworks and key model parameters as reported in current economic evaluations for treatments for chronic hepatitis C, and model the impact of variability across parameters on results. A systematic review of studies published from 2000 to 2011 was performed. Studies were retrieved from five electronic databases using relevant search strategies. Model structures, disease progression rates, utilities, and costs were extracted from included studies, and were qualitatively reviewed and incorporated into a cost-utility model. Thirty-four studies were appropriate for data extraction. A common pathway of six disease states was identified. In some studies the early disease stages and/or the decompensated cirrhosis state were further subdivided. Large variability in values used for disease progression rates, utilities, and costs were identified. When incorporated into a model, incremental cost-effectiveness ratios (ICERs) varied: in the least favorable scenario, peginterferon plus ribavirin was dominated by interferon plus ribavirin; and in the most favorable scenario, peginterferon plus ribavirin dominated interferon plus ribavirin ($8,544 per quality-adjusted life year [QALY]; costs are given in 2008 US dollar amounts). Using mean values the ICER was $15,198 per QALY. Current models use a simplistic structure resulting from the lack of available data reflecting patient heterogeneity. Key model parameters are currently based on a small number of studies and the variability across these values can affect the interpretation of results. \u00a9 2011 International Society for Pharmacoeconomics and Outcomes Research (ISPOR).", "author" : [ { "dropping-particle" : "", "family" : "Townsend", "given" : "Rebecca", "non-dropping-particle" : "", "parse-names" : false, "suffix" : "" }, { "dropping-particle" : "", "family" : "McEwan", "given" : "Phil", "non-dropping-particle" : "", "parse-names" : false, "suffix" : "" }, { "dropping-particle" : "", "family" : "Kim", "given" : "Ray", "non-dropping-particle" : "", "parse-names" : false, "suffix" : "" }, { "dropping-particle" : "", "family" : "Yuan", "given" : "Yong", "non-dropping-particle" : "", "parse-names" : false, "suffix" : "" } ], "container-title" : "Value in Health", "id" : "ITEM-1", "issue" : "8", "issued" : { "date-parts" : [ [ "2011" ] ] }, "page" : "1068-1077", "publisher" : "Elsevier Inc.", "title" : "Structural frameworks and key model parameters in cost-effectiveness analyses for current and future treatments of chronic hepatitis C", "type" : "article-journal", "volume" : "14" }, "uris" : [ "http://www.mendeley.com/documents/?uuid=7d2fb2cf-1594-421c-a545-cb155c61f2e7" ] }, { "id" : "ITEM-2", "itemData" : { "DOI" : "10.1007/s10620-013-2705-y", "ISBN" : "1573-2568", "ISSN" : "01632116", "PMID" : "23720196", "abstract" : "Background: Chronic hepatitis C (HCV) is a significant risk factor for cirrhosis and subsequently hepatocellular carcinoma (HCC). HCV patients with cirrhosis are screened for HCC every 6 months. Surveillance for progression to cirrhosis and consequently access to HCC screening is not standardized. Liver biopsy, the usual test to determine cirrhosis, carries a significant risk of morbidity and associated mortality. Transient ultrasound elastography (fibroscan) is a non-invasive test for cirrhosis. Purpose: This study assesses the cost effectiveness of annual surveillance for cirrhosis in patients with chronic HCV and the effect of replacing biopsy with fibroscan to diagnose cirrhosis. Method: A Markov decision analytic model simulated a hypothetical cohort of 10,000 patients with chronic HCV initially without fibrosis over their lifetime. The cirrhosis surveillance strategies assessed were: no surveillance; current practice; fibroscan in current practice with biopsy to confirm cirrhosis; fibroscan completely replacing biopsy in current practice (definitive); annual biopsy; annual fibroscan with biopsy to confirm cirrhosis; annual definitive fibroscan. Results: Our results demonstrate that annual definitive fibroscan is the optimal strategy to diagnose cirrhosis. In our study, it diagnosed 20 % more cirrhosis cases than the current strategy, with 549 extra patients per 10,000 accessing screening over a lifetime and, consequently, 76 additional HCC cases diagnosed. The lifetime cost is (pounds)98.78 extra per patient compared to the current strategy for 1.72 additional unadjusted life years. Annual fibroscan surveillance of 132 patients results in the diagnosis one additional HCC case over a lifetime. The incremental cost-effectiveness ratio for an annual definitive fibroscan is (pounds)6,557.06/quality-adjusted life years gained. Conclusion: Annual definitive fibroscan may be a cost-effective surveillance strategy to identify cirrhosis in patients with chronic HCV, thereby allowing access of these patients to HCC screening. (copyright) 2013 Springer Science+Business Media New York.", "author" : [ { "dropping-particle" : "", "family" : "Canavan", "given" : "C.", "non-dropping-particle" : "", "parse-names" : false, "suffix" : "" }, { "dropping-particle" : "", "family" : "Eisenburg", "given" : "J.", "non-dropping-particle" : "", "parse-names" : false, "suffix" : "" }, { "dropping-particle" : "", "family" : "Meng", "given" : "L.", "non-dropping-particle" : "", "parse-names" : false, "suffix" : "" }, { "dropping-particle" : "", "family" : "Corey", "given" : "K.", "non-dropping-particle" : "", "parse-names" : false, "suffix" : "" }, { "dropping-particle" : "", "family" : "Hur", "given" : "C.", "non-dropping-particle" : "", "parse-names" : false, "suffix" : "" } ], "container-title" : "Digestive Diseases and Sciences", "id" : "ITEM-2", "issue" : "9", "issued" : { "date-parts" : [ [ "2013" ] ] }, "page" : "2691-2704", "title" : "Ultrasound elastography for fibrosis surveillance is cost effective in patients with chronic hepatitis c virus in the UK", "type" : "article-journal", "volume" : "58" }, "uris" : [ "http://www.mendeley.com/documents/?uuid=73ab4a0f-50c5-449a-878c-0726dfa0a4ef" ] }, { "id" : "ITEM-3", "itemData" : { "DOI" : "10.1136/gutjnl-2014-307772", "ISSN" : "0017-5749", "author" : [ { "dropping-particle" : "", "family" : "San Miguel", "given" : "Ram\u00f3n", "non-dropping-particle" : "", "parse-names" : false, "suffix" : "" }, { "dropping-particle" : "", "family" : "Gimeno-Ballester", "given" : "Vicente", "non-dropping-particle" : "", "parse-names" : false, "suffix" : "" }, { "dropping-particle" : "", "family" : "Bl\u00e1zquez", "given" : "Antonio", "non-dropping-particle" : "", "parse-names" : false, "suffix" : "" }, { "dropping-particle" : "", "family" : "Mar", "given" : "Javier", "non-dropping-particle" : "", "parse-names" : false, "suffix" : "" } ], "container-title" : "Gut", "id" : "ITEM-3", "issue" : "8", "issued" : { "date-parts" : [ [ "2015" ] ] }, "page" : "1277-1288", "title" : "Cost-effectiveness analysis of sofosbuvir-based regimens for chronic hepatitis C", "type" : "article-journal", "volume" : "64" }, "uris" : [ "http://www.mendeley.com/documents/?uuid=9065e32c-2a67-476d-b6c3-74e1254bf8d4" ] }, { "id" : "ITEM-4", "itemData" : { "DOI" : "10.3310/hta19090", "ISSN" : "1366-5278", "author" : [ { "dropping-particle" : "", "family" : "Crossan", "given" : "Catriona", "non-dropping-particle" : "", "parse-names" : false, "suffix" : "" }, { "dropping-particle" : "", "family" : "Tsochatzis", "given" : "Emmanuel a", "non-dropping-particle" : "", "parse-names" : false, "suffix" : "" }, { "dropping-particle" : "", "family" : "Longworth", "given" : "Louise", "non-dropping-particle" : "", "parse-names" : false, "suffix" : "" }, { "dropping-particle" : "", "family" : "Gurusamy", "given" : "Kurinchi", "non-dropping-particle" : "", "parse-names" : false, "suffix" : "" }, { "dropping-particle" : "", "family" : "Davidson", "given" : "Brian", "non-dropping-particle" : "", "parse-names" : false, "suffix" : "" }, { "dropping-particle" : "", "family" : "Rodr\u00edguez-Per\u00e1lvarez", "given" : "Manuel", "non-dropping-particle" : "", "parse-names" : false, "suffix" : "" }, { "dropping-particle" : "", "family" : "Mantzoukis", "given" : "Konstantinos", "non-dropping-particle" : "", "parse-names" : false, "suffix" : "" }, { "dropping-particle" : "", "family" : "O\u2019Brien", "given" : "Julia", "non-dropping-particle" : "", "parse-names" : false, "suffix" : "" }, { "dropping-particle" : "", "family" : "Thalassinos", "given" : "Evangelos", "non-dropping-particle" : "", "parse-names" : false, "suffix" : "" }, { "dropping-particle" : "", "family" : "Papastergiou", "given" : "Vassilios", "non-dropping-particle" : "", "parse-names" : false, "suffix" : "" }, { "dropping-particle" : "", "family" : "Burroughs", "given" : "Andrew", "non-dropping-particle" : "", "parse-names" : false, "suffix" : "" } ], "container-title" : "Health technology assessment (NHS)", "id" : "ITEM-4", "issue" : "9", "issued" : { "date-parts" : [ [ "2015" ] ] }, "page" : "1-410", "title" : "Cost-effectiveness of non-invasive methods for assessment and monitoring of liver fibrosis and cirrhosis in patients with chronic liver disease: systematic review and economic evaluation", "type" : "article-journal", "volume" : "19" }, "uris" : [ "http://www.mendeley.com/documents/?uuid=5b57a84e-a9dc-4bfa-a1f0-171621d56a8e" ] } ], "mendeley" : { "formattedCitation" : "[12\u201315]", "plainTextFormattedCitation" : "[12\u201315]", "previouslyFormattedCitation" : "[12\u201315]" }, "properties" : { "noteIndex" : 0 }, "schema" : "https://github.com/citation-style-language/schema/raw/master/csl-citation.json" }</w:instrText>
      </w:r>
      <w:r w:rsidR="003827E7" w:rsidRPr="00E22E31">
        <w:rPr>
          <w:rFonts w:ascii="Book Antiqua" w:hAnsi="Book Antiqua"/>
          <w:sz w:val="24"/>
          <w:szCs w:val="24"/>
          <w:vertAlign w:val="superscript"/>
        </w:rPr>
        <w:fldChar w:fldCharType="separate"/>
      </w:r>
      <w:r w:rsidR="00364039" w:rsidRPr="00E22E31">
        <w:rPr>
          <w:rFonts w:ascii="Book Antiqua" w:hAnsi="Book Antiqua"/>
          <w:noProof/>
          <w:sz w:val="24"/>
          <w:szCs w:val="24"/>
          <w:vertAlign w:val="superscript"/>
        </w:rPr>
        <w:t>[12–15]</w:t>
      </w:r>
      <w:r w:rsidR="003827E7" w:rsidRPr="00E22E31">
        <w:rPr>
          <w:rFonts w:ascii="Book Antiqua" w:hAnsi="Book Antiqua"/>
          <w:sz w:val="24"/>
          <w:szCs w:val="24"/>
          <w:vertAlign w:val="superscript"/>
        </w:rPr>
        <w:fldChar w:fldCharType="end"/>
      </w:r>
      <w:r w:rsidR="006B2A60" w:rsidRPr="001339DB">
        <w:rPr>
          <w:rFonts w:ascii="Book Antiqua" w:hAnsi="Book Antiqua"/>
          <w:sz w:val="24"/>
          <w:szCs w:val="24"/>
        </w:rPr>
        <w:t>.</w:t>
      </w:r>
      <w:r w:rsidRPr="001339DB">
        <w:rPr>
          <w:rFonts w:ascii="Book Antiqua" w:hAnsi="Book Antiqua"/>
          <w:sz w:val="24"/>
          <w:szCs w:val="24"/>
        </w:rPr>
        <w:t xml:space="preserve"> </w:t>
      </w:r>
      <w:r w:rsidR="006D6F38" w:rsidRPr="001339DB">
        <w:rPr>
          <w:rFonts w:ascii="Book Antiqua" w:hAnsi="Book Antiqua"/>
          <w:sz w:val="24"/>
          <w:szCs w:val="24"/>
        </w:rPr>
        <w:t xml:space="preserve">The model is a simplified representation of the natural history of HCV. </w:t>
      </w:r>
      <w:r w:rsidR="00DE65FF" w:rsidRPr="001339DB">
        <w:rPr>
          <w:rFonts w:ascii="Book Antiqua" w:hAnsi="Book Antiqua"/>
          <w:sz w:val="24"/>
          <w:szCs w:val="24"/>
        </w:rPr>
        <w:t xml:space="preserve">Fibrosis severity is </w:t>
      </w:r>
      <w:r w:rsidR="008057F9" w:rsidRPr="001339DB">
        <w:rPr>
          <w:rFonts w:ascii="Book Antiqua" w:hAnsi="Book Antiqua"/>
          <w:sz w:val="24"/>
          <w:szCs w:val="24"/>
        </w:rPr>
        <w:t>characterized</w:t>
      </w:r>
      <w:r w:rsidR="00200890" w:rsidRPr="001339DB">
        <w:rPr>
          <w:rFonts w:ascii="Book Antiqua" w:hAnsi="Book Antiqua"/>
          <w:sz w:val="24"/>
          <w:szCs w:val="24"/>
        </w:rPr>
        <w:t xml:space="preserve"> by three different health states according to the METAVIR scoring system: no fibrosis or mild fibrosis (F0-F1);</w:t>
      </w:r>
      <w:r w:rsidR="00DE65FF" w:rsidRPr="001339DB">
        <w:rPr>
          <w:rFonts w:ascii="Book Antiqua" w:hAnsi="Book Antiqua"/>
          <w:sz w:val="24"/>
          <w:szCs w:val="24"/>
        </w:rPr>
        <w:t xml:space="preserve"> </w:t>
      </w:r>
      <w:r w:rsidR="00200890" w:rsidRPr="001339DB">
        <w:rPr>
          <w:rFonts w:ascii="Book Antiqua" w:hAnsi="Book Antiqua"/>
          <w:sz w:val="24"/>
          <w:szCs w:val="24"/>
        </w:rPr>
        <w:t xml:space="preserve">moderate or severe fibrosis (F2-F3); and compensated cirrhosis (F4). </w:t>
      </w:r>
      <w:r w:rsidR="005A156F" w:rsidRPr="001339DB">
        <w:rPr>
          <w:rFonts w:ascii="Book Antiqua" w:hAnsi="Book Antiqua"/>
          <w:sz w:val="24"/>
          <w:szCs w:val="24"/>
        </w:rPr>
        <w:t xml:space="preserve">An individual with compensated cirrhosis may develop complications and move to a </w:t>
      </w:r>
      <w:r w:rsidR="008B74E5" w:rsidRPr="001339DB">
        <w:rPr>
          <w:rFonts w:ascii="Book Antiqua" w:hAnsi="Book Antiqua"/>
          <w:sz w:val="24"/>
          <w:szCs w:val="24"/>
        </w:rPr>
        <w:t xml:space="preserve">DC </w:t>
      </w:r>
      <w:r w:rsidR="005A156F" w:rsidRPr="001339DB">
        <w:rPr>
          <w:rFonts w:ascii="Book Antiqua" w:hAnsi="Book Antiqua"/>
          <w:sz w:val="24"/>
          <w:szCs w:val="24"/>
        </w:rPr>
        <w:t xml:space="preserve">state. Both compensated and decompensated cirrhosis may lead to HCC. Individuals with DC or HCC are candidates </w:t>
      </w:r>
      <w:r w:rsidR="008E40E0" w:rsidRPr="001339DB">
        <w:rPr>
          <w:rFonts w:ascii="Book Antiqua" w:hAnsi="Book Antiqua"/>
          <w:sz w:val="24"/>
          <w:szCs w:val="24"/>
        </w:rPr>
        <w:t>for LTX</w:t>
      </w:r>
      <w:r w:rsidR="005A156F" w:rsidRPr="001339DB">
        <w:rPr>
          <w:rFonts w:ascii="Book Antiqua" w:hAnsi="Book Antiqua"/>
          <w:sz w:val="24"/>
          <w:szCs w:val="24"/>
        </w:rPr>
        <w:t xml:space="preserve">, which takes them to a post-LTX state or death. </w:t>
      </w:r>
      <w:r w:rsidR="00503101" w:rsidRPr="001339DB">
        <w:rPr>
          <w:rFonts w:ascii="Book Antiqua" w:hAnsi="Book Antiqua"/>
          <w:sz w:val="24"/>
          <w:szCs w:val="24"/>
        </w:rPr>
        <w:t>T</w:t>
      </w:r>
      <w:r w:rsidR="006D6F38" w:rsidRPr="001339DB">
        <w:rPr>
          <w:rFonts w:ascii="Book Antiqua" w:hAnsi="Book Antiqua"/>
          <w:sz w:val="24"/>
          <w:szCs w:val="24"/>
        </w:rPr>
        <w:t xml:space="preserve">he </w:t>
      </w:r>
      <w:r w:rsidR="00200890" w:rsidRPr="001339DB">
        <w:rPr>
          <w:rFonts w:ascii="Book Antiqua" w:hAnsi="Book Antiqua"/>
          <w:sz w:val="24"/>
          <w:szCs w:val="24"/>
        </w:rPr>
        <w:t xml:space="preserve">additional </w:t>
      </w:r>
      <w:r w:rsidR="006D6F38" w:rsidRPr="001339DB">
        <w:rPr>
          <w:rFonts w:ascii="Book Antiqua" w:hAnsi="Book Antiqua"/>
          <w:sz w:val="24"/>
          <w:szCs w:val="24"/>
        </w:rPr>
        <w:t>following assumptions were made</w:t>
      </w:r>
      <w:r w:rsidR="00503101" w:rsidRPr="001339DB">
        <w:rPr>
          <w:rFonts w:ascii="Book Antiqua" w:hAnsi="Book Antiqua"/>
          <w:sz w:val="24"/>
          <w:szCs w:val="24"/>
        </w:rPr>
        <w:t xml:space="preserve"> in the present model</w:t>
      </w:r>
      <w:r w:rsidR="006D6F38" w:rsidRPr="001339DB">
        <w:rPr>
          <w:rFonts w:ascii="Book Antiqua" w:hAnsi="Book Antiqua"/>
          <w:sz w:val="24"/>
          <w:szCs w:val="24"/>
        </w:rPr>
        <w:t xml:space="preserve">: </w:t>
      </w:r>
      <w:r w:rsidR="00E22E31">
        <w:rPr>
          <w:rFonts w:ascii="Book Antiqua" w:hAnsi="Book Antiqua" w:hint="eastAsia"/>
          <w:sz w:val="24"/>
          <w:szCs w:val="24"/>
          <w:lang w:eastAsia="zh-CN"/>
        </w:rPr>
        <w:t>(1)</w:t>
      </w:r>
      <w:r w:rsidR="006D6F38" w:rsidRPr="001339DB">
        <w:rPr>
          <w:rFonts w:ascii="Book Antiqua" w:hAnsi="Book Antiqua"/>
          <w:sz w:val="24"/>
          <w:szCs w:val="24"/>
        </w:rPr>
        <w:t xml:space="preserve"> </w:t>
      </w:r>
      <w:r w:rsidR="00646C65" w:rsidRPr="001339DB">
        <w:rPr>
          <w:rFonts w:ascii="Book Antiqua" w:hAnsi="Book Antiqua"/>
          <w:sz w:val="24"/>
          <w:szCs w:val="24"/>
        </w:rPr>
        <w:t>f</w:t>
      </w:r>
      <w:r w:rsidR="00DE65FF" w:rsidRPr="001339DB">
        <w:rPr>
          <w:rFonts w:ascii="Book Antiqua" w:hAnsi="Book Antiqua"/>
          <w:sz w:val="24"/>
          <w:szCs w:val="24"/>
        </w:rPr>
        <w:t>ibros</w:t>
      </w:r>
      <w:r w:rsidR="00F93648" w:rsidRPr="001339DB">
        <w:rPr>
          <w:rFonts w:ascii="Book Antiqua" w:hAnsi="Book Antiqua"/>
          <w:sz w:val="24"/>
          <w:szCs w:val="24"/>
        </w:rPr>
        <w:t xml:space="preserve">is </w:t>
      </w:r>
      <w:r w:rsidR="008057F9" w:rsidRPr="001339DB">
        <w:rPr>
          <w:rFonts w:ascii="Book Antiqua" w:hAnsi="Book Antiqua"/>
          <w:sz w:val="24"/>
          <w:szCs w:val="24"/>
        </w:rPr>
        <w:t xml:space="preserve">caused by HCV </w:t>
      </w:r>
      <w:r w:rsidR="00F93648" w:rsidRPr="001339DB">
        <w:rPr>
          <w:rFonts w:ascii="Book Antiqua" w:hAnsi="Book Antiqua"/>
          <w:sz w:val="24"/>
          <w:szCs w:val="24"/>
        </w:rPr>
        <w:t>is not reversible</w:t>
      </w:r>
      <w:r w:rsidR="008057F9" w:rsidRPr="001339DB">
        <w:rPr>
          <w:rFonts w:ascii="Book Antiqua" w:hAnsi="Book Antiqua"/>
          <w:sz w:val="24"/>
          <w:szCs w:val="24"/>
        </w:rPr>
        <w:t xml:space="preserve"> but</w:t>
      </w:r>
      <w:r w:rsidR="00F93648" w:rsidRPr="001339DB">
        <w:rPr>
          <w:rFonts w:ascii="Book Antiqua" w:hAnsi="Book Antiqua"/>
          <w:sz w:val="24"/>
          <w:szCs w:val="24"/>
        </w:rPr>
        <w:t xml:space="preserve"> </w:t>
      </w:r>
      <w:r w:rsidR="008057F9" w:rsidRPr="001339DB">
        <w:rPr>
          <w:rFonts w:ascii="Book Antiqua" w:hAnsi="Book Antiqua"/>
          <w:sz w:val="24"/>
          <w:szCs w:val="24"/>
        </w:rPr>
        <w:t>o</w:t>
      </w:r>
      <w:r w:rsidR="00F93648" w:rsidRPr="001339DB">
        <w:rPr>
          <w:rFonts w:ascii="Book Antiqua" w:hAnsi="Book Antiqua"/>
          <w:sz w:val="24"/>
          <w:szCs w:val="24"/>
        </w:rPr>
        <w:t>nce</w:t>
      </w:r>
      <w:r w:rsidR="00DE65FF" w:rsidRPr="001339DB">
        <w:rPr>
          <w:rFonts w:ascii="Book Antiqua" w:hAnsi="Book Antiqua"/>
          <w:sz w:val="24"/>
          <w:szCs w:val="24"/>
        </w:rPr>
        <w:t xml:space="preserve"> </w:t>
      </w:r>
      <w:r w:rsidR="00C9652C" w:rsidRPr="001339DB">
        <w:rPr>
          <w:rFonts w:ascii="Book Antiqua" w:hAnsi="Book Antiqua"/>
          <w:sz w:val="24"/>
          <w:szCs w:val="24"/>
        </w:rPr>
        <w:t>SVR</w:t>
      </w:r>
      <w:r w:rsidR="00DE65FF" w:rsidRPr="001339DB">
        <w:rPr>
          <w:rFonts w:ascii="Book Antiqua" w:hAnsi="Book Antiqua"/>
          <w:sz w:val="24"/>
          <w:szCs w:val="24"/>
        </w:rPr>
        <w:t xml:space="preserve"> has been achieved</w:t>
      </w:r>
      <w:r w:rsidR="00F93648" w:rsidRPr="001339DB">
        <w:rPr>
          <w:rFonts w:ascii="Book Antiqua" w:hAnsi="Book Antiqua"/>
          <w:sz w:val="24"/>
          <w:szCs w:val="24"/>
        </w:rPr>
        <w:t>,</w:t>
      </w:r>
      <w:r w:rsidR="00DE65FF" w:rsidRPr="001339DB">
        <w:rPr>
          <w:rFonts w:ascii="Book Antiqua" w:hAnsi="Book Antiqua"/>
          <w:sz w:val="24"/>
          <w:szCs w:val="24"/>
        </w:rPr>
        <w:t xml:space="preserve"> </w:t>
      </w:r>
      <w:r w:rsidR="00F93648" w:rsidRPr="001339DB">
        <w:rPr>
          <w:rFonts w:ascii="Book Antiqua" w:hAnsi="Book Antiqua"/>
          <w:sz w:val="24"/>
          <w:szCs w:val="24"/>
        </w:rPr>
        <w:t>progression of fibrosis is permanently stopped</w:t>
      </w:r>
      <w:r w:rsidR="003827E7" w:rsidRPr="00E22E31">
        <w:rPr>
          <w:rFonts w:ascii="Book Antiqua" w:hAnsi="Book Antiqua"/>
          <w:sz w:val="24"/>
          <w:szCs w:val="24"/>
          <w:vertAlign w:val="superscript"/>
        </w:rPr>
        <w:fldChar w:fldCharType="begin" w:fldLock="1"/>
      </w:r>
      <w:r w:rsidR="00A11871" w:rsidRPr="00E22E31">
        <w:rPr>
          <w:rFonts w:ascii="Book Antiqua" w:hAnsi="Book Antiqua"/>
          <w:sz w:val="24"/>
          <w:szCs w:val="24"/>
          <w:vertAlign w:val="superscript"/>
        </w:rPr>
        <w:instrText>ADDIN CSL_CITATION { "citationItems" : [ { "id" : "ITEM-1", "itemData" : { "DOI" : "10.1016/j.antiviral.2014.03.012", "ISBN" : "1872-9096 (Electronic)\\r0166-3542 (Linking)", "ISSN" : "18729096", "PMID" : "24726738", "abstract" : "A sustained virological response (SVR) from HCV (synonymous with virological cure) leads to decreased mortality, morbidity and improved quality of life, as well as a reduced incidence of liver disease progression, including liver failure, cirrhosis and hepatocellular carcinoma. Large clinical trials comparing pre- and post-treatment liver biopsies demonstrate improvements in inflammation as well as fibrosis score following SVR. However, a small subset of patients display persistent hepatic inflammation and/or progress to cirrhosis despite SVR. In addition to conferring a risk of fibrosis progression, advanced fibrosis pre-treatment is a major risk factor for post-SVR hepatocellular carcinoma. In this review, we discuss the mechanisms of fibrosis regression uncovered using experimental fibrosis models and highlight potential mechanisms in those few patients with fibrosis progression despite SVR. We also introduce current concepts of fibrosis-dependent tumorigenesis post-SVR in patients with advanced disease. This article forms part of a symposium in Antiviral Research on \"Hepatitis C: next steps toward global eradication.\" \u00a9 2014 Elsevier B.V. All rights reserved.", "author" : [ { "dropping-particle" : "", "family" : "Lee", "given" : "Youngmin A.", "non-dropping-particle" : "", "parse-names" : false, "suffix" : "" }, { "dropping-particle" : "", "family" : "Friedman", "given" : "Scott L.", "non-dropping-particle" : "", "parse-names" : false, "suffix" : "" } ], "container-title" : "Antiviral Research", "id" : "ITEM-1", "issue" : "1", "issued" : { "date-parts" : [ [ "2014" ] ] }, "page" : "23-30", "title" : "Reversal, maintenance or progression: What happens to the liver after a virologic cure of hepatitis C?", "type" : "article-journal", "volume" : "107" }, "uris" : [ "http://www.mendeley.com/documents/?uuid=2898e0ac-2b3a-4746-b646-7dd2618ec043" ] } ], "mendeley" : { "formattedCitation" : "[16]", "plainTextFormattedCitation" : "[16]", "previouslyFormattedCitation" : "[16]" }, "properties" : { "noteIndex" : 0 }, "schema" : "https://github.com/citation-style-language/schema/raw/master/csl-citation.json" }</w:instrText>
      </w:r>
      <w:r w:rsidR="003827E7" w:rsidRPr="00E22E31">
        <w:rPr>
          <w:rFonts w:ascii="Book Antiqua" w:hAnsi="Book Antiqua"/>
          <w:sz w:val="24"/>
          <w:szCs w:val="24"/>
          <w:vertAlign w:val="superscript"/>
        </w:rPr>
        <w:fldChar w:fldCharType="separate"/>
      </w:r>
      <w:r w:rsidR="00364039" w:rsidRPr="00E22E31">
        <w:rPr>
          <w:rFonts w:ascii="Book Antiqua" w:hAnsi="Book Antiqua"/>
          <w:noProof/>
          <w:sz w:val="24"/>
          <w:szCs w:val="24"/>
          <w:vertAlign w:val="superscript"/>
        </w:rPr>
        <w:t>[16]</w:t>
      </w:r>
      <w:r w:rsidR="003827E7" w:rsidRPr="00E22E31">
        <w:rPr>
          <w:rFonts w:ascii="Book Antiqua" w:hAnsi="Book Antiqua"/>
          <w:sz w:val="24"/>
          <w:szCs w:val="24"/>
          <w:vertAlign w:val="superscript"/>
        </w:rPr>
        <w:fldChar w:fldCharType="end"/>
      </w:r>
      <w:r w:rsidR="00F93648" w:rsidRPr="001339DB">
        <w:rPr>
          <w:rFonts w:ascii="Book Antiqua" w:hAnsi="Book Antiqua"/>
          <w:sz w:val="24"/>
          <w:szCs w:val="24"/>
        </w:rPr>
        <w:t xml:space="preserve">; </w:t>
      </w:r>
      <w:r w:rsidR="00E22E31">
        <w:rPr>
          <w:rFonts w:ascii="Book Antiqua" w:hAnsi="Book Antiqua" w:hint="eastAsia"/>
          <w:sz w:val="24"/>
          <w:szCs w:val="24"/>
          <w:lang w:eastAsia="zh-CN"/>
        </w:rPr>
        <w:t>(2)</w:t>
      </w:r>
      <w:r w:rsidR="00AF4279" w:rsidRPr="001339DB">
        <w:rPr>
          <w:rFonts w:ascii="Book Antiqua" w:hAnsi="Book Antiqua"/>
          <w:sz w:val="24"/>
          <w:szCs w:val="24"/>
        </w:rPr>
        <w:t> </w:t>
      </w:r>
      <w:r w:rsidR="00646C65" w:rsidRPr="001339DB">
        <w:rPr>
          <w:rFonts w:ascii="Book Antiqua" w:hAnsi="Book Antiqua"/>
          <w:sz w:val="24"/>
          <w:szCs w:val="24"/>
        </w:rPr>
        <w:t>r</w:t>
      </w:r>
      <w:r w:rsidR="00E2557A" w:rsidRPr="001339DB">
        <w:rPr>
          <w:rFonts w:ascii="Book Antiqua" w:hAnsi="Book Antiqua"/>
          <w:sz w:val="24"/>
          <w:szCs w:val="24"/>
        </w:rPr>
        <w:t xml:space="preserve">esponders to antiviral treatment achieve SVR in the </w:t>
      </w:r>
      <w:r w:rsidR="00E2557A" w:rsidRPr="001339DB">
        <w:rPr>
          <w:rFonts w:ascii="Book Antiqua" w:hAnsi="Book Antiqua"/>
          <w:sz w:val="24"/>
          <w:szCs w:val="24"/>
        </w:rPr>
        <w:lastRenderedPageBreak/>
        <w:t>quarter following the end of the treatment</w:t>
      </w:r>
      <w:r w:rsidR="00873E04" w:rsidRPr="001339DB">
        <w:rPr>
          <w:rFonts w:ascii="Book Antiqua" w:hAnsi="Book Antiqua"/>
          <w:sz w:val="24"/>
          <w:szCs w:val="24"/>
        </w:rPr>
        <w:t>;</w:t>
      </w:r>
      <w:r w:rsidR="00E2557A" w:rsidRPr="001339DB">
        <w:rPr>
          <w:rFonts w:ascii="Book Antiqua" w:hAnsi="Book Antiqua"/>
          <w:sz w:val="24"/>
          <w:szCs w:val="24"/>
        </w:rPr>
        <w:t xml:space="preserve"> </w:t>
      </w:r>
      <w:r w:rsidR="00E22E31">
        <w:rPr>
          <w:rFonts w:ascii="Book Antiqua" w:hAnsi="Book Antiqua" w:hint="eastAsia"/>
          <w:sz w:val="24"/>
          <w:szCs w:val="24"/>
          <w:lang w:eastAsia="zh-CN"/>
        </w:rPr>
        <w:t>(3)</w:t>
      </w:r>
      <w:r w:rsidR="001E1ED9" w:rsidRPr="001339DB">
        <w:rPr>
          <w:rFonts w:ascii="Book Antiqua" w:hAnsi="Book Antiqua"/>
          <w:sz w:val="24"/>
          <w:szCs w:val="24"/>
        </w:rPr>
        <w:t xml:space="preserve"> </w:t>
      </w:r>
      <w:r w:rsidR="00646C65" w:rsidRPr="001339DB">
        <w:rPr>
          <w:rFonts w:ascii="Book Antiqua" w:hAnsi="Book Antiqua"/>
          <w:sz w:val="24"/>
          <w:szCs w:val="24"/>
        </w:rPr>
        <w:t>t</w:t>
      </w:r>
      <w:r w:rsidR="001E1ED9" w:rsidRPr="001339DB">
        <w:rPr>
          <w:rFonts w:ascii="Book Antiqua" w:hAnsi="Book Antiqua"/>
          <w:sz w:val="24"/>
          <w:szCs w:val="24"/>
        </w:rPr>
        <w:t xml:space="preserve">he efficacy of antiviral treatment is the mean efficacy </w:t>
      </w:r>
      <w:r w:rsidR="008B74E5" w:rsidRPr="001339DB">
        <w:rPr>
          <w:rFonts w:ascii="Book Antiqua" w:hAnsi="Book Antiqua"/>
          <w:sz w:val="24"/>
          <w:szCs w:val="24"/>
        </w:rPr>
        <w:t>in untreated</w:t>
      </w:r>
      <w:r w:rsidR="001E1ED9" w:rsidRPr="001339DB">
        <w:rPr>
          <w:rFonts w:ascii="Book Antiqua" w:hAnsi="Book Antiqua"/>
          <w:sz w:val="24"/>
          <w:szCs w:val="24"/>
        </w:rPr>
        <w:t xml:space="preserve"> genotype</w:t>
      </w:r>
      <w:r w:rsidR="008B74E5" w:rsidRPr="001339DB">
        <w:rPr>
          <w:rFonts w:ascii="Book Antiqua" w:hAnsi="Book Antiqua"/>
          <w:sz w:val="24"/>
          <w:szCs w:val="24"/>
        </w:rPr>
        <w:t xml:space="preserve"> 1 as</w:t>
      </w:r>
      <w:r w:rsidR="001E1ED9" w:rsidRPr="001339DB">
        <w:rPr>
          <w:rFonts w:ascii="Book Antiqua" w:hAnsi="Book Antiqua"/>
          <w:sz w:val="24"/>
          <w:szCs w:val="24"/>
        </w:rPr>
        <w:t xml:space="preserve"> reported by </w:t>
      </w:r>
      <w:proofErr w:type="spellStart"/>
      <w:r w:rsidR="008B74E5" w:rsidRPr="001339DB">
        <w:rPr>
          <w:rFonts w:ascii="Book Antiqua" w:hAnsi="Book Antiqua"/>
          <w:sz w:val="24"/>
          <w:szCs w:val="24"/>
        </w:rPr>
        <w:t>Afdhal</w:t>
      </w:r>
      <w:proofErr w:type="spellEnd"/>
      <w:r w:rsidR="001E1ED9" w:rsidRPr="001339DB">
        <w:rPr>
          <w:rFonts w:ascii="Book Antiqua" w:hAnsi="Book Antiqua"/>
          <w:sz w:val="24"/>
          <w:szCs w:val="24"/>
        </w:rPr>
        <w:t xml:space="preserve"> </w:t>
      </w:r>
      <w:r w:rsidR="001339DB" w:rsidRPr="001339DB">
        <w:rPr>
          <w:rFonts w:ascii="Book Antiqua" w:hAnsi="Book Antiqua"/>
          <w:i/>
          <w:sz w:val="24"/>
          <w:szCs w:val="24"/>
        </w:rPr>
        <w:t>et al</w:t>
      </w:r>
      <w:r w:rsidR="00E22E31" w:rsidRPr="00E22E31">
        <w:rPr>
          <w:rFonts w:ascii="Book Antiqua" w:hAnsi="Book Antiqua"/>
          <w:sz w:val="24"/>
          <w:szCs w:val="24"/>
          <w:vertAlign w:val="superscript"/>
        </w:rPr>
        <w:fldChar w:fldCharType="begin" w:fldLock="1"/>
      </w:r>
      <w:r w:rsidR="00E22E31" w:rsidRPr="00E22E31">
        <w:rPr>
          <w:rFonts w:ascii="Book Antiqua" w:hAnsi="Book Antiqua"/>
          <w:sz w:val="24"/>
          <w:szCs w:val="24"/>
          <w:vertAlign w:val="superscript"/>
        </w:rPr>
        <w:instrText>ADDIN CSL_CITATION { "citationItems" : [ { "id" : "ITEM-1", "itemData" : { "DOI" : "10.1056/NEJMoa1402454", "ISBN" : "1533-4406 (Electronic)\\n0028-4793 (Linking)", "ISSN" : "1533-4406", "PMID" : "24725239", "abstract" : "Background In phase 2 studies, treatment with the all-oral combination of the nucleotide polymerase inhibitor sofosbuvir and the NS5A inhibitor ledipasvir resulted in high rates of sustained virologic response among previously untreated patients with hepatitis C virus (HCV) genotype 1 infection. Methods We conducted a phase 3, open-label study involving previously untreated patients with chronic HCV genotype 1 infection. Patients were randomly assigned in a 1:1:1:1 ratio to receive ledipasvir and sofosbuvir in a fixed-dose combination tablet once daily for 12 weeks, ledipasvir-sofosbuvir plus ribavirin for 12 weeks, ledipasvir-sofosbuvir for 24 weeks, or ledipasvir-sofosbuvir plus ribavirin for 24 weeks. The primary end point was a sustained virologic response at 12 weeks after the end of therapy. Results Of the 865 patients who underwent randomization and were treated, 16% had cirrhosis, 12% were black, and 67% had HCV genotype 1a infection. The rates of sustained virologic response were 99% (95% confidence interval [CI], 96 to 100) in the group that received 12 weeks of ledipasvir-sofosbuvir; 97% (95% CI, 94 to 99) in the group that received 12 weeks of ledipasvir-sofosbuvir plus ribavirin; 98% (95% CI, 95 to 99) in the group that received 24 weeks of ledipasvir-sofosbuvir; and 99% (95% CI, 97 to 100) in the group that received 24 weeks of ledipasvir-sofosbuvir plus ribavirin. No patient in either 12-week group discontinued ledipasvir-sofosbuvir owing to an adverse event. The most common adverse events were fatigue, headache, insomnia, and nausea. Conclusions Once-daily ledipasvir-sofosbuvir with or without ribavirin for 12 or 24 weeks was highly effective in previously untreated patients with HCV genotype 1 infection. (Funded by Gilead Sciences; ION-1 ClinicalTrials.gov number NCT01701401 .).", "author" : [ { "dropping-particle" : "", "family" : "Afdhal", "given" : "Nezam", "non-dropping-particle" : "", "parse-names" : false, "suffix" : "" }, { "dropping-particle" : "", "family" : "Zeuzem", "given" : "Stefan", "non-dropping-particle" : "", "parse-names" : false, "suffix" : "" }, { "dropping-particle" : "", "family" : "Kwo", "given" : "Paul", "non-dropping-particle" : "", "parse-names" : false, "suffix" : "" }, { "dropping-particle" : "", "family" : "Chojkier", "given" : "Mario", "non-dropping-particle" : "", "parse-names" : false, "suffix" : "" }, { "dropping-particle" : "", "family" : "Gitlin", "given" : "Norman", "non-dropping-particle" : "", "parse-names" : false, "suffix" : "" }, { "dropping-particle" : "", "family" : "Puoti", "given" : "Massimo", "non-dropping-particle" : "", "parse-names" : false, "suffix" : "" }, { "dropping-particle" : "", "family" : "Romero-Gomez", "given" : "Manuel", "non-dropping-particle" : "", "parse-names" : false, "suffix" : "" }, { "dropping-particle" : "", "family" : "Zarski", "given" : "Jean-Pierre", "non-dropping-particle" : "", "parse-names" : false, "suffix" : "" }, { "dropping-particle" : "", "family" : "Agarwal", "given" : "Kosh", "non-dropping-particle" : "", "parse-names" : false, "suffix" : "" }, { "dropping-particle" : "", "family" : "Buggisch", "given" : "Peter", "non-dropping-particle" : "", "parse-names" : false, "suffix" : "" }, { "dropping-particle" : "", "family" : "Foster", "given" : "Graham R", "non-dropping-particle" : "", "parse-names" : false, "suffix" : "" }, { "dropping-particle" : "", "family" : "Br\u00e4u", "given" : "Norbert", "non-dropping-particle" : "", "parse-names" : false, "suffix" : "" }, { "dropping-particle" : "", "family" : "Buti", "given" : "Maria", "non-dropping-particle" : "", "parse-names" : false, "suffix" : "" }, { "dropping-particle" : "", "family" : "Jacobson", "given" : "Ira M", "non-dropping-particle" : "", "parse-names" : false, "suffix" : "" }, { "dropping-particle" : "", "family" : "Subramanian", "given" : "G Mani", "non-dropping-particle" : "", "parse-names" : false, "suffix" : "" }, { "dropping-particle" : "", "family" : "Ding", "given" : "Xiao", "non-dropping-particle" : "", "parse-names" : false, "suffix" : "" }, { "dropping-particle" : "", "family" : "Mo", "given" : "Hongmei", "non-dropping-particle" : "", "parse-names" : false, "suffix" : "" }, { "dropping-particle" : "", "family" : "Yang", "given" : "Jenny C", "non-dropping-particle" : "", "parse-names" : false, "suffix" : "" }, { "dropping-particle" : "", "family" : "Pang", "given" : "Phillip S", "non-dropping-particle" : "", "parse-names" : false, "suffix" : "" }, { "dropping-particle" : "", "family" : "Symonds", "given" : "William T", "non-dropping-particle" : "", "parse-names" : false, "suffix" : "" }, { "dropping-particle" : "", "family" : "McHutchison", "given" : "John G", "non-dropping-particle" : "", "parse-names" : false, "suffix" : "" }, { "dropping-particle" : "", "family" : "Muir", "given" : "Andrew J", "non-dropping-particle" : "", "parse-names" : false, "suffix" : "" }, { "dropping-particle" : "", "family" : "Mangia", "given" : "Alessandra", "non-dropping-particle" : "", "parse-names" : false, "suffix" : "" }, { "dropping-particle" : "", "family" : "Marcellin", "given" : "Patrick", "non-dropping-particle" : "", "parse-names" : false, "suffix" : "" } ], "container-title" : "The New England journal of medicine", "id" : "ITEM-1", "issued" : { "date-parts" : [ [ "2014" ] ] }, "page" : "1889-1898", "title" : "Ledipasvir and Sofosbuvir for Untreated HCV Genotype 1 Infection.", "type" : "article-journal" }, "uris" : [ "http://www.mendeley.com/documents/?uuid=42a90d38-2a80-47c3-93fd-bf80cd3f2b3d" ] } ], "mendeley" : { "formattedCitation" : "[17]", "plainTextFormattedCitation" : "[17]", "previouslyFormattedCitation" : "[17]" }, "properties" : { "noteIndex" : 0 }, "schema" : "https://github.com/citation-style-language/schema/raw/master/csl-citation.json" }</w:instrText>
      </w:r>
      <w:r w:rsidR="00E22E31" w:rsidRPr="00E22E31">
        <w:rPr>
          <w:rFonts w:ascii="Book Antiqua" w:hAnsi="Book Antiqua"/>
          <w:sz w:val="24"/>
          <w:szCs w:val="24"/>
          <w:vertAlign w:val="superscript"/>
        </w:rPr>
        <w:fldChar w:fldCharType="separate"/>
      </w:r>
      <w:r w:rsidR="00E22E31" w:rsidRPr="00E22E31">
        <w:rPr>
          <w:rFonts w:ascii="Book Antiqua" w:hAnsi="Book Antiqua"/>
          <w:sz w:val="24"/>
          <w:szCs w:val="24"/>
          <w:vertAlign w:val="superscript"/>
        </w:rPr>
        <w:t>[17]</w:t>
      </w:r>
      <w:r w:rsidR="00E22E31" w:rsidRPr="00E22E31">
        <w:rPr>
          <w:rFonts w:ascii="Book Antiqua" w:hAnsi="Book Antiqua"/>
          <w:sz w:val="24"/>
          <w:szCs w:val="24"/>
        </w:rPr>
        <w:fldChar w:fldCharType="end"/>
      </w:r>
      <w:r w:rsidR="001E1ED9" w:rsidRPr="001339DB">
        <w:rPr>
          <w:rFonts w:ascii="Book Antiqua" w:hAnsi="Book Antiqua"/>
          <w:sz w:val="24"/>
          <w:szCs w:val="24"/>
        </w:rPr>
        <w:t xml:space="preserve"> </w:t>
      </w:r>
      <w:r w:rsidR="00BC6D2F" w:rsidRPr="001339DB">
        <w:rPr>
          <w:rFonts w:ascii="Book Antiqua" w:hAnsi="Book Antiqua"/>
          <w:sz w:val="24"/>
          <w:szCs w:val="24"/>
        </w:rPr>
        <w:t>(</w:t>
      </w:r>
      <w:r w:rsidR="007F410C" w:rsidRPr="001339DB">
        <w:rPr>
          <w:rFonts w:ascii="Book Antiqua" w:hAnsi="Book Antiqua"/>
          <w:sz w:val="24"/>
          <w:szCs w:val="24"/>
        </w:rPr>
        <w:t>ION-1</w:t>
      </w:r>
      <w:r w:rsidR="00BC6D2F" w:rsidRPr="001339DB">
        <w:rPr>
          <w:rFonts w:ascii="Book Antiqua" w:hAnsi="Book Antiqua"/>
          <w:sz w:val="24"/>
          <w:szCs w:val="24"/>
        </w:rPr>
        <w:t xml:space="preserve"> Study)</w:t>
      </w:r>
      <w:r w:rsidR="006B2A60" w:rsidRPr="001339DB">
        <w:rPr>
          <w:rFonts w:ascii="Book Antiqua" w:hAnsi="Book Antiqua"/>
          <w:sz w:val="24"/>
          <w:szCs w:val="24"/>
        </w:rPr>
        <w:t>;</w:t>
      </w:r>
      <w:r w:rsidR="00C731E9">
        <w:rPr>
          <w:rFonts w:ascii="Book Antiqua" w:hAnsi="Book Antiqua"/>
          <w:sz w:val="24"/>
          <w:szCs w:val="24"/>
        </w:rPr>
        <w:t xml:space="preserve"> </w:t>
      </w:r>
      <w:r w:rsidR="00E62FC0" w:rsidRPr="001339DB">
        <w:rPr>
          <w:rFonts w:ascii="Book Antiqua" w:hAnsi="Book Antiqua"/>
          <w:sz w:val="24"/>
          <w:szCs w:val="24"/>
        </w:rPr>
        <w:t xml:space="preserve">and </w:t>
      </w:r>
      <w:r w:rsidR="00E22E31">
        <w:rPr>
          <w:rFonts w:ascii="Book Antiqua" w:hAnsi="Book Antiqua" w:hint="eastAsia"/>
          <w:sz w:val="24"/>
          <w:szCs w:val="24"/>
          <w:lang w:eastAsia="zh-CN"/>
        </w:rPr>
        <w:t>(4)</w:t>
      </w:r>
      <w:r w:rsidR="008057F9" w:rsidRPr="001339DB">
        <w:rPr>
          <w:rFonts w:ascii="Book Antiqua" w:hAnsi="Book Antiqua"/>
          <w:sz w:val="24"/>
          <w:szCs w:val="24"/>
        </w:rPr>
        <w:t xml:space="preserve"> </w:t>
      </w:r>
      <w:r w:rsidR="00646C65" w:rsidRPr="001339DB">
        <w:rPr>
          <w:rFonts w:ascii="Book Antiqua" w:hAnsi="Book Antiqua"/>
          <w:sz w:val="24"/>
          <w:szCs w:val="24"/>
        </w:rPr>
        <w:t>t</w:t>
      </w:r>
      <w:r w:rsidR="008057F9" w:rsidRPr="001339DB">
        <w:rPr>
          <w:rFonts w:ascii="Book Antiqua" w:hAnsi="Book Antiqua"/>
          <w:sz w:val="24"/>
          <w:szCs w:val="24"/>
        </w:rPr>
        <w:t xml:space="preserve">here is no excess mortality associated </w:t>
      </w:r>
      <w:r w:rsidR="00746F6E" w:rsidRPr="001339DB">
        <w:rPr>
          <w:rFonts w:ascii="Book Antiqua" w:hAnsi="Book Antiqua"/>
          <w:sz w:val="24"/>
          <w:szCs w:val="24"/>
        </w:rPr>
        <w:t>with</w:t>
      </w:r>
      <w:r w:rsidR="008057F9" w:rsidRPr="001339DB">
        <w:rPr>
          <w:rFonts w:ascii="Book Antiqua" w:hAnsi="Book Antiqua"/>
          <w:sz w:val="24"/>
          <w:szCs w:val="24"/>
        </w:rPr>
        <w:t xml:space="preserve"> </w:t>
      </w:r>
      <w:r w:rsidR="00746F6E" w:rsidRPr="001339DB">
        <w:rPr>
          <w:rFonts w:ascii="Book Antiqua" w:hAnsi="Book Antiqua"/>
          <w:sz w:val="24"/>
          <w:szCs w:val="24"/>
        </w:rPr>
        <w:t xml:space="preserve">LF (including compensated cirrhosis), </w:t>
      </w:r>
      <w:r w:rsidR="00C67F09" w:rsidRPr="001339DB">
        <w:rPr>
          <w:rFonts w:ascii="Book Antiqua" w:hAnsi="Book Antiqua"/>
          <w:sz w:val="24"/>
          <w:szCs w:val="24"/>
        </w:rPr>
        <w:t>as</w:t>
      </w:r>
      <w:r w:rsidR="00746F6E" w:rsidRPr="001339DB">
        <w:rPr>
          <w:rFonts w:ascii="Book Antiqua" w:hAnsi="Book Antiqua"/>
          <w:sz w:val="24"/>
          <w:szCs w:val="24"/>
        </w:rPr>
        <w:t xml:space="preserve"> the main cause of death of these individuals is accounted for in the model by the other health states (HCC, DC, </w:t>
      </w:r>
      <w:r w:rsidR="00EF0A6F" w:rsidRPr="001339DB">
        <w:rPr>
          <w:rFonts w:ascii="Book Antiqua" w:hAnsi="Book Antiqua"/>
          <w:sz w:val="24"/>
          <w:szCs w:val="24"/>
        </w:rPr>
        <w:t>LTX</w:t>
      </w:r>
      <w:r w:rsidR="00646C65" w:rsidRPr="001339DB">
        <w:rPr>
          <w:rFonts w:ascii="Book Antiqua" w:hAnsi="Book Antiqua"/>
          <w:sz w:val="24"/>
          <w:szCs w:val="24"/>
        </w:rPr>
        <w:t>,</w:t>
      </w:r>
      <w:r w:rsidR="00746F6E" w:rsidRPr="001339DB">
        <w:rPr>
          <w:rFonts w:ascii="Book Antiqua" w:hAnsi="Book Antiqua"/>
          <w:sz w:val="24"/>
          <w:szCs w:val="24"/>
        </w:rPr>
        <w:t xml:space="preserve"> and </w:t>
      </w:r>
      <w:r w:rsidR="000677F3" w:rsidRPr="001339DB">
        <w:rPr>
          <w:rFonts w:ascii="Book Antiqua" w:hAnsi="Book Antiqua"/>
          <w:sz w:val="24"/>
          <w:szCs w:val="24"/>
        </w:rPr>
        <w:t>post-</w:t>
      </w:r>
      <w:r w:rsidR="00EF0A6F" w:rsidRPr="001339DB">
        <w:rPr>
          <w:rFonts w:ascii="Book Antiqua" w:hAnsi="Book Antiqua"/>
          <w:sz w:val="24"/>
          <w:szCs w:val="24"/>
        </w:rPr>
        <w:t>LTX</w:t>
      </w:r>
      <w:r w:rsidR="00382070" w:rsidRPr="001339DB">
        <w:rPr>
          <w:rFonts w:ascii="Book Antiqua" w:hAnsi="Book Antiqua"/>
          <w:sz w:val="24"/>
          <w:szCs w:val="24"/>
        </w:rPr>
        <w:t xml:space="preserve"> states).</w:t>
      </w:r>
    </w:p>
    <w:p w:rsidR="002F59D9" w:rsidRDefault="00382070" w:rsidP="00E22E31">
      <w:pPr>
        <w:adjustRightInd w:val="0"/>
        <w:snapToGrid w:val="0"/>
        <w:spacing w:after="0" w:line="360" w:lineRule="auto"/>
        <w:ind w:firstLineChars="100" w:firstLine="240"/>
        <w:jc w:val="both"/>
        <w:rPr>
          <w:rFonts w:ascii="Book Antiqua" w:hAnsi="Book Antiqua"/>
          <w:sz w:val="24"/>
          <w:szCs w:val="24"/>
          <w:lang w:eastAsia="zh-CN"/>
        </w:rPr>
      </w:pPr>
      <w:r w:rsidRPr="001339DB">
        <w:rPr>
          <w:rFonts w:ascii="Book Antiqua" w:hAnsi="Book Antiqua"/>
          <w:sz w:val="24"/>
          <w:szCs w:val="24"/>
        </w:rPr>
        <w:t xml:space="preserve">In the model </w:t>
      </w:r>
      <w:r w:rsidR="002F59D9" w:rsidRPr="001339DB">
        <w:rPr>
          <w:rFonts w:ascii="Book Antiqua" w:hAnsi="Book Antiqua"/>
          <w:sz w:val="24"/>
          <w:szCs w:val="24"/>
        </w:rPr>
        <w:t>HCV individuals that test positive for LF</w:t>
      </w:r>
      <w:r w:rsidR="00E22E31">
        <w:rPr>
          <w:rFonts w:ascii="Book Antiqua" w:hAnsi="Book Antiqua" w:hint="eastAsia"/>
          <w:sz w:val="24"/>
          <w:szCs w:val="24"/>
          <w:lang w:eastAsia="zh-CN"/>
        </w:rPr>
        <w:t xml:space="preserve"> </w:t>
      </w:r>
      <w:r w:rsidR="002F59D9" w:rsidRPr="001339DB">
        <w:rPr>
          <w:rFonts w:ascii="Book Antiqua" w:hAnsi="Book Antiqua"/>
          <w:sz w:val="24"/>
          <w:szCs w:val="24"/>
        </w:rPr>
        <w:t>≥</w:t>
      </w:r>
      <w:r w:rsidR="00E22E31">
        <w:rPr>
          <w:rFonts w:ascii="Book Antiqua" w:hAnsi="Book Antiqua" w:hint="eastAsia"/>
          <w:sz w:val="24"/>
          <w:szCs w:val="24"/>
          <w:lang w:eastAsia="zh-CN"/>
        </w:rPr>
        <w:t xml:space="preserve"> </w:t>
      </w:r>
      <w:r w:rsidR="002F59D9" w:rsidRPr="001339DB">
        <w:rPr>
          <w:rFonts w:ascii="Book Antiqua" w:hAnsi="Book Antiqua"/>
          <w:sz w:val="24"/>
          <w:szCs w:val="24"/>
        </w:rPr>
        <w:t>2 receive a combination of sofosbuvir and ledipasvir over a 12-</w:t>
      </w:r>
      <w:r w:rsidR="00E22E31">
        <w:rPr>
          <w:rFonts w:ascii="Book Antiqua" w:hAnsi="Book Antiqua" w:hint="eastAsia"/>
          <w:sz w:val="24"/>
          <w:szCs w:val="24"/>
          <w:lang w:eastAsia="zh-CN"/>
        </w:rPr>
        <w:t>wk</w:t>
      </w:r>
      <w:r w:rsidR="002F59D9" w:rsidRPr="001339DB">
        <w:rPr>
          <w:rFonts w:ascii="Book Antiqua" w:hAnsi="Book Antiqua"/>
          <w:sz w:val="24"/>
          <w:szCs w:val="24"/>
        </w:rPr>
        <w:t xml:space="preserve"> period. Recent research has shown that the combination of these drugs achieves high levels of sustained virological response (SVR) in both treatment-naïve and treatment-expe</w:t>
      </w:r>
      <w:r w:rsidR="00E22E31">
        <w:rPr>
          <w:rFonts w:ascii="Book Antiqua" w:hAnsi="Book Antiqua"/>
          <w:sz w:val="24"/>
          <w:szCs w:val="24"/>
        </w:rPr>
        <w:t>rienced HCV genotype 1 patients</w:t>
      </w:r>
      <w:r w:rsidR="003827E7" w:rsidRPr="00E22E31">
        <w:rPr>
          <w:rFonts w:ascii="Book Antiqua" w:hAnsi="Book Antiqua"/>
          <w:sz w:val="24"/>
          <w:szCs w:val="24"/>
          <w:vertAlign w:val="superscript"/>
        </w:rPr>
        <w:fldChar w:fldCharType="begin" w:fldLock="1"/>
      </w:r>
      <w:r w:rsidR="00A11871" w:rsidRPr="00E22E31">
        <w:rPr>
          <w:rFonts w:ascii="Book Antiqua" w:hAnsi="Book Antiqua"/>
          <w:sz w:val="24"/>
          <w:szCs w:val="24"/>
          <w:vertAlign w:val="superscript"/>
        </w:rPr>
        <w:instrText>ADDIN CSL_CITATION { "citationItems" : [ { "id" : "ITEM-1", "itemData" : { "DOI" : "10.1056/NEJMoa1402454", "ISBN" : "1533-4406 (Electronic)\\n0028-4793 (Linking)", "ISSN" : "1533-4406", "PMID" : "24725239", "abstract" : "Background In phase 2 studies, treatment with the all-oral combination of the nucleotide polymerase inhibitor sofosbuvir and the NS5A inhibitor ledipasvir resulted in high rates of sustained virologic response among previously untreated patients with hepatitis C virus (HCV) genotype 1 infection. Methods We conducted a phase 3, open-label study involving previously untreated patients with chronic HCV genotype 1 infection. Patients were randomly assigned in a 1:1:1:1 ratio to receive ledipasvir and sofosbuvir in a fixed-dose combination tablet once daily for 12 weeks, ledipasvir-sofosbuvir plus ribavirin for 12 weeks, ledipasvir-sofosbuvir for 24 weeks, or ledipasvir-sofosbuvir plus ribavirin for 24 weeks. The primary end point was a sustained virologic response at 12 weeks after the end of therapy. Results Of the 865 patients who underwent randomization and were treated, 16% had cirrhosis, 12% were black, and 67% had HCV genotype 1a infection. The rates of sustained virologic response were 99% (95% confidence interval [CI], 96 to 100) in the group that received 12 weeks of ledipasvir-sofosbuvir; 97% (95% CI, 94 to 99) in the group that received 12 weeks of ledipasvir-sofosbuvir plus ribavirin; 98% (95% CI, 95 to 99) in the group that received 24 weeks of ledipasvir-sofosbuvir; and 99% (95% CI, 97 to 100) in the group that received 24 weeks of ledipasvir-sofosbuvir plus ribavirin. No patient in either 12-week group discontinued ledipasvir-sofosbuvir owing to an adverse event. The most common adverse events were fatigue, headache, insomnia, and nausea. Conclusions Once-daily ledipasvir-sofosbuvir with or without ribavirin for 12 or 24 weeks was highly effective in previously untreated patients with HCV genotype 1 infection. (Funded by Gilead Sciences; ION-1 ClinicalTrials.gov number NCT01701401 .).", "author" : [ { "dropping-particle" : "", "family" : "Afdhal", "given" : "Nezam", "non-dropping-particle" : "", "parse-names" : false, "suffix" : "" }, { "dropping-particle" : "", "family" : "Zeuzem", "given" : "Stefan", "non-dropping-particle" : "", "parse-names" : false, "suffix" : "" }, { "dropping-particle" : "", "family" : "Kwo", "given" : "Paul", "non-dropping-particle" : "", "parse-names" : false, "suffix" : "" }, { "dropping-particle" : "", "family" : "Chojkier", "given" : "Mario", "non-dropping-particle" : "", "parse-names" : false, "suffix" : "" }, { "dropping-particle" : "", "family" : "Gitlin", "given" : "Norman", "non-dropping-particle" : "", "parse-names" : false, "suffix" : "" }, { "dropping-particle" : "", "family" : "Puoti", "given" : "Massimo", "non-dropping-particle" : "", "parse-names" : false, "suffix" : "" }, { "dropping-particle" : "", "family" : "Romero-Gomez", "given" : "Manuel", "non-dropping-particle" : "", "parse-names" : false, "suffix" : "" }, { "dropping-particle" : "", "family" : "Zarski", "given" : "Jean-Pierre", "non-dropping-particle" : "", "parse-names" : false, "suffix" : "" }, { "dropping-particle" : "", "family" : "Agarwal", "given" : "Kosh", "non-dropping-particle" : "", "parse-names" : false, "suffix" : "" }, { "dropping-particle" : "", "family" : "Buggisch", "given" : "Peter", "non-dropping-particle" : "", "parse-names" : false, "suffix" : "" }, { "dropping-particle" : "", "family" : "Foster", "given" : "Graham R", "non-dropping-particle" : "", "parse-names" : false, "suffix" : "" }, { "dropping-particle" : "", "family" : "Br\u00e4u", "given" : "Norbert", "non-dropping-particle" : "", "parse-names" : false, "suffix" : "" }, { "dropping-particle" : "", "family" : "Buti", "given" : "Maria", "non-dropping-particle" : "", "parse-names" : false, "suffix" : "" }, { "dropping-particle" : "", "family" : "Jacobson", "given" : "Ira M", "non-dropping-particle" : "", "parse-names" : false, "suffix" : "" }, { "dropping-particle" : "", "family" : "Subramanian", "given" : "G Mani", "non-dropping-particle" : "", "parse-names" : false, "suffix" : "" }, { "dropping-particle" : "", "family" : "Ding", "given" : "Xiao", "non-dropping-particle" : "", "parse-names" : false, "suffix" : "" }, { "dropping-particle" : "", "family" : "Mo", "given" : "Hongmei", "non-dropping-particle" : "", "parse-names" : false, "suffix" : "" }, { "dropping-particle" : "", "family" : "Yang", "given" : "Jenny C", "non-dropping-particle" : "", "parse-names" : false, "suffix" : "" }, { "dropping-particle" : "", "family" : "Pang", "given" : "Phillip S", "non-dropping-particle" : "", "parse-names" : false, "suffix" : "" }, { "dropping-particle" : "", "family" : "Symonds", "given" : "William T", "non-dropping-particle" : "", "parse-names" : false, "suffix" : "" }, { "dropping-particle" : "", "family" : "McHutchison", "given" : "John G", "non-dropping-particle" : "", "parse-names" : false, "suffix" : "" }, { "dropping-particle" : "", "family" : "Muir", "given" : "Andrew J", "non-dropping-particle" : "", "parse-names" : false, "suffix" : "" }, { "dropping-particle" : "", "family" : "Mangia", "given" : "Alessandra", "non-dropping-particle" : "", "parse-names" : false, "suffix" : "" }, { "dropping-particle" : "", "family" : "Marcellin", "given" : "Patrick", "non-dropping-particle" : "", "parse-names" : false, "suffix" : "" } ], "container-title" : "The New England journal of medicine", "id" : "ITEM-1", "issued" : { "date-parts" : [ [ "2014" ] ] }, "page" : "1889-1898", "title" : "Ledipasvir and Sofosbuvir for Untreated HCV Genotype 1 Infection.", "type" : "article-journal" }, "uris" : [ "http://www.mendeley.com/documents/?uuid=42a90d38-2a80-47c3-93fd-bf80cd3f2b3d" ] }, { "id" : "ITEM-2", "itemData" : { "DOI" : "10.1056/NEJMoa1316366", "ISBN" : "1533-4406 (Electronic)\\n0028-4793 (Linking)", "ISSN" : "1533-4406", "PMID" : "24725238", "abstract" : "BACKGROUND: Effective treatment for hepatitis C virus (HCV) genotype 1 infection in patients who have not had a sustained virologic response to prior interferon-based therapy represents an unmet medical need.\\n\\nMETHODS: We conducted a phase 3, randomized, open-label study involving patients infected with HCV genotype 1 who had not had a sustained virologic response after treatment with peginterferon and ribavirin, with or without a protease inhibitor. Patients were randomly assigned to receive the NS5A inhibitor ledipasvir and the nucleotide polymerase inhibitor sofosbuvir in a once-daily, fixed-dose combination tablet for 12 weeks, ledipasvir-sofosbuvir plus ribavirin for 12 weeks, ledipasvir-sofosbuvir for 24 weeks, or ledipasvir-sofosbuvir plus ribavirin for 24 weeks. The primary end point was a sustained virologic response at 12 weeks after the end of therapy.\\n\\nRESULTS: Among the 440 patients who underwent randomization and were treated, 20% had cirrhosis and 79% had HCV genotype 1a infection. The rates of sustained virologic response were high in all treatment groups: 94% (95% confidence interval [CI], 87 to 97) in the group that received 12 weeks of ledipasvir-sofosbuvir; 96% (95% CI, 91 to 99) in the group that received 12 weeks of ledipasvir-sofosbuvir and ribavirin; 99% (95% CI, 95 to 100) in the group that received 24 weeks of ledipasvir-sofosbuvir; and 99% (95% CI, 95 to 100) in the group that received 24 weeks of ledipasvir-sofosbuvir and ribavirin. No patient discontinued treatment owing to an adverse event. The most common adverse events were fatigue, headache, and nausea.\\n\\nCONCLUSIONS: Treatment with a once-daily, single-tablet regimen of ledipasvir and sofosbuvir resulted in high rates of sustained virologic response among patients with HCV genotype 1 infection who had not had a sustained virologic response to prior interferon-based treatment. (Funded by Gilead Sciences; ION-2 ClinicalTrials.gov number, NCT01768286.).", "author" : [ { "dropping-particle" : "", "family" : "Afdhal", "given" : "Nezam", "non-dropping-particle" : "", "parse-names" : false, "suffix" : "" }, { "dropping-particle" : "", "family" : "Reddy", "given" : "K Rajender", "non-dropping-particle" : "", "parse-names" : false, "suffix" : "" }, { "dropping-particle" : "", "family" : "Nelson", "given" : "David R", "non-dropping-particle" : "", "parse-names" : false, "suffix" : "" }, { "dropping-particle" : "", "family" : "Lawitz", "given" : "Eric", "non-dropping-particle" : "", "parse-names" : false, "suffix" : "" }, { "dropping-particle" : "", "family" : "Gordon", "given" : "Stuart C", "non-dropping-particle" : "", "parse-names" : false, "suffix" : "" }, { "dropping-particle" : "", "family" : "Schiff", "given" : "Eugene", "non-dropping-particle" : "", "parse-names" : false, "suffix" : "" }, { "dropping-particle" : "", "family" : "Nahass", "given" : "Ronald", "non-dropping-particle" : "", "parse-names" : false, "suffix" : "" }, { "dropping-particle" : "", "family" : "Ghalib", "given" : "Reem", "non-dropping-particle" : "", "parse-names" : false, "suffix" : "" }, { "dropping-particle" : "", "family" : "Gitlin", "given" : "Norman", "non-dropping-particle" : "", "parse-names" : false, "suffix" : "" }, { "dropping-particle" : "", "family" : "Herring", "given" : "Robert", "non-dropping-particle" : "", "parse-names" : false, "suffix" : "" }, { "dropping-particle" : "", "family" : "Lalezari", "given" : "Jacob", "non-dropping-particle" : "", "parse-names" : false, "suffix" : "" }, { "dropping-particle" : "", "family" : "Younes", "given" : "Ziad H", "non-dropping-particle" : "", "parse-names" : false, "suffix" : "" }, { "dropping-particle" : "", "family" : "Pockros", "given" : "Paul J", "non-dropping-particle" : "", "parse-names" : false, "suffix" : "" }, { "dropping-particle" : "", "family" : "Bisceglie", "given" : "Adrian M", "non-dropping-particle" : "Di", "parse-names" : false, "suffix" : "" }, { "dropping-particle" : "", "family" : "Arora", "given" : "Sanjeev", "non-dropping-particle" : "", "parse-names" : false, "suffix" : "" }, { "dropping-particle" : "", "family" : "Subramanian", "given" : "G Mani", "non-dropping-particle" : "", "parse-names" : false, "suffix" : "" }, { "dropping-particle" : "", "family" : "Zhu", "given" : "Yanni", "non-dropping-particle" : "", "parse-names" : false, "suffix" : "" }, { "dropping-particle" : "", "family" : "Dvory-Sobol", "given" : "Hadas", "non-dropping-particle" : "", "parse-names" : false, "suffix" : "" }, { "dropping-particle" : "", "family" : "Yang", "given" : "Jenny C", "non-dropping-particle" : "", "parse-names" : false, "suffix" : "" }, { "dropping-particle" : "", "family" : "Pang", "given" : "Phillip S", "non-dropping-particle" : "", "parse-names" : false, "suffix" : "" }, { "dropping-particle" : "", "family" : "Symonds", "given" : "William T", "non-dropping-particle" : "", "parse-names" : false, "suffix" : "" }, { "dropping-particle" : "", "family" : "McHutchison", "given" : "John G", "non-dropping-particle" : "", "parse-names" : false, "suffix" : "" }, { "dropping-particle" : "", "family" : "Muir", "given" : "Andrew J", "non-dropping-particle" : "", "parse-names" : false, "suffix" : "" }, { "dropping-particle" : "", "family" : "Sulkowski", "given" : "Mark", "non-dropping-particle" : "", "parse-names" : false, "suffix" : "" }, { "dropping-particle" : "", "family" : "Kwo", "given" : "Paul", "non-dropping-particle" : "", "parse-names" : false, "suffix" : "" } ], "container-title" : "The New England journal of medicine", "id" : "ITEM-2", "issue" : "16", "issued" : { "date-parts" : [ [ "2014" ] ] }, "page" : "1483-93", "title" : "Ledipasvir and sofosbuvir for previously treated HCV genotype 1 infection.", "type" : "article-journal", "volume" : "370" }, "uris" : [ "http://www.mendeley.com/documents/?uuid=4271544d-534e-4adb-b9bd-51bbc7b05b07" ] }, { "id" : "ITEM-3", "itemData" : { "DOI" : "10.1056/NEJMoa1402355", "ISBN" : "0028-4793", "ISSN" : "0028-4793", "PMID" : "24720702", "abstract" : "Background High rates of sustained virologic response were observed among patients with hepatitis C virus (HCV) infection who received 12 weeks of treatment with the nucleotide polymerase inhibitor sofosbuvir combined with the NS5A inhibitor ledipasvir. This study examined 8 weeks of treatment with this regimen. Methods In this phase 3, open-label study, we randomly assigned 647 previously untreated patients with HCV genotype 1 infection without cirrhosis to receive ledipasvir and sofosbuvir (ledipasvir-sofosbuvir) for 8 weeks, ledipasvir-sofosbuvir plus ribavirin for 8 weeks, or ledipasvir-sofosbuvir for 12 weeks. The primary end point was sustained virologic response at 12 weeks after the end of therapy. Results The rate of sustained virologic response was 94% (95% confidence interval [CI], 90 to 97) with 8 weeks of ledipasvir-sofosbuvir, 93% (95% CI, 89 to 96) with 8 weeks of ledipasvir-sofosbuvir plus ribavirin, and 95% (95% CI, 92 to 98) with 12 weeks of ledipasvir-sofosbuvir. As compared with the rate of sustained virologic response in the group that received 8 weeks of ledipasvir-sofosbuvir, the rate in the 12-week group was 1 percentage point higher (97.5% CI, -4 to 6) and the rate in the group that received 8 weeks of ledipasvir-sofosbuvir with ribavirin was 1 percentage point lower (95% CI, -6 to 4); these results indicated noninferiority of the 8-week ledipasvir-sofosbuvir regimen, on the basis of a noninferiority margin of 12 percentage points. Adverse events were more common in the group that received ribavirin than in the other two groups. No patient who received 8 weeks of only ledipasvir-sofosbuvir discontinued treatment owing to adverse events. Conclusions Ledipasvir-sofosbuvir for 8 weeks was associated with a high rate of sustained virologic response among previously untreated patients with HCV genotype 1 infection without cirrhosis. No additional benefit was associated with the inclusion of ribavirin in the regimen or with extension of the duration of treatment to 12 weeks. (Funded by Gilead Sciences; ION-3 ClinicalTrials.gov number, NCT01851330).", "author" : [ { "dropping-particle" : "V.", "family" : "Kowdley", "given" : "Kris", "non-dropping-particle" : "", "parse-names" : false, "suffix" : "" }, { "dropping-particle" : "", "family" : "Gordon", "given" : "Stuart C.", "non-dropping-particle" : "", "parse-names" : false, "suffix" : "" }, { "dropping-particle" : "", "family" : "Reddy", "given" : "K. Rajender", "non-dropping-particle" : "", "parse-names" : false, "suffix" : "" }, { "dropping-particle" : "", "family" : "Rossaro", "given" : "Lorenzo", "non-dropping-particle" : "", "parse-names" : false, "suffix" : "" }, { "dropping-particle" : "", "family" : "Bernstein", "given" : "David E.", "non-dropping-particle" : "", "parse-names" : false, "suffix" : "" }, { "dropping-particle" : "", "family" : "Lawitz", "given" : "Eric", "non-dropping-particle" : "", "parse-names" : false, "suffix" : "" }, { "dropping-particle" : "", "family" : "Shiffman", "given" : "Mitchell L.", "non-dropping-particle" : "", "parse-names" : false, "suffix" : "" }, { "dropping-particle" : "", "family" : "Schiff", "given" : "Eugene", "non-dropping-particle" : "", "parse-names" : false, "suffix" : "" }, { "dropping-particle" : "", "family" : "Ghalib", "given" : "Reem", "non-dropping-particle" : "", "parse-names" : false, "suffix" : "" }, { "dropping-particle" : "", "family" : "Ryan", "given" : "Michael", "non-dropping-particle" : "", "parse-names" : false, "suffix" : "" }, { "dropping-particle" : "", "family" : "Rustgi", "given" : "Vinod", "non-dropping-particle" : "", "parse-names" : false, "suffix" : "" }, { "dropping-particle" : "", "family" : "Chojkier", "given" : "Mario", "non-dropping-particle" : "", "parse-names" : false, "suffix" : "" }, { "dropping-particle" : "", "family" : "Herring", "given" : "Robert", "non-dropping-particle" : "", "parse-names" : false, "suffix" : "" }, { "dropping-particle" : "", "family" : "Bisceglie", "given" : "Adrian M.", "non-dropping-particle" : "Di", "parse-names" : false, "suffix" : "" }, { "dropping-particle" : "", "family" : "Pockros", "given" : "Paul J.", "non-dropping-particle" : "", "parse-names" : false, "suffix" : "" }, { "dropping-particle" : "", "family" : "Subramanian", "given" : "G. Mani", "non-dropping-particle" : "", "parse-names" : false, "suffix" : "" }, { "dropping-particle" : "", "family" : "An", "given" : "Di", "non-dropping-particle" : "", "parse-names" : false, "suffix" : "" }, { "dropping-particle" : "", "family" : "Svarovskaia", "given" : "Evguenia", "non-dropping-particle" : "", "parse-names" : false, "suffix" : "" }, { "dropping-particle" : "", "family" : "Hyland", "given" : "Robert H.", "non-dropping-particle" : "", "parse-names" : false, "suffix" : "" }, { "dropping-particle" : "", "family" : "Pang", "given" : "Phillip S.", "non-dropping-particle" : "", "parse-names" : false, "suffix" : "" }, { "dropping-particle" : "", "family" : "Symonds", "given" : "William T.", "non-dropping-particle" : "", "parse-names" : false, "suffix" : "" }, { "dropping-particle" : "", "family" : "McHutchison", "given" : "John G.", "non-dropping-particle" : "", "parse-names" : false, "suffix" : "" }, { "dropping-particle" : "", "family" : "Muir", "given" : "Andrew J.", "non-dropping-particle" : "", "parse-names" : false, "suffix" : "" }, { "dropping-particle" : "", "family" : "Pound", "given" : "David", "non-dropping-particle" : "", "parse-names" : false, "suffix" : "" }, { "dropping-particle" : "", "family" : "Fried", "given" : "Michael W.", "non-dropping-particle" : "", "parse-names" : false, "suffix" : "" } ], "container-title" : "The New England Journal of Medicine", "id" : "ITEM-3", "issued" : { "date-parts" : [ [ "2014" ] ] }, "page" : "140410220032007", "title" : "Ledipasvir and Sofosbuvir for 8 or 12 Weeks for Chronic HCV without Cirrhosis", "type" : "article-journal" }, "uris" : [ "http://www.mendeley.com/documents/?uuid=eb046c9b-951e-4813-aa3b-10a6edeb1abf" ] } ], "mendeley" : { "formattedCitation" : "[17\u201319]", "plainTextFormattedCitation" : "[17\u201319]", "previouslyFormattedCitation" : "[17\u201319]" }, "properties" : { "noteIndex" : 0 }, "schema" : "https://github.com/citation-style-language/schema/raw/master/csl-citation.json" }</w:instrText>
      </w:r>
      <w:r w:rsidR="003827E7" w:rsidRPr="00E22E31">
        <w:rPr>
          <w:rFonts w:ascii="Book Antiqua" w:hAnsi="Book Antiqua"/>
          <w:sz w:val="24"/>
          <w:szCs w:val="24"/>
          <w:vertAlign w:val="superscript"/>
        </w:rPr>
        <w:fldChar w:fldCharType="separate"/>
      </w:r>
      <w:r w:rsidR="00364039" w:rsidRPr="00E22E31">
        <w:rPr>
          <w:rFonts w:ascii="Book Antiqua" w:hAnsi="Book Antiqua"/>
          <w:noProof/>
          <w:sz w:val="24"/>
          <w:szCs w:val="24"/>
          <w:vertAlign w:val="superscript"/>
        </w:rPr>
        <w:t>[17–19]</w:t>
      </w:r>
      <w:r w:rsidR="003827E7" w:rsidRPr="00E22E31">
        <w:rPr>
          <w:rFonts w:ascii="Book Antiqua" w:hAnsi="Book Antiqua"/>
          <w:sz w:val="24"/>
          <w:szCs w:val="24"/>
          <w:vertAlign w:val="superscript"/>
        </w:rPr>
        <w:fldChar w:fldCharType="end"/>
      </w:r>
      <w:r w:rsidR="002F59D9" w:rsidRPr="001339DB">
        <w:rPr>
          <w:rFonts w:ascii="Book Antiqua" w:hAnsi="Book Antiqua"/>
          <w:sz w:val="24"/>
          <w:szCs w:val="24"/>
        </w:rPr>
        <w:t>. Additional evidence shows that the combination of these two drugs is cost-effective compared with standard of care for most eligibl</w:t>
      </w:r>
      <w:r w:rsidR="00E22E31">
        <w:rPr>
          <w:rFonts w:ascii="Book Antiqua" w:hAnsi="Book Antiqua"/>
          <w:sz w:val="24"/>
          <w:szCs w:val="24"/>
        </w:rPr>
        <w:t>e patients in the United States</w:t>
      </w:r>
      <w:r w:rsidR="003827E7" w:rsidRPr="00E22E31">
        <w:rPr>
          <w:rFonts w:ascii="Book Antiqua" w:hAnsi="Book Antiqua"/>
          <w:sz w:val="24"/>
          <w:szCs w:val="24"/>
          <w:vertAlign w:val="superscript"/>
        </w:rPr>
        <w:fldChar w:fldCharType="begin" w:fldLock="1"/>
      </w:r>
      <w:r w:rsidR="00A11871" w:rsidRPr="00E22E31">
        <w:rPr>
          <w:rFonts w:ascii="Book Antiqua" w:hAnsi="Book Antiqua"/>
          <w:sz w:val="24"/>
          <w:szCs w:val="24"/>
          <w:vertAlign w:val="superscript"/>
        </w:rPr>
        <w:instrText>ADDIN CSL_CITATION { "citationItems" : [ { "id" : "ITEM-1", "itemData" : { "DOI" : "10.7326/M14-1336", "author" : [ { "dropping-particle" : "", "family" : "Chhatwal", "given" : "Jagpreet", "non-dropping-particle" : "", "parse-names" : false, "suffix" : "" }, { "dropping-particle" : "", "family" : "Kanwal", "given" : "Fasiha", "non-dropping-particle" : "", "parse-names" : false, "suffix" : "" }, { "dropping-particle" : "", "family" : "Roberts", "given" : "Mark S.", "non-dropping-particle" : "", "parse-names" : false, "suffix" : "" }, { "dropping-particle" : "", "family" : "Dunn", "given" : "Michael A.", "non-dropping-particle" : "", "parse-names" : false, "suffix" : "" } ], "container-title" : "Annals of Internal Medicine", "id" : "ITEM-1", "issue" : "6", "issued" : { "date-parts" : [ [ "2015" ] ] }, "page" : "397-406", "title" : "Cost-Effectiveness and Budget Impact of Hepatitis C Virus Treatment With Sofosbuvir and Ledipasvir in the United States", "type" : "article-journal", "volume" : "162" }, "uris" : [ "http://www.mendeley.com/documents/?uuid=874f66a0-8ce6-4f02-8772-45e0ac45dcfc" ] } ], "mendeley" : { "formattedCitation" : "[20]", "plainTextFormattedCitation" : "[20]", "previouslyFormattedCitation" : "[20]" }, "properties" : { "noteIndex" : 0 }, "schema" : "https://github.com/citation-style-language/schema/raw/master/csl-citation.json" }</w:instrText>
      </w:r>
      <w:r w:rsidR="003827E7" w:rsidRPr="00E22E31">
        <w:rPr>
          <w:rFonts w:ascii="Book Antiqua" w:hAnsi="Book Antiqua"/>
          <w:sz w:val="24"/>
          <w:szCs w:val="24"/>
          <w:vertAlign w:val="superscript"/>
        </w:rPr>
        <w:fldChar w:fldCharType="separate"/>
      </w:r>
      <w:r w:rsidR="00364039" w:rsidRPr="00E22E31">
        <w:rPr>
          <w:rFonts w:ascii="Book Antiqua" w:hAnsi="Book Antiqua"/>
          <w:noProof/>
          <w:sz w:val="24"/>
          <w:szCs w:val="24"/>
          <w:vertAlign w:val="superscript"/>
        </w:rPr>
        <w:t>[20]</w:t>
      </w:r>
      <w:r w:rsidR="003827E7" w:rsidRPr="00E22E31">
        <w:rPr>
          <w:rFonts w:ascii="Book Antiqua" w:hAnsi="Book Antiqua"/>
          <w:sz w:val="24"/>
          <w:szCs w:val="24"/>
          <w:vertAlign w:val="superscript"/>
        </w:rPr>
        <w:fldChar w:fldCharType="end"/>
      </w:r>
      <w:r w:rsidR="002F59D9" w:rsidRPr="001339DB">
        <w:rPr>
          <w:rFonts w:ascii="Book Antiqua" w:hAnsi="Book Antiqua"/>
          <w:sz w:val="24"/>
          <w:szCs w:val="24"/>
        </w:rPr>
        <w:t>. We assumed that only individuals that test positive for LF are treated with antivirals. Patients in a decompensated cirrhosis (DC), hepatocellular carcinoma (HCC), liver transplantation (LTX), and post-LTX state received the standard of care.</w:t>
      </w:r>
    </w:p>
    <w:p w:rsidR="00E22E31" w:rsidRPr="001339DB" w:rsidRDefault="00E22E31" w:rsidP="00E22E31">
      <w:pPr>
        <w:adjustRightInd w:val="0"/>
        <w:snapToGrid w:val="0"/>
        <w:spacing w:after="0" w:line="360" w:lineRule="auto"/>
        <w:ind w:firstLineChars="100" w:firstLine="240"/>
        <w:jc w:val="both"/>
        <w:rPr>
          <w:rFonts w:ascii="Book Antiqua" w:hAnsi="Book Antiqua"/>
          <w:sz w:val="24"/>
          <w:szCs w:val="24"/>
          <w:lang w:eastAsia="zh-CN"/>
        </w:rPr>
      </w:pPr>
    </w:p>
    <w:p w:rsidR="00C63CF4" w:rsidRPr="00E22E31" w:rsidRDefault="00C63CF4" w:rsidP="001339DB">
      <w:pPr>
        <w:pStyle w:val="Heading2"/>
        <w:adjustRightInd w:val="0"/>
        <w:snapToGrid w:val="0"/>
        <w:spacing w:before="0" w:after="0" w:line="360" w:lineRule="auto"/>
        <w:jc w:val="both"/>
        <w:rPr>
          <w:rFonts w:ascii="Book Antiqua" w:hAnsi="Book Antiqua"/>
          <w:i/>
          <w:sz w:val="24"/>
          <w:szCs w:val="24"/>
        </w:rPr>
      </w:pPr>
      <w:r w:rsidRPr="00E22E31">
        <w:rPr>
          <w:rFonts w:ascii="Book Antiqua" w:hAnsi="Book Antiqua"/>
          <w:i/>
          <w:sz w:val="24"/>
          <w:szCs w:val="24"/>
        </w:rPr>
        <w:t>Markov model for ALD</w:t>
      </w:r>
    </w:p>
    <w:p w:rsidR="00382070" w:rsidRPr="001339DB" w:rsidRDefault="00D9534A" w:rsidP="001339DB">
      <w:pPr>
        <w:adjustRightInd w:val="0"/>
        <w:snapToGrid w:val="0"/>
        <w:spacing w:after="0" w:line="360" w:lineRule="auto"/>
        <w:jc w:val="both"/>
        <w:rPr>
          <w:rFonts w:ascii="Book Antiqua" w:hAnsi="Book Antiqua"/>
          <w:sz w:val="24"/>
          <w:szCs w:val="24"/>
        </w:rPr>
      </w:pPr>
      <w:r w:rsidRPr="001339DB">
        <w:rPr>
          <w:rFonts w:ascii="Book Antiqua" w:hAnsi="Book Antiqua"/>
          <w:sz w:val="24"/>
          <w:szCs w:val="24"/>
        </w:rPr>
        <w:t>The model used for ALD (Figure 1B) is based on earlier work on fibrosi</w:t>
      </w:r>
      <w:r w:rsidR="00CA3B86">
        <w:rPr>
          <w:rFonts w:ascii="Book Antiqua" w:hAnsi="Book Antiqua"/>
          <w:sz w:val="24"/>
          <w:szCs w:val="24"/>
        </w:rPr>
        <w:t>s progression in heavy drinkers</w:t>
      </w:r>
      <w:r w:rsidR="003827E7" w:rsidRPr="00CA3B86">
        <w:rPr>
          <w:rFonts w:ascii="Book Antiqua" w:hAnsi="Book Antiqua"/>
          <w:sz w:val="24"/>
          <w:szCs w:val="24"/>
          <w:vertAlign w:val="superscript"/>
        </w:rPr>
        <w:fldChar w:fldCharType="begin" w:fldLock="1"/>
      </w:r>
      <w:r w:rsidR="003A7F4C" w:rsidRPr="00CA3B86">
        <w:rPr>
          <w:rFonts w:ascii="Book Antiqua" w:hAnsi="Book Antiqua"/>
          <w:sz w:val="24"/>
          <w:szCs w:val="24"/>
          <w:vertAlign w:val="superscript"/>
        </w:rPr>
        <w:instrText>ADDIN CSL_CITATION { "citationItems" : [ { "id" : "ITEM-1", "itemData" : { "DOI" : "10.1111/j.1365-2036.2007.03302.x", "ISSN" : "02692813", "PMID" : "17439505", "abstract" : "BACKGROUND: Studies using consecutive liver biopsies constitute an attractive approach to gaining insight into the pathogenesis of alcoholic liver disease.\\n\\nAIM: To analyse histological factors at baseline, which are predictive of fibrosis progression and recurrence of alcoholic hepatitis.\\n\\nRESULTS: A total of 193 drinkers underwent consecutive biopsies at an interval of 4 years. At baseline, 20 had normal livers, 135 steatosis, five fibrosis and 33 alcoholic hepatitis. The fibrosis score increased from 1.07 +/- 0.07 to 1.7 +/- 0.94 (P &lt; 0.001). In multivariate analysis, only steatosis (P = 0.04), alcoholic hepatitis (P = 0.0004) and stage of fibrosis (P &lt; 0.0001) were independent predictive factors of the fibrosis score at the second biopsy. Cirrhosis developed more frequently in patients with steatosis (11%) and alcoholic hepatitis (39%) than in others (0%, P &lt; 0.0001). Alcoholic hepatitis recurred more frequently in patients with alcoholic hepatitis at baseline: 58% vs. 15%, P &lt; 0.0001. In multivariate analysis, alcoholic hepatitis at the first biopsy was the only predictive factor of its recurrence (P &lt; 0.0001).\\n\\nCONCLUSIONS: In a large cohort of drinkers with consecutive biopsies, steatosis, fibrosis stage and alcoholic hepatitis at baseline were independent predictive factors of fibrosis progression. In terms of mechanisms, we propose a novel concept of multiple hits of alcoholic hepatitis occurring in the same patient.", "author" : [ { "dropping-particle" : "", "family" : "Mathurin", "given" : "P.", "non-dropping-particle" : "", "parse-names" : false, "suffix" : "" }, { "dropping-particle" : "", "family" : "Beuzin", "given" : "F.", "non-dropping-particle" : "", "parse-names" : false, "suffix" : "" }, { "dropping-particle" : "", "family" : "Louvet", "given" : "A.", "non-dropping-particle" : "", "parse-names" : false, "suffix" : "" }, { "dropping-particle" : "", "family" : "Carri\u00e9-Ganne", "given" : "N.", "non-dropping-particle" : "", "parse-names" : false, "suffix" : "" }, { "dropping-particle" : "", "family" : "Balian", "given" : "A.", "non-dropping-particle" : "", "parse-names" : false, "suffix" : "" }, { "dropping-particle" : "", "family" : "Trinchet", "given" : "J. C.", "non-dropping-particle" : "", "parse-names" : false, "suffix" : "" }, { "dropping-particle" : "", "family" : "Dalsoglio", "given" : "D.", "non-dropping-particle" : "", "parse-names" : false, "suffix" : "" }, { "dropping-particle" : "", "family" : "Prevot", "given" : "S.", "non-dropping-particle" : "", "parse-names" : false, "suffix" : "" }, { "dropping-particle" : "", "family" : "Naveau", "given" : "S.", "non-dropping-particle" : "", "parse-names" : false, "suffix" : "" } ], "container-title" : "Alimentary Pharmacology and Therapeutics", "id" : "ITEM-1", "issue" : "9", "issued" : { "date-parts" : [ [ "2007" ] ] }, "page" : "1047-1054", "title" : "Fibrosis progression occurs in a subgroup of heavy drinkers with typical histological features", "type" : "article-journal", "volume" : "25" }, "uris" : [ "http://www.mendeley.com/documents/?uuid=65defb10-8164-4a0b-88e8-bd05f67f11fe" ] }, { "id" : "ITEM-2", "itemData" : { "author" : [ { "dropping-particle" : "", "family" : "Teli MR, Day, CP, Burt AD, Bennett MK", "given" : "James of.", "non-dropping-particle" : "", "parse-names" : false, "suffix" : "" } ], "container-title" : "Lancet", "id" : "ITEM-2", "issued" : { "date-parts" : [ [ "1995" ] ] }, "page" : "987-990", "title" : "Determinants of progression to cirrhosis alcoholic fatty liver", "type" : "article-journal", "volume" : "346" }, "uris" : [ "http://www.mendeley.com/documents/?uuid=c283aeb8-94fb-4899-b882-59e8334e62b0" ] }, { "id" : "ITEM-3", "itemData" : { "DOI" : "10.1002/hep.23500", "ISSN" : "02709139", "PMID" : "20186844", "abstract" : "The clinical course of alcoholic cirrhosis, a condition with a high mortality, has not been well described. We examined prevalence, risk, chronology, and mortality associated with three complications of cirrhosis: ascites, variceal bleeding, and hepatic encephalopathy. We followed a population-based cohort of 466 Danish patients diagnosed with alcoholic cirrhosis in 1993-2005, starting from the date of hospital diagnosis and ending in August 2006. Data were extracted from medical charts during the follow-up period. Risk and mortality associated with complications were calculated using competing-risks methods. At diagnosis of alcoholic cirrhosis, 24% of patients had no complications, 55% had ascites alone, 6% had variceal bleeding alone, 4% had ascites and variceal bleeding, and 11% had hepatic encephalopathy. One-year mortality was 17% among patients with no initial complications, 20% following variceal bleeding alone, 29% following ascites alone, 49% following ascites and variceal bleeding (from the onset of the later of the two complications), and 64% following hepatic encephalopathy. Five-year mortality ranged from 58% to 85%. The risk of complications was about 25% after 1 year and 50% after 5 years for all patients without hepatic encephalopathy. The complications under study did not develop in any predictable sequence. Although patients initially without complications usually developed ascites first (12% within 1 year), many developed either variceal bleeding first (6% within 1 year) or hepatic encephalopathy first (4% within 1 year). Subsequent complications occurred in an unpredictable order among patients with ascites or variceal bleeding. CONCLUSION: Patients with alcoholic cirrhosis had a high prevalence of complications at the time of cirrhosis diagnosis. The presence and type of complications at diagnosis were predictors of mortality, but not of the risk of subsequent complications.", "author" : [ { "dropping-particle" : "", "family" : "Jepsen", "given" : "Peter", "non-dropping-particle" : "", "parse-names" : false, "suffix" : "" }, { "dropping-particle" : "", "family" : "Ott", "given" : "Peter", "non-dropping-particle" : "", "parse-names" : false, "suffix" : "" }, { "dropping-particle" : "", "family" : "Andersen", "given" : "Per Kragh", "non-dropping-particle" : "", "parse-names" : false, "suffix" : "" }, { "dropping-particle" : "", "family" : "S\u00f8rensen", "given" : "Henrik Toft", "non-dropping-particle" : "", "parse-names" : false, "suffix" : "" }, { "dropping-particle" : "", "family" : "Vilstrup", "given" : "Hendrik", "non-dropping-particle" : "", "parse-names" : false, "suffix" : "" } ], "container-title" : "Hepatology", "id" : "ITEM-3", "issue" : "5", "issued" : { "date-parts" : [ [ "2010" ] ] }, "page" : "1675-1682", "title" : "Clinical course of alcoholic liver cirrhosis: A Danish population-based cohort study", "type" : "article-journal", "volume" : "51" }, "uris" : [ "http://www.mendeley.com/documents/?uuid=012d5a6c-5988-4a5a-b3ff-eba054a29f6b" ] }, { "id" : "ITEM-4", "itemData" : { "DOI" : "10.1097/MCG.0b013e3182284e13", "ISBN" : "1539-2031", "ISSN" : "1539-2031", "PMID" : "21814145", "abstract" : "BACKGROUND: Prognosis of decompensated alcoholic cirrhosis is based mainly on studies that included patients with different severities of liver disease and did not recognize either hepatitis C virus epidemic or changes in clinical management of cirrhosis., AIM: To define the long-term course after the first hepatic decompensation in alcoholic cirrhosis., METHODS: Prospective inclusion at the start point of decompensated cirrhosis of 165 consecutive patients with alcoholic cirrhosis without known hepatocellular carcinoma hospitalized from January 1998 to December 2001 was made. Follow-up was maintained until death or the end of the observation period (April 1, 2010)., RESULTS: The patients were followed for 835.75 patient years. Median age was 56 years (95% confidence interval: 54-58). Baseline Child-Pugh score was 9 (95% CI: 8-9), and model for end-stage liver disease (MELD) was 13.8 (95% CI: 12.5-14.7). Ascites was the most frequent first decompensation (51%). During follow-up, 99 (60%) patients were abstinent, hepatocellular carcinoma developed in 18 (11%) patients, and 116 patients died (70%). Median overall survival was 61 months (95% CI: 48-74). Median survival probability after onset of hepatic encephalopathy (HE) was only 14 months (95% CI: 5-23). Age, baseline MELD, albumin, development of HE, and persistence of alcohol use were independently correlated with mortality., CONCLUSIONS: Patients with alcoholic cirrhosis show a high frequency of complications. The low mortality rate in our cohort of patients probably reflects the improvement in the management of patients with cirrhosis; it is mainly influenced by baseline MELD, age, HE development, and continued abstinence. Patients who develop HE should be considered for hepatic transplantation.", "author" : [ { "dropping-particle" : "", "family" : "Alvarez", "given" : "Marco Antonio", "non-dropping-particle" : "", "parse-names" : false, "suffix" : "" }, { "dropping-particle" : "", "family" : "Cirera", "given" : "Isabel", "non-dropping-particle" : "", "parse-names" : false, "suffix" : "" }, { "dropping-particle" : "", "family" : "Sola", "given" : "Ricard", "non-dropping-particle" : "", "parse-names" : false, "suffix" : "" }, { "dropping-particle" : "", "family" : "Bargallo", "given" : "Ana", "non-dropping-particle" : "", "parse-names" : false, "suffix" : "" }, { "dropping-particle" : "", "family" : "Morillas", "given" : "Rosa Maria", "non-dropping-particle" : "", "parse-names" : false, "suffix" : "" }, { "dropping-particle" : "", "family" : "Planas", "given" : "Ramon", "non-dropping-particle" : "", "parse-names" : false, "suffix" : "" } ], "container-title" : "Journal of clinical gastroenterology", "id" : "ITEM-4", "issue" : "10", "issued" : { "date-parts" : [ [ "2011" ] ] }, "page" : "906-911", "title" : "Long-term clinical course of decompensated alcoholic cirrhosis: a prospective study of 165 patients.", "type" : "article-journal", "volume" : "45" }, "uris" : [ "http://www.mendeley.com/documents/?uuid=099fdaad-6242-493e-ad51-39e8f749241a" ] } ], "mendeley" : { "formattedCitation" : "[21\u201324]", "plainTextFormattedCitation" : "[21\u201324]", "previouslyFormattedCitation" : "[21\u201324]" }, "properties" : { "noteIndex" : 0 }, "schema" : "https://github.com/citation-style-language/schema/raw/master/csl-citation.json" }</w:instrText>
      </w:r>
      <w:r w:rsidR="003827E7" w:rsidRPr="00CA3B86">
        <w:rPr>
          <w:rFonts w:ascii="Book Antiqua" w:hAnsi="Book Antiqua"/>
          <w:sz w:val="24"/>
          <w:szCs w:val="24"/>
          <w:vertAlign w:val="superscript"/>
        </w:rPr>
        <w:fldChar w:fldCharType="separate"/>
      </w:r>
      <w:r w:rsidR="00823CC0" w:rsidRPr="00CA3B86">
        <w:rPr>
          <w:rFonts w:ascii="Book Antiqua" w:hAnsi="Book Antiqua"/>
          <w:noProof/>
          <w:sz w:val="24"/>
          <w:szCs w:val="24"/>
          <w:vertAlign w:val="superscript"/>
        </w:rPr>
        <w:t>[21–24]</w:t>
      </w:r>
      <w:r w:rsidR="003827E7" w:rsidRPr="00CA3B86">
        <w:rPr>
          <w:rFonts w:ascii="Book Antiqua" w:hAnsi="Book Antiqua"/>
          <w:sz w:val="24"/>
          <w:szCs w:val="24"/>
          <w:vertAlign w:val="superscript"/>
        </w:rPr>
        <w:fldChar w:fldCharType="end"/>
      </w:r>
      <w:r w:rsidR="00823CC0" w:rsidRPr="00CA3B86">
        <w:rPr>
          <w:rFonts w:ascii="Book Antiqua" w:hAnsi="Book Antiqua"/>
          <w:sz w:val="24"/>
          <w:szCs w:val="24"/>
          <w:vertAlign w:val="superscript"/>
        </w:rPr>
        <w:t>.</w:t>
      </w:r>
      <w:r w:rsidR="00823CC0" w:rsidRPr="001339DB">
        <w:rPr>
          <w:rFonts w:ascii="Book Antiqua" w:hAnsi="Book Antiqua"/>
          <w:sz w:val="24"/>
          <w:szCs w:val="24"/>
        </w:rPr>
        <w:t xml:space="preserve"> </w:t>
      </w:r>
      <w:r w:rsidR="0051510C" w:rsidRPr="001339DB">
        <w:rPr>
          <w:rFonts w:ascii="Book Antiqua" w:hAnsi="Book Antiqua"/>
          <w:sz w:val="24"/>
          <w:szCs w:val="24"/>
        </w:rPr>
        <w:t>ALD individuals are annually</w:t>
      </w:r>
      <w:r w:rsidR="00AC7B09" w:rsidRPr="001339DB">
        <w:rPr>
          <w:rFonts w:ascii="Book Antiqua" w:hAnsi="Book Antiqua"/>
          <w:sz w:val="24"/>
          <w:szCs w:val="24"/>
        </w:rPr>
        <w:t xml:space="preserve"> tested for LF and</w:t>
      </w:r>
      <w:r w:rsidR="0051510C" w:rsidRPr="001339DB">
        <w:rPr>
          <w:rFonts w:ascii="Book Antiqua" w:hAnsi="Book Antiqua"/>
          <w:sz w:val="24"/>
          <w:szCs w:val="24"/>
        </w:rPr>
        <w:t xml:space="preserve"> </w:t>
      </w:r>
      <w:r w:rsidR="00AC7B09" w:rsidRPr="001339DB">
        <w:rPr>
          <w:rFonts w:ascii="Book Antiqua" w:hAnsi="Book Antiqua"/>
          <w:sz w:val="24"/>
          <w:szCs w:val="24"/>
        </w:rPr>
        <w:t>t</w:t>
      </w:r>
      <w:r w:rsidR="0051510C" w:rsidRPr="001339DB">
        <w:rPr>
          <w:rFonts w:ascii="Book Antiqua" w:hAnsi="Book Antiqua"/>
          <w:sz w:val="24"/>
          <w:szCs w:val="24"/>
        </w:rPr>
        <w:t>hose obtaining an F</w:t>
      </w:r>
      <w:r w:rsidR="00CA3B86">
        <w:rPr>
          <w:rFonts w:ascii="Book Antiqua" w:hAnsi="Book Antiqua" w:hint="eastAsia"/>
          <w:sz w:val="24"/>
          <w:szCs w:val="24"/>
          <w:lang w:eastAsia="zh-CN"/>
        </w:rPr>
        <w:t xml:space="preserve"> </w:t>
      </w:r>
      <w:r w:rsidR="00D546FD" w:rsidRPr="001339DB">
        <w:rPr>
          <w:rFonts w:ascii="Book Antiqua" w:hAnsi="Book Antiqua"/>
          <w:sz w:val="24"/>
          <w:szCs w:val="24"/>
        </w:rPr>
        <w:t>≥</w:t>
      </w:r>
      <w:r w:rsidR="00CA3B86">
        <w:rPr>
          <w:rFonts w:ascii="Book Antiqua" w:hAnsi="Book Antiqua" w:hint="eastAsia"/>
          <w:sz w:val="24"/>
          <w:szCs w:val="24"/>
          <w:lang w:eastAsia="zh-CN"/>
        </w:rPr>
        <w:t xml:space="preserve"> </w:t>
      </w:r>
      <w:r w:rsidR="0051510C" w:rsidRPr="001339DB">
        <w:rPr>
          <w:rFonts w:ascii="Book Antiqua" w:hAnsi="Book Antiqua"/>
          <w:sz w:val="24"/>
          <w:szCs w:val="24"/>
        </w:rPr>
        <w:t xml:space="preserve">2 result receive detoxification therapy. </w:t>
      </w:r>
      <w:r w:rsidR="00F22ED7" w:rsidRPr="001339DB">
        <w:rPr>
          <w:rFonts w:ascii="Book Antiqua" w:hAnsi="Book Antiqua"/>
          <w:sz w:val="24"/>
          <w:szCs w:val="24"/>
        </w:rPr>
        <w:t>In the quarter following</w:t>
      </w:r>
      <w:r w:rsidR="00AC7B09" w:rsidRPr="001339DB">
        <w:rPr>
          <w:rFonts w:ascii="Book Antiqua" w:hAnsi="Book Antiqua"/>
          <w:sz w:val="24"/>
          <w:szCs w:val="24"/>
        </w:rPr>
        <w:t xml:space="preserve"> the </w:t>
      </w:r>
      <w:r w:rsidR="00F22ED7" w:rsidRPr="001339DB">
        <w:rPr>
          <w:rFonts w:ascii="Book Antiqua" w:hAnsi="Book Antiqua"/>
          <w:sz w:val="24"/>
          <w:szCs w:val="24"/>
        </w:rPr>
        <w:t xml:space="preserve">beginning of </w:t>
      </w:r>
      <w:r w:rsidR="00AC7B09" w:rsidRPr="001339DB">
        <w:rPr>
          <w:rFonts w:ascii="Book Antiqua" w:hAnsi="Book Antiqua"/>
          <w:sz w:val="24"/>
          <w:szCs w:val="24"/>
        </w:rPr>
        <w:t>therapy</w:t>
      </w:r>
      <w:r w:rsidR="00E62FC0" w:rsidRPr="001339DB">
        <w:rPr>
          <w:rFonts w:ascii="Book Antiqua" w:hAnsi="Book Antiqua"/>
          <w:sz w:val="24"/>
          <w:szCs w:val="24"/>
        </w:rPr>
        <w:t>,</w:t>
      </w:r>
      <w:r w:rsidR="00AC7B09" w:rsidRPr="001339DB">
        <w:rPr>
          <w:rFonts w:ascii="Book Antiqua" w:hAnsi="Book Antiqua"/>
          <w:sz w:val="24"/>
          <w:szCs w:val="24"/>
        </w:rPr>
        <w:t xml:space="preserve"> </w:t>
      </w:r>
      <w:r w:rsidR="00E62FC0" w:rsidRPr="001339DB">
        <w:rPr>
          <w:rFonts w:ascii="Book Antiqua" w:hAnsi="Book Antiqua"/>
          <w:sz w:val="24"/>
          <w:szCs w:val="24"/>
        </w:rPr>
        <w:t>some</w:t>
      </w:r>
      <w:r w:rsidR="00AC7B09" w:rsidRPr="001339DB">
        <w:rPr>
          <w:rFonts w:ascii="Book Antiqua" w:hAnsi="Book Antiqua"/>
          <w:sz w:val="24"/>
          <w:szCs w:val="24"/>
        </w:rPr>
        <w:t xml:space="preserve"> ALD individuals achieve abstinence. Other assumptions specific to the ALD model</w:t>
      </w:r>
      <w:r w:rsidR="00E43D47" w:rsidRPr="001339DB">
        <w:rPr>
          <w:rFonts w:ascii="Book Antiqua" w:hAnsi="Book Antiqua"/>
          <w:sz w:val="24"/>
          <w:szCs w:val="24"/>
        </w:rPr>
        <w:t xml:space="preserve"> </w:t>
      </w:r>
      <w:r w:rsidR="00503101" w:rsidRPr="001339DB">
        <w:rPr>
          <w:rFonts w:ascii="Book Antiqua" w:hAnsi="Book Antiqua"/>
          <w:sz w:val="24"/>
          <w:szCs w:val="24"/>
        </w:rPr>
        <w:t>are</w:t>
      </w:r>
      <w:r w:rsidR="00BA0966" w:rsidRPr="001339DB">
        <w:rPr>
          <w:rFonts w:ascii="Book Antiqua" w:hAnsi="Book Antiqua"/>
          <w:sz w:val="24"/>
          <w:szCs w:val="24"/>
        </w:rPr>
        <w:t>:</w:t>
      </w:r>
      <w:r w:rsidR="00503101" w:rsidRPr="001339DB">
        <w:rPr>
          <w:rFonts w:ascii="Book Antiqua" w:hAnsi="Book Antiqua"/>
          <w:sz w:val="24"/>
          <w:szCs w:val="24"/>
        </w:rPr>
        <w:t xml:space="preserve"> </w:t>
      </w:r>
      <w:r w:rsidR="00CA3B86">
        <w:rPr>
          <w:rFonts w:ascii="Book Antiqua" w:hAnsi="Book Antiqua" w:hint="eastAsia"/>
          <w:sz w:val="24"/>
          <w:szCs w:val="24"/>
          <w:lang w:eastAsia="zh-CN"/>
        </w:rPr>
        <w:t>(1)</w:t>
      </w:r>
      <w:r w:rsidR="00503101" w:rsidRPr="001339DB">
        <w:rPr>
          <w:rFonts w:ascii="Book Antiqua" w:hAnsi="Book Antiqua"/>
          <w:sz w:val="24"/>
          <w:szCs w:val="24"/>
        </w:rPr>
        <w:t xml:space="preserve"> </w:t>
      </w:r>
      <w:r w:rsidR="00E62FC0" w:rsidRPr="001339DB">
        <w:rPr>
          <w:rFonts w:ascii="Book Antiqua" w:hAnsi="Book Antiqua"/>
          <w:sz w:val="24"/>
          <w:szCs w:val="24"/>
        </w:rPr>
        <w:t>a</w:t>
      </w:r>
      <w:r w:rsidR="00503101" w:rsidRPr="001339DB">
        <w:rPr>
          <w:rFonts w:ascii="Book Antiqua" w:hAnsi="Book Antiqua"/>
          <w:sz w:val="24"/>
          <w:szCs w:val="24"/>
        </w:rPr>
        <w:t xml:space="preserve">ll patients receiving a positive diagnosis of LF </w:t>
      </w:r>
      <w:r w:rsidR="00E62FC0" w:rsidRPr="001339DB">
        <w:rPr>
          <w:rFonts w:ascii="Book Antiqua" w:hAnsi="Book Antiqua"/>
          <w:sz w:val="24"/>
          <w:szCs w:val="24"/>
        </w:rPr>
        <w:t xml:space="preserve">agree </w:t>
      </w:r>
      <w:r w:rsidR="00503101" w:rsidRPr="001339DB">
        <w:rPr>
          <w:rFonts w:ascii="Book Antiqua" w:hAnsi="Book Antiqua"/>
          <w:sz w:val="24"/>
          <w:szCs w:val="24"/>
        </w:rPr>
        <w:t xml:space="preserve">to </w:t>
      </w:r>
      <w:r w:rsidR="00E62FC0" w:rsidRPr="001339DB">
        <w:rPr>
          <w:rFonts w:ascii="Book Antiqua" w:hAnsi="Book Antiqua"/>
          <w:sz w:val="24"/>
          <w:szCs w:val="24"/>
        </w:rPr>
        <w:t xml:space="preserve">undergo </w:t>
      </w:r>
      <w:r w:rsidR="00503101" w:rsidRPr="001339DB">
        <w:rPr>
          <w:rFonts w:ascii="Book Antiqua" w:hAnsi="Book Antiqua"/>
          <w:sz w:val="24"/>
          <w:szCs w:val="24"/>
        </w:rPr>
        <w:t>detoxification therapy;</w:t>
      </w:r>
      <w:r w:rsidR="00E43D47" w:rsidRPr="001339DB">
        <w:rPr>
          <w:rFonts w:ascii="Book Antiqua" w:hAnsi="Book Antiqua"/>
          <w:sz w:val="24"/>
          <w:szCs w:val="24"/>
        </w:rPr>
        <w:t xml:space="preserve"> </w:t>
      </w:r>
      <w:r w:rsidR="00CA3B86">
        <w:rPr>
          <w:rFonts w:ascii="Book Antiqua" w:hAnsi="Book Antiqua" w:hint="eastAsia"/>
          <w:sz w:val="24"/>
          <w:szCs w:val="24"/>
          <w:lang w:eastAsia="zh-CN"/>
        </w:rPr>
        <w:t>(2)</w:t>
      </w:r>
      <w:r w:rsidR="00AC7B09" w:rsidRPr="001339DB">
        <w:rPr>
          <w:rFonts w:ascii="Book Antiqua" w:hAnsi="Book Antiqua"/>
          <w:sz w:val="24"/>
          <w:szCs w:val="24"/>
        </w:rPr>
        <w:t xml:space="preserve"> </w:t>
      </w:r>
      <w:r w:rsidR="00E62FC0" w:rsidRPr="001339DB">
        <w:rPr>
          <w:rFonts w:ascii="Book Antiqua" w:hAnsi="Book Antiqua"/>
          <w:sz w:val="24"/>
          <w:szCs w:val="24"/>
        </w:rPr>
        <w:t>i</w:t>
      </w:r>
      <w:r w:rsidR="00AC7B09" w:rsidRPr="001339DB">
        <w:rPr>
          <w:rFonts w:ascii="Book Antiqua" w:hAnsi="Book Antiqua"/>
          <w:sz w:val="24"/>
          <w:szCs w:val="24"/>
        </w:rPr>
        <w:t>ndividuals in an abstinence state may relapse and return to a “drinker” state</w:t>
      </w:r>
      <w:r w:rsidR="00BA0966" w:rsidRPr="001339DB">
        <w:rPr>
          <w:rFonts w:ascii="Book Antiqua" w:hAnsi="Book Antiqua"/>
          <w:sz w:val="24"/>
          <w:szCs w:val="24"/>
        </w:rPr>
        <w:t>;</w:t>
      </w:r>
      <w:r w:rsidR="00E43D47" w:rsidRPr="001339DB">
        <w:rPr>
          <w:rFonts w:ascii="Book Antiqua" w:hAnsi="Book Antiqua"/>
          <w:sz w:val="24"/>
          <w:szCs w:val="24"/>
        </w:rPr>
        <w:t xml:space="preserve"> </w:t>
      </w:r>
      <w:r w:rsidR="00CA3B86">
        <w:rPr>
          <w:rFonts w:ascii="Book Antiqua" w:hAnsi="Book Antiqua" w:hint="eastAsia"/>
          <w:sz w:val="24"/>
          <w:szCs w:val="24"/>
          <w:lang w:eastAsia="zh-CN"/>
        </w:rPr>
        <w:t>(3)</w:t>
      </w:r>
      <w:r w:rsidR="00BA0966" w:rsidRPr="001339DB">
        <w:rPr>
          <w:rFonts w:ascii="Book Antiqua" w:hAnsi="Book Antiqua"/>
          <w:sz w:val="24"/>
          <w:szCs w:val="24"/>
        </w:rPr>
        <w:t xml:space="preserve"> </w:t>
      </w:r>
      <w:r w:rsidR="00E62FC0" w:rsidRPr="001339DB">
        <w:rPr>
          <w:rFonts w:ascii="Book Antiqua" w:hAnsi="Book Antiqua"/>
          <w:sz w:val="24"/>
          <w:szCs w:val="24"/>
        </w:rPr>
        <w:t>f</w:t>
      </w:r>
      <w:r w:rsidR="00E43D47" w:rsidRPr="001339DB">
        <w:rPr>
          <w:rFonts w:ascii="Book Antiqua" w:hAnsi="Book Antiqua"/>
          <w:sz w:val="24"/>
          <w:szCs w:val="24"/>
        </w:rPr>
        <w:t xml:space="preserve">ibrosis in its medium/severe </w:t>
      </w:r>
      <w:r w:rsidR="008E40E0" w:rsidRPr="001339DB">
        <w:rPr>
          <w:rFonts w:ascii="Book Antiqua" w:hAnsi="Book Antiqua"/>
          <w:sz w:val="24"/>
          <w:szCs w:val="24"/>
        </w:rPr>
        <w:t xml:space="preserve">(F2-F3) </w:t>
      </w:r>
      <w:r w:rsidR="00BA0966" w:rsidRPr="001339DB">
        <w:rPr>
          <w:rFonts w:ascii="Book Antiqua" w:hAnsi="Book Antiqua"/>
          <w:sz w:val="24"/>
          <w:szCs w:val="24"/>
        </w:rPr>
        <w:t>degree</w:t>
      </w:r>
      <w:r w:rsidR="00E43D47" w:rsidRPr="001339DB">
        <w:rPr>
          <w:rFonts w:ascii="Book Antiqua" w:hAnsi="Book Antiqua"/>
          <w:sz w:val="24"/>
          <w:szCs w:val="24"/>
        </w:rPr>
        <w:t xml:space="preserve"> is reversible if individuals </w:t>
      </w:r>
      <w:r w:rsidR="00D32A40" w:rsidRPr="001339DB">
        <w:rPr>
          <w:rFonts w:ascii="Book Antiqua" w:hAnsi="Book Antiqua"/>
          <w:sz w:val="24"/>
          <w:szCs w:val="24"/>
        </w:rPr>
        <w:t xml:space="preserve">are in an </w:t>
      </w:r>
      <w:r w:rsidR="00E43D47" w:rsidRPr="001339DB">
        <w:rPr>
          <w:rFonts w:ascii="Book Antiqua" w:hAnsi="Book Antiqua"/>
          <w:sz w:val="24"/>
          <w:szCs w:val="24"/>
        </w:rPr>
        <w:t>abst</w:t>
      </w:r>
      <w:r w:rsidR="00D32A40" w:rsidRPr="001339DB">
        <w:rPr>
          <w:rFonts w:ascii="Book Antiqua" w:hAnsi="Book Antiqua"/>
          <w:sz w:val="24"/>
          <w:szCs w:val="24"/>
        </w:rPr>
        <w:t>inence state;</w:t>
      </w:r>
      <w:r w:rsidR="00BC6D2F" w:rsidRPr="001339DB">
        <w:rPr>
          <w:rFonts w:ascii="Book Antiqua" w:hAnsi="Book Antiqua"/>
          <w:sz w:val="24"/>
          <w:szCs w:val="24"/>
        </w:rPr>
        <w:t xml:space="preserve"> </w:t>
      </w:r>
      <w:r w:rsidR="00E62FC0" w:rsidRPr="001339DB">
        <w:rPr>
          <w:rFonts w:ascii="Book Antiqua" w:hAnsi="Book Antiqua"/>
          <w:sz w:val="24"/>
          <w:szCs w:val="24"/>
        </w:rPr>
        <w:t xml:space="preserve">and </w:t>
      </w:r>
      <w:r w:rsidR="00CA3B86">
        <w:rPr>
          <w:rFonts w:ascii="Book Antiqua" w:hAnsi="Book Antiqua" w:hint="eastAsia"/>
          <w:sz w:val="24"/>
          <w:szCs w:val="24"/>
          <w:lang w:eastAsia="zh-CN"/>
        </w:rPr>
        <w:t xml:space="preserve">(4) </w:t>
      </w:r>
      <w:r w:rsidR="00E62FC0" w:rsidRPr="001339DB">
        <w:rPr>
          <w:rFonts w:ascii="Book Antiqua" w:hAnsi="Book Antiqua"/>
          <w:sz w:val="24"/>
          <w:szCs w:val="24"/>
        </w:rPr>
        <w:t>d</w:t>
      </w:r>
      <w:r w:rsidR="00AC7B09" w:rsidRPr="001339DB">
        <w:rPr>
          <w:rFonts w:ascii="Book Antiqua" w:hAnsi="Book Antiqua"/>
          <w:sz w:val="24"/>
          <w:szCs w:val="24"/>
        </w:rPr>
        <w:t xml:space="preserve">rinkers in a LF state face an </w:t>
      </w:r>
      <w:r w:rsidR="00E62FC0" w:rsidRPr="001339DB">
        <w:rPr>
          <w:rFonts w:ascii="Book Antiqua" w:hAnsi="Book Antiqua"/>
          <w:sz w:val="24"/>
          <w:szCs w:val="24"/>
        </w:rPr>
        <w:t xml:space="preserve">elevated </w:t>
      </w:r>
      <w:r w:rsidR="00BC6D2F" w:rsidRPr="001339DB">
        <w:rPr>
          <w:rFonts w:ascii="Book Antiqua" w:hAnsi="Book Antiqua"/>
          <w:sz w:val="24"/>
          <w:szCs w:val="24"/>
        </w:rPr>
        <w:t>mortality</w:t>
      </w:r>
      <w:r w:rsidR="00E43D47" w:rsidRPr="001339DB">
        <w:rPr>
          <w:rFonts w:ascii="Book Antiqua" w:hAnsi="Book Antiqua"/>
          <w:sz w:val="24"/>
          <w:szCs w:val="24"/>
        </w:rPr>
        <w:t xml:space="preserve"> </w:t>
      </w:r>
      <w:r w:rsidR="00AC7B09" w:rsidRPr="001339DB">
        <w:rPr>
          <w:rFonts w:ascii="Book Antiqua" w:hAnsi="Book Antiqua"/>
          <w:sz w:val="24"/>
          <w:szCs w:val="24"/>
        </w:rPr>
        <w:t xml:space="preserve">risk, as they are confronted </w:t>
      </w:r>
      <w:r w:rsidR="00E62FC0" w:rsidRPr="001339DB">
        <w:rPr>
          <w:rFonts w:ascii="Book Antiqua" w:hAnsi="Book Antiqua"/>
          <w:sz w:val="24"/>
          <w:szCs w:val="24"/>
        </w:rPr>
        <w:t xml:space="preserve">with </w:t>
      </w:r>
      <w:r w:rsidR="00AC7B09" w:rsidRPr="001339DB">
        <w:rPr>
          <w:rFonts w:ascii="Book Antiqua" w:hAnsi="Book Antiqua"/>
          <w:sz w:val="24"/>
          <w:szCs w:val="24"/>
        </w:rPr>
        <w:t xml:space="preserve">causes of death different from </w:t>
      </w:r>
      <w:r w:rsidR="00F22ED7" w:rsidRPr="001339DB">
        <w:rPr>
          <w:rFonts w:ascii="Book Antiqua" w:hAnsi="Book Antiqua"/>
          <w:sz w:val="24"/>
          <w:szCs w:val="24"/>
        </w:rPr>
        <w:t xml:space="preserve">those </w:t>
      </w:r>
      <w:r w:rsidR="00204C47" w:rsidRPr="001339DB">
        <w:rPr>
          <w:rFonts w:ascii="Book Antiqua" w:hAnsi="Book Antiqua"/>
          <w:sz w:val="24"/>
          <w:szCs w:val="24"/>
        </w:rPr>
        <w:t>directly linked t</w:t>
      </w:r>
      <w:r w:rsidR="007F410C" w:rsidRPr="001339DB">
        <w:rPr>
          <w:rFonts w:ascii="Book Antiqua" w:hAnsi="Book Antiqua"/>
          <w:sz w:val="24"/>
          <w:szCs w:val="24"/>
        </w:rPr>
        <w:t>o liver disease (</w:t>
      </w:r>
      <w:r w:rsidR="00E22E31" w:rsidRPr="00E22E31">
        <w:rPr>
          <w:rFonts w:ascii="Book Antiqua" w:hAnsi="Book Antiqua"/>
          <w:i/>
          <w:sz w:val="24"/>
          <w:szCs w:val="24"/>
        </w:rPr>
        <w:t>e.g.</w:t>
      </w:r>
      <w:r w:rsidR="00E62FC0" w:rsidRPr="001339DB">
        <w:rPr>
          <w:rFonts w:ascii="Book Antiqua" w:hAnsi="Book Antiqua"/>
          <w:sz w:val="24"/>
          <w:szCs w:val="24"/>
        </w:rPr>
        <w:t>,</w:t>
      </w:r>
      <w:r w:rsidR="007F410C" w:rsidRPr="001339DB">
        <w:rPr>
          <w:rFonts w:ascii="Book Antiqua" w:hAnsi="Book Antiqua"/>
          <w:sz w:val="24"/>
          <w:szCs w:val="24"/>
        </w:rPr>
        <w:t xml:space="preserve"> accidents</w:t>
      </w:r>
      <w:r w:rsidR="00204C47" w:rsidRPr="001339DB">
        <w:rPr>
          <w:rFonts w:ascii="Book Antiqua" w:hAnsi="Book Antiqua"/>
          <w:sz w:val="24"/>
          <w:szCs w:val="24"/>
        </w:rPr>
        <w:t>)</w:t>
      </w:r>
      <w:r w:rsidR="00503101" w:rsidRPr="001339DB">
        <w:rPr>
          <w:rFonts w:ascii="Book Antiqua" w:hAnsi="Book Antiqua"/>
          <w:sz w:val="24"/>
          <w:szCs w:val="24"/>
        </w:rPr>
        <w:t>.</w:t>
      </w:r>
    </w:p>
    <w:p w:rsidR="00CA3B86" w:rsidRDefault="002F59D9" w:rsidP="00CA3B86">
      <w:pPr>
        <w:adjustRightInd w:val="0"/>
        <w:snapToGrid w:val="0"/>
        <w:spacing w:after="0" w:line="360" w:lineRule="auto"/>
        <w:jc w:val="both"/>
        <w:rPr>
          <w:rFonts w:ascii="Book Antiqua" w:hAnsi="Book Antiqua"/>
          <w:sz w:val="24"/>
          <w:szCs w:val="24"/>
          <w:lang w:eastAsia="zh-CN"/>
        </w:rPr>
      </w:pPr>
      <w:r w:rsidRPr="001339DB">
        <w:rPr>
          <w:rFonts w:ascii="Book Antiqua" w:hAnsi="Book Antiqua"/>
          <w:sz w:val="24"/>
          <w:szCs w:val="24"/>
        </w:rPr>
        <w:lastRenderedPageBreak/>
        <w:t>Detoxification for ALD individuals with positive LF results consists of psychological and psychiatric therapy provided by Hospital Clínic staff for 1 year. The model assumed that the length of treatment did not depend on the drinking behavior of individuals; that is, both abstainers and individuals with early relapse received a full year therapy</w:t>
      </w:r>
      <w:r w:rsidR="00CC0A29" w:rsidRPr="001339DB">
        <w:rPr>
          <w:rFonts w:ascii="Book Antiqua" w:hAnsi="Book Antiqua"/>
          <w:sz w:val="24"/>
          <w:szCs w:val="24"/>
        </w:rPr>
        <w:t>.</w:t>
      </w:r>
    </w:p>
    <w:p w:rsidR="00CA3B86" w:rsidRDefault="00CA3B86" w:rsidP="00CA3B86">
      <w:pPr>
        <w:adjustRightInd w:val="0"/>
        <w:snapToGrid w:val="0"/>
        <w:spacing w:after="0" w:line="360" w:lineRule="auto"/>
        <w:jc w:val="both"/>
        <w:rPr>
          <w:rFonts w:ascii="Book Antiqua" w:hAnsi="Book Antiqua"/>
          <w:sz w:val="24"/>
          <w:szCs w:val="24"/>
          <w:lang w:eastAsia="zh-CN"/>
        </w:rPr>
      </w:pPr>
    </w:p>
    <w:p w:rsidR="006855A2" w:rsidRPr="00CA3B86" w:rsidRDefault="00F93648" w:rsidP="00CA3B86">
      <w:pPr>
        <w:adjustRightInd w:val="0"/>
        <w:snapToGrid w:val="0"/>
        <w:spacing w:after="0" w:line="360" w:lineRule="auto"/>
        <w:jc w:val="both"/>
        <w:rPr>
          <w:rStyle w:val="Heading2Char"/>
          <w:rFonts w:ascii="Book Antiqua" w:eastAsiaTheme="minorEastAsia" w:hAnsi="Book Antiqua" w:cstheme="minorBidi"/>
          <w:bCs w:val="0"/>
          <w:sz w:val="24"/>
          <w:szCs w:val="24"/>
          <w:lang w:eastAsia="zh-CN"/>
        </w:rPr>
      </w:pPr>
      <w:r w:rsidRPr="00CA3B86">
        <w:rPr>
          <w:rStyle w:val="Heading2Char"/>
          <w:rFonts w:ascii="Book Antiqua" w:hAnsi="Book Antiqua"/>
          <w:bCs w:val="0"/>
          <w:i/>
          <w:sz w:val="24"/>
          <w:szCs w:val="24"/>
        </w:rPr>
        <w:t xml:space="preserve">Model parameters and </w:t>
      </w:r>
      <w:r w:rsidR="00382070" w:rsidRPr="00CA3B86">
        <w:rPr>
          <w:rStyle w:val="Heading2Char"/>
          <w:rFonts w:ascii="Book Antiqua" w:hAnsi="Book Antiqua"/>
          <w:bCs w:val="0"/>
          <w:i/>
          <w:sz w:val="24"/>
          <w:szCs w:val="24"/>
        </w:rPr>
        <w:t xml:space="preserve">data </w:t>
      </w:r>
      <w:r w:rsidRPr="00CA3B86">
        <w:rPr>
          <w:rStyle w:val="Heading2Char"/>
          <w:rFonts w:ascii="Book Antiqua" w:hAnsi="Book Antiqua"/>
          <w:bCs w:val="0"/>
          <w:i/>
          <w:sz w:val="24"/>
          <w:szCs w:val="24"/>
        </w:rPr>
        <w:t>sources</w:t>
      </w:r>
    </w:p>
    <w:p w:rsidR="00FF630B" w:rsidRPr="001339DB" w:rsidRDefault="00C63CF4" w:rsidP="001339DB">
      <w:pPr>
        <w:adjustRightInd w:val="0"/>
        <w:snapToGrid w:val="0"/>
        <w:spacing w:after="0" w:line="360" w:lineRule="auto"/>
        <w:jc w:val="both"/>
        <w:rPr>
          <w:rFonts w:ascii="Book Antiqua" w:hAnsi="Book Antiqua"/>
          <w:sz w:val="24"/>
          <w:szCs w:val="24"/>
        </w:rPr>
      </w:pPr>
      <w:r w:rsidRPr="001339DB">
        <w:rPr>
          <w:rFonts w:ascii="Book Antiqua" w:hAnsi="Book Antiqua"/>
          <w:sz w:val="24"/>
          <w:szCs w:val="24"/>
        </w:rPr>
        <w:t>Model</w:t>
      </w:r>
      <w:r w:rsidR="00231E26" w:rsidRPr="001339DB">
        <w:rPr>
          <w:rFonts w:ascii="Book Antiqua" w:hAnsi="Book Antiqua"/>
          <w:sz w:val="24"/>
          <w:szCs w:val="24"/>
        </w:rPr>
        <w:t xml:space="preserve"> parameters are listed in </w:t>
      </w:r>
      <w:r w:rsidR="00CA3B86" w:rsidRPr="001339DB">
        <w:rPr>
          <w:rFonts w:ascii="Book Antiqua" w:hAnsi="Book Antiqua"/>
          <w:sz w:val="24"/>
          <w:szCs w:val="24"/>
        </w:rPr>
        <w:t xml:space="preserve">Table </w:t>
      </w:r>
      <w:r w:rsidR="00231E26" w:rsidRPr="001339DB">
        <w:rPr>
          <w:rFonts w:ascii="Book Antiqua" w:hAnsi="Book Antiqua"/>
          <w:sz w:val="24"/>
          <w:szCs w:val="24"/>
        </w:rPr>
        <w:t>2</w:t>
      </w:r>
      <w:r w:rsidRPr="001339DB">
        <w:rPr>
          <w:rFonts w:ascii="Book Antiqua" w:hAnsi="Book Antiqua"/>
          <w:sz w:val="24"/>
          <w:szCs w:val="24"/>
        </w:rPr>
        <w:t>.</w:t>
      </w:r>
      <w:r w:rsidR="00E43D47" w:rsidRPr="001339DB">
        <w:rPr>
          <w:rFonts w:ascii="Book Antiqua" w:hAnsi="Book Antiqua"/>
          <w:sz w:val="24"/>
          <w:szCs w:val="24"/>
        </w:rPr>
        <w:t xml:space="preserve"> </w:t>
      </w:r>
      <w:r w:rsidR="00A96845" w:rsidRPr="001339DB">
        <w:rPr>
          <w:rFonts w:ascii="Book Antiqua" w:hAnsi="Book Antiqua"/>
          <w:sz w:val="24"/>
          <w:szCs w:val="24"/>
        </w:rPr>
        <w:t xml:space="preserve">Estimates for clinical </w:t>
      </w:r>
      <w:r w:rsidR="001A5AF6" w:rsidRPr="001339DB">
        <w:rPr>
          <w:rFonts w:ascii="Book Antiqua" w:hAnsi="Book Antiqua"/>
          <w:sz w:val="24"/>
          <w:szCs w:val="24"/>
        </w:rPr>
        <w:t>values</w:t>
      </w:r>
      <w:r w:rsidR="00A96845" w:rsidRPr="001339DB">
        <w:rPr>
          <w:rFonts w:ascii="Book Antiqua" w:hAnsi="Book Antiqua"/>
          <w:sz w:val="24"/>
          <w:szCs w:val="24"/>
        </w:rPr>
        <w:t xml:space="preserve"> (</w:t>
      </w:r>
      <w:r w:rsidR="00E22E31" w:rsidRPr="00E22E31">
        <w:rPr>
          <w:rFonts w:ascii="Book Antiqua" w:hAnsi="Book Antiqua"/>
          <w:i/>
          <w:sz w:val="24"/>
          <w:szCs w:val="24"/>
        </w:rPr>
        <w:t>i.e</w:t>
      </w:r>
      <w:r w:rsidR="005A041F" w:rsidRPr="001339DB">
        <w:rPr>
          <w:rFonts w:ascii="Book Antiqua" w:hAnsi="Book Antiqua"/>
          <w:sz w:val="24"/>
          <w:szCs w:val="24"/>
        </w:rPr>
        <w:t xml:space="preserve">., </w:t>
      </w:r>
      <w:r w:rsidR="008D5288" w:rsidRPr="001339DB">
        <w:rPr>
          <w:rFonts w:ascii="Book Antiqua" w:hAnsi="Book Antiqua"/>
          <w:sz w:val="24"/>
          <w:szCs w:val="24"/>
        </w:rPr>
        <w:t>transition probabilities</w:t>
      </w:r>
      <w:r w:rsidR="005A041F" w:rsidRPr="001339DB">
        <w:rPr>
          <w:rFonts w:ascii="Book Antiqua" w:hAnsi="Book Antiqua"/>
          <w:sz w:val="24"/>
          <w:szCs w:val="24"/>
        </w:rPr>
        <w:t>,</w:t>
      </w:r>
      <w:r w:rsidR="008D5288" w:rsidRPr="001339DB">
        <w:rPr>
          <w:rFonts w:ascii="Book Antiqua" w:hAnsi="Book Antiqua"/>
          <w:sz w:val="24"/>
          <w:szCs w:val="24"/>
        </w:rPr>
        <w:t xml:space="preserve"> </w:t>
      </w:r>
      <w:r w:rsidR="00A96845" w:rsidRPr="001339DB">
        <w:rPr>
          <w:rFonts w:ascii="Book Antiqua" w:hAnsi="Book Antiqua"/>
          <w:sz w:val="24"/>
          <w:szCs w:val="24"/>
        </w:rPr>
        <w:t>test accuracy</w:t>
      </w:r>
      <w:r w:rsidR="005A041F" w:rsidRPr="001339DB">
        <w:rPr>
          <w:rFonts w:ascii="Book Antiqua" w:hAnsi="Book Antiqua"/>
          <w:sz w:val="24"/>
          <w:szCs w:val="24"/>
        </w:rPr>
        <w:t>,</w:t>
      </w:r>
      <w:r w:rsidR="00A96845" w:rsidRPr="001339DB">
        <w:rPr>
          <w:rFonts w:ascii="Book Antiqua" w:hAnsi="Book Antiqua"/>
          <w:sz w:val="24"/>
          <w:szCs w:val="24"/>
        </w:rPr>
        <w:t xml:space="preserve"> effectiveness of antivirals</w:t>
      </w:r>
      <w:r w:rsidR="005A041F" w:rsidRPr="001339DB">
        <w:rPr>
          <w:rFonts w:ascii="Book Antiqua" w:hAnsi="Book Antiqua"/>
          <w:sz w:val="24"/>
          <w:szCs w:val="24"/>
        </w:rPr>
        <w:t>,</w:t>
      </w:r>
      <w:r w:rsidR="008D5288" w:rsidRPr="001339DB">
        <w:rPr>
          <w:rFonts w:ascii="Book Antiqua" w:hAnsi="Book Antiqua"/>
          <w:sz w:val="24"/>
          <w:szCs w:val="24"/>
        </w:rPr>
        <w:t xml:space="preserve"> </w:t>
      </w:r>
      <w:r w:rsidR="00C34C2E" w:rsidRPr="001339DB">
        <w:rPr>
          <w:rFonts w:ascii="Book Antiqua" w:hAnsi="Book Antiqua"/>
          <w:sz w:val="24"/>
          <w:szCs w:val="24"/>
        </w:rPr>
        <w:t xml:space="preserve">alcohol </w:t>
      </w:r>
      <w:r w:rsidR="008D5288" w:rsidRPr="001339DB">
        <w:rPr>
          <w:rFonts w:ascii="Book Antiqua" w:hAnsi="Book Antiqua"/>
          <w:sz w:val="24"/>
          <w:szCs w:val="24"/>
        </w:rPr>
        <w:t>abstinence and relapse rates</w:t>
      </w:r>
      <w:r w:rsidR="005A041F" w:rsidRPr="001339DB">
        <w:rPr>
          <w:rFonts w:ascii="Book Antiqua" w:hAnsi="Book Antiqua"/>
          <w:sz w:val="24"/>
          <w:szCs w:val="24"/>
        </w:rPr>
        <w:t>,</w:t>
      </w:r>
      <w:r w:rsidR="008D5288" w:rsidRPr="001339DB">
        <w:rPr>
          <w:rFonts w:ascii="Book Antiqua" w:hAnsi="Book Antiqua"/>
          <w:sz w:val="24"/>
          <w:szCs w:val="24"/>
        </w:rPr>
        <w:t xml:space="preserve"> and </w:t>
      </w:r>
      <w:r w:rsidR="00A96845" w:rsidRPr="001339DB">
        <w:rPr>
          <w:rFonts w:ascii="Book Antiqua" w:hAnsi="Book Antiqua"/>
          <w:sz w:val="24"/>
          <w:szCs w:val="24"/>
        </w:rPr>
        <w:t xml:space="preserve">utilities) were obtained from </w:t>
      </w:r>
      <w:r w:rsidR="005A041F" w:rsidRPr="001339DB">
        <w:rPr>
          <w:rFonts w:ascii="Book Antiqua" w:hAnsi="Book Antiqua"/>
          <w:sz w:val="24"/>
          <w:szCs w:val="24"/>
        </w:rPr>
        <w:t xml:space="preserve">a </w:t>
      </w:r>
      <w:r w:rsidR="00A96845" w:rsidRPr="001339DB">
        <w:rPr>
          <w:rFonts w:ascii="Book Antiqua" w:hAnsi="Book Antiqua"/>
          <w:sz w:val="24"/>
          <w:szCs w:val="24"/>
        </w:rPr>
        <w:t>literature search in Medline</w:t>
      </w:r>
      <w:r w:rsidR="003827E7" w:rsidRPr="00CA3B86">
        <w:rPr>
          <w:rFonts w:ascii="Book Antiqua" w:hAnsi="Book Antiqua"/>
          <w:sz w:val="24"/>
          <w:szCs w:val="24"/>
          <w:vertAlign w:val="superscript"/>
        </w:rPr>
        <w:fldChar w:fldCharType="begin" w:fldLock="1"/>
      </w:r>
      <w:r w:rsidR="00A11871" w:rsidRPr="00CA3B86">
        <w:rPr>
          <w:rFonts w:ascii="Book Antiqua" w:hAnsi="Book Antiqua"/>
          <w:sz w:val="24"/>
          <w:szCs w:val="24"/>
          <w:vertAlign w:val="superscript"/>
        </w:rPr>
        <w:instrText>ADDIN CSL_CITATION { "citationItems" : [ { "id" : "ITEM-1", "itemData" : { "DOI" : "10.1056/NEJMoa1402454", "ISBN" : "1533-4406 (Electronic)\\n0028-4793 (Linking)", "ISSN" : "1533-4406", "PMID" : "24725239", "abstract" : "Background In phase 2 studies, treatment with the all-oral combination of the nucleotide polymerase inhibitor sofosbuvir and the NS5A inhibitor ledipasvir resulted in high rates of sustained virologic response among previously untreated patients with hepatitis C virus (HCV) genotype 1 infection. Methods We conducted a phase 3, open-label study involving previously untreated patients with chronic HCV genotype 1 infection. Patients were randomly assigned in a 1:1:1:1 ratio to receive ledipasvir and sofosbuvir in a fixed-dose combination tablet once daily for 12 weeks, ledipasvir-sofosbuvir plus ribavirin for 12 weeks, ledipasvir-sofosbuvir for 24 weeks, or ledipasvir-sofosbuvir plus ribavirin for 24 weeks. The primary end point was a sustained virologic response at 12 weeks after the end of therapy. Results Of the 865 patients who underwent randomization and were treated, 16% had cirrhosis, 12% were black, and 67% had HCV genotype 1a infection. The rates of sustained virologic response were 99% (95% confidence interval [CI], 96 to 100) in the group that received 12 weeks of ledipasvir-sofosbuvir; 97% (95% CI, 94 to 99) in the group that received 12 weeks of ledipasvir-sofosbuvir plus ribavirin; 98% (95% CI, 95 to 99) in the group that received 24 weeks of ledipasvir-sofosbuvir; and 99% (95% CI, 97 to 100) in the group that received 24 weeks of ledipasvir-sofosbuvir plus ribavirin. No patient in either 12-week group discontinued ledipasvir-sofosbuvir owing to an adverse event. The most common adverse events were fatigue, headache, insomnia, and nausea. Conclusions Once-daily ledipasvir-sofosbuvir with or without ribavirin for 12 or 24 weeks was highly effective in previously untreated patients with HCV genotype 1 infection. (Funded by Gilead Sciences; ION-1 ClinicalTrials.gov number NCT01701401 .).", "author" : [ { "dropping-particle" : "", "family" : "Afdhal", "given" : "Nezam", "non-dropping-particle" : "", "parse-names" : false, "suffix" : "" }, { "dropping-particle" : "", "family" : "Zeuzem", "given" : "Stefan", "non-dropping-particle" : "", "parse-names" : false, "suffix" : "" }, { "dropping-particle" : "", "family" : "Kwo", "given" : "Paul", "non-dropping-particle" : "", "parse-names" : false, "suffix" : "" }, { "dropping-particle" : "", "family" : "Chojkier", "given" : "Mario", "non-dropping-particle" : "", "parse-names" : false, "suffix" : "" }, { "dropping-particle" : "", "family" : "Gitlin", "given" : "Norman", "non-dropping-particle" : "", "parse-names" : false, "suffix" : "" }, { "dropping-particle" : "", "family" : "Puoti", "given" : "Massimo", "non-dropping-particle" : "", "parse-names" : false, "suffix" : "" }, { "dropping-particle" : "", "family" : "Romero-Gomez", "given" : "Manuel", "non-dropping-particle" : "", "parse-names" : false, "suffix" : "" }, { "dropping-particle" : "", "family" : "Zarski", "given" : "Jean-Pierre", "non-dropping-particle" : "", "parse-names" : false, "suffix" : "" }, { "dropping-particle" : "", "family" : "Agarwal", "given" : "Kosh", "non-dropping-particle" : "", "parse-names" : false, "suffix" : "" }, { "dropping-particle" : "", "family" : "Buggisch", "given" : "Peter", "non-dropping-particle" : "", "parse-names" : false, "suffix" : "" }, { "dropping-particle" : "", "family" : "Foster", "given" : "Graham R", "non-dropping-particle" : "", "parse-names" : false, "suffix" : "" }, { "dropping-particle" : "", "family" : "Br\u00e4u", "given" : "Norbert", "non-dropping-particle" : "", "parse-names" : false, "suffix" : "" }, { "dropping-particle" : "", "family" : "Buti", "given" : "Maria", "non-dropping-particle" : "", "parse-names" : false, "suffix" : "" }, { "dropping-particle" : "", "family" : "Jacobson", "given" : "Ira M", "non-dropping-particle" : "", "parse-names" : false, "suffix" : "" }, { "dropping-particle" : "", "family" : "Subramanian", "given" : "G Mani", "non-dropping-particle" : "", "parse-names" : false, "suffix" : "" }, { "dropping-particle" : "", "family" : "Ding", "given" : "Xiao", "non-dropping-particle" : "", "parse-names" : false, "suffix" : "" }, { "dropping-particle" : "", "family" : "Mo", "given" : "Hongmei", "non-dropping-particle" : "", "parse-names" : false, "suffix" : "" }, { "dropping-particle" : "", "family" : "Yang", "given" : "Jenny C", "non-dropping-particle" : "", "parse-names" : false, "suffix" : "" }, { "dropping-particle" : "", "family" : "Pang", "given" : "Phillip S", "non-dropping-particle" : "", "parse-names" : false, "suffix" : "" }, { "dropping-particle" : "", "family" : "Symonds", "given" : "William T", "non-dropping-particle" : "", "parse-names" : false, "suffix" : "" }, { "dropping-particle" : "", "family" : "McHutchison", "given" : "John G", "non-dropping-particle" : "", "parse-names" : false, "suffix" : "" }, { "dropping-particle" : "", "family" : "Muir", "given" : "Andrew J", "non-dropping-particle" : "", "parse-names" : false, "suffix" : "" }, { "dropping-particle" : "", "family" : "Mangia", "given" : "Alessandra", "non-dropping-particle" : "", "parse-names" : false, "suffix" : "" }, { "dropping-particle" : "", "family" : "Marcellin", "given" : "Patrick", "non-dropping-particle" : "", "parse-names" : false, "suffix" : "" } ], "container-title" : "The New England journal of medicine", "id" : "ITEM-1", "issued" : { "date-parts" : [ [ "2014" ] ] }, "page" : "1889-1898", "title" : "Ledipasvir and Sofosbuvir for Untreated HCV Genotype 1 Infection.", "type" : "article-journal" }, "uris" : [ "http://www.mendeley.com/documents/?uuid=42a90d38-2a80-47c3-93fd-bf80cd3f2b3d" ] }, { "id" : "ITEM-2", "itemData" : { "DOI" : "10.1016/j.jhep.2008.07.039", "ISBN" : "0168-8278 (Print) 0168-8278 (Linking)", "ISSN" : "01688278", "PMID" : "19012989", "abstract" : "Background/Aims: Alternatives to liver biopsy for staging liver disease caused by hepatitis C virus (HCV) have not appeared accurate enough for widespread clinical use. We characterized the magnitude of the impact of error in the \"gold standard\" on the observed diagnostic accuracy of surrogate markers. Methods: We calculated the area under the receiver operating characteristic curve (AUROC) for a surrogate marker against the gold standard (biopsy) for a range of possible performances of each test (biopsy and marker) against truth and a gradient of clinically significant disease prevalence. Results: In the 'best' scenario where liver biopsy accuracy is highest (sensitivity and specificity of biopsy are 90%) and the prevalence of significant disease 40%, the calculated AUROC would be 0.90 for a perfect marker (99% actual accuracy) which is within the range of what has already been observed. With lower biopsy sensitivity and specificity, AUROC determinations &gt;0.90 could not be achieved even for a marker that perfectly measured disease. Conclusions: We demonstrate that error in the liver biopsy result itself makes it impossible to distinguish a perfect surrogate from ones that are now judged by some as clinically unacceptable. An alternative gold standard is needed to assess the accuracy of tests used to stage HCV-related liver disease. \u00a9 2008 European Association for the Study of the Liver.", "author" : [ { "dropping-particle" : "", "family" : "Mehta", "given" : "Shruti H.", "non-dropping-particle" : "", "parse-names" : false, "suffix" : "" }, { "dropping-particle" : "", "family" : "Lau", "given" : "Bryan", "non-dropping-particle" : "", "parse-names" : false, "suffix" : "" }, { "dropping-particle" : "", "family" : "Afdhal", "given" : "Nezam H.", "non-dropping-particle" : "", "parse-names" : false, "suffix" : "" }, { "dropping-particle" : "", "family" : "Thomas", "given" : "David L.", "non-dropping-particle" : "", "parse-names" : false, "suffix" : "" } ], "container-title" : "Journal of Hepatology", "id" : "ITEM-2", "issue" : "1", "issued" : { "date-parts" : [ [ "2009" ] ] }, "page" : "36-41", "publisher" : "European Association for the Study of the Liver", "title" : "Exceeding the limits of liver histology markers", "type" : "article-journal", "volume" : "50" }, "uris" : [ "http://www.mendeley.com/documents/?uuid=f915fd92-2838-4b7c-a2c7-1892ac180ddc" ] }, { "id" : "ITEM-3", "itemData" : { "DOI" : "10.1016/j.jval.2011.06.006", "ISBN" : "1524-4733", "ISSN" : "10983015", "PMID" : "22152176", "abstract" : "Published economic evaluations have reported available treatments for chronic hepatitis C to be cost-effective as part of the current approach to disease management, but as standards of care evolve, their approach to modeling should be reconsidered. This study aimed to review structural frameworks and key model parameters as reported in current economic evaluations for treatments for chronic hepatitis C, and model the impact of variability across parameters on results. A systematic review of studies published from 2000 to 2011 was performed. Studies were retrieved from five electronic databases using relevant search strategies. Model structures, disease progression rates, utilities, and costs were extracted from included studies, and were qualitatively reviewed and incorporated into a cost-utility model. Thirty-four studies were appropriate for data extraction. A common pathway of six disease states was identified. In some studies the early disease stages and/or the decompensated cirrhosis state were further subdivided. Large variability in values used for disease progression rates, utilities, and costs were identified. When incorporated into a model, incremental cost-effectiveness ratios (ICERs) varied: in the least favorable scenario, peginterferon plus ribavirin was dominated by interferon plus ribavirin; and in the most favorable scenario, peginterferon plus ribavirin dominated interferon plus ribavirin ($8,544 per quality-adjusted life year [QALY]; costs are given in 2008 US dollar amounts). Using mean values the ICER was $15,198 per QALY. Current models use a simplistic structure resulting from the lack of available data reflecting patient heterogeneity. Key model parameters are currently based on a small number of studies and the variability across these values can affect the interpretation of results. \u00a9 2011 International Society for Pharmacoeconomics and Outcomes Research (ISPOR).", "author" : [ { "dropping-particle" : "", "family" : "Townsend", "given" : "Rebecca", "non-dropping-particle" : "", "parse-names" : false, "suffix" : "" }, { "dropping-particle" : "", "family" : "McEwan", "given" : "Phil", "non-dropping-particle" : "", "parse-names" : false, "suffix" : "" }, { "dropping-particle" : "", "family" : "Kim", "given" : "Ray", "non-dropping-particle" : "", "parse-names" : false, "suffix" : "" }, { "dropping-particle" : "", "family" : "Yuan", "given" : "Yong", "non-dropping-particle" : "", "parse-names" : false, "suffix" : "" } ], "container-title" : "Value in Health", "id" : "ITEM-3", "issue" : "8", "issued" : { "date-parts" : [ [ "2011" ] ] }, "page" : "1068-1077", "publisher" : "Elsevier Inc.", "title" : "Structural frameworks and key model parameters in cost-effectiveness analyses for current and future treatments of chronic hepatitis C", "type" : "article-journal", "volume" : "14" }, "uris" : [ "http://www.mendeley.com/documents/?uuid=7d2fb2cf-1594-421c-a545-cb155c61f2e7" ] }, { "id" : "ITEM-4", "itemData" : { "DOI" : "10.3310/hta19090", "ISSN" : "1366-5278", "author" : [ { "dropping-particle" : "", "family" : "Crossan", "given" : "Catriona", "non-dropping-particle" : "", "parse-names" : false, "suffix" : "" }, { "dropping-particle" : "", "family" : "Tsochatzis", "given" : "Emmanuel a", "non-dropping-particle" : "", "parse-names" : false, "suffix" : "" }, { "dropping-particle" : "", "family" : "Longworth", "given" : "Louise", "non-dropping-particle" : "", "parse-names" : false, "suffix" : "" }, { "dropping-particle" : "", "family" : "Gurusamy", "given" : "Kurinchi", "non-dropping-particle" : "", "parse-names" : false, "suffix" : "" }, { "dropping-particle" : "", "family" : "Davidson", "given" : "Brian", "non-dropping-particle" : "", "parse-names" : false, "suffix" : "" }, { "dropping-particle" : "", "family" : "Rodr\u00edguez-Per\u00e1lvarez", "given" : "Manuel", "non-dropping-particle" : "", "parse-names" : false, "suffix" : "" }, { "dropping-particle" : "", "family" : "Mantzoukis", "given" : "Konstantinos", "non-dropping-particle" : "", "parse-names" : false, "suffix" : "" }, { "dropping-particle" : "", "family" : "O\u2019Brien", "given" : "Julia", "non-dropping-particle" : "", "parse-names" : false, "suffix" : "" }, { "dropping-particle" : "", "family" : "Thalassinos", "given" : "Evangelos", "non-dropping-particle" : "", "parse-names" : false, "suffix" : "" }, { "dropping-particle" : "", "family" : "Papastergiou", "given" : "Vassilios", "non-dropping-particle" : "", "parse-names" : false, "suffix" : "" }, { "dropping-particle" : "", "family" : "Burroughs", "given" : "Andrew", "non-dropping-particle" : "", "parse-names" : false, "suffix" : "" } ], "container-title" : "Health technology assessment (NHS)", "id" : "ITEM-4", "issue" : "9", "issued" : { "date-parts" : [ [ "2015" ] ] }, "page" : "1-410", "title" : "Cost-effectiveness of non-invasive methods for assessment and monitoring of liver fibrosis and cirrhosis in patients with chronic liver disease: systematic review and economic evaluation", "type" : "article-journal", "volume" : "19" }, "uris" : [ "http://www.mendeley.com/documents/?uuid=5b57a84e-a9dc-4bfa-a1f0-171621d56a8e" ] }, { "id" : "ITEM-5", "itemData" : { "DOI" : "10.1111/j.1365-2036.2010.04500.x", "ISSN" : "1365-2036", "PMID" : "21083589", "abstract" : "Liver biopsy is the reference standard to assess liver fibrosis in chronic hepatitis C.", "author" : [ { "dropping-particle" : "", "family" : "Martinez", "given" : "S M", "non-dropping-particle" : "", "parse-names" : false, "suffix" : "" }, { "dropping-particle" : "", "family" : "Fern\u00e1ndez-Varo", "given" : "G", "non-dropping-particle" : "", "parse-names" : false, "suffix" : "" }, { "dropping-particle" : "", "family" : "Gonz\u00e1lez", "given" : "P", "non-dropping-particle" : "", "parse-names" : false, "suffix" : "" }, { "dropping-particle" : "", "family" : "Sampson", "given" : "E", "non-dropping-particle" : "", "parse-names" : false, "suffix" : "" }, { "dropping-particle" : "", "family" : "Bruguera", "given" : "M", "non-dropping-particle" : "", "parse-names" : false, "suffix" : "" }, { "dropping-particle" : "", "family" : "Navasa", "given" : "M", "non-dropping-particle" : "", "parse-names" : false, "suffix" : "" }, { "dropping-particle" : "", "family" : "Jim\u00e9nez", "given" : "W", "non-dropping-particle" : "", "parse-names" : false, "suffix" : "" }, { "dropping-particle" : "", "family" : "S\u00e1nchez-Tapias", "given" : "J M", "non-dropping-particle" : "", "parse-names" : false, "suffix" : "" }, { "dropping-particle" : "", "family" : "Forns", "given" : "X", "non-dropping-particle" : "", "parse-names" : false, "suffix" : "" } ], "container-title" : "Alimentary pharmacology &amp; therapeutics", "id" : "ITEM-5", "issue" : "1", "issued" : { "date-parts" : [ [ "2011" ] ] }, "page" : "138-148", "title" : "Assessment of liver fibrosis before and after antiviral therapy by different serum marker panels in patients with chronic hepatitis C.", "type" : "article-journal", "volume" : "33" }, "uris" : [ "http://www.mendeley.com/documents/?uuid=b63eae26-e87c-42a3-bf0a-b626d2de15bd" ] }, { "id" : "ITEM-6", "itemData" : { "ISBN" : "1366-5278", "ISSN" : "13665278", "PMID" : "16750059", "abstract" : "OBJECTIVES: To determine whether combined therapy with interferon-alpha and ribavirin was more effective and cost-effective than no treatment for patients with mild chronic hepatitis C. DESIGN: A multicentre, randomised, controlled, non-blinded trial assessed the efficacy of combination therapy. A Markov model used these efficacy data combined with data on transition probabilities, costs and health-related quality of life (HRQoL) to assess the lifetime cost-effectiveness of the intervention. SETTING: A multicentre NHS setting. PARTICIPANTS: Treatment-naive, adult patients with histologically mild chronic hepatitis C (Ishak necroinflammatory scores &lt;4 and fibrosis scores &lt;3 on liver biopsy). INTERVENTIONS: Patients were randomised to receive interferon-alpha and ribavirin for 48 weeks or no treatment (control). MAIN OUTCOME MEASURES: The primary outcome measure was the proportion of patients having a sustained virological response (SVR), measured at 6 months after cessation of therapy. Secondary outcome measures were: the ability of early phase kinetics to predict the eventual outcome of treating mild disease; HRQoL measured using the Short Form 36 and EuroQol (5 Dimensions) questionnaires, and the cost per quality-adjusted life-year (QALY) of interferon-alpha and ribavirin for mild disease compared with no treatment. RESULTS: In the treatment group, 32 out of 98 patients (33%) achieved an SVR. Patients infected with genotype 1 had a lower SVR than those infected with genotype non-1 (18% versus 49%, p = 0.02). No patients who failed to achieve a 2-log drop in viral load at 12 weeks achieved an SVR. HRQoL fell during treatment and rose with treatment cessation. For patients having an SVR there were modest improvements in HRQoL at 6 months post-treatment. The mean cost per QALY gained was 4535 pounds sterling for 40-year-old patients with genotype non-1 and 25,188 pounds sterling for patients with genotype 1. For patients with genotype 1 aged 65, providing interferon-alpha and ribavirin for mild disease led to fewer QALYs gained, and a mean cost per QALY of 53,017 pounds sterling. The model using efficacy estimates from the literature, showed that the cost per QALY gained from providing pegylated interferon alpha-2b and ribavirin at a mild stage rather than a moderate stage was 7821 pounds sterling for patients with genotype non-1 and 28,409 pounds sterling for patients with genotype 1. CONCLUSIONS: Based on the evidence collected in this study, interferon\u2026", "author" : [ { "dropping-particle" : "", "family" : "Wright", "given" : "M.", "non-dropping-particle" : "", "parse-names" : false, "suffix" : "" }, { "dropping-particle" : "", "family" : "Grieve", "given" : "R.", "non-dropping-particle" : "", "parse-names" : false, "suffix" : "" }, { "dropping-particle" : "", "family" : "Roberts", "given" : "J.", "non-dropping-particle" : "", "parse-names" : false, "suffix" : "" }, { "dropping-particle" : "", "family" : "Main", "given" : "J.", "non-dropping-particle" : "", "parse-names" : false, "suffix" : "" }, { "dropping-particle" : "", "family" : "Thomas", "given" : "H. C.", "non-dropping-particle" : "", "parse-names" : false, "suffix" : "" }, { "dropping-particle" : "", "family" : "UK Mild Hepatitis C Trial Investigators", "given" : "", "non-dropping-particle" : "", "parse-names" : false, "suffix" : "" } ], "container-title" : "Health technology assessment (NHS)", "id" : "ITEM-6", "issue" : "21", "issued" : { "date-parts" : [ [ "2006" ] ] }, "title" : "Health benefits of antiviral therapy for mild chronic hepatitis C: randomised controlled trial and economic evaluation.", "type" : "article-journal", "volume" : "10" }, "uris" : [ "http://www.mendeley.com/documents/?uuid=66ba4aa8-b8ad-4aac-8c62-f3a523206a64" ] }, { "id" : "ITEM-7", "itemData" : { "DOI" : "10.3310/hta16040", "ISBN" : "1366-5278 (Print)\\r1366-5278 (Linking)", "ISSN" : "20464924", "PMID" : "22333291", "abstract" : "BACKGROUND: Excessive alcohol consumption may lead to the development of alcohol-related liver disease (ALD). Liver biopsy may be used in patients with suspected ALD to confirm the diagnosis, exclude other or additional liver pathologies, and provide accurate staging of the degree of liver injury in order to enable the prediction of prognosis and inform treatment decisions. However, as it is an invasive procedure that carries the risk of morbidity and mortality, current UK guidance recommends that biopsy is not required to confirm the diagnosis in patients with a high clinical suspicion of ALD in whom blood tests have excluded other causes of liver disease, unless it is necessary to confirm a diagnosis of acute alcoholic hepatitis in order to inform specific treatment decisions.\\n\\nOBJECTIVES: To evaluate the diagnostic accuracy, cost-effectiveness, and effect on patient outcomes of four non-invasive tests for liver fibrosis [the Enhanced Liver Fibrosis (ELF\u2122) test (Siemens Healthcare Diagnostic Inc., Tarrytown, NY, USA), FibroTest (BioPredictive, Paris, France), FibroMAX (BioPredictive, Paris, France) and transient elastography (FibroScan(\u00ae); produced by EchoSens, Paris, France and distributed in the UK by Artemis Medical Ltd, Kent, UK)] in patients suspected of having ALD.\\n\\nDATA SOURCES: A systematic review was undertaken to identify studies reporting the diagnostic and prognostic accuracy of the ELF test, FibroTest, FibroMAX, and FibroScan for the identification of liver fibrosis and associated conditions in patients with suspected ALD. The following databases were searched in January 2010: MEDLINE (from 1950 to January 2010), MEDLINE In-Process &amp; Other Non-Indexed Citations (from 1950 to January 2010), EMBASE (from 1980 to January 2010), Cochrane Database of Systematic Reviews (from 1996 to January 2010), Cochrane Central Register of Controlled Trials (from 1898 to January 2010), Cochrane Methodology Register (from 1904 to January 2010), Database of Abstracts of Reviews of Effects (from 1995 to January 2010), HTA Database (from 1995 to January 2010), NHS Economic Evaluation Database (from 1995 to January 2010), Cumulative Index to Nursing and Allied Health Literature (from 1982 to January 2010), Web of Knowledge and Science Citation Index (from 1969 to January 2010).\\n\\nREVIEW METHODS: Study quality was assessed using the QUADAS (Quality Assessment of Diagnostic Accuracy Studies) checklist. Owing to the heterogeneity of the studies, no formal meta\u2026", "author" : [ { "dropping-particle" : "", "family" : "Stevenson", "given" : "M.", "non-dropping-particle" : "", "parse-names" : false, "suffix" : "" }, { "dropping-particle" : "", "family" : "Lloyd-Jones", "given" : "M.", "non-dropping-particle" : "", "parse-names" : false, "suffix" : "" }, { "dropping-particle" : "", "family" : "Morgan", "given" : "M. Y.", "non-dropping-particle" : "", "parse-names" : false, "suffix" : "" }, { "dropping-particle" : "", "family" : "Wong", "given" : "R.", "non-dropping-particle" : "", "parse-names" : false, "suffix" : "" } ], "container-title" : "Health technology assessment (NHS)", "id" : "ITEM-7", "issue" : "4", "issued" : { "date-parts" : [ [ "2012" ] ] }, "page" : "1-174", "title" : "Non-invasive diagnostic assessment tools for the detection of liver fibrosis in patients with suspected alcohol-related liver disease: a systematic review and economic evaluation.", "type" : "article-journal", "volume" : "16" }, "uris" : [ "http://www.mendeley.com/documents/?uuid=0bc97fb0-6980-4836-8f8f-46ba6f4020ac" ] }, { "id" : "ITEM-8", "itemData" : { "DOI" : "10.1053/gast.1997.v112.pm9024300", "ISBN" : "0016-5085 (Print)\\r0016-5085 (Linking)", "ISSN" : "00165085", "PMID" : "9024300", "abstract" : "Background and Aims: Few data are available concerning the long-term prognosis of chronic liver disease associated with hepatitis C virus infection. This study examined the morbidity and survival of patients with compensated cirrhosis type C. Methods: A cohort of 384 European cirrhotic patients was enrolled at seven tertiary referral hospitals and followed up for a mean period of 5 years. Inclusion criteria were biopsy-proven cirrhosis, abnormal serum aminotransferase levels, absence of complications of cirrhosis, and exclusion of hepatitis A and B viruses and of metabolic, toxic, or autoimmune liver diseases. Results: Antibodies against hepatitis C virus were positive in 98% of 361 patients tested. The 5-year risk of hepatocellular carcinoma was 7% and that of decompensation was 18%. Death occurred in 51 patients (13%), with 70% dying of liver disease. Survival probability was 91% and 79% at 5 and 10 years, respectively. Two hundred five patients (53%) were treated with interferon alfa. After adjustment for clinical and serological differences at baseline between patients treated or not treated with interferon, the 5-year estimated survival probability was 96% and 95% for treated and untreated patients, respectively. Conclusions: in this cohort of patients, life expectancy is relatively long, in agreement with the morbidity data showing a slowly progressive disease.", "author" : [ { "dropping-particle" : "", "family" : "Fattovich", "given" : "G.", "non-dropping-particle" : "", "parse-names" : false, "suffix" : "" }, { "dropping-particle" : "", "family" : "Giustina", "given" : "G.", "non-dropping-particle" : "", "parse-names" : false, "suffix" : "" }, { "dropping-particle" : "", "family" : "Degos", "given" : "F.", "non-dropping-particle" : "", "parse-names" : false, "suffix" : "" }, { "dropping-particle" : "", "family" : "Tremolada", "given" : "F.", "non-dropping-particle" : "", "parse-names" : false, "suffix" : "" }, { "dropping-particle" : "", "family" : "Diodati", "given" : "G.", "non-dropping-particle" : "", "parse-names" : false, "suffix" : "" }, { "dropping-particle" : "", "family" : "Almasio", "given" : "P.", "non-dropping-particle" : "", "parse-names" : false, "suffix" : "" }, { "dropping-particle" : "", "family" : "Nevens", "given" : "F.", "non-dropping-particle" : "", "parse-names" : false, "suffix" : "" }, { "dropping-particle" : "", "family" : "Solinas", "given" : "a.", "non-dropping-particle" : "", "parse-names" : false, "suffix" : "" }, { "dropping-particle" : "", "family" : "Mura", "given" : "D.", "non-dropping-particle" : "", "parse-names" : false, "suffix" : "" }, { "dropping-particle" : "", "family" : "Brouwer", "given" : "J. T.", "non-dropping-particle" : "", "parse-names" : false, "suffix" : "" }, { "dropping-particle" : "", "family" : "Thomas", "given" : "H.", "non-dropping-particle" : "", "parse-names" : false, "suffix" : "" }, { "dropping-particle" : "", "family" : "Njapoum", "given" : "C.", "non-dropping-particle" : "", "parse-names" : false, "suffix" : "" }, { "dropping-particle" : "", "family" : "Casarin", "given" : "C.", "non-dropping-particle" : "", "parse-names" : false, "suffix" : "" }, { "dropping-particle" : "", "family" : "Bonetti", "given" : "P.", "non-dropping-particle" : "", "parse-names" : false, "suffix" : "" }, { "dropping-particle" : "", "family" : "Fuschi", "given" : "P.", "non-dropping-particle" : "", "parse-names" : false, "suffix" : "" }, { "dropping-particle" : "", "family" : "Basho", "given" : "J.", "non-dropping-particle" : "", "parse-names" : false, "suffix" : "" }, { "dropping-particle" : "", "family" : "Tocco", "given" : "a.", "non-dropping-particle" : "", "parse-names" : false, "suffix" : "" }, { "dropping-particle" : "", "family" : "Bhalla", "given" : "a.", "non-dropping-particle" : "", "parse-names" : false, "suffix" : "" }, { "dropping-particle" : "", "family" : "Galassini", "given" : "R.", "non-dropping-particle" : "", "parse-names" : false, "suffix" : "" }, { "dropping-particle" : "", "family" : "Noventa", "given" : "F.", "non-dropping-particle" : "", "parse-names" : false, "suffix" : "" }, { "dropping-particle" : "", "family" : "Schalm", "given" : "S. W.", "non-dropping-particle" : "", "parse-names" : false, "suffix" : "" }, { "dropping-particle" : "", "family" : "Realdi", "given" : "G.", "non-dropping-particle" : "", "parse-names" : false, "suffix" : "" } ], "container-title" : "Gastroenterology", "id" : "ITEM-8", "issue" : "2", "issued" : { "date-parts" : [ [ "1997" ] ] }, "page" : "463-472", "title" : "Morbidity and mortality in compensated cirrhosis type C: A retrospective follow-up study of 384 patients", "type" : "article-journal", "volume" : "112" }, "uris" : [ "http://www.mendeley.com/documents/?uuid=aeeee71c-71eb-4f71-9464-29ad0ac1b2ca" ] }, { "id" : "ITEM-9", "itemData" : { "DOI" : "10.1053/j.gast.2004.09.014", "author" : [ { "dropping-particle" : "", "family" : "Fattovich", "given" : "Giovanna", "non-dropping-particle" : "", "parse-names" : false, "suffix" : "" }, { "dropping-particle" : "", "family" : "Stroffolini", "given" : "Tommaso", "non-dropping-particle" : "", "parse-names" : false, "suffix" : "" }, { "dropping-particle" : "", "family" : "Zagni", "given" : "Irene", "non-dropping-particle" : "", "parse-names" : false, "suffix" : "" }, { "dropping-particle" : "", "family" : "Donato", "given" : "Francesco", "non-dropping-particle" : "", "parse-names" : false, "suffix" : "" } ], "id" : "ITEM-9", "issued" : { "date-parts" : [ [ "2004" ] ] }, "page" : "35-50", "title" : "Hepatocellular Carcinoma in Cirrhosis: Incidence and Risk Factors", "type" : "article-journal" }, "uris" : [ "http://www.mendeley.com/documents/?uuid=ca1f4b96-e26f-4125-9938-8a7614ea5b26" ] }, { "id" : "ITEM-10", "itemData" : { "DOI" : "10.1016/j.jhep.2004.01.005", "ISBN" : "0168-8278 (Print)\\r0168-8278", "ISSN" : "01688278", "PMID" : "15094231", "abstract" : "Background/Aims Since few data are available concerning the clinical course of decompensated hepatitis C virus (HCV)-related cirrhosis, the aim of the present study was to define the natural long-term course after the first hepatic decompensation. Methods Cohort of 200 consecutive patients with HCV-related cirrhosis, and without known hepatocellular carcinoma (HCC), hospitalized for the first hepatic decompensation. Results Ascites was the most frequent first decompensation (48%), followed by portal hypertensive gastrointestinal bleeding (PHGB) (32.5%), severe bacterial infection (BI) (14.5%) and hepatic encephalopathy (HE) (5%). During follow-up (34\u00b12 months) there were 519 readmissions, HCC developed in 33 (16.5%) patients, and death occurred in 85 patients (42.5%). The probability of survival after diagnosis of decompensated cirrhosis was 81.8 and 50.8% at 1 and 5 years, respectively. HE and/or ascites as the first hepatic decompensation, baseline Child-Pugh score, age, and presence of more than one decompensation during follow-up were independently correlated with survival. Conclusions Once decompensated HCV-related cirrhosis was established, patients showed not only a very high frequency of readmissions, but also developed decompensations different from the initial one. These results contribute to defining the natural course and prognosis of decompensated HCV-related cirrhosis. \u00a9 2004 European Association for the Study of the Liver. Published by Elsevier B.V. All rights reserved.", "author" : [ { "dropping-particle" : "", "family" : "Planas", "given" : "Ramon", "non-dropping-particle" : "", "parse-names" : false, "suffix" : "" }, { "dropping-particle" : "", "family" : "Ballest\u00e9", "given" : "Bel\u00e9n", "non-dropping-particle" : "", "parse-names" : false, "suffix" : "" }, { "dropping-particle" : "", "family" : "\u00c1lvarez", "given" : "Marco Antonio", "non-dropping-particle" : "", "parse-names" : false, "suffix" : "" }, { "dropping-particle" : "", "family" : "Rivera", "given" : "Monica", "non-dropping-particle" : "", "parse-names" : false, "suffix" : "" }, { "dropping-particle" : "", "family" : "Montoliu", "given" : "Silvia", "non-dropping-particle" : "", "parse-names" : false, "suffix" : "" }, { "dropping-particle" : "", "family" : "Galeras", "given" : "Josep Anton", "non-dropping-particle" : "", "parse-names" : false, "suffix" : "" }, { "dropping-particle" : "", "family" : "Santos", "given" : "Justiniano", "non-dropping-particle" : "", "parse-names" : false, "suffix" : "" }, { "dropping-particle" : "", "family" : "Coll", "given" : "Susanna", "non-dropping-particle" : "", "parse-names" : false, "suffix" : "" }, { "dropping-particle" : "", "family" : "Maria Morillas", "given" : "Rosa", "non-dropping-particle" : "", "parse-names" : false, "suffix" : "" }, { "dropping-particle" : "", "family" : "Sol\u00e0", "given" : "Ricard", "non-dropping-particle" : "", "parse-names" : false, "suffix" : "" } ], "container-title" : "Journal of Hepatology", "id" : "ITEM-10", "issue" : "5", "issued" : { "date-parts" : [ [ "2004" ] ] }, "page" : "823-830", "title" : "Natural history of decompensated hepatitis C virus-related cirrhosis. A study of 200 patients", "type" : "article-journal", "volume" : "40" }, "uris" : [ "http://www.mendeley.com/documents/?uuid=6328d746-c91c-47d0-a6ec-d0a741ecb6e3" ] }, { "id" : "ITEM-11", "itemData" : { "DOI" : "10.1136/gut.52.3.425", "ISBN" : "0017-5749 (Print)\\r0017-5749 (Linking)", "ISSN" : "0017-5749", "PMID" : "12584228", "abstract" : "BACKGROUND: Peginterferon alpha-2b plus ribavirin therapy in previously untreated patients with chronic hepatitis C yields the highest sustained virological response rates of any treatment strategy but is expensive. AIMS: To estimate the cost effectiveness of treatment with peginterferon alpha-2b plus ribavirin compared with interferon alpha-2b plus ribavirin for initial treatment of patients with chronic hepatitis C. METHODS: Individual patient level data from a randomised clinical trial with peginterferon plus ribavirin were applied to a previously published and validated Markov model to project lifelong clinical outcomes. Quality of life and economic estimates were based on German patient data. We used a societal perspective and applied a 3% annual discount rate. RESULTS: Compared with no antiviral therapy, peginterferon plus fixed or weight based dosing of ribavirin increased life expectancy by 4.2 and 4.7 years, respectively. Compared with standard interferon alpha-2b plus ribavirin, peginterferon plus fixed or weight based dosing of ribavirin increased life expectancy by 0.5 and by 1.0 years with incremental cost effectiveness ratios of 11,800 euros and 6600 euros per quality adjusted life year (QALY), respectively. Subgroup analyses by genotype, viral load, sex, and histology showed that peginterferon plus weight based ribavirin remained cost effective compared with other well accepted medical treatments. CONCLUSIONS: Peginterferon alpha-2b plus ribavirin should reduce the incidence of liver complications, prolong life, improve quality of life, and be cost effective for the initial treatment of chronic hepatitis C.", "author" : [ { "dropping-particle" : "", "family" : "Siebert", "given" : "U", "non-dropping-particle" : "", "parse-names" : false, "suffix" : "" }, { "dropping-particle" : "", "family" : "Sroczynski", "given" : "G", "non-dropping-particle" : "", "parse-names" : false, "suffix" : "" }, { "dropping-particle" : "", "family" : "Rossol", "given" : "S", "non-dropping-particle" : "", "parse-names" : false, "suffix" : "" }, { "dropping-particle" : "", "family" : "Wasem", "given" : "J", "non-dropping-particle" : "", "parse-names" : false, "suffix" : "" }, { "dropping-particle" : "", "family" : "Ravens-Sieberer", "given" : "U", "non-dropping-particle" : "", "parse-names" : false, "suffix" : "" }, { "dropping-particle" : "", "family" : "Kurth", "given" : "B M", "non-dropping-particle" : "", "parse-names" : false, "suffix" : "" }, { "dropping-particle" : "", "family" : "Manns", "given" : "M P", "non-dropping-particle" : "", "parse-names" : false, "suffix" : "" }, { "dropping-particle" : "", "family" : "McHutchison", "given" : "J G", "non-dropping-particle" : "", "parse-names" : false, "suffix" : "" }, { "dropping-particle" : "", "family" : "Wong", "given" : "J B", "non-dropping-particle" : "", "parse-names" : false, "suffix" : "" } ], "container-title" : "Gut", "id" : "ITEM-11", "issue" : "3", "issued" : { "date-parts" : [ [ "2003" ] ] }, "page" : "425-432", "title" : "Cost effectiveness of peginterferon alpha-2b plus ribavirin versus interferon alpha-2b plus ribavirin for initial treatment of chronic hepatitis C.", "type" : "article-journal", "volume" : "52" }, "uris" : [ "http://www.mendeley.com/documents/?uuid=af89de81-8893-44a4-8c75-c754204c7a81" ] }, { "id" : "ITEM-12", "itemData" : { "DOI" : "10.1016/j.lts.2003.09.018", "ISSN" : "15276465", "PMID" : "14625822", "abstract" : "The European Liver Transplant Registry (ELTR) currently allows for the analysis of 44,286 liver transplantations (LTs) performed on 39,196 patients in a 13-year period. After an exponential increase, the number of LTs is plateauing due to a lack of organs. To cope with this, alternatives to cadaveric LT, such as split LT, domino LT, or living-related LT (LRLT) are being used increasingly. They now account for 11% of all procedures. One of the most important findings in the evolution of LT is the considerable improvement of results along time with, for the mean time, a one-year survival of 83%, all indications confounded. The improvement is particularly significant for cancers. This improvement is mainly represented by hepatocellular carcinoma, with a gain of 17% for 5-year survival rate from 1990 to 2000. Increasingly, older donors are used to augment the donor pool and older recipients are transplanted due to improved results and a better selection of patients. More than two thirds of deaths and three quarters of retransplantations occurred within the first year of transplantation. Retransplantation is associated with much less optimal results than first LT. One of the prominent features of recent years is the development of LRLT. LRLT is now performed by almost half of the European centers. As with split LT or domino LT, LRLT aims to provide more patients to be transplanted. Special attention is paid to reducing the risk for the donor, which is now estimated to be 0.5% mortality and 21% postoperative morbidity.", "author" : [ { "dropping-particle" : "", "family" : "Adam", "given" : "Ren\u00e9", "non-dropping-particle" : "", "parse-names" : false, "suffix" : "" }, { "dropping-particle" : "", "family" : "McMaster", "given" : "Paul", "non-dropping-particle" : "", "parse-names" : false, "suffix" : "" }, { "dropping-particle" : "", "family" : "O'Grady", "given" : "John G.", "non-dropping-particle" : "", "parse-names" : false, "suffix" : "" }, { "dropping-particle" : "", "family" : "Castaing", "given" : "Denis", "non-dropping-particle" : "", "parse-names" : false, "suffix" : "" }, { "dropping-particle" : "", "family" : "Klempnauer", "given" : "Jurgen L.", "non-dropping-particle" : "", "parse-names" : false, "suffix" : "" }, { "dropping-particle" : "", "family" : "Jamieson", "given" : "Neville", "non-dropping-particle" : "", "parse-names" : false, "suffix" : "" }, { "dropping-particle" : "", "family" : "Neuhaus", "given" : "Peter", "non-dropping-particle" : "", "parse-names" : false, "suffix" : "" }, { "dropping-particle" : "", "family" : "Lerut", "given" : "Jan", "non-dropping-particle" : "", "parse-names" : false, "suffix" : "" }, { "dropping-particle" : "", "family" : "Salizzoni", "given" : "Mauro", "non-dropping-particle" : "", "parse-names" : false, "suffix" : "" }, { "dropping-particle" : "", "family" : "Pollard", "given" : "Stephen", "non-dropping-particle" : "", "parse-names" : false, "suffix" : "" }, { "dropping-particle" : "", "family" : "Muhlbacher", "given" : "Ferdinand", "non-dropping-particle" : "", "parse-names" : false, "suffix" : "" }, { "dropping-particle" : "", "family" : "Rogiers", "given" : "Xavier", "non-dropping-particle" : "", "parse-names" : false, "suffix" : "" }, { "dropping-particle" : "", "family" : "Garcia Valdecasas", "given" : "Juan Carlos", "non-dropping-particle" : "", "parse-names" : false, "suffix" : "" }, { "dropping-particle" : "", "family" : "Berenguer", "given" : "Joaquin", "non-dropping-particle" : "", "parse-names" : false, "suffix" : "" }, { "dropping-particle" : "", "family" : "Jaeck", "given" : "Daniel", "non-dropping-particle" : "", "parse-names" : false, "suffix" : "" }, { "dropping-particle" : "", "family" : "Moreno Gonzalez", "given" : "Enrique", "non-dropping-particle" : "", "parse-names" : false, "suffix" : "" } ], "container-title" : "Liver Transplantation", "id" : "ITEM-12", "issue" : "12", "issued" : { "date-parts" : [ [ "2003" ] ] }, "page" : "1231-1243", "title" : "Evolution of liver transplantation in Europe: Report of the European Liver Transplant Registry", "type" : "article-journal", "volume" : "9" }, "uris" : [ "http://www.mendeley.com/documents/?uuid=b0a5ded0-16bb-43a4-aa83-a6eb8eb80720" ] }, { "id" : "ITEM-13", "itemData" : { "author" : [ { "dropping-particle" : "", "family" : "Teli MR, Day, CP, Burt AD, Bennett MK", "given" : "James of.", "non-dropping-particle" : "", "parse-names" : false, "suffix" : "" } ], "container-title" : "Lancet", "id" : "ITEM-13", "issued" : { "date-parts" : [ [ "1995" ] ] }, "page" : "987-990", "title" : "Determinants of progression to cirrhosis alcoholic fatty liver", "type" : "article-journal", "volume" : "346" }, "uris" : [ "http://www.mendeley.com/documents/?uuid=c283aeb8-94fb-4899-b882-59e8334e62b0" ] }, { "id" : "ITEM-14", "itemData" : { "DOI" : "10.1111/j.1478-3231.2012.02774.x", "ISBN" : "1478-3231 (Electronic)\\n1478-3223 (Linking)", "ISSN" : "14783223", "PMID" : "22364262", "abstract" : "BACKGROUND: Recent studies have shown that the renin-angiotensin system is implicated in hepatic fibrogenesis in vitro and in vivo. However, no study was done in humans with alcoholic liver disease.\\n\\nAIM: To investigate the antifibrotic effect of angiotensin II type 1 receptor (AT1-R) blocking agents (ARB) in patients with alcoholic liver disease.\\n\\nMETHODS: The primary outcome was improvement in patients' histological features. Eighty-five patients with compensated alcoholic liver fibrosis (\u2265 F2) which was confirmed by baseline liver biopsy were randomized (intention-to-treat (ITT)) to receive either ARB, candesartan (8 mg/day) with ursodeoxycholic acid (UDCA) (600 mg/day) (n = 42) or UDCA alone (n = 43) as control for 6 months and follow-up liver biopsies were conducted.\\n\\nRESULTS: According to the Laennec fibrosis system, candesartan showed significantly higher rates of histological improvements (ITT, 33.3% vs. 11.6%, P = 0.020). In addition, the fibrosis score was significantly reduced from 3.4 \u00b1 1.4 to 3.1 \u00b1 1.5 (P = 0.005) in the candesartan group. Candesartan also reduced the area of fibrosis and \u03b1-smooth muscle actin positive from 11.3 \u00b1 6.0 to 8.3 \u00b1 4.7 and 28.7 \u00b1 10.5 to 23.9 \u00b1 10.3 (%), and the hydroxyproline levels (\u03bcg/g liver tissue) from 7.8 \u00b1 2.4 to 6.3 \u00b1 1.7 respectively (P &lt; 0.05). In addition, the relative expression of transforming growth factor-\u03b21(TGF-\u03b21), collagen-1, AT1-R, tissue inhibitor of metalloproteinase 1 (TIMP-1), metalloproteinases2 (MMP2), Rac1 and p22phox by real-time RT-PCR decreased in the candesartan group (P &lt; 0.05). Mean arterial blood pressure in the candesartan group decreased mildly but significantly (P &lt; 0.001). No significant complications and side effects were observed during the present study.\\n\\nCONCLUSIONS: Administration of ARB in compensated alcoholic liver disease induces improvement of fibrosis in histological and quantitative measurements.", "author" : [ { "dropping-particle" : "", "family" : "Kim", "given" : "Moon Young", "non-dropping-particle" : "", "parse-names" : false, "suffix" : "" }, { "dropping-particle" : "", "family" : "Cho", "given" : "Mee Yon", "non-dropping-particle" : "", "parse-names" : false, "suffix" : "" }, { "dropping-particle" : "", "family" : "Baik", "given" : "Soon Koo", "non-dropping-particle" : "", "parse-names" : false, "suffix" : "" }, { "dropping-particle" : "", "family" : "Jeong", "given" : "Phil Ho", "non-dropping-particle" : "", "parse-names" : false, "suffix" : "" }, { "dropping-particle" : "", "family" : "Suk", "given" : "Ki Tae", "non-dropping-particle" : "", "parse-names" : false, "suffix" : "" }, { "dropping-particle" : "", "family" : "Jang", "given" : "Yoon Ok", "non-dropping-particle" : "", "parse-names" : false, "suffix" : "" }, { "dropping-particle" : "", "family" : "Yea", "given" : "Chang Jin", "non-dropping-particle" : "", "parse-names" : false, "suffix" : "" }, { "dropping-particle" : "", "family" : "Kim", "given" : "Jae Woo", "non-dropping-particle" : "", "parse-names" : false, "suffix" : "" }, { "dropping-particle" : "", "family" : "Kim", "given" : "Hyun Soo", "non-dropping-particle" : "", "parse-names" : false, "suffix" : "" }, { "dropping-particle" : "", "family" : "Kwon", "given" : "Sang Ok", "non-dropping-particle" : "", "parse-names" : false, "suffix" : "" }, { "dropping-particle" : "", "family" : "Yoo", "given" : "Byung Su", "non-dropping-particle" : "", "parse-names" : false, "suffix" : "" }, { "dropping-particle" : "", "family" : "Kim", "given" : "Jang Young", "non-dropping-particle" : "", "parse-names" : false, "suffix" : "" }, { "dropping-particle" : "", "family" : "Eom", "given" : "Min Seob", "non-dropping-particle" : "", "parse-names" : false, "suffix" : "" }, { "dropping-particle" : "", "family" : "Cha", "given" : "Seung Hwan", "non-dropping-particle" : "", "parse-names" : false, "suffix" : "" }, { "dropping-particle" : "", "family" : "Chang", "given" : "Sei Jin", "non-dropping-particle" : "", "parse-names" : false, "suffix" : "" } ], "container-title" : "Liver International", "id" : "ITEM-14", "issue" : "6", "issued" : { "date-parts" : [ [ "2012" ] ] }, "page" : "977-987", "title" : "Beneficial effects of candesartan, an angiotensin-blocking agent, on compensated alcoholic liver fibrosis - A randomized open-label controlled study", "type" : "article-journal", "volume" : "32" }, "uris" : [ "http://www.mendeley.com/documents/?uuid=c687ab73-2e0f-46d0-8d1e-1baa3d39ef12" ] }, { "id" : "ITEM-15", "itemData" : { "DOI" : "10.1002/hep.23500", "ISSN" : "02709139", "PMID" : "20186844", "abstract" : "The clinical course of alcoholic cirrhosis, a condition with a high mortality, has not been well described. We examined prevalence, risk, chronology, and mortality associated with three complications of cirrhosis: ascites, variceal bleeding, and hepatic encephalopathy. We followed a population-based cohort of 466 Danish patients diagnosed with alcoholic cirrhosis in 1993-2005, starting from the date of hospital diagnosis and ending in August 2006. Data were extracted from medical charts during the follow-up period. Risk and mortality associated with complications were calculated using competing-risks methods. At diagnosis of alcoholic cirrhosis, 24% of patients had no complications, 55% had ascites alone, 6% had variceal bleeding alone, 4% had ascites and variceal bleeding, and 11% had hepatic encephalopathy. One-year mortality was 17% among patients with no initial complications, 20% following variceal bleeding alone, 29% following ascites alone, 49% following ascites and variceal bleeding (from the onset of the later of the two complications), and 64% following hepatic encephalopathy. Five-year mortality ranged from 58% to 85%. The risk of complications was about 25% after 1 year and 50% after 5 years for all patients without hepatic encephalopathy. The complications under study did not develop in any predictable sequence. Although patients initially without complications usually developed ascites first (12% within 1 year), many developed either variceal bleeding first (6% within 1 year) or hepatic encephalopathy first (4% within 1 year). Subsequent complications occurred in an unpredictable order among patients with ascites or variceal bleeding. CONCLUSION: Patients with alcoholic cirrhosis had a high prevalence of complications at the time of cirrhosis diagnosis. The presence and type of complications at diagnosis were predictors of mortality, but not of the risk of subsequent complications.", "author" : [ { "dropping-particle" : "", "family" : "Jepsen", "given" : "Peter", "non-dropping-particle" : "", "parse-names" : false, "suffix" : "" }, { "dropping-particle" : "", "family" : "Ott", "given" : "Peter", "non-dropping-particle" : "", "parse-names" : false, "suffix" : "" }, { "dropping-particle" : "", "family" : "Andersen", "given" : "Per Kragh", "non-dropping-particle" : "", "parse-names" : false, "suffix" : "" }, { "dropping-particle" : "", "family" : "S\u00f8rensen", "given" : "Henrik Toft", "non-dropping-particle" : "", "parse-names" : false, "suffix" : "" }, { "dropping-particle" : "", "family" : "Vilstrup", "given" : "Hendrik", "non-dropping-particle" : "", "parse-names" : false, "suffix" : "" } ], "container-title" : "Hepatology", "id" : "ITEM-15", "issue" : "5", "issued" : { "date-parts" : [ [ "2010" ] ] }, "page" : "1675-1682", "title" : "Clinical course of alcoholic liver cirrhosis: A Danish population-based cohort study", "type" : "article-journal", "volume" : "51" }, "uris" : [ "http://www.mendeley.com/documents/?uuid=012d5a6c-5988-4a5a-b3ff-eba054a29f6b" ] }, { "id" : "ITEM-16", "itemData" : { "DOI" : "10.1097/MCG.0b013e3182284e13", "ISBN" : "1539-2031", "ISSN" : "1539-2031", "PMID" : "21814145", "abstract" : "BACKGROUND: Prognosis of decompensated alcoholic cirrhosis is based mainly on studies that included patients with different severities of liver disease and did not recognize either hepatitis C virus epidemic or changes in clinical management of cirrhosis., AIM: To define the long-term course after the first hepatic decompensation in alcoholic cirrhosis., METHODS: Prospective inclusion at the start point of decompensated cirrhosis of 165 consecutive patients with alcoholic cirrhosis without known hepatocellular carcinoma hospitalized from January 1998 to December 2001 was made. Follow-up was maintained until death or the end of the observation period (April 1, 2010)., RESULTS: The patients were followed for 835.75 patient years. Median age was 56 years (95% confidence interval: 54-58). Baseline Child-Pugh score was 9 (95% CI: 8-9), and model for end-stage liver disease (MELD) was 13.8 (95% CI: 12.5-14.7). Ascites was the most frequent first decompensation (51%). During follow-up, 99 (60%) patients were abstinent, hepatocellular carcinoma developed in 18 (11%) patients, and 116 patients died (70%). Median overall survival was 61 months (95% CI: 48-74). Median survival probability after onset of hepatic encephalopathy (HE) was only 14 months (95% CI: 5-23). Age, baseline MELD, albumin, development of HE, and persistence of alcohol use were independently correlated with mortality., CONCLUSIONS: Patients with alcoholic cirrhosis show a high frequency of complications. The low mortality rate in our cohort of patients probably reflects the improvement in the management of patients with cirrhosis; it is mainly influenced by baseline MELD, age, HE development, and continued abstinence. Patients who develop HE should be considered for hepatic transplantation.", "author" : [ { "dropping-particle" : "", "family" : "Alvarez", "given" : "Marco Antonio", "non-dropping-particle" : "", "parse-names" : false, "suffix" : "" }, { "dropping-particle" : "", "family" : "Cirera", "given" : "Isabel", "non-dropping-particle" : "", "parse-names" : false, "suffix" : "" }, { "dropping-particle" : "", "family" : "Sola", "given" : "Ricard", "non-dropping-particle" : "", "parse-names" : false, "suffix" : "" }, { "dropping-particle" : "", "family" : "Bargallo", "given" : "Ana", "non-dropping-particle" : "", "parse-names" : false, "suffix" : "" }, { "dropping-particle" : "", "family" : "Morillas", "given" : "Rosa Maria", "non-dropping-particle" : "", "parse-names" : false, "suffix" : "" }, { "dropping-particle" : "", "family" : "Planas", "given" : "Ramon", "non-dropping-particle" : "", "parse-names" : false, "suffix" : "" } ], "container-title" : "Journal of clinical gastroenterology", "id" : "ITEM-16", "issue" : "10", "issued" : { "date-parts" : [ [ "2011" ] ] }, "page" : "906-911", "title" : "Long-term clinical course of decompensated alcoholic cirrhosis: a prospective study of 165 patients.", "type" : "article-journal", "volume" : "45" }, "uris" : [ "http://www.mendeley.com/documents/?uuid=099fdaad-6242-493e-ad51-39e8f749241a" ] }, { "id" : "ITEM-17", "itemData" : { "DOI" : "10.1093/alcalc/agn046", "ISSN" : "07350414", "PMID" : "18621800", "abstract" : "BACKGROUND: Liver biopsy indication for the evaluation of alcoholic liver disease is controversial. Our aim was to investigate the influence of the biopsy on the patients' motivation for abstinence. METHODS: We retrospectively analysed, in a population of 324 patients hospitalized for alcohol withdrawal, the impact of liver biopsy on the following clinical outcomes: rapid loss to follow-up (immediately after hospital discharge), early relapse (&lt; 3 months) and long-lasting abstinence (&gt; 12 months). The biopsy was performed in 136 patients who had liver enzymes perturbations. Hepatic lesions were graded as mild (isolated steatosis and/or non-bridging fibrosis), moderate (bridging fibrosis and/or moderate alcoholic hepatitis) or severe (cirrhosis and/or marked alcoholic hepatitis) in 66 (48%), 41 (30%) and 29 (21%) cases, respectively. RESULTS: In univariate analysis, patients who had a liver biopsy were less likely to be rapidly lost to follow-up (12% versus 27%, P = 0.003) but had a lower rate of long-term abstinence (20% versus 34%, P = 0.025). In multivariate analysis, age was the only factor significantly associated with clinical outcome: older patients had higher rate of long-term abstinence (OR = 1.041; P = 0.010). Among patients who had a biopsy, those with severe hepatic lesions had a lower rate of rapid relapse than those with moderate or mild lesions (32% versus 68% and 56%, P = 0.018) but the rate of long-term abstinence was similar in the three groups. CONCLUSION: This observational study does not support the notion that liver biopsy has a significant influence on the maintenance of alcohol abstinence in patients with alcoholic liver disease.", "author" : [ { "dropping-particle" : "", "family" : "Trabut", "given" : "Jean Baptiste", "non-dropping-particle" : "", "parse-names" : false, "suffix" : "" }, { "dropping-particle" : "", "family" : "Plat", "given" : "Arnaud", "non-dropping-particle" : "", "parse-names" : false, "suffix" : "" }, { "dropping-particle" : "", "family" : "Thepot", "given" : "V\u00e9ronique", "non-dropping-particle" : "", "parse-names" : false, "suffix" : "" }, { "dropping-particle" : "", "family" : "Fontaine", "given" : "H\u00e9l\u00e8ne", "non-dropping-particle" : "", "parse-names" : false, "suffix" : "" }, { "dropping-particle" : "", "family" : "Vallet-Pichard", "given" : "Ana\u00efs", "non-dropping-particle" : "", "parse-names" : false, "suffix" : "" }, { "dropping-particle" : "", "family" : "Nalpas", "given" : "Bertrand", "non-dropping-particle" : "", "parse-names" : false, "suffix" : "" }, { "dropping-particle" : "", "family" : "Pol", "given" : "Stanislas", "non-dropping-particle" : "", "parse-names" : false, "suffix" : "" } ], "container-title" : "Alcohol and Alcoholism", "id" : "ITEM-17", "issue" : "5", "issued" : { "date-parts" : [ [ "2008" ] ] }, "page" : "559-563", "title" : "Influence of liver biopsy on abstinence in alcohol-dependent patients", "type" : "article-journal", "volume" : "43" }, "uris" : [ "http://www.mendeley.com/documents/?uuid=b66d0633-3e12-455a-b5a1-6ed148012f72" ] }, { "id" : "ITEM-18", "itemData" : { "DOI" : "10.1111/j.1365-2036.2004.01881.x", "ISSN" : "0269-2813", "PMID" : "15043511", "abstract" : "Alcoholic liver disease, including acute alcoholic hepatitis and alcoholic cirrhosis, is a major cause of morbidity and mortality in the Western world. Abstinence remains the cornerstone of management of all forms of alcoholic liver disease. Recent research, which has elucidated the mechanisms of alcohol-induced liver injury, offers the prospect of advances in the management of alcoholic liver disease. We review the most recent data on the efficacy of treatment of acute alcoholic injury, including nutritional support, corticosteroids, anti-inflammatory agents and antioxidants, and agents that are directed against the progression to fibrosis, such as colchicines, propylthiouracil and antioxidants. Although these therapies offer a tantalizing glimpse into a future that may include therapies that directly alter the process of injury and repair in the liver, none has been shown consistently to improve the course of alcoholic liver damage. Consequently, liver transplantation remains an ultimate option for selected patients with liver failure due to chronic alcoholic liver damage.", "author" : [ { "dropping-particle" : "", "family" : "Tome", "given" : "S", "non-dropping-particle" : "", "parse-names" : false, "suffix" : "" }, { "dropping-particle" : "", "family" : "Lucey", "given" : "M R", "non-dropping-particle" : "", "parse-names" : false, "suffix" : "" } ], "container-title" : "Alimentary pharmacology &amp; therapeutics", "id" : "ITEM-18", "issue" : "7", "issued" : { "date-parts" : [ [ "2004" ] ] }, "page" : "707-714", "title" : "Review article: current management of alcoholic liver disease.", "type" : "article-journal", "volume" : "19" }, "uris" : [ "http://www.mendeley.com/documents/?uuid=a38f1542-31ad-453d-a8a3-ea3d99414971" ] } ], "mendeley" : { "formattedCitation" : "[12,15,17,22\u201336]", "plainTextFormattedCitation" : "[12,15,17,22\u201336]", "previouslyFormattedCitation" : "[12,15,17,22\u201336]" }, "properties" : { "noteIndex" : 0 }, "schema" : "https://github.com/citation-style-language/schema/raw/master/csl-citation.json" }</w:instrText>
      </w:r>
      <w:r w:rsidR="003827E7" w:rsidRPr="00CA3B86">
        <w:rPr>
          <w:rFonts w:ascii="Book Antiqua" w:hAnsi="Book Antiqua"/>
          <w:sz w:val="24"/>
          <w:szCs w:val="24"/>
          <w:vertAlign w:val="superscript"/>
        </w:rPr>
        <w:fldChar w:fldCharType="separate"/>
      </w:r>
      <w:r w:rsidR="00364039" w:rsidRPr="00CA3B86">
        <w:rPr>
          <w:rFonts w:ascii="Book Antiqua" w:hAnsi="Book Antiqua"/>
          <w:noProof/>
          <w:sz w:val="24"/>
          <w:szCs w:val="24"/>
          <w:vertAlign w:val="superscript"/>
        </w:rPr>
        <w:t>[12,15,17,22–36]</w:t>
      </w:r>
      <w:r w:rsidR="003827E7" w:rsidRPr="00CA3B86">
        <w:rPr>
          <w:rFonts w:ascii="Book Antiqua" w:hAnsi="Book Antiqua"/>
          <w:sz w:val="24"/>
          <w:szCs w:val="24"/>
          <w:vertAlign w:val="superscript"/>
        </w:rPr>
        <w:fldChar w:fldCharType="end"/>
      </w:r>
      <w:r w:rsidR="006B2A60" w:rsidRPr="001339DB">
        <w:rPr>
          <w:rFonts w:ascii="Book Antiqua" w:hAnsi="Book Antiqua"/>
          <w:sz w:val="24"/>
          <w:szCs w:val="24"/>
        </w:rPr>
        <w:t>.</w:t>
      </w:r>
      <w:r w:rsidR="00A96845" w:rsidRPr="001339DB">
        <w:rPr>
          <w:rFonts w:ascii="Book Antiqua" w:hAnsi="Book Antiqua"/>
          <w:sz w:val="24"/>
          <w:szCs w:val="24"/>
        </w:rPr>
        <w:t xml:space="preserve"> </w:t>
      </w:r>
      <w:r w:rsidR="008D5288" w:rsidRPr="001339DB">
        <w:rPr>
          <w:rFonts w:ascii="Book Antiqua" w:hAnsi="Book Antiqua"/>
          <w:sz w:val="24"/>
          <w:szCs w:val="24"/>
        </w:rPr>
        <w:t xml:space="preserve">Priority was given to estimates for Spanish population </w:t>
      </w:r>
      <w:r w:rsidR="00475010" w:rsidRPr="001339DB">
        <w:rPr>
          <w:rFonts w:ascii="Book Antiqua" w:hAnsi="Book Antiqua"/>
          <w:sz w:val="24"/>
          <w:szCs w:val="24"/>
        </w:rPr>
        <w:t>or to studies based on a large number of patients.</w:t>
      </w:r>
      <w:r w:rsidR="00A7670B" w:rsidRPr="001339DB">
        <w:rPr>
          <w:rFonts w:ascii="Book Antiqua" w:hAnsi="Book Antiqua"/>
          <w:sz w:val="24"/>
          <w:szCs w:val="24"/>
        </w:rPr>
        <w:t xml:space="preserve"> Whenever it was possible</w:t>
      </w:r>
      <w:r w:rsidR="00C34C2E" w:rsidRPr="001339DB">
        <w:rPr>
          <w:rFonts w:ascii="Book Antiqua" w:hAnsi="Book Antiqua"/>
          <w:sz w:val="24"/>
          <w:szCs w:val="24"/>
        </w:rPr>
        <w:t>, sensitivity and specificity</w:t>
      </w:r>
      <w:r w:rsidR="00A7670B" w:rsidRPr="001339DB">
        <w:rPr>
          <w:rFonts w:ascii="Book Antiqua" w:hAnsi="Book Antiqua"/>
          <w:sz w:val="24"/>
          <w:szCs w:val="24"/>
        </w:rPr>
        <w:t xml:space="preserve"> </w:t>
      </w:r>
      <w:r w:rsidR="00C34C2E" w:rsidRPr="001339DB">
        <w:rPr>
          <w:rFonts w:ascii="Book Antiqua" w:hAnsi="Book Antiqua"/>
          <w:sz w:val="24"/>
          <w:szCs w:val="24"/>
        </w:rPr>
        <w:t xml:space="preserve">estimates </w:t>
      </w:r>
      <w:r w:rsidR="00A7670B" w:rsidRPr="001339DB">
        <w:rPr>
          <w:rFonts w:ascii="Book Antiqua" w:hAnsi="Book Antiqua"/>
          <w:sz w:val="24"/>
          <w:szCs w:val="24"/>
        </w:rPr>
        <w:t>were specific to each etiology group.</w:t>
      </w:r>
      <w:r w:rsidR="001662D3" w:rsidRPr="001339DB">
        <w:rPr>
          <w:rFonts w:ascii="Book Antiqua" w:hAnsi="Book Antiqua"/>
          <w:sz w:val="24"/>
          <w:szCs w:val="24"/>
        </w:rPr>
        <w:t xml:space="preserve"> In ALD patients, for </w:t>
      </w:r>
      <w:r w:rsidR="001A5AF6" w:rsidRPr="001339DB">
        <w:rPr>
          <w:rFonts w:ascii="Book Antiqua" w:hAnsi="Book Antiqua"/>
          <w:sz w:val="24"/>
          <w:szCs w:val="24"/>
        </w:rPr>
        <w:t>whom</w:t>
      </w:r>
      <w:r w:rsidR="001662D3" w:rsidRPr="001339DB">
        <w:rPr>
          <w:rFonts w:ascii="Book Antiqua" w:hAnsi="Book Antiqua"/>
          <w:sz w:val="24"/>
          <w:szCs w:val="24"/>
        </w:rPr>
        <w:t xml:space="preserve"> no specific information on ELF </w:t>
      </w:r>
      <w:r w:rsidR="00F53A38" w:rsidRPr="001339DB">
        <w:rPr>
          <w:rFonts w:ascii="Book Antiqua" w:hAnsi="Book Antiqua"/>
          <w:sz w:val="24"/>
          <w:szCs w:val="24"/>
        </w:rPr>
        <w:t xml:space="preserve">testing </w:t>
      </w:r>
      <w:r w:rsidR="005356C1" w:rsidRPr="001339DB">
        <w:rPr>
          <w:rFonts w:ascii="Book Antiqua" w:hAnsi="Book Antiqua"/>
          <w:sz w:val="24"/>
          <w:szCs w:val="24"/>
        </w:rPr>
        <w:t>was</w:t>
      </w:r>
      <w:r w:rsidR="001A5AF6" w:rsidRPr="001339DB">
        <w:rPr>
          <w:rFonts w:ascii="Book Antiqua" w:hAnsi="Book Antiqua"/>
          <w:sz w:val="24"/>
          <w:szCs w:val="24"/>
        </w:rPr>
        <w:t xml:space="preserve"> available, it was assumed that </w:t>
      </w:r>
      <w:r w:rsidR="00F53A38" w:rsidRPr="001339DB">
        <w:rPr>
          <w:rFonts w:ascii="Book Antiqua" w:hAnsi="Book Antiqua"/>
          <w:sz w:val="24"/>
          <w:szCs w:val="24"/>
        </w:rPr>
        <w:t xml:space="preserve">the </w:t>
      </w:r>
      <w:r w:rsidR="001A5AF6" w:rsidRPr="001339DB">
        <w:rPr>
          <w:rFonts w:ascii="Book Antiqua" w:hAnsi="Book Antiqua"/>
          <w:sz w:val="24"/>
          <w:szCs w:val="24"/>
        </w:rPr>
        <w:t xml:space="preserve">ELF </w:t>
      </w:r>
      <w:r w:rsidR="00F53A38" w:rsidRPr="001339DB">
        <w:rPr>
          <w:rFonts w:ascii="Book Antiqua" w:hAnsi="Book Antiqua"/>
          <w:sz w:val="24"/>
          <w:szCs w:val="24"/>
        </w:rPr>
        <w:t xml:space="preserve">test </w:t>
      </w:r>
      <w:r w:rsidR="001A5AF6" w:rsidRPr="001339DB">
        <w:rPr>
          <w:rFonts w:ascii="Book Antiqua" w:hAnsi="Book Antiqua"/>
          <w:sz w:val="24"/>
          <w:szCs w:val="24"/>
        </w:rPr>
        <w:t xml:space="preserve">had the same accuracy as </w:t>
      </w:r>
      <w:r w:rsidR="005356C1" w:rsidRPr="001339DB">
        <w:rPr>
          <w:rFonts w:ascii="Book Antiqua" w:hAnsi="Book Antiqua"/>
          <w:sz w:val="24"/>
          <w:szCs w:val="24"/>
        </w:rPr>
        <w:t>in</w:t>
      </w:r>
      <w:r w:rsidR="001A5AF6" w:rsidRPr="001339DB">
        <w:rPr>
          <w:rFonts w:ascii="Book Antiqua" w:hAnsi="Book Antiqua"/>
          <w:sz w:val="24"/>
          <w:szCs w:val="24"/>
        </w:rPr>
        <w:t xml:space="preserve"> HCV individuals</w:t>
      </w:r>
      <w:r w:rsidR="003827E7" w:rsidRPr="00CA3B86">
        <w:rPr>
          <w:rFonts w:ascii="Book Antiqua" w:hAnsi="Book Antiqua"/>
          <w:sz w:val="24"/>
          <w:szCs w:val="24"/>
          <w:vertAlign w:val="superscript"/>
        </w:rPr>
        <w:fldChar w:fldCharType="begin" w:fldLock="1"/>
      </w:r>
      <w:r w:rsidR="003A7F4C" w:rsidRPr="00CA3B86">
        <w:rPr>
          <w:rFonts w:ascii="Book Antiqua" w:hAnsi="Book Antiqua"/>
          <w:sz w:val="24"/>
          <w:szCs w:val="24"/>
          <w:vertAlign w:val="superscript"/>
        </w:rPr>
        <w:instrText>ADDIN CSL_CITATION { "citationItems" : [ { "id" : "ITEM-1", "itemData" : { "DOI" : "10.1111/j.1365-2036.2010.04500.x", "ISSN" : "1365-2036", "PMID" : "21083589", "abstract" : "Liver biopsy is the reference standard to assess liver fibrosis in chronic hepatitis C.", "author" : [ { "dropping-particle" : "", "family" : "Martinez", "given" : "S M", "non-dropping-particle" : "", "parse-names" : false, "suffix" : "" }, { "dropping-particle" : "", "family" : "Fern\u00e1ndez-Varo", "given" : "G", "non-dropping-particle" : "", "parse-names" : false, "suffix" : "" }, { "dropping-particle" : "", "family" : "Gonz\u00e1lez", "given" : "P", "non-dropping-particle" : "", "parse-names" : false, "suffix" : "" }, { "dropping-particle" : "", "family" : "Sampson", "given" : "E", "non-dropping-particle" : "", "parse-names" : false, "suffix" : "" }, { "dropping-particle" : "", "family" : "Bruguera", "given" : "M", "non-dropping-particle" : "", "parse-names" : false, "suffix" : "" }, { "dropping-particle" : "", "family" : "Navasa", "given" : "M", "non-dropping-particle" : "", "parse-names" : false, "suffix" : "" }, { "dropping-particle" : "", "family" : "Jim\u00e9nez", "given" : "W", "non-dropping-particle" : "", "parse-names" : false, "suffix" : "" }, { "dropping-particle" : "", "family" : "S\u00e1nchez-Tapias", "given" : "J M", "non-dropping-particle" : "", "parse-names" : false, "suffix" : "" }, { "dropping-particle" : "", "family" : "Forns", "given" : "X", "non-dropping-particle" : "", "parse-names" : false, "suffix" : "" } ], "container-title" : "Alimentary pharmacology &amp; therapeutics", "id" : "ITEM-1", "issue" : "1", "issued" : { "date-parts" : [ [ "2011" ] ] }, "page" : "138-148", "title" : "Assessment of liver fibrosis before and after antiviral therapy by different serum marker panels in patients with chronic hepatitis C.", "type" : "article-journal", "volume" : "33" }, "uris" : [ "http://www.mendeley.com/documents/?uuid=b63eae26-e87c-42a3-bf0a-b626d2de15bd" ] } ], "mendeley" : { "formattedCitation" : "[26]", "plainTextFormattedCitation" : "[26]", "previouslyFormattedCitation" : "[26]" }, "properties" : { "noteIndex" : 0 }, "schema" : "https://github.com/citation-style-language/schema/raw/master/csl-citation.json" }</w:instrText>
      </w:r>
      <w:r w:rsidR="003827E7" w:rsidRPr="00CA3B86">
        <w:rPr>
          <w:rFonts w:ascii="Book Antiqua" w:hAnsi="Book Antiqua"/>
          <w:sz w:val="24"/>
          <w:szCs w:val="24"/>
          <w:vertAlign w:val="superscript"/>
        </w:rPr>
        <w:fldChar w:fldCharType="separate"/>
      </w:r>
      <w:r w:rsidR="003A7F4C" w:rsidRPr="00CA3B86">
        <w:rPr>
          <w:rFonts w:ascii="Book Antiqua" w:hAnsi="Book Antiqua"/>
          <w:noProof/>
          <w:sz w:val="24"/>
          <w:szCs w:val="24"/>
          <w:vertAlign w:val="superscript"/>
        </w:rPr>
        <w:t>[26]</w:t>
      </w:r>
      <w:r w:rsidR="003827E7" w:rsidRPr="00CA3B86">
        <w:rPr>
          <w:rFonts w:ascii="Book Antiqua" w:hAnsi="Book Antiqua"/>
          <w:sz w:val="24"/>
          <w:szCs w:val="24"/>
          <w:vertAlign w:val="superscript"/>
        </w:rPr>
        <w:fldChar w:fldCharType="end"/>
      </w:r>
      <w:r w:rsidR="006B2A60" w:rsidRPr="001339DB">
        <w:rPr>
          <w:rFonts w:ascii="Book Antiqua" w:hAnsi="Book Antiqua"/>
          <w:sz w:val="24"/>
          <w:szCs w:val="24"/>
        </w:rPr>
        <w:t>.</w:t>
      </w:r>
      <w:r w:rsidR="001662D3" w:rsidRPr="001339DB">
        <w:rPr>
          <w:rFonts w:ascii="Book Antiqua" w:hAnsi="Book Antiqua"/>
          <w:sz w:val="24"/>
          <w:szCs w:val="24"/>
        </w:rPr>
        <w:t xml:space="preserve"> </w:t>
      </w:r>
      <w:r w:rsidR="005A5898" w:rsidRPr="001339DB">
        <w:rPr>
          <w:rFonts w:ascii="Book Antiqua" w:hAnsi="Book Antiqua"/>
          <w:sz w:val="24"/>
          <w:szCs w:val="24"/>
        </w:rPr>
        <w:t>All specificity and sensitivity parameters were changed in the sensitivity analysis to explore how these assumptions affect</w:t>
      </w:r>
      <w:r w:rsidR="001E63E7" w:rsidRPr="001339DB">
        <w:rPr>
          <w:rFonts w:ascii="Book Antiqua" w:hAnsi="Book Antiqua"/>
          <w:sz w:val="24"/>
          <w:szCs w:val="24"/>
        </w:rPr>
        <w:t>ed</w:t>
      </w:r>
      <w:r w:rsidR="005A5898" w:rsidRPr="001339DB">
        <w:rPr>
          <w:rFonts w:ascii="Book Antiqua" w:hAnsi="Book Antiqua"/>
          <w:sz w:val="24"/>
          <w:szCs w:val="24"/>
        </w:rPr>
        <w:t xml:space="preserve"> baseline results.</w:t>
      </w:r>
      <w:r w:rsidR="00C731E9">
        <w:rPr>
          <w:rFonts w:ascii="Book Antiqua" w:hAnsi="Book Antiqua"/>
          <w:sz w:val="24"/>
          <w:szCs w:val="24"/>
        </w:rPr>
        <w:t xml:space="preserve"> </w:t>
      </w:r>
      <w:r w:rsidR="00B633C5" w:rsidRPr="001339DB">
        <w:rPr>
          <w:rFonts w:ascii="Book Antiqua" w:hAnsi="Book Antiqua"/>
          <w:sz w:val="24"/>
          <w:szCs w:val="24"/>
        </w:rPr>
        <w:t>In the base case analysis</w:t>
      </w:r>
      <w:r w:rsidR="005A041F" w:rsidRPr="001339DB">
        <w:rPr>
          <w:rFonts w:ascii="Book Antiqua" w:hAnsi="Book Antiqua"/>
          <w:sz w:val="24"/>
          <w:szCs w:val="24"/>
        </w:rPr>
        <w:t>,</w:t>
      </w:r>
      <w:r w:rsidR="00B633C5" w:rsidRPr="001339DB">
        <w:rPr>
          <w:rFonts w:ascii="Book Antiqua" w:hAnsi="Book Antiqua"/>
          <w:sz w:val="24"/>
          <w:szCs w:val="24"/>
        </w:rPr>
        <w:t xml:space="preserve"> </w:t>
      </w:r>
      <w:r w:rsidR="00401A0D" w:rsidRPr="001339DB">
        <w:rPr>
          <w:rFonts w:ascii="Book Antiqua" w:hAnsi="Book Antiqua"/>
          <w:sz w:val="24"/>
          <w:szCs w:val="24"/>
        </w:rPr>
        <w:t xml:space="preserve">liver </w:t>
      </w:r>
      <w:r w:rsidR="00B633C5" w:rsidRPr="001339DB">
        <w:rPr>
          <w:rFonts w:ascii="Book Antiqua" w:hAnsi="Book Antiqua"/>
          <w:sz w:val="24"/>
          <w:szCs w:val="24"/>
        </w:rPr>
        <w:t>biopsy was assumed to have a 90% sensitivity and specificity for both groups of individuals</w:t>
      </w:r>
      <w:r w:rsidR="003827E7" w:rsidRPr="00CA3B86">
        <w:rPr>
          <w:rFonts w:ascii="Book Antiqua" w:hAnsi="Book Antiqua"/>
          <w:sz w:val="24"/>
          <w:szCs w:val="24"/>
          <w:vertAlign w:val="superscript"/>
        </w:rPr>
        <w:fldChar w:fldCharType="begin" w:fldLock="1"/>
      </w:r>
      <w:r w:rsidR="003A7F4C" w:rsidRPr="00CA3B86">
        <w:rPr>
          <w:rFonts w:ascii="Book Antiqua" w:hAnsi="Book Antiqua"/>
          <w:sz w:val="24"/>
          <w:szCs w:val="24"/>
          <w:vertAlign w:val="superscript"/>
        </w:rPr>
        <w:instrText>ADDIN CSL_CITATION { "citationItems" : [ { "id" : "ITEM-1", "itemData" : { "DOI" : "10.1016/j.jhep.2008.07.039", "ISBN" : "0168-8278 (Print) 0168-8278 (Linking)", "ISSN" : "01688278", "PMID" : "19012989", "abstract" : "Background/Aims: Alternatives to liver biopsy for staging liver disease caused by hepatitis C virus (HCV) have not appeared accurate enough for widespread clinical use. We characterized the magnitude of the impact of error in the \"gold standard\" on the observed diagnostic accuracy of surrogate markers. Methods: We calculated the area under the receiver operating characteristic curve (AUROC) for a surrogate marker against the gold standard (biopsy) for a range of possible performances of each test (biopsy and marker) against truth and a gradient of clinically significant disease prevalence. Results: In the 'best' scenario where liver biopsy accuracy is highest (sensitivity and specificity of biopsy are 90%) and the prevalence of significant disease 40%, the calculated AUROC would be 0.90 for a perfect marker (99% actual accuracy) which is within the range of what has already been observed. With lower biopsy sensitivity and specificity, AUROC determinations &gt;0.90 could not be achieved even for a marker that perfectly measured disease. Conclusions: We demonstrate that error in the liver biopsy result itself makes it impossible to distinguish a perfect surrogate from ones that are now judged by some as clinically unacceptable. An alternative gold standard is needed to assess the accuracy of tests used to stage HCV-related liver disease. \u00a9 2008 European Association for the Study of the Liver.", "author" : [ { "dropping-particle" : "", "family" : "Mehta", "given" : "Shruti H.", "non-dropping-particle" : "", "parse-names" : false, "suffix" : "" }, { "dropping-particle" : "", "family" : "Lau", "given" : "Bryan", "non-dropping-particle" : "", "parse-names" : false, "suffix" : "" }, { "dropping-particle" : "", "family" : "Afdhal", "given" : "Nezam H.", "non-dropping-particle" : "", "parse-names" : false, "suffix" : "" }, { "dropping-particle" : "", "family" : "Thomas", "given" : "David L.", "non-dropping-particle" : "", "parse-names" : false, "suffix" : "" } ], "container-title" : "Journal of Hepatology", "id" : "ITEM-1", "issue" : "1", "issued" : { "date-parts" : [ [ "2009" ] ] }, "page" : "36-41", "publisher" : "European Association for the Study of the Liver", "title" : "Exceeding the limits of liver histology markers", "type" : "article-journal", "volume" : "50" }, "uris" : [ "http://www.mendeley.com/documents/?uuid=f915fd92-2838-4b7c-a2c7-1892ac180ddc" ] } ], "mendeley" : { "formattedCitation" : "[25]", "plainTextFormattedCitation" : "[25]", "previouslyFormattedCitation" : "[25]" }, "properties" : { "noteIndex" : 0 }, "schema" : "https://github.com/citation-style-language/schema/raw/master/csl-citation.json" }</w:instrText>
      </w:r>
      <w:r w:rsidR="003827E7" w:rsidRPr="00CA3B86">
        <w:rPr>
          <w:rFonts w:ascii="Book Antiqua" w:hAnsi="Book Antiqua"/>
          <w:sz w:val="24"/>
          <w:szCs w:val="24"/>
          <w:vertAlign w:val="superscript"/>
        </w:rPr>
        <w:fldChar w:fldCharType="separate"/>
      </w:r>
      <w:r w:rsidR="003A7F4C" w:rsidRPr="00CA3B86">
        <w:rPr>
          <w:rFonts w:ascii="Book Antiqua" w:hAnsi="Book Antiqua"/>
          <w:noProof/>
          <w:sz w:val="24"/>
          <w:szCs w:val="24"/>
          <w:vertAlign w:val="superscript"/>
        </w:rPr>
        <w:t>[25]</w:t>
      </w:r>
      <w:r w:rsidR="003827E7" w:rsidRPr="00CA3B86">
        <w:rPr>
          <w:rFonts w:ascii="Book Antiqua" w:hAnsi="Book Antiqua"/>
          <w:sz w:val="24"/>
          <w:szCs w:val="24"/>
          <w:vertAlign w:val="superscript"/>
        </w:rPr>
        <w:fldChar w:fldCharType="end"/>
      </w:r>
      <w:r w:rsidR="006B2A60" w:rsidRPr="001339DB">
        <w:rPr>
          <w:rFonts w:ascii="Book Antiqua" w:hAnsi="Book Antiqua"/>
          <w:sz w:val="24"/>
          <w:szCs w:val="24"/>
        </w:rPr>
        <w:t xml:space="preserve">. </w:t>
      </w:r>
      <w:r w:rsidR="006C7461" w:rsidRPr="001339DB">
        <w:rPr>
          <w:rFonts w:ascii="Book Antiqua" w:hAnsi="Book Antiqua"/>
          <w:sz w:val="24"/>
          <w:szCs w:val="24"/>
        </w:rPr>
        <w:t>Research</w:t>
      </w:r>
      <w:r w:rsidR="00643DBC" w:rsidRPr="001339DB">
        <w:rPr>
          <w:rFonts w:ascii="Book Antiqua" w:hAnsi="Book Antiqua"/>
          <w:sz w:val="24"/>
          <w:szCs w:val="24"/>
        </w:rPr>
        <w:t xml:space="preserve"> has shown that biopsy</w:t>
      </w:r>
      <w:r w:rsidR="00401A0D" w:rsidRPr="001339DB">
        <w:rPr>
          <w:rFonts w:ascii="Book Antiqua" w:hAnsi="Book Antiqua"/>
          <w:sz w:val="24"/>
          <w:szCs w:val="24"/>
        </w:rPr>
        <w:t xml:space="preserve"> may underdiagnose</w:t>
      </w:r>
      <w:r w:rsidR="00643DBC" w:rsidRPr="001339DB">
        <w:rPr>
          <w:rFonts w:ascii="Book Antiqua" w:hAnsi="Book Antiqua"/>
          <w:sz w:val="24"/>
          <w:szCs w:val="24"/>
        </w:rPr>
        <w:t xml:space="preserve"> cirrho</w:t>
      </w:r>
      <w:r w:rsidR="00401A0D" w:rsidRPr="001339DB">
        <w:rPr>
          <w:rFonts w:ascii="Book Antiqua" w:hAnsi="Book Antiqua"/>
          <w:sz w:val="24"/>
          <w:szCs w:val="24"/>
        </w:rPr>
        <w:t>sis</w:t>
      </w:r>
      <w:r w:rsidR="00643DBC" w:rsidRPr="001339DB">
        <w:rPr>
          <w:rFonts w:ascii="Book Antiqua" w:hAnsi="Book Antiqua"/>
          <w:sz w:val="24"/>
          <w:szCs w:val="24"/>
        </w:rPr>
        <w:t xml:space="preserve"> </w:t>
      </w:r>
      <w:r w:rsidR="00401A0D" w:rsidRPr="001339DB">
        <w:rPr>
          <w:rFonts w:ascii="Book Antiqua" w:hAnsi="Book Antiqua"/>
          <w:sz w:val="24"/>
          <w:szCs w:val="24"/>
        </w:rPr>
        <w:t xml:space="preserve">in up to 14.5% of </w:t>
      </w:r>
      <w:r w:rsidR="00643DBC" w:rsidRPr="001339DB">
        <w:rPr>
          <w:rFonts w:ascii="Book Antiqua" w:hAnsi="Book Antiqua"/>
          <w:sz w:val="24"/>
          <w:szCs w:val="24"/>
        </w:rPr>
        <w:t>HVC individuals</w:t>
      </w:r>
      <w:r w:rsidR="003827E7" w:rsidRPr="00CA3B86">
        <w:rPr>
          <w:rFonts w:ascii="Book Antiqua" w:hAnsi="Book Antiqua"/>
          <w:sz w:val="24"/>
          <w:szCs w:val="24"/>
          <w:vertAlign w:val="superscript"/>
        </w:rPr>
        <w:fldChar w:fldCharType="begin" w:fldLock="1"/>
      </w:r>
      <w:r w:rsidR="003A7F4C" w:rsidRPr="00CA3B86">
        <w:rPr>
          <w:rFonts w:ascii="Book Antiqua" w:hAnsi="Book Antiqua"/>
          <w:sz w:val="24"/>
          <w:szCs w:val="24"/>
          <w:vertAlign w:val="superscript"/>
        </w:rPr>
        <w:instrText>ADDIN CSL_CITATION { "citationItems" : [ { "id" : "ITEM-1", "itemData" : { "DOI" : "10.1111/j.1572-0241.2002.06038.x", "ISSN" : "0002-9270", "PMID" : "12385448", "abstract" : "OBJECTIVES: Needle liver biopsy has been shown to have a high rate of sampling error in patients with diffuse parenchymal liver diseases. In these cases, the sample of liver tissue does not reflect the true degree of inflammation, fibrosis, or cirrhosis, despite an adequate sample size. The aim of this study was to determine the rate and extent of sampling error in patients with chronic hepatitis C virus infection, and to assess the intraobserver variation with the commonly used scoring system proposed by Scheuer and modified by Batts and Ludwig. METHODS: A total of 124 patients with chronic hepatitis C virus infection underwent simultaneous laparoscopy-guided biopsies of the right and left hepatic lobes. Formalin-fixed paraffin-embedded sections were stained with hematoxylin and eosin and with trichrome. The slides were blindly coded and randomly divided among two hepatopathologists. Inflammation and fibrosis were scored according to the standard grading (inflammation) and staging (fibrosis) method based on the modified Scheuer system. Following the interpretation, the slides were uncoded to compare the results of the right and left lobes. Fifty of the samples were blindly resubmitted to each of the pathologists to determine the intraobserver variation. RESULTS: Thirty of 124 patients (24.2%) had a difference of at least one grade, and 41 of 124 patients (33.1%) had a difference of at least one stage between the right and left lobes. In 18 patients (14.5%), interpretation of cirrhosis was given in one lobe, whereas stage 3 fibrosis was given in the other. A difference of two stages or two grades was found in only three (2.4%) and two (1.6%) patients, respectively. Of the 50 samples that were examined twice, the grading by each pathologist on the second examination differed from the first examination in 0% and 4%, and the staging differed in 6% and 10%, respectively. All observed variations were of one grade or one stage. CONCLUSIONS: Liver biopsy samples taken from the right and left hepatic lobes differed in histological grading and staging in a large proportion of chronic hepatitis C virus patients; however, differences of more than one stage or grade were uncommon. A sampling error may have led to underdiagnosis of cirrhosis in 14.5% of the patients. These differences could not be attributed to intraobserver variation, which appeared to be low.", "author" : [ { "dropping-particle" : "", "family" : "Regev", "given" : "Arie", "non-dropping-particle" : "", "parse-names" : false, "suffix" : "" }, { "dropping-particle" : "", "family" : "Berho", "given" : "Mariana", "non-dropping-particle" : "", "parse-names" : false, "suffix" : "" }, { "dropping-particle" : "", "family" : "Jeffers", "given" : "Lennox J", "non-dropping-particle" : "", "parse-names" : false, "suffix" : "" }, { "dropping-particle" : "", "family" : "Milikowski", "given" : "Clara", "non-dropping-particle" : "", "parse-names" : false, "suffix" : "" }, { "dropping-particle" : "", "family" : "Molina", "given" : "Enrique G", "non-dropping-particle" : "", "parse-names" : false, "suffix" : "" }, { "dropping-particle" : "", "family" : "Pyrsopoulos", "given" : "Nikolaos T", "non-dropping-particle" : "", "parse-names" : false, "suffix" : "" }, { "dropping-particle" : "", "family" : "Feng", "given" : "Zheng-Zhou", "non-dropping-particle" : "", "parse-names" : false, "suffix" : "" }, { "dropping-particle" : "", "family" : "Reddy", "given" : "K Rajender", "non-dropping-particle" : "", "parse-names" : false, "suffix" : "" }, { "dropping-particle" : "", "family" : "Schiff", "given" : "Eugene R", "non-dropping-particle" : "", "parse-names" : false, "suffix" : "" } ], "container-title" : "The American journal of gastroenterology", "id" : "ITEM-1", "issue" : "10", "issued" : { "date-parts" : [ [ "2002" ] ] }, "page" : "2614-2618", "title" : "Sampling error and intraobserver variation in liver biopsy in patients with chronic HCV infection.", "type" : "article-journal", "volume" : "97" }, "uris" : [ "http://www.mendeley.com/documents/?uuid=3c5f76e1-6b68-4c38-aa04-9f15c8363cb8" ] } ], "mendeley" : { "formattedCitation" : "[37]", "plainTextFormattedCitation" : "[37]", "previouslyFormattedCitation" : "[37]" }, "properties" : { "noteIndex" : 0 }, "schema" : "https://github.com/citation-style-language/schema/raw/master/csl-citation.json" }</w:instrText>
      </w:r>
      <w:r w:rsidR="003827E7" w:rsidRPr="00CA3B86">
        <w:rPr>
          <w:rFonts w:ascii="Book Antiqua" w:hAnsi="Book Antiqua"/>
          <w:sz w:val="24"/>
          <w:szCs w:val="24"/>
          <w:vertAlign w:val="superscript"/>
        </w:rPr>
        <w:fldChar w:fldCharType="separate"/>
      </w:r>
      <w:r w:rsidR="00823CC0" w:rsidRPr="00CA3B86">
        <w:rPr>
          <w:rFonts w:ascii="Book Antiqua" w:hAnsi="Book Antiqua"/>
          <w:noProof/>
          <w:sz w:val="24"/>
          <w:szCs w:val="24"/>
          <w:vertAlign w:val="superscript"/>
        </w:rPr>
        <w:t>[37]</w:t>
      </w:r>
      <w:r w:rsidR="003827E7" w:rsidRPr="00CA3B86">
        <w:rPr>
          <w:rFonts w:ascii="Book Antiqua" w:hAnsi="Book Antiqua"/>
          <w:sz w:val="24"/>
          <w:szCs w:val="24"/>
          <w:vertAlign w:val="superscript"/>
        </w:rPr>
        <w:fldChar w:fldCharType="end"/>
      </w:r>
      <w:r w:rsidR="006B2A60" w:rsidRPr="001339DB">
        <w:rPr>
          <w:rFonts w:ascii="Book Antiqua" w:hAnsi="Book Antiqua"/>
          <w:sz w:val="24"/>
          <w:szCs w:val="24"/>
        </w:rPr>
        <w:t>,</w:t>
      </w:r>
      <w:r w:rsidR="00643DBC" w:rsidRPr="001339DB">
        <w:rPr>
          <w:rFonts w:ascii="Book Antiqua" w:hAnsi="Book Antiqua"/>
          <w:sz w:val="24"/>
          <w:szCs w:val="24"/>
        </w:rPr>
        <w:t xml:space="preserve"> </w:t>
      </w:r>
      <w:r w:rsidR="006C7461" w:rsidRPr="001339DB">
        <w:rPr>
          <w:rFonts w:ascii="Book Antiqua" w:hAnsi="Book Antiqua"/>
          <w:sz w:val="24"/>
          <w:szCs w:val="24"/>
        </w:rPr>
        <w:t>and such lower accuracy levels</w:t>
      </w:r>
      <w:r w:rsidR="00643DBC" w:rsidRPr="001339DB">
        <w:rPr>
          <w:rFonts w:ascii="Book Antiqua" w:hAnsi="Book Antiqua"/>
          <w:sz w:val="24"/>
          <w:szCs w:val="24"/>
        </w:rPr>
        <w:t xml:space="preserve"> </w:t>
      </w:r>
      <w:r w:rsidR="00CC0A29" w:rsidRPr="001339DB">
        <w:rPr>
          <w:rFonts w:ascii="Book Antiqua" w:hAnsi="Book Antiqua"/>
          <w:sz w:val="24"/>
          <w:szCs w:val="24"/>
        </w:rPr>
        <w:t>were</w:t>
      </w:r>
      <w:r w:rsidR="006C7461" w:rsidRPr="001339DB">
        <w:rPr>
          <w:rFonts w:ascii="Book Antiqua" w:hAnsi="Book Antiqua"/>
          <w:sz w:val="24"/>
          <w:szCs w:val="24"/>
        </w:rPr>
        <w:t xml:space="preserve"> considered in the sensitivity analysis</w:t>
      </w:r>
      <w:r w:rsidR="001E63E7" w:rsidRPr="001339DB">
        <w:rPr>
          <w:rFonts w:ascii="Book Antiqua" w:hAnsi="Book Antiqua"/>
          <w:sz w:val="24"/>
          <w:szCs w:val="24"/>
        </w:rPr>
        <w:t xml:space="preserve"> as well</w:t>
      </w:r>
      <w:r w:rsidR="006C7461" w:rsidRPr="001339DB">
        <w:rPr>
          <w:rFonts w:ascii="Book Antiqua" w:hAnsi="Book Antiqua"/>
          <w:sz w:val="24"/>
          <w:szCs w:val="24"/>
        </w:rPr>
        <w:t>.</w:t>
      </w:r>
    </w:p>
    <w:p w:rsidR="00CE2139" w:rsidRPr="001339DB" w:rsidRDefault="00CE2139" w:rsidP="00CA3B86">
      <w:pPr>
        <w:adjustRightInd w:val="0"/>
        <w:snapToGrid w:val="0"/>
        <w:spacing w:after="0" w:line="360" w:lineRule="auto"/>
        <w:ind w:firstLineChars="100" w:firstLine="240"/>
        <w:jc w:val="both"/>
        <w:rPr>
          <w:rFonts w:ascii="Book Antiqua" w:hAnsi="Book Antiqua"/>
          <w:sz w:val="24"/>
          <w:szCs w:val="24"/>
        </w:rPr>
      </w:pPr>
      <w:r w:rsidRPr="001339DB">
        <w:rPr>
          <w:rFonts w:ascii="Book Antiqua" w:hAnsi="Book Antiqua"/>
          <w:sz w:val="24"/>
          <w:szCs w:val="24"/>
        </w:rPr>
        <w:t xml:space="preserve">In the absence of utility estimates for the Spanish population, we used standardized measures of health status for HCV individuals as reported by Wright </w:t>
      </w:r>
      <w:r w:rsidR="001339DB" w:rsidRPr="001339DB">
        <w:rPr>
          <w:rFonts w:ascii="Book Antiqua" w:hAnsi="Book Antiqua"/>
          <w:i/>
          <w:sz w:val="24"/>
          <w:szCs w:val="24"/>
        </w:rPr>
        <w:t>et al</w:t>
      </w:r>
      <w:r w:rsidR="003827E7" w:rsidRPr="00CA3B86">
        <w:rPr>
          <w:rFonts w:ascii="Book Antiqua" w:hAnsi="Book Antiqua"/>
          <w:sz w:val="24"/>
          <w:szCs w:val="24"/>
          <w:vertAlign w:val="superscript"/>
        </w:rPr>
        <w:fldChar w:fldCharType="begin" w:fldLock="1"/>
      </w:r>
      <w:r w:rsidR="00823CC0" w:rsidRPr="00CA3B86">
        <w:rPr>
          <w:rFonts w:ascii="Book Antiqua" w:hAnsi="Book Antiqua"/>
          <w:sz w:val="24"/>
          <w:szCs w:val="24"/>
          <w:vertAlign w:val="superscript"/>
        </w:rPr>
        <w:instrText>ADDIN CSL_CITATION { "citationItems" : [ { "id" : "ITEM-1", "itemData" : { "ISBN" : "1366-5278", "ISSN" : "13665278", "PMID" : "16750059", "abstract" : "OBJECTIVES: To determine whether combined therapy with interferon-alpha and ribavirin was more effective and cost-effective than no treatment for patients with mild chronic hepatitis C. DESIGN: A multicentre, randomised, controlled, non-blinded trial assessed the efficacy of combination therapy. A Markov model used these efficacy data combined with data on transition probabilities, costs and health-related quality of life (HRQoL) to assess the lifetime cost-effectiveness of the intervention. SETTING: A multicentre NHS setting. PARTICIPANTS: Treatment-naive, adult patients with histologically mild chronic hepatitis C (Ishak necroinflammatory scores &lt;4 and fibrosis scores &lt;3 on liver biopsy). INTERVENTIONS: Patients were randomised to receive interferon-alpha and ribavirin for 48 weeks or no treatment (control). MAIN OUTCOME MEASURES: The primary outcome measure was the proportion of patients having a sustained virological response (SVR), measured at 6 months after cessation of therapy. Secondary outcome measures were: the ability of early phase kinetics to predict the eventual outcome of treating mild disease; HRQoL measured using the Short Form 36 and EuroQol (5 Dimensions) questionnaires, and the cost per quality-adjusted life-year (QALY) of interferon-alpha and ribavirin for mild disease compared with no treatment. RESULTS: In the treatment group, 32 out of 98 patients (33%) achieved an SVR. Patients infected with genotype 1 had a lower SVR than those infected with genotype non-1 (18% versus 49%, p = 0.02). No patients who failed to achieve a 2-log drop in viral load at 12 weeks achieved an SVR. HRQoL fell during treatment and rose with treatment cessation. For patients having an SVR there were modest improvements in HRQoL at 6 months post-treatment. The mean cost per QALY gained was 4535 pounds sterling for 40-year-old patients with genotype non-1 and 25,188 pounds sterling for patients with genotype 1. For patients with genotype 1 aged 65, providing interferon-alpha and ribavirin for mild disease led to fewer QALYs gained, and a mean cost per QALY of 53,017 pounds sterling. The model using efficacy estimates from the literature, showed that the cost per QALY gained from providing pegylated interferon alpha-2b and ribavirin at a mild stage rather than a moderate stage was 7821 pounds sterling for patients with genotype non-1 and 28,409 pounds sterling for patients with genotype 1. CONCLUSIONS: Based on the evidence collected in this study, interferon\u2026", "author" : [ { "dropping-particle" : "", "family" : "Wright", "given" : "M.", "non-dropping-particle" : "", "parse-names" : false, "suffix" : "" }, { "dropping-particle" : "", "family" : "Grieve", "given" : "R.", "non-dropping-particle" : "", "parse-names" : false, "suffix" : "" }, { "dropping-particle" : "", "family" : "Roberts", "given" : "J.", "non-dropping-particle" : "", "parse-names" : false, "suffix" : "" }, { "dropping-particle" : "", "family" : "Main", "given" : "J.", "non-dropping-particle" : "", "parse-names" : false, "suffix" : "" }, { "dropping-particle" : "", "family" : "Thomas", "given" : "H. C.", "non-dropping-particle" : "", "parse-names" : false, "suffix" : "" }, { "dropping-particle" : "", "family" : "UK Mild Hepatitis C Trial Investigators", "given" : "", "non-dropping-particle" : "", "parse-names" : false, "suffix" : "" } ], "container-title" : "Health technology assessment (NHS)", "id" : "ITEM-1", "issue" : "21", "issued" : { "date-parts" : [ [ "2006" ] ] }, "title" : "Health benefits of antiviral therapy for mild chronic hepatitis C: randomised controlled trial and economic evaluation.", "type" : "article-journal", "volume" : "10" }, "uris" : [ "http://www.mendeley.com/documents/?uuid=66ba4aa8-b8ad-4aac-8c62-f3a523206a64" ] } ], "mendeley" : { "formattedCitation" : "[27]", "plainTextFormattedCitation" : "[27]", "previouslyFormattedCitation" : "[27]" }, "properties" : { "noteIndex" : 0 }, "schema" : "https://github.com/citation-style-language/schema/raw/master/csl-citation.json" }</w:instrText>
      </w:r>
      <w:r w:rsidR="003827E7" w:rsidRPr="00CA3B86">
        <w:rPr>
          <w:rFonts w:ascii="Book Antiqua" w:hAnsi="Book Antiqua"/>
          <w:sz w:val="24"/>
          <w:szCs w:val="24"/>
          <w:vertAlign w:val="superscript"/>
        </w:rPr>
        <w:fldChar w:fldCharType="separate"/>
      </w:r>
      <w:r w:rsidR="00823CC0" w:rsidRPr="00CA3B86">
        <w:rPr>
          <w:rFonts w:ascii="Book Antiqua" w:hAnsi="Book Antiqua"/>
          <w:noProof/>
          <w:sz w:val="24"/>
          <w:szCs w:val="24"/>
          <w:vertAlign w:val="superscript"/>
        </w:rPr>
        <w:t>[27]</w:t>
      </w:r>
      <w:r w:rsidR="003827E7" w:rsidRPr="00CA3B86">
        <w:rPr>
          <w:rFonts w:ascii="Book Antiqua" w:hAnsi="Book Antiqua"/>
          <w:sz w:val="24"/>
          <w:szCs w:val="24"/>
          <w:vertAlign w:val="superscript"/>
        </w:rPr>
        <w:fldChar w:fldCharType="end"/>
      </w:r>
      <w:r w:rsidRPr="001339DB">
        <w:rPr>
          <w:rFonts w:ascii="Book Antiqua" w:hAnsi="Book Antiqua"/>
          <w:sz w:val="24"/>
          <w:szCs w:val="24"/>
        </w:rPr>
        <w:t xml:space="preserve"> </w:t>
      </w:r>
      <w:r w:rsidR="00231E26" w:rsidRPr="001339DB">
        <w:rPr>
          <w:rFonts w:ascii="Book Antiqua" w:hAnsi="Book Antiqua"/>
          <w:sz w:val="24"/>
          <w:szCs w:val="24"/>
        </w:rPr>
        <w:t xml:space="preserve">(Supplementary Table S1). </w:t>
      </w:r>
      <w:r w:rsidRPr="001339DB">
        <w:rPr>
          <w:rFonts w:ascii="Book Antiqua" w:hAnsi="Book Antiqua"/>
          <w:sz w:val="24"/>
          <w:szCs w:val="24"/>
        </w:rPr>
        <w:t>These values are in accordance with data commonly used in the literature</w:t>
      </w:r>
      <w:r w:rsidR="003827E7" w:rsidRPr="00CA3B86">
        <w:rPr>
          <w:rFonts w:ascii="Book Antiqua" w:hAnsi="Book Antiqua"/>
          <w:sz w:val="24"/>
          <w:szCs w:val="24"/>
          <w:vertAlign w:val="superscript"/>
        </w:rPr>
        <w:fldChar w:fldCharType="begin" w:fldLock="1"/>
      </w:r>
      <w:r w:rsidR="00A11871" w:rsidRPr="00CA3B86">
        <w:rPr>
          <w:rFonts w:ascii="Book Antiqua" w:hAnsi="Book Antiqua"/>
          <w:sz w:val="24"/>
          <w:szCs w:val="24"/>
          <w:vertAlign w:val="superscript"/>
        </w:rPr>
        <w:instrText>ADDIN CSL_CITATION { "citationItems" : [ { "id" : "ITEM-1", "itemData" : { "DOI" : "10.1016/j.jval.2011.06.006", "ISBN" : "1524-4733", "ISSN" : "10983015", "PMID" : "22152176", "abstract" : "Published economic evaluations have reported available treatments for chronic hepatitis C to be cost-effective as part of the current approach to disease management, but as standards of care evolve, their approach to modeling should be reconsidered. This study aimed to review structural frameworks and key model parameters as reported in current economic evaluations for treatments for chronic hepatitis C, and model the impact of variability across parameters on results. A systematic review of studies published from 2000 to 2011 was performed. Studies were retrieved from five electronic databases using relevant search strategies. Model structures, disease progression rates, utilities, and costs were extracted from included studies, and were qualitatively reviewed and incorporated into a cost-utility model. Thirty-four studies were appropriate for data extraction. A common pathway of six disease states was identified. In some studies the early disease stages and/or the decompensated cirrhosis state were further subdivided. Large variability in values used for disease progression rates, utilities, and costs were identified. When incorporated into a model, incremental cost-effectiveness ratios (ICERs) varied: in the least favorable scenario, peginterferon plus ribavirin was dominated by interferon plus ribavirin; and in the most favorable scenario, peginterferon plus ribavirin dominated interferon plus ribavirin ($8,544 per quality-adjusted life year [QALY]; costs are given in 2008 US dollar amounts). Using mean values the ICER was $15,198 per QALY. Current models use a simplistic structure resulting from the lack of available data reflecting patient heterogeneity. Key model parameters are currently based on a small number of studies and the variability across these values can affect the interpretation of results. \u00a9 2011 International Society for Pharmacoeconomics and Outcomes Research (ISPOR).", "author" : [ { "dropping-particle" : "", "family" : "Townsend", "given" : "Rebecca", "non-dropping-particle" : "", "parse-names" : false, "suffix" : "" }, { "dropping-particle" : "", "family" : "McEwan", "given" : "Phil", "non-dropping-particle" : "", "parse-names" : false, "suffix" : "" }, { "dropping-particle" : "", "family" : "Kim", "given" : "Ray", "non-dropping-particle" : "", "parse-names" : false, "suffix" : "" }, { "dropping-particle" : "", "family" : "Yuan", "given" : "Yong", "non-dropping-particle" : "", "parse-names" : false, "suffix" : "" } ], "container-title" : "Value in Health", "id" : "ITEM-1", "issue" : "8", "issued" : { "date-parts" : [ [ "2011" ] ] }, "page" : "1068-1077", "publisher" : "Elsevier Inc.", "title" : "Structural frameworks and key model parameters in cost-effectiveness analyses for current and future treatments of chronic hepatitis C", "type" : "article-journal", "volume" : "14" }, "uris" : [ "http://www.mendeley.com/documents/?uuid=7d2fb2cf-1594-421c-a545-cb155c61f2e7" ] } ], "mendeley" : { "formattedCitation" : "[12]", "plainTextFormattedCitation" : "[12]", "previouslyFormattedCitation" : "[12]" }, "properties" : { "noteIndex" : 0 }, "schema" : "https://github.com/citation-style-language/schema/raw/master/csl-citation.json" }</w:instrText>
      </w:r>
      <w:r w:rsidR="003827E7" w:rsidRPr="00CA3B86">
        <w:rPr>
          <w:rFonts w:ascii="Book Antiqua" w:hAnsi="Book Antiqua"/>
          <w:sz w:val="24"/>
          <w:szCs w:val="24"/>
          <w:vertAlign w:val="superscript"/>
        </w:rPr>
        <w:fldChar w:fldCharType="separate"/>
      </w:r>
      <w:r w:rsidR="00364039" w:rsidRPr="00CA3B86">
        <w:rPr>
          <w:rFonts w:ascii="Book Antiqua" w:hAnsi="Book Antiqua"/>
          <w:noProof/>
          <w:sz w:val="24"/>
          <w:szCs w:val="24"/>
          <w:vertAlign w:val="superscript"/>
        </w:rPr>
        <w:t>[12]</w:t>
      </w:r>
      <w:r w:rsidR="003827E7" w:rsidRPr="00CA3B86">
        <w:rPr>
          <w:rFonts w:ascii="Book Antiqua" w:hAnsi="Book Antiqua"/>
          <w:sz w:val="24"/>
          <w:szCs w:val="24"/>
          <w:vertAlign w:val="superscript"/>
        </w:rPr>
        <w:fldChar w:fldCharType="end"/>
      </w:r>
      <w:r w:rsidR="006B2A60" w:rsidRPr="001339DB">
        <w:rPr>
          <w:rFonts w:ascii="Book Antiqua" w:hAnsi="Book Antiqua"/>
          <w:sz w:val="24"/>
          <w:szCs w:val="24"/>
        </w:rPr>
        <w:t>.</w:t>
      </w:r>
      <w:r w:rsidRPr="001339DB">
        <w:rPr>
          <w:rFonts w:ascii="Book Antiqua" w:hAnsi="Book Antiqua"/>
          <w:sz w:val="24"/>
          <w:szCs w:val="24"/>
        </w:rPr>
        <w:t xml:space="preserve"> Cost data were obtained from Hospital Clínic sources, published literature</w:t>
      </w:r>
      <w:r w:rsidR="003827E7" w:rsidRPr="00CA3B86">
        <w:rPr>
          <w:rFonts w:ascii="Book Antiqua" w:hAnsi="Book Antiqua"/>
          <w:sz w:val="24"/>
          <w:szCs w:val="24"/>
          <w:vertAlign w:val="superscript"/>
        </w:rPr>
        <w:fldChar w:fldCharType="begin" w:fldLock="1"/>
      </w:r>
      <w:r w:rsidR="00A11871" w:rsidRPr="00CA3B86">
        <w:rPr>
          <w:rFonts w:ascii="Book Antiqua" w:hAnsi="Book Antiqua"/>
          <w:sz w:val="24"/>
          <w:szCs w:val="24"/>
          <w:vertAlign w:val="superscript"/>
        </w:rPr>
        <w:instrText>ADDIN CSL_CITATION { "citationItems" : [ { "id" : "ITEM-1", "itemData" : { "DOI" : "10.1136/gutjnl-2014-307772", "ISSN" : "0017-5749", "author" : [ { "dropping-particle" : "", "family" : "San Miguel", "given" : "Ram\u00f3n", "non-dropping-particle" : "", "parse-names" : false, "suffix" : "" }, { "dropping-particle" : "", "family" : "Gimeno-Ballester", "given" : "Vicente", "non-dropping-particle" : "", "parse-names" : false, "suffix" : "" }, { "dropping-particle" : "", "family" : "Bl\u00e1zquez", "given" : "Antonio", "non-dropping-particle" : "", "parse-names" : false, "suffix" : "" }, { "dropping-particle" : "", "family" : "Mar", "given" : "Javier", "non-dropping-particle" : "", "parse-names" : false, "suffix" : "" } ], "container-title" : "Gut", "id" : "ITEM-1", "issue" : "8", "issued" : { "date-parts" : [ [ "2015" ] ] }, "page" : "1277-1288", "title" : "Cost-effectiveness analysis of sofosbuvir-based regimens for chronic hepatitis C", "type" : "article-journal", "volume" : "64" }, "uris" : [ "http://www.mendeley.com/documents/?uuid=9065e32c-2a67-476d-b6c3-74e1254bf8d4" ] } ], "mendeley" : { "formattedCitation" : "[14]", "plainTextFormattedCitation" : "[14]", "previouslyFormattedCitation" : "[14]" }, "properties" : { "noteIndex" : 0 }, "schema" : "https://github.com/citation-style-language/schema/raw/master/csl-citation.json" }</w:instrText>
      </w:r>
      <w:r w:rsidR="003827E7" w:rsidRPr="00CA3B86">
        <w:rPr>
          <w:rFonts w:ascii="Book Antiqua" w:hAnsi="Book Antiqua"/>
          <w:sz w:val="24"/>
          <w:szCs w:val="24"/>
          <w:vertAlign w:val="superscript"/>
        </w:rPr>
        <w:fldChar w:fldCharType="separate"/>
      </w:r>
      <w:r w:rsidR="00364039" w:rsidRPr="00CA3B86">
        <w:rPr>
          <w:rFonts w:ascii="Book Antiqua" w:hAnsi="Book Antiqua"/>
          <w:noProof/>
          <w:sz w:val="24"/>
          <w:szCs w:val="24"/>
          <w:vertAlign w:val="superscript"/>
        </w:rPr>
        <w:t>[14]</w:t>
      </w:r>
      <w:r w:rsidR="003827E7" w:rsidRPr="00CA3B86">
        <w:rPr>
          <w:rFonts w:ascii="Book Antiqua" w:hAnsi="Book Antiqua"/>
          <w:sz w:val="24"/>
          <w:szCs w:val="24"/>
          <w:vertAlign w:val="superscript"/>
        </w:rPr>
        <w:fldChar w:fldCharType="end"/>
      </w:r>
      <w:r w:rsidR="00C67D69" w:rsidRPr="001339DB">
        <w:rPr>
          <w:rFonts w:ascii="Book Antiqua" w:hAnsi="Book Antiqua"/>
          <w:sz w:val="24"/>
          <w:szCs w:val="24"/>
        </w:rPr>
        <w:t>,</w:t>
      </w:r>
      <w:r w:rsidRPr="001339DB">
        <w:rPr>
          <w:rFonts w:ascii="Book Antiqua" w:hAnsi="Book Antiqua"/>
          <w:sz w:val="24"/>
          <w:szCs w:val="24"/>
        </w:rPr>
        <w:t xml:space="preserve"> and the Spanish Ministry of Health &amp; Social Services and public sources</w:t>
      </w:r>
      <w:r w:rsidR="003827E7" w:rsidRPr="00CA3B86">
        <w:rPr>
          <w:rFonts w:ascii="Book Antiqua" w:hAnsi="Book Antiqua"/>
          <w:sz w:val="24"/>
          <w:szCs w:val="24"/>
          <w:vertAlign w:val="superscript"/>
        </w:rPr>
        <w:fldChar w:fldCharType="begin" w:fldLock="1"/>
      </w:r>
      <w:r w:rsidR="003A7F4C" w:rsidRPr="00CA3B86">
        <w:rPr>
          <w:rFonts w:ascii="Book Antiqua" w:hAnsi="Book Antiqua"/>
          <w:sz w:val="24"/>
          <w:szCs w:val="24"/>
          <w:vertAlign w:val="superscript"/>
        </w:rPr>
        <w:instrText>ADDIN CSL_CITATION { "citationItems" : [ { "id" : "ITEM-1", "itemData" : { "URL" : "http://www.msssi.gob.es/estadEstudios/estadisticas/cmbd.htm", "accessed" : { "date-parts" : [ [ "2015", "4", "21" ] ] }, "author" : [ { "dropping-particle" : "", "family" : "Ministerio de Sanidad", "given" : "Servicios Sociales e Igualdad", "non-dropping-particle" : "", "parse-names" : false, "suffix" : "" } ], "id" : "ITEM-1", "issued" : { "date-parts" : [ [ "2013" ] ] }, "title" : "Registro de Altas de los Hospitales Generales del Sistema Nacional de Salud", "type" : "webpage" }, "uris" : [ "http://www.mendeley.com/documents/?uuid=6e77079a-1f16-4065-8c09-31299fa2a247" ] }, { "id" : "ITEM-2", "itemData" : { "URL" : "http://www.vademecum.es/", "accessed" : { "date-parts" : [ [ "2015", "5", "5" ] ] }, "author" : [ { "dropping-particle" : "", "family" : "Vidal Vademecum Spain", "given" : "", "non-dropping-particle" : "", "parse-names" : false, "suffix" : "" } ], "id" : "ITEM-2", "issued" : { "date-parts" : [ [ "0" ] ] }, "title" : "VADEMECUM", "type" : "webpage" }, "uris" : [ "http://www.mendeley.com/documents/?uuid=160829c8-e466-4625-809a-f38377eb45a7" ] } ], "mendeley" : { "formattedCitation" : "[38,39]", "plainTextFormattedCitation" : "[38,39]", "previouslyFormattedCitation" : "[38,39]" }, "properties" : { "noteIndex" : 0 }, "schema" : "https://github.com/citation-style-language/schema/raw/master/csl-citation.json" }</w:instrText>
      </w:r>
      <w:r w:rsidR="003827E7" w:rsidRPr="00CA3B86">
        <w:rPr>
          <w:rFonts w:ascii="Book Antiqua" w:hAnsi="Book Antiqua"/>
          <w:sz w:val="24"/>
          <w:szCs w:val="24"/>
          <w:vertAlign w:val="superscript"/>
        </w:rPr>
        <w:fldChar w:fldCharType="separate"/>
      </w:r>
      <w:r w:rsidR="00823CC0" w:rsidRPr="00CA3B86">
        <w:rPr>
          <w:rFonts w:ascii="Book Antiqua" w:hAnsi="Book Antiqua"/>
          <w:noProof/>
          <w:sz w:val="24"/>
          <w:szCs w:val="24"/>
          <w:vertAlign w:val="superscript"/>
        </w:rPr>
        <w:t>[38,39]</w:t>
      </w:r>
      <w:r w:rsidR="003827E7" w:rsidRPr="00CA3B86">
        <w:rPr>
          <w:rFonts w:ascii="Book Antiqua" w:hAnsi="Book Antiqua"/>
          <w:sz w:val="24"/>
          <w:szCs w:val="24"/>
          <w:vertAlign w:val="superscript"/>
        </w:rPr>
        <w:fldChar w:fldCharType="end"/>
      </w:r>
      <w:r w:rsidR="00231E26" w:rsidRPr="001339DB">
        <w:rPr>
          <w:rFonts w:ascii="Book Antiqua" w:hAnsi="Book Antiqua"/>
          <w:sz w:val="24"/>
          <w:szCs w:val="24"/>
        </w:rPr>
        <w:t xml:space="preserve"> (Supplementary Table S2</w:t>
      </w:r>
      <w:r w:rsidRPr="001339DB">
        <w:rPr>
          <w:rFonts w:ascii="Book Antiqua" w:hAnsi="Book Antiqua"/>
          <w:sz w:val="24"/>
          <w:szCs w:val="24"/>
        </w:rPr>
        <w:t>). Historical costs were adjusted to 2013 prices according to the Spanish price index for hospital services.</w:t>
      </w:r>
    </w:p>
    <w:p w:rsidR="00FF630B" w:rsidRPr="001339DB" w:rsidRDefault="00CE2139" w:rsidP="00CA3B86">
      <w:pPr>
        <w:adjustRightInd w:val="0"/>
        <w:snapToGrid w:val="0"/>
        <w:spacing w:after="0" w:line="360" w:lineRule="auto"/>
        <w:ind w:firstLineChars="100" w:firstLine="240"/>
        <w:jc w:val="both"/>
        <w:rPr>
          <w:rFonts w:ascii="Book Antiqua" w:hAnsi="Book Antiqua"/>
          <w:sz w:val="24"/>
          <w:szCs w:val="24"/>
        </w:rPr>
      </w:pPr>
      <w:r w:rsidRPr="001339DB">
        <w:rPr>
          <w:rFonts w:ascii="Book Antiqua" w:hAnsi="Book Antiqua"/>
          <w:sz w:val="24"/>
          <w:szCs w:val="24"/>
        </w:rPr>
        <w:lastRenderedPageBreak/>
        <w:t>Percutaneous biopsy has a mortal</w:t>
      </w:r>
      <w:r w:rsidR="00CC0A29" w:rsidRPr="001339DB">
        <w:rPr>
          <w:rFonts w:ascii="Book Antiqua" w:hAnsi="Book Antiqua"/>
          <w:sz w:val="24"/>
          <w:szCs w:val="24"/>
        </w:rPr>
        <w:t>ity risk of about 9 of every 10</w:t>
      </w:r>
      <w:r w:rsidRPr="001339DB">
        <w:rPr>
          <w:rFonts w:ascii="Book Antiqua" w:hAnsi="Book Antiqua"/>
          <w:sz w:val="24"/>
          <w:szCs w:val="24"/>
        </w:rPr>
        <w:t>000 persons tested</w:t>
      </w:r>
      <w:r w:rsidR="003827E7" w:rsidRPr="00CA3B86">
        <w:rPr>
          <w:rFonts w:ascii="Book Antiqua" w:hAnsi="Book Antiqua"/>
          <w:sz w:val="24"/>
          <w:szCs w:val="24"/>
          <w:vertAlign w:val="superscript"/>
        </w:rPr>
        <w:fldChar w:fldCharType="begin" w:fldLock="1"/>
      </w:r>
      <w:r w:rsidR="00823CC0" w:rsidRPr="00CA3B86">
        <w:rPr>
          <w:rFonts w:ascii="Book Antiqua" w:hAnsi="Book Antiqua"/>
          <w:sz w:val="24"/>
          <w:szCs w:val="24"/>
          <w:vertAlign w:val="superscript"/>
        </w:rPr>
        <w:instrText>ADDIN CSL_CITATION { "citationItems" : [ { "id" : "ITEM-1", "itemData" : { "DOI" : "10.3310/hta16040", "ISBN" : "1366-5278 (Print)\\r1366-5278 (Linking)", "ISSN" : "20464924", "PMID" : "22333291", "abstract" : "BACKGROUND: Excessive alcohol consumption may lead to the development of alcohol-related liver disease (ALD). Liver biopsy may be used in patients with suspected ALD to confirm the diagnosis, exclude other or additional liver pathologies, and provide accurate staging of the degree of liver injury in order to enable the prediction of prognosis and inform treatment decisions. However, as it is an invasive procedure that carries the risk of morbidity and mortality, current UK guidance recommends that biopsy is not required to confirm the diagnosis in patients with a high clinical suspicion of ALD in whom blood tests have excluded other causes of liver disease, unless it is necessary to confirm a diagnosis of acute alcoholic hepatitis in order to inform specific treatment decisions.\\n\\nOBJECTIVES: To evaluate the diagnostic accuracy, cost-effectiveness, and effect on patient outcomes of four non-invasive tests for liver fibrosis [the Enhanced Liver Fibrosis (ELF\u2122) test (Siemens Healthcare Diagnostic Inc., Tarrytown, NY, USA), FibroTest (BioPredictive, Paris, France), FibroMAX (BioPredictive, Paris, France) and transient elastography (FibroScan(\u00ae); produced by EchoSens, Paris, France and distributed in the UK by Artemis Medical Ltd, Kent, UK)] in patients suspected of having ALD.\\n\\nDATA SOURCES: A systematic review was undertaken to identify studies reporting the diagnostic and prognostic accuracy of the ELF test, FibroTest, FibroMAX, and FibroScan for the identification of liver fibrosis and associated conditions in patients with suspected ALD. The following databases were searched in January 2010: MEDLINE (from 1950 to January 2010), MEDLINE In-Process &amp; Other Non-Indexed Citations (from 1950 to January 2010), EMBASE (from 1980 to January 2010), Cochrane Database of Systematic Reviews (from 1996 to January 2010), Cochrane Central Register of Controlled Trials (from 1898 to January 2010), Cochrane Methodology Register (from 1904 to January 2010), Database of Abstracts of Reviews of Effects (from 1995 to January 2010), HTA Database (from 1995 to January 2010), NHS Economic Evaluation Database (from 1995 to January 2010), Cumulative Index to Nursing and Allied Health Literature (from 1982 to January 2010), Web of Knowledge and Science Citation Index (from 1969 to January 2010).\\n\\nREVIEW METHODS: Study quality was assessed using the QUADAS (Quality Assessment of Diagnostic Accuracy Studies) checklist. Owing to the heterogeneity of the studies, no formal meta\u2026", "author" : [ { "dropping-particle" : "", "family" : "Stevenson", "given" : "M.", "non-dropping-particle" : "", "parse-names" : false, "suffix" : "" }, { "dropping-particle" : "", "family" : "Lloyd-Jones", "given" : "M.", "non-dropping-particle" : "", "parse-names" : false, "suffix" : "" }, { "dropping-particle" : "", "family" : "Morgan", "given" : "M. Y.", "non-dropping-particle" : "", "parse-names" : false, "suffix" : "" }, { "dropping-particle" : "", "family" : "Wong", "given" : "R.", "non-dropping-particle" : "", "parse-names" : false, "suffix" : "" } ], "container-title" : "Health technology assessment (NHS)", "id" : "ITEM-1", "issue" : "4", "issued" : { "date-parts" : [ [ "2012" ] ] }, "page" : "1-174", "title" : "Non-invasive diagnostic assessment tools for the detection of liver fibrosis in patients with suspected alcohol-related liver disease: a systematic review and economic evaluation.", "type" : "article-journal", "volume" : "16" }, "uris" : [ "http://www.mendeley.com/documents/?uuid=0bc97fb0-6980-4836-8f8f-46ba6f4020ac" ] } ], "mendeley" : { "formattedCitation" : "[28]", "plainTextFormattedCitation" : "[28]", "previouslyFormattedCitation" : "[28]" }, "properties" : { "noteIndex" : 0 }, "schema" : "https://github.com/citation-style-language/schema/raw/master/csl-citation.json" }</w:instrText>
      </w:r>
      <w:r w:rsidR="003827E7" w:rsidRPr="00CA3B86">
        <w:rPr>
          <w:rFonts w:ascii="Book Antiqua" w:hAnsi="Book Antiqua"/>
          <w:sz w:val="24"/>
          <w:szCs w:val="24"/>
          <w:vertAlign w:val="superscript"/>
        </w:rPr>
        <w:fldChar w:fldCharType="separate"/>
      </w:r>
      <w:r w:rsidR="00823CC0" w:rsidRPr="00CA3B86">
        <w:rPr>
          <w:rFonts w:ascii="Book Antiqua" w:hAnsi="Book Antiqua"/>
          <w:noProof/>
          <w:sz w:val="24"/>
          <w:szCs w:val="24"/>
          <w:vertAlign w:val="superscript"/>
        </w:rPr>
        <w:t>[28]</w:t>
      </w:r>
      <w:r w:rsidR="003827E7" w:rsidRPr="00CA3B86">
        <w:rPr>
          <w:rFonts w:ascii="Book Antiqua" w:hAnsi="Book Antiqua"/>
          <w:sz w:val="24"/>
          <w:szCs w:val="24"/>
          <w:vertAlign w:val="superscript"/>
        </w:rPr>
        <w:fldChar w:fldCharType="end"/>
      </w:r>
      <w:r w:rsidR="006B2A60" w:rsidRPr="001339DB">
        <w:rPr>
          <w:rFonts w:ascii="Book Antiqua" w:hAnsi="Book Antiqua"/>
          <w:sz w:val="24"/>
          <w:szCs w:val="24"/>
        </w:rPr>
        <w:t>,</w:t>
      </w:r>
      <w:r w:rsidRPr="001339DB">
        <w:rPr>
          <w:rFonts w:ascii="Book Antiqua" w:hAnsi="Book Antiqua"/>
          <w:sz w:val="24"/>
          <w:szCs w:val="24"/>
        </w:rPr>
        <w:t xml:space="preserve"> which was accounted for in the model. Biopsy is also subject to discomfort and nonfatal adverse events. Although there are no direct measures of the effects of biopsy on utility, recent research assumed that nonfatal adverse events are associated with an annual utility decline of 0.2</w:t>
      </w:r>
      <w:r w:rsidR="003827E7" w:rsidRPr="00CA3B86">
        <w:rPr>
          <w:rFonts w:ascii="Book Antiqua" w:hAnsi="Book Antiqua"/>
          <w:sz w:val="24"/>
          <w:szCs w:val="24"/>
          <w:vertAlign w:val="superscript"/>
        </w:rPr>
        <w:fldChar w:fldCharType="begin" w:fldLock="1"/>
      </w:r>
      <w:r w:rsidR="00A11871" w:rsidRPr="00CA3B86">
        <w:rPr>
          <w:rFonts w:ascii="Book Antiqua" w:hAnsi="Book Antiqua"/>
          <w:sz w:val="24"/>
          <w:szCs w:val="24"/>
          <w:vertAlign w:val="superscript"/>
        </w:rPr>
        <w:instrText>ADDIN CSL_CITATION { "citationItems" : [ { "id" : "ITEM-1", "itemData" : { "DOI" : "10.3310/hta16040", "ISBN" : "1366-5278 (Print)\\r1366-5278 (Linking)", "ISSN" : "20464924", "PMID" : "22333291", "abstract" : "BACKGROUND: Excessive alcohol consumption may lead to the development of alcohol-related liver disease (ALD). Liver biopsy may be used in patients with suspected ALD to confirm the diagnosis, exclude other or additional liver pathologies, and provide accurate staging of the degree of liver injury in order to enable the prediction of prognosis and inform treatment decisions. However, as it is an invasive procedure that carries the risk of morbidity and mortality, current UK guidance recommends that biopsy is not required to confirm the diagnosis in patients with a high clinical suspicion of ALD in whom blood tests have excluded other causes of liver disease, unless it is necessary to confirm a diagnosis of acute alcoholic hepatitis in order to inform specific treatment decisions.\\n\\nOBJECTIVES: To evaluate the diagnostic accuracy, cost-effectiveness, and effect on patient outcomes of four non-invasive tests for liver fibrosis [the Enhanced Liver Fibrosis (ELF\u2122) test (Siemens Healthcare Diagnostic Inc., Tarrytown, NY, USA), FibroTest (BioPredictive, Paris, France), FibroMAX (BioPredictive, Paris, France) and transient elastography (FibroScan(\u00ae); produced by EchoSens, Paris, France and distributed in the UK by Artemis Medical Ltd, Kent, UK)] in patients suspected of having ALD.\\n\\nDATA SOURCES: A systematic review was undertaken to identify studies reporting the diagnostic and prognostic accuracy of the ELF test, FibroTest, FibroMAX, and FibroScan for the identification of liver fibrosis and associated conditions in patients with suspected ALD. The following databases were searched in January 2010: MEDLINE (from 1950 to January 2010), MEDLINE In-Process &amp; Other Non-Indexed Citations (from 1950 to January 2010), EMBASE (from 1980 to January 2010), Cochrane Database of Systematic Reviews (from 1996 to January 2010), Cochrane Central Register of Controlled Trials (from 1898 to January 2010), Cochrane Methodology Register (from 1904 to January 2010), Database of Abstracts of Reviews of Effects (from 1995 to January 2010), HTA Database (from 1995 to January 2010), NHS Economic Evaluation Database (from 1995 to January 2010), Cumulative Index to Nursing and Allied Health Literature (from 1982 to January 2010), Web of Knowledge and Science Citation Index (from 1969 to January 2010).\\n\\nREVIEW METHODS: Study quality was assessed using the QUADAS (Quality Assessment of Diagnostic Accuracy Studies) checklist. Owing to the heterogeneity of the studies, no formal meta\u2026", "author" : [ { "dropping-particle" : "", "family" : "Stevenson", "given" : "M.", "non-dropping-particle" : "", "parse-names" : false, "suffix" : "" }, { "dropping-particle" : "", "family" : "Lloyd-Jones", "given" : "M.", "non-dropping-particle" : "", "parse-names" : false, "suffix" : "" }, { "dropping-particle" : "", "family" : "Morgan", "given" : "M. Y.", "non-dropping-particle" : "", "parse-names" : false, "suffix" : "" }, { "dropping-particle" : "", "family" : "Wong", "given" : "R.", "non-dropping-particle" : "", "parse-names" : false, "suffix" : "" } ], "container-title" : "Health technology assessment (NHS)", "id" : "ITEM-1", "issue" : "4", "issued" : { "date-parts" : [ [ "2012" ] ] }, "page" : "1-174", "title" : "Non-invasive diagnostic assessment tools for the detection of liver fibrosis in patients with suspected alcohol-related liver disease: a systematic review and economic evaluation.", "type" : "article-journal", "volume" : "16" }, "uris" : [ "http://www.mendeley.com/documents/?uuid=0bc97fb0-6980-4836-8f8f-46ba6f4020ac" ] }, { "id" : "ITEM-2", "itemData" : { "DOI" : "10.3310/hta19090", "ISSN" : "1366-5278", "author" : [ { "dropping-particle" : "", "family" : "Crossan", "given" : "Catriona", "non-dropping-particle" : "", "parse-names" : false, "suffix" : "" }, { "dropping-particle" : "", "family" : "Tsochatzis", "given" : "Emmanuel a", "non-dropping-particle" : "", "parse-names" : false, "suffix" : "" }, { "dropping-particle" : "", "family" : "Longworth", "given" : "Louise", "non-dropping-particle" : "", "parse-names" : false, "suffix" : "" }, { "dropping-particle" : "", "family" : "Gurusamy", "given" : "Kurinchi", "non-dropping-particle" : "", "parse-names" : false, "suffix" : "" }, { "dropping-particle" : "", "family" : "Davidson", "given" : "Brian", "non-dropping-particle" : "", "parse-names" : false, "suffix" : "" }, { "dropping-particle" : "", "family" : "Rodr\u00edguez-Per\u00e1lvarez", "given" : "Manuel", "non-dropping-particle" : "", "parse-names" : false, "suffix" : "" }, { "dropping-particle" : "", "family" : "Mantzoukis", "given" : "Konstantinos", "non-dropping-particle" : "", "parse-names" : false, "suffix" : "" }, { "dropping-particle" : "", "family" : "O\u2019Brien", "given" : "Julia", "non-dropping-particle" : "", "parse-names" : false, "suffix" : "" }, { "dropping-particle" : "", "family" : "Thalassinos", "given" : "Evangelos", "non-dropping-particle" : "", "parse-names" : false, "suffix" : "" }, { "dropping-particle" : "", "family" : "Papastergiou", "given" : "Vassilios", "non-dropping-particle" : "", "parse-names" : false, "suffix" : "" }, { "dropping-particle" : "", "family" : "Burroughs", "given" : "Andrew", "non-dropping-particle" : "", "parse-names" : false, "suffix" : "" } ], "container-title" : "Health technology assessment (NHS)", "id" : "ITEM-2", "issue" : "9", "issued" : { "date-parts" : [ [ "2015" ] ] }, "page" : "1-410", "title" : "Cost-effectiveness of non-invasive methods for assessment and monitoring of liver fibrosis and cirrhosis in patients with chronic liver disease: systematic review and economic evaluation", "type" : "article-journal", "volume" : "19" }, "uris" : [ "http://www.mendeley.com/documents/?uuid=5b57a84e-a9dc-4bfa-a1f0-171621d56a8e" ] } ], "mendeley" : { "formattedCitation" : "[15,28]", "plainTextFormattedCitation" : "[15,28]", "previouslyFormattedCitation" : "[15,28]" }, "properties" : { "noteIndex" : 0 }, "schema" : "https://github.com/citation-style-language/schema/raw/master/csl-citation.json" }</w:instrText>
      </w:r>
      <w:r w:rsidR="003827E7" w:rsidRPr="00CA3B86">
        <w:rPr>
          <w:rFonts w:ascii="Book Antiqua" w:hAnsi="Book Antiqua"/>
          <w:sz w:val="24"/>
          <w:szCs w:val="24"/>
          <w:vertAlign w:val="superscript"/>
        </w:rPr>
        <w:fldChar w:fldCharType="separate"/>
      </w:r>
      <w:r w:rsidR="00364039" w:rsidRPr="00CA3B86">
        <w:rPr>
          <w:rFonts w:ascii="Book Antiqua" w:hAnsi="Book Antiqua"/>
          <w:noProof/>
          <w:sz w:val="24"/>
          <w:szCs w:val="24"/>
          <w:vertAlign w:val="superscript"/>
        </w:rPr>
        <w:t>[15,28]</w:t>
      </w:r>
      <w:r w:rsidR="003827E7" w:rsidRPr="00CA3B86">
        <w:rPr>
          <w:rFonts w:ascii="Book Antiqua" w:hAnsi="Book Antiqua"/>
          <w:sz w:val="24"/>
          <w:szCs w:val="24"/>
          <w:vertAlign w:val="superscript"/>
        </w:rPr>
        <w:fldChar w:fldCharType="end"/>
      </w:r>
      <w:r w:rsidR="006B2A60" w:rsidRPr="001339DB">
        <w:rPr>
          <w:rFonts w:ascii="Book Antiqua" w:hAnsi="Book Antiqua"/>
          <w:sz w:val="24"/>
          <w:szCs w:val="24"/>
        </w:rPr>
        <w:t>.</w:t>
      </w:r>
      <w:r w:rsidRPr="001339DB">
        <w:rPr>
          <w:rFonts w:ascii="Book Antiqua" w:hAnsi="Book Antiqua"/>
          <w:sz w:val="24"/>
          <w:szCs w:val="24"/>
        </w:rPr>
        <w:t xml:space="preserve"> Because this assumption disfavors biopsy, sensitivity analyses were performed to assess the consequences on the results if a smaller reduction in utility is assumed.</w:t>
      </w:r>
    </w:p>
    <w:p w:rsidR="00A77AA8" w:rsidRPr="001339DB" w:rsidRDefault="008E7EC8" w:rsidP="00CA3B86">
      <w:pPr>
        <w:adjustRightInd w:val="0"/>
        <w:snapToGrid w:val="0"/>
        <w:spacing w:after="0" w:line="360" w:lineRule="auto"/>
        <w:ind w:firstLineChars="100" w:firstLine="240"/>
        <w:jc w:val="both"/>
        <w:rPr>
          <w:rFonts w:ascii="Book Antiqua" w:hAnsi="Book Antiqua"/>
          <w:sz w:val="24"/>
          <w:szCs w:val="24"/>
        </w:rPr>
      </w:pPr>
      <w:r w:rsidRPr="001339DB">
        <w:rPr>
          <w:rFonts w:ascii="Book Antiqua" w:hAnsi="Book Antiqua"/>
          <w:sz w:val="24"/>
          <w:szCs w:val="24"/>
        </w:rPr>
        <w:t xml:space="preserve">Wright </w:t>
      </w:r>
      <w:r w:rsidR="001339DB" w:rsidRPr="001339DB">
        <w:rPr>
          <w:rFonts w:ascii="Book Antiqua" w:hAnsi="Book Antiqua"/>
          <w:i/>
          <w:sz w:val="24"/>
          <w:szCs w:val="24"/>
        </w:rPr>
        <w:t>et al</w:t>
      </w:r>
      <w:r w:rsidR="003827E7" w:rsidRPr="00CA3B86">
        <w:rPr>
          <w:rFonts w:ascii="Book Antiqua" w:hAnsi="Book Antiqua"/>
          <w:sz w:val="24"/>
          <w:szCs w:val="24"/>
          <w:vertAlign w:val="superscript"/>
        </w:rPr>
        <w:fldChar w:fldCharType="begin" w:fldLock="1"/>
      </w:r>
      <w:r w:rsidR="00823CC0" w:rsidRPr="00CA3B86">
        <w:rPr>
          <w:rFonts w:ascii="Book Antiqua" w:hAnsi="Book Antiqua"/>
          <w:sz w:val="24"/>
          <w:szCs w:val="24"/>
          <w:vertAlign w:val="superscript"/>
        </w:rPr>
        <w:instrText>ADDIN CSL_CITATION { "citationItems" : [ { "id" : "ITEM-1", "itemData" : { "ISBN" : "1366-5278", "ISSN" : "13665278", "PMID" : "16750059", "abstract" : "OBJECTIVES: To determine whether combined therapy with interferon-alpha and ribavirin was more effective and cost-effective than no treatment for patients with mild chronic hepatitis C. DESIGN: A multicentre, randomised, controlled, non-blinded trial assessed the efficacy of combination therapy. A Markov model used these efficacy data combined with data on transition probabilities, costs and health-related quality of life (HRQoL) to assess the lifetime cost-effectiveness of the intervention. SETTING: A multicentre NHS setting. PARTICIPANTS: Treatment-naive, adult patients with histologically mild chronic hepatitis C (Ishak necroinflammatory scores &lt;4 and fibrosis scores &lt;3 on liver biopsy). INTERVENTIONS: Patients were randomised to receive interferon-alpha and ribavirin for 48 weeks or no treatment (control). MAIN OUTCOME MEASURES: The primary outcome measure was the proportion of patients having a sustained virological response (SVR), measured at 6 months after cessation of therapy. Secondary outcome measures were: the ability of early phase kinetics to predict the eventual outcome of treating mild disease; HRQoL measured using the Short Form 36 and EuroQol (5 Dimensions) questionnaires, and the cost per quality-adjusted life-year (QALY) of interferon-alpha and ribavirin for mild disease compared with no treatment. RESULTS: In the treatment group, 32 out of 98 patients (33%) achieved an SVR. Patients infected with genotype 1 had a lower SVR than those infected with genotype non-1 (18% versus 49%, p = 0.02). No patients who failed to achieve a 2-log drop in viral load at 12 weeks achieved an SVR. HRQoL fell during treatment and rose with treatment cessation. For patients having an SVR there were modest improvements in HRQoL at 6 months post-treatment. The mean cost per QALY gained was 4535 pounds sterling for 40-year-old patients with genotype non-1 and 25,188 pounds sterling for patients with genotype 1. For patients with genotype 1 aged 65, providing interferon-alpha and ribavirin for mild disease led to fewer QALYs gained, and a mean cost per QALY of 53,017 pounds sterling. The model using efficacy estimates from the literature, showed that the cost per QALY gained from providing pegylated interferon alpha-2b and ribavirin at a mild stage rather than a moderate stage was 7821 pounds sterling for patients with genotype non-1 and 28,409 pounds sterling for patients with genotype 1. CONCLUSIONS: Based on the evidence collected in this study, interferon\u2026", "author" : [ { "dropping-particle" : "", "family" : "Wright", "given" : "M.", "non-dropping-particle" : "", "parse-names" : false, "suffix" : "" }, { "dropping-particle" : "", "family" : "Grieve", "given" : "R.", "non-dropping-particle" : "", "parse-names" : false, "suffix" : "" }, { "dropping-particle" : "", "family" : "Roberts", "given" : "J.", "non-dropping-particle" : "", "parse-names" : false, "suffix" : "" }, { "dropping-particle" : "", "family" : "Main", "given" : "J.", "non-dropping-particle" : "", "parse-names" : false, "suffix" : "" }, { "dropping-particle" : "", "family" : "Thomas", "given" : "H. C.", "non-dropping-particle" : "", "parse-names" : false, "suffix" : "" }, { "dropping-particle" : "", "family" : "UK Mild Hepatitis C Trial Investigators", "given" : "", "non-dropping-particle" : "", "parse-names" : false, "suffix" : "" } ], "container-title" : "Health technology assessment (NHS)", "id" : "ITEM-1", "issue" : "21", "issued" : { "date-parts" : [ [ "2006" ] ] }, "title" : "Health benefits of antiviral therapy for mild chronic hepatitis C: randomised controlled trial and economic evaluation.", "type" : "article-journal", "volume" : "10" }, "uris" : [ "http://www.mendeley.com/documents/?uuid=66ba4aa8-b8ad-4aac-8c62-f3a523206a64" ] } ], "mendeley" : { "formattedCitation" : "[27]", "plainTextFormattedCitation" : "[27]", "previouslyFormattedCitation" : "[27]" }, "properties" : { "noteIndex" : 0 }, "schema" : "https://github.com/citation-style-language/schema/raw/master/csl-citation.json" }</w:instrText>
      </w:r>
      <w:r w:rsidR="003827E7" w:rsidRPr="00CA3B86">
        <w:rPr>
          <w:rFonts w:ascii="Book Antiqua" w:hAnsi="Book Antiqua"/>
          <w:sz w:val="24"/>
          <w:szCs w:val="24"/>
          <w:vertAlign w:val="superscript"/>
        </w:rPr>
        <w:fldChar w:fldCharType="separate"/>
      </w:r>
      <w:r w:rsidR="00823CC0" w:rsidRPr="00CA3B86">
        <w:rPr>
          <w:rFonts w:ascii="Book Antiqua" w:hAnsi="Book Antiqua"/>
          <w:noProof/>
          <w:sz w:val="24"/>
          <w:szCs w:val="24"/>
          <w:vertAlign w:val="superscript"/>
        </w:rPr>
        <w:t>[27]</w:t>
      </w:r>
      <w:r w:rsidR="003827E7" w:rsidRPr="00CA3B86">
        <w:rPr>
          <w:rFonts w:ascii="Book Antiqua" w:hAnsi="Book Antiqua"/>
          <w:sz w:val="24"/>
          <w:szCs w:val="24"/>
          <w:vertAlign w:val="superscript"/>
        </w:rPr>
        <w:fldChar w:fldCharType="end"/>
      </w:r>
      <w:r w:rsidRPr="001339DB">
        <w:rPr>
          <w:rFonts w:ascii="Book Antiqua" w:hAnsi="Book Antiqua"/>
          <w:sz w:val="24"/>
          <w:szCs w:val="24"/>
        </w:rPr>
        <w:t xml:space="preserve"> report a mean utility decrement of 0.11 during treatment with HCV a</w:t>
      </w:r>
      <w:r w:rsidR="003A2BDB" w:rsidRPr="001339DB">
        <w:rPr>
          <w:rFonts w:ascii="Book Antiqua" w:hAnsi="Book Antiqua"/>
          <w:sz w:val="24"/>
          <w:szCs w:val="24"/>
        </w:rPr>
        <w:t>ntivirals</w:t>
      </w:r>
      <w:r w:rsidRPr="001339DB">
        <w:rPr>
          <w:rFonts w:ascii="Book Antiqua" w:hAnsi="Book Antiqua"/>
          <w:sz w:val="24"/>
          <w:szCs w:val="24"/>
        </w:rPr>
        <w:t xml:space="preserve"> and a utility rise of 0.05 in individuals for whom treatment is successful</w:t>
      </w:r>
      <w:r w:rsidR="003A2BDB" w:rsidRPr="001339DB">
        <w:rPr>
          <w:rFonts w:ascii="Book Antiqua" w:hAnsi="Book Antiqua"/>
          <w:sz w:val="24"/>
          <w:szCs w:val="24"/>
        </w:rPr>
        <w:t>.</w:t>
      </w:r>
      <w:r w:rsidRPr="001339DB">
        <w:rPr>
          <w:rFonts w:ascii="Book Antiqua" w:hAnsi="Book Antiqua"/>
          <w:sz w:val="24"/>
          <w:szCs w:val="24"/>
        </w:rPr>
        <w:t xml:space="preserve"> Following the findings of the authors</w:t>
      </w:r>
      <w:r w:rsidR="007649E5" w:rsidRPr="001339DB">
        <w:rPr>
          <w:rFonts w:ascii="Book Antiqua" w:hAnsi="Book Antiqua"/>
          <w:sz w:val="24"/>
          <w:szCs w:val="24"/>
        </w:rPr>
        <w:t>,</w:t>
      </w:r>
      <w:r w:rsidRPr="001339DB">
        <w:rPr>
          <w:rFonts w:ascii="Book Antiqua" w:hAnsi="Book Antiqua"/>
          <w:sz w:val="24"/>
          <w:szCs w:val="24"/>
        </w:rPr>
        <w:t xml:space="preserve"> we assumed a 0.11 utility drop during one quarter for individuals that are treated and a permanent increase of 0.05 for individuals that achieve an SVR state.</w:t>
      </w:r>
      <w:r w:rsidR="001F6895" w:rsidRPr="001339DB">
        <w:rPr>
          <w:rFonts w:ascii="Book Antiqua" w:hAnsi="Book Antiqua"/>
          <w:sz w:val="24"/>
          <w:szCs w:val="24"/>
        </w:rPr>
        <w:t xml:space="preserve"> Utilities for ALD individuals were assumed identical to those used in HCV. </w:t>
      </w:r>
      <w:r w:rsidR="0080767F" w:rsidRPr="001339DB">
        <w:rPr>
          <w:rFonts w:ascii="Book Antiqua" w:hAnsi="Book Antiqua"/>
          <w:sz w:val="24"/>
          <w:szCs w:val="24"/>
        </w:rPr>
        <w:t xml:space="preserve">Sensitivity analyses were undertaken to explore the robustness of results </w:t>
      </w:r>
      <w:r w:rsidR="007649E5" w:rsidRPr="001339DB">
        <w:rPr>
          <w:rFonts w:ascii="Book Antiqua" w:hAnsi="Book Antiqua"/>
          <w:sz w:val="24"/>
          <w:szCs w:val="24"/>
        </w:rPr>
        <w:t xml:space="preserve">with </w:t>
      </w:r>
      <w:r w:rsidR="0080767F" w:rsidRPr="001339DB">
        <w:rPr>
          <w:rFonts w:ascii="Book Antiqua" w:hAnsi="Book Antiqua"/>
          <w:sz w:val="24"/>
          <w:szCs w:val="24"/>
        </w:rPr>
        <w:t>changes in these assumptions.</w:t>
      </w:r>
    </w:p>
    <w:p w:rsidR="001F6895" w:rsidRDefault="00D528F4" w:rsidP="00CA3B86">
      <w:pPr>
        <w:adjustRightInd w:val="0"/>
        <w:snapToGrid w:val="0"/>
        <w:spacing w:after="0" w:line="360" w:lineRule="auto"/>
        <w:ind w:firstLineChars="100" w:firstLine="240"/>
        <w:jc w:val="both"/>
        <w:rPr>
          <w:rFonts w:ascii="Book Antiqua" w:hAnsi="Book Antiqua"/>
          <w:sz w:val="24"/>
          <w:szCs w:val="24"/>
          <w:lang w:eastAsia="zh-CN"/>
        </w:rPr>
      </w:pPr>
      <w:r w:rsidRPr="001339DB">
        <w:rPr>
          <w:rFonts w:ascii="Book Antiqua" w:hAnsi="Book Antiqua"/>
          <w:sz w:val="24"/>
          <w:szCs w:val="24"/>
        </w:rPr>
        <w:t xml:space="preserve">No reliable epidemiological data </w:t>
      </w:r>
      <w:r w:rsidR="00011F46" w:rsidRPr="001339DB">
        <w:rPr>
          <w:rFonts w:ascii="Book Antiqua" w:hAnsi="Book Antiqua"/>
          <w:sz w:val="24"/>
          <w:szCs w:val="24"/>
        </w:rPr>
        <w:t>for</w:t>
      </w:r>
      <w:r w:rsidRPr="001339DB">
        <w:rPr>
          <w:rFonts w:ascii="Book Antiqua" w:hAnsi="Book Antiqua"/>
          <w:sz w:val="24"/>
          <w:szCs w:val="24"/>
        </w:rPr>
        <w:t xml:space="preserve"> prevalence of LF and cirrhosis in HCV and ALD </w:t>
      </w:r>
      <w:r w:rsidR="00011F46" w:rsidRPr="001339DB">
        <w:rPr>
          <w:rFonts w:ascii="Book Antiqua" w:hAnsi="Book Antiqua"/>
          <w:sz w:val="24"/>
          <w:szCs w:val="24"/>
        </w:rPr>
        <w:t>for</w:t>
      </w:r>
      <w:r w:rsidRPr="001339DB">
        <w:rPr>
          <w:rFonts w:ascii="Book Antiqua" w:hAnsi="Book Antiqua"/>
          <w:sz w:val="24"/>
          <w:szCs w:val="24"/>
        </w:rPr>
        <w:t xml:space="preserve"> the Spanish population </w:t>
      </w:r>
      <w:r w:rsidR="007649E5" w:rsidRPr="001339DB">
        <w:rPr>
          <w:rFonts w:ascii="Book Antiqua" w:hAnsi="Book Antiqua"/>
          <w:sz w:val="24"/>
          <w:szCs w:val="24"/>
        </w:rPr>
        <w:t xml:space="preserve">were </w:t>
      </w:r>
      <w:r w:rsidRPr="001339DB">
        <w:rPr>
          <w:rFonts w:ascii="Book Antiqua" w:hAnsi="Book Antiqua"/>
          <w:sz w:val="24"/>
          <w:szCs w:val="24"/>
        </w:rPr>
        <w:t>available. Following clinical opinion and earlier work</w:t>
      </w:r>
      <w:r w:rsidR="003827E7" w:rsidRPr="00CA3B86">
        <w:rPr>
          <w:rFonts w:ascii="Book Antiqua" w:hAnsi="Book Antiqua"/>
          <w:sz w:val="24"/>
          <w:szCs w:val="24"/>
          <w:vertAlign w:val="superscript"/>
        </w:rPr>
        <w:fldChar w:fldCharType="begin" w:fldLock="1"/>
      </w:r>
      <w:r w:rsidR="00A11871" w:rsidRPr="00CA3B86">
        <w:rPr>
          <w:rFonts w:ascii="Book Antiqua" w:hAnsi="Book Antiqua"/>
          <w:sz w:val="24"/>
          <w:szCs w:val="24"/>
          <w:vertAlign w:val="superscript"/>
        </w:rPr>
        <w:instrText>ADDIN CSL_CITATION { "citationItems" : [ { "id" : "ITEM-1", "itemData" : { "DOI" : "10.3310/hta19090", "ISSN" : "1366-5278", "author" : [ { "dropping-particle" : "", "family" : "Crossan", "given" : "Catriona", "non-dropping-particle" : "", "parse-names" : false, "suffix" : "" }, { "dropping-particle" : "", "family" : "Tsochatzis", "given" : "Emmanuel a", "non-dropping-particle" : "", "parse-names" : false, "suffix" : "" }, { "dropping-particle" : "", "family" : "Longworth", "given" : "Louise", "non-dropping-particle" : "", "parse-names" : false, "suffix" : "" }, { "dropping-particle" : "", "family" : "Gurusamy", "given" : "Kurinchi", "non-dropping-particle" : "", "parse-names" : false, "suffix" : "" }, { "dropping-particle" : "", "family" : "Davidson", "given" : "Brian", "non-dropping-particle" : "", "parse-names" : false, "suffix" : "" }, { "dropping-particle" : "", "family" : "Rodr\u00edguez-Per\u00e1lvarez", "given" : "Manuel", "non-dropping-particle" : "", "parse-names" : false, "suffix" : "" }, { "dropping-particle" : "", "family" : "Mantzoukis", "given" : "Konstantinos", "non-dropping-particle" : "", "parse-names" : false, "suffix" : "" }, { "dropping-particle" : "", "family" : "O\u2019Brien", "given" : "Julia", "non-dropping-particle" : "", "parse-names" : false, "suffix" : "" }, { "dropping-particle" : "", "family" : "Thalassinos", "given" : "Evangelos", "non-dropping-particle" : "", "parse-names" : false, "suffix" : "" }, { "dropping-particle" : "", "family" : "Papastergiou", "given" : "Vassilios", "non-dropping-particle" : "", "parse-names" : false, "suffix" : "" }, { "dropping-particle" : "", "family" : "Burroughs", "given" : "Andrew", "non-dropping-particle" : "", "parse-names" : false, "suffix" : "" } ], "container-title" : "Health technology assessment (NHS)", "id" : "ITEM-1", "issue" : "9", "issued" : { "date-parts" : [ [ "2015" ] ] }, "page" : "1-410", "title" : "Cost-effectiveness of non-invasive methods for assessment and monitoring of liver fibrosis and cirrhosis in patients with chronic liver disease: systematic review and economic evaluation", "type" : "article-journal", "volume" : "19" }, "uris" : [ "http://www.mendeley.com/documents/?uuid=5b57a84e-a9dc-4bfa-a1f0-171621d56a8e" ] } ], "mendeley" : { "formattedCitation" : "[15]", "plainTextFormattedCitation" : "[15]", "previouslyFormattedCitation" : "[15]" }, "properties" : { "noteIndex" : 0 }, "schema" : "https://github.com/citation-style-language/schema/raw/master/csl-citation.json" }</w:instrText>
      </w:r>
      <w:r w:rsidR="003827E7" w:rsidRPr="00CA3B86">
        <w:rPr>
          <w:rFonts w:ascii="Book Antiqua" w:hAnsi="Book Antiqua"/>
          <w:sz w:val="24"/>
          <w:szCs w:val="24"/>
          <w:vertAlign w:val="superscript"/>
        </w:rPr>
        <w:fldChar w:fldCharType="separate"/>
      </w:r>
      <w:r w:rsidR="00364039" w:rsidRPr="00CA3B86">
        <w:rPr>
          <w:rFonts w:ascii="Book Antiqua" w:hAnsi="Book Antiqua"/>
          <w:noProof/>
          <w:sz w:val="24"/>
          <w:szCs w:val="24"/>
          <w:vertAlign w:val="superscript"/>
        </w:rPr>
        <w:t>[15]</w:t>
      </w:r>
      <w:r w:rsidR="003827E7" w:rsidRPr="00CA3B86">
        <w:rPr>
          <w:rFonts w:ascii="Book Antiqua" w:hAnsi="Book Antiqua"/>
          <w:sz w:val="24"/>
          <w:szCs w:val="24"/>
          <w:vertAlign w:val="superscript"/>
        </w:rPr>
        <w:fldChar w:fldCharType="end"/>
      </w:r>
      <w:r w:rsidRPr="001339DB">
        <w:rPr>
          <w:rFonts w:ascii="Book Antiqua" w:hAnsi="Book Antiqua"/>
          <w:sz w:val="24"/>
          <w:szCs w:val="24"/>
        </w:rPr>
        <w:t xml:space="preserve"> for the </w:t>
      </w:r>
      <w:r w:rsidR="004358F2" w:rsidRPr="001339DB">
        <w:rPr>
          <w:rFonts w:ascii="Book Antiqua" w:hAnsi="Book Antiqua"/>
          <w:sz w:val="24"/>
          <w:szCs w:val="24"/>
        </w:rPr>
        <w:t>United Kingdom</w:t>
      </w:r>
      <w:r w:rsidR="007649E5" w:rsidRPr="001339DB">
        <w:rPr>
          <w:rFonts w:ascii="Book Antiqua" w:hAnsi="Book Antiqua"/>
          <w:sz w:val="24"/>
          <w:szCs w:val="24"/>
        </w:rPr>
        <w:t>,</w:t>
      </w:r>
      <w:r w:rsidRPr="001339DB">
        <w:rPr>
          <w:rFonts w:ascii="Book Antiqua" w:hAnsi="Book Antiqua"/>
          <w:sz w:val="24"/>
          <w:szCs w:val="24"/>
        </w:rPr>
        <w:t xml:space="preserve"> we assumed a base case prevalence of F</w:t>
      </w:r>
      <w:r w:rsidR="00CA3B86">
        <w:rPr>
          <w:rFonts w:ascii="Book Antiqua" w:hAnsi="Book Antiqua" w:hint="eastAsia"/>
          <w:sz w:val="24"/>
          <w:szCs w:val="24"/>
          <w:lang w:eastAsia="zh-CN"/>
        </w:rPr>
        <w:t xml:space="preserve"> </w:t>
      </w:r>
      <w:r w:rsidR="00D546FD" w:rsidRPr="001339DB">
        <w:rPr>
          <w:rFonts w:ascii="Book Antiqua" w:hAnsi="Book Antiqua"/>
          <w:sz w:val="24"/>
          <w:szCs w:val="24"/>
        </w:rPr>
        <w:t>≥</w:t>
      </w:r>
      <w:r w:rsidR="00CA3B86">
        <w:rPr>
          <w:rFonts w:ascii="Book Antiqua" w:hAnsi="Book Antiqua" w:hint="eastAsia"/>
          <w:sz w:val="24"/>
          <w:szCs w:val="24"/>
          <w:lang w:eastAsia="zh-CN"/>
        </w:rPr>
        <w:t xml:space="preserve"> </w:t>
      </w:r>
      <w:r w:rsidRPr="001339DB">
        <w:rPr>
          <w:rFonts w:ascii="Book Antiqua" w:hAnsi="Book Antiqua"/>
          <w:sz w:val="24"/>
          <w:szCs w:val="24"/>
        </w:rPr>
        <w:t xml:space="preserve">2 of </w:t>
      </w:r>
      <w:r w:rsidR="000F3907" w:rsidRPr="001339DB">
        <w:rPr>
          <w:rFonts w:ascii="Book Antiqua" w:hAnsi="Book Antiqua"/>
          <w:sz w:val="24"/>
          <w:szCs w:val="24"/>
        </w:rPr>
        <w:t xml:space="preserve">53% among </w:t>
      </w:r>
      <w:r w:rsidR="001B38C3" w:rsidRPr="001339DB">
        <w:rPr>
          <w:rFonts w:ascii="Book Antiqua" w:hAnsi="Book Antiqua"/>
          <w:sz w:val="24"/>
          <w:szCs w:val="24"/>
        </w:rPr>
        <w:t xml:space="preserve">the </w:t>
      </w:r>
      <w:r w:rsidR="000F3907" w:rsidRPr="001339DB">
        <w:rPr>
          <w:rFonts w:ascii="Book Antiqua" w:hAnsi="Book Antiqua"/>
          <w:sz w:val="24"/>
          <w:szCs w:val="24"/>
        </w:rPr>
        <w:t xml:space="preserve">HCV </w:t>
      </w:r>
      <w:r w:rsidR="001B38C3" w:rsidRPr="001339DB">
        <w:rPr>
          <w:rFonts w:ascii="Book Antiqua" w:hAnsi="Book Antiqua"/>
          <w:sz w:val="24"/>
          <w:szCs w:val="24"/>
        </w:rPr>
        <w:t xml:space="preserve">and </w:t>
      </w:r>
      <w:r w:rsidR="000F3907" w:rsidRPr="001339DB">
        <w:rPr>
          <w:rFonts w:ascii="Book Antiqua" w:hAnsi="Book Antiqua"/>
          <w:sz w:val="24"/>
          <w:szCs w:val="24"/>
        </w:rPr>
        <w:t>ALD population. The corresponding prevalence for compensated cirrhosis was 20%.</w:t>
      </w:r>
      <w:r w:rsidR="00553EB3" w:rsidRPr="001339DB">
        <w:rPr>
          <w:rFonts w:ascii="Book Antiqua" w:hAnsi="Book Antiqua"/>
          <w:sz w:val="24"/>
          <w:szCs w:val="24"/>
        </w:rPr>
        <w:t xml:space="preserve"> Prevalence rates were varied in the sensitivity analyses to explore the robustness of </w:t>
      </w:r>
      <w:r w:rsidR="001E63E7" w:rsidRPr="001339DB">
        <w:rPr>
          <w:rFonts w:ascii="Book Antiqua" w:hAnsi="Book Antiqua"/>
          <w:sz w:val="24"/>
          <w:szCs w:val="24"/>
        </w:rPr>
        <w:t>base case results</w:t>
      </w:r>
      <w:r w:rsidR="00AF414F" w:rsidRPr="001339DB">
        <w:rPr>
          <w:rFonts w:ascii="Book Antiqua" w:hAnsi="Book Antiqua"/>
          <w:sz w:val="24"/>
          <w:szCs w:val="24"/>
        </w:rPr>
        <w:t>.</w:t>
      </w:r>
    </w:p>
    <w:p w:rsidR="00CA3B86" w:rsidRPr="001339DB" w:rsidRDefault="00CA3B86" w:rsidP="00CA3B86">
      <w:pPr>
        <w:adjustRightInd w:val="0"/>
        <w:snapToGrid w:val="0"/>
        <w:spacing w:after="0" w:line="360" w:lineRule="auto"/>
        <w:ind w:firstLineChars="100" w:firstLine="240"/>
        <w:jc w:val="both"/>
        <w:rPr>
          <w:rFonts w:ascii="Book Antiqua" w:hAnsi="Book Antiqua"/>
          <w:sz w:val="24"/>
          <w:szCs w:val="24"/>
          <w:lang w:eastAsia="zh-CN"/>
        </w:rPr>
      </w:pPr>
    </w:p>
    <w:p w:rsidR="00F93648" w:rsidRPr="00CA3B86" w:rsidRDefault="00F93648" w:rsidP="001339DB">
      <w:pPr>
        <w:pStyle w:val="Heading2"/>
        <w:adjustRightInd w:val="0"/>
        <w:snapToGrid w:val="0"/>
        <w:spacing w:before="0" w:after="0" w:line="360" w:lineRule="auto"/>
        <w:jc w:val="both"/>
        <w:rPr>
          <w:rFonts w:ascii="Book Antiqua" w:hAnsi="Book Antiqua"/>
          <w:i/>
          <w:sz w:val="24"/>
          <w:szCs w:val="24"/>
        </w:rPr>
      </w:pPr>
      <w:r w:rsidRPr="00CA3B86">
        <w:rPr>
          <w:rFonts w:ascii="Book Antiqua" w:hAnsi="Book Antiqua"/>
          <w:i/>
          <w:sz w:val="24"/>
          <w:szCs w:val="24"/>
        </w:rPr>
        <w:t>Sensitivity analysis</w:t>
      </w:r>
    </w:p>
    <w:p w:rsidR="00A7670B" w:rsidRPr="001339DB" w:rsidRDefault="00B633C5" w:rsidP="001339DB">
      <w:pPr>
        <w:adjustRightInd w:val="0"/>
        <w:snapToGrid w:val="0"/>
        <w:spacing w:after="0" w:line="360" w:lineRule="auto"/>
        <w:jc w:val="both"/>
        <w:rPr>
          <w:rFonts w:ascii="Book Antiqua" w:hAnsi="Book Antiqua"/>
          <w:sz w:val="24"/>
          <w:szCs w:val="24"/>
        </w:rPr>
      </w:pPr>
      <w:r w:rsidRPr="001339DB">
        <w:rPr>
          <w:rFonts w:ascii="Book Antiqua" w:hAnsi="Book Antiqua"/>
          <w:sz w:val="24"/>
          <w:szCs w:val="24"/>
        </w:rPr>
        <w:t xml:space="preserve">One-way deterministic sensitivity analysis was performed to explore the parameters that had the highest impact on </w:t>
      </w:r>
      <w:r w:rsidR="00C34C2E" w:rsidRPr="001339DB">
        <w:rPr>
          <w:rFonts w:ascii="Book Antiqua" w:hAnsi="Book Antiqua"/>
          <w:sz w:val="24"/>
          <w:szCs w:val="24"/>
        </w:rPr>
        <w:t>QALYs and costs</w:t>
      </w:r>
      <w:r w:rsidRPr="001339DB">
        <w:rPr>
          <w:rFonts w:ascii="Book Antiqua" w:hAnsi="Book Antiqua"/>
          <w:sz w:val="24"/>
          <w:szCs w:val="24"/>
        </w:rPr>
        <w:t>. Low</w:t>
      </w:r>
      <w:r w:rsidR="00626E77" w:rsidRPr="001339DB">
        <w:rPr>
          <w:rFonts w:ascii="Book Antiqua" w:hAnsi="Book Antiqua"/>
          <w:sz w:val="24"/>
          <w:szCs w:val="24"/>
        </w:rPr>
        <w:t>-</w:t>
      </w:r>
      <w:r w:rsidRPr="001339DB">
        <w:rPr>
          <w:rFonts w:ascii="Book Antiqua" w:hAnsi="Book Antiqua"/>
          <w:sz w:val="24"/>
          <w:szCs w:val="24"/>
        </w:rPr>
        <w:t xml:space="preserve"> and high</w:t>
      </w:r>
      <w:r w:rsidR="00626E77" w:rsidRPr="001339DB">
        <w:rPr>
          <w:rFonts w:ascii="Book Antiqua" w:hAnsi="Book Antiqua"/>
          <w:sz w:val="24"/>
          <w:szCs w:val="24"/>
        </w:rPr>
        <w:t>-</w:t>
      </w:r>
      <w:r w:rsidRPr="001339DB">
        <w:rPr>
          <w:rFonts w:ascii="Book Antiqua" w:hAnsi="Book Antiqua"/>
          <w:sz w:val="24"/>
          <w:szCs w:val="24"/>
        </w:rPr>
        <w:t xml:space="preserve">value parameters </w:t>
      </w:r>
      <w:r w:rsidR="00A9641D" w:rsidRPr="001339DB">
        <w:rPr>
          <w:rFonts w:ascii="Book Antiqua" w:hAnsi="Book Antiqua"/>
          <w:sz w:val="24"/>
          <w:szCs w:val="24"/>
        </w:rPr>
        <w:t xml:space="preserve">used for the analysis </w:t>
      </w:r>
      <w:r w:rsidRPr="001339DB">
        <w:rPr>
          <w:rFonts w:ascii="Book Antiqua" w:hAnsi="Book Antiqua"/>
          <w:sz w:val="24"/>
          <w:szCs w:val="24"/>
        </w:rPr>
        <w:t xml:space="preserve">are described in </w:t>
      </w:r>
      <w:r w:rsidR="00CA3B86" w:rsidRPr="001339DB">
        <w:rPr>
          <w:rFonts w:ascii="Book Antiqua" w:hAnsi="Book Antiqua"/>
          <w:sz w:val="24"/>
          <w:szCs w:val="24"/>
        </w:rPr>
        <w:t xml:space="preserve">Table </w:t>
      </w:r>
      <w:r w:rsidRPr="001339DB">
        <w:rPr>
          <w:rFonts w:ascii="Book Antiqua" w:hAnsi="Book Antiqua"/>
          <w:sz w:val="24"/>
          <w:szCs w:val="24"/>
        </w:rPr>
        <w:t xml:space="preserve">2. </w:t>
      </w:r>
      <w:r w:rsidR="00481769" w:rsidRPr="001339DB">
        <w:rPr>
          <w:rFonts w:ascii="Book Antiqua" w:hAnsi="Book Antiqua"/>
          <w:sz w:val="24"/>
          <w:szCs w:val="24"/>
        </w:rPr>
        <w:t xml:space="preserve">The general rule for selection of extreme values was to use the confidence interval </w:t>
      </w:r>
      <w:r w:rsidR="00A9641D" w:rsidRPr="001339DB">
        <w:rPr>
          <w:rFonts w:ascii="Book Antiqua" w:hAnsi="Book Antiqua"/>
          <w:sz w:val="24"/>
          <w:szCs w:val="24"/>
        </w:rPr>
        <w:t xml:space="preserve">bounds </w:t>
      </w:r>
      <w:r w:rsidR="00481769" w:rsidRPr="001339DB">
        <w:rPr>
          <w:rFonts w:ascii="Book Antiqua" w:hAnsi="Book Antiqua"/>
          <w:sz w:val="24"/>
          <w:szCs w:val="24"/>
        </w:rPr>
        <w:t xml:space="preserve">reported in the cited literature. In some cases, </w:t>
      </w:r>
      <w:r w:rsidR="00696429" w:rsidRPr="001339DB">
        <w:rPr>
          <w:rFonts w:ascii="Book Antiqua" w:hAnsi="Book Antiqua"/>
          <w:sz w:val="24"/>
          <w:szCs w:val="24"/>
        </w:rPr>
        <w:t>such as</w:t>
      </w:r>
      <w:r w:rsidR="00481769" w:rsidRPr="001339DB">
        <w:rPr>
          <w:rFonts w:ascii="Book Antiqua" w:hAnsi="Book Antiqua"/>
          <w:sz w:val="24"/>
          <w:szCs w:val="24"/>
        </w:rPr>
        <w:t xml:space="preserve"> the probability of liver transplantation, extreme values corresponded to the minimum and maximum values used in the literature</w:t>
      </w:r>
      <w:r w:rsidR="00556057" w:rsidRPr="001339DB">
        <w:rPr>
          <w:rFonts w:ascii="Book Antiqua" w:hAnsi="Book Antiqua"/>
          <w:sz w:val="24"/>
          <w:szCs w:val="24"/>
        </w:rPr>
        <w:t xml:space="preserve"> on cost-effectiveness analysis for the treatment of HCV</w:t>
      </w:r>
      <w:r w:rsidR="003827E7" w:rsidRPr="00CA3B86">
        <w:rPr>
          <w:rFonts w:ascii="Book Antiqua" w:hAnsi="Book Antiqua"/>
          <w:sz w:val="24"/>
          <w:szCs w:val="24"/>
          <w:vertAlign w:val="superscript"/>
        </w:rPr>
        <w:fldChar w:fldCharType="begin" w:fldLock="1"/>
      </w:r>
      <w:r w:rsidR="00A11871" w:rsidRPr="00CA3B86">
        <w:rPr>
          <w:rFonts w:ascii="Book Antiqua" w:hAnsi="Book Antiqua"/>
          <w:sz w:val="24"/>
          <w:szCs w:val="24"/>
          <w:vertAlign w:val="superscript"/>
        </w:rPr>
        <w:instrText>ADDIN CSL_CITATION { "citationItems" : [ { "id" : "ITEM-1", "itemData" : { "DOI" : "10.1016/j.jval.2011.06.006", "ISBN" : "1524-4733", "ISSN" : "10983015", "PMID" : "22152176", "abstract" : "Published economic evaluations have reported available treatments for chronic hepatitis C to be cost-effective as part of the current approach to disease management, but as standards of care evolve, their approach to modeling should be reconsidered. This study aimed to review structural frameworks and key model parameters as reported in current economic evaluations for treatments for chronic hepatitis C, and model the impact of variability across parameters on results. A systematic review of studies published from 2000 to 2011 was performed. Studies were retrieved from five electronic databases using relevant search strategies. Model structures, disease progression rates, utilities, and costs were extracted from included studies, and were qualitatively reviewed and incorporated into a cost-utility model. Thirty-four studies were appropriate for data extraction. A common pathway of six disease states was identified. In some studies the early disease stages and/or the decompensated cirrhosis state were further subdivided. Large variability in values used for disease progression rates, utilities, and costs were identified. When incorporated into a model, incremental cost-effectiveness ratios (ICERs) varied: in the least favorable scenario, peginterferon plus ribavirin was dominated by interferon plus ribavirin; and in the most favorable scenario, peginterferon plus ribavirin dominated interferon plus ribavirin ($8,544 per quality-adjusted life year [QALY]; costs are given in 2008 US dollar amounts). Using mean values the ICER was $15,198 per QALY. Current models use a simplistic structure resulting from the lack of available data reflecting patient heterogeneity. Key model parameters are currently based on a small number of studies and the variability across these values can affect the interpretation of results. \u00a9 2011 International Society for Pharmacoeconomics and Outcomes Research (ISPOR).", "author" : [ { "dropping-particle" : "", "family" : "Townsend", "given" : "Rebecca", "non-dropping-particle" : "", "parse-names" : false, "suffix" : "" }, { "dropping-particle" : "", "family" : "McEwan", "given" : "Phil", "non-dropping-particle" : "", "parse-names" : false, "suffix" : "" }, { "dropping-particle" : "", "family" : "Kim", "given" : "Ray", "non-dropping-particle" : "", "parse-names" : false, "suffix" : "" }, { "dropping-particle" : "", "family" : "Yuan", "given" : "Yong", "non-dropping-particle" : "", "parse-names" : false, "suffix" : "" } ], "container-title" : "Value in Health", "id" : "ITEM-1", "issue" : "8", "issued" : { "date-parts" : [ [ "2011" ] ] }, "page" : "1068-1077", "publisher" : "Elsevier Inc.", "title" : "Structural frameworks and key model parameters in cost-effectiveness analyses for current and future treatments of chronic hepatitis C", "type" : "article-journal", "volume" : "14" }, "uris" : [ "http://www.mendeley.com/documents/?uuid=7d2fb2cf-1594-421c-a545-cb155c61f2e7" ] } ], "mendeley" : { "formattedCitation" : "[12]", "plainTextFormattedCitation" : "[12]", "previouslyFormattedCitation" : "[12]" }, "properties" : { "noteIndex" : 0 }, "schema" : "https://github.com/citation-style-language/schema/raw/master/csl-citation.json" }</w:instrText>
      </w:r>
      <w:r w:rsidR="003827E7" w:rsidRPr="00CA3B86">
        <w:rPr>
          <w:rFonts w:ascii="Book Antiqua" w:hAnsi="Book Antiqua"/>
          <w:sz w:val="24"/>
          <w:szCs w:val="24"/>
          <w:vertAlign w:val="superscript"/>
        </w:rPr>
        <w:fldChar w:fldCharType="separate"/>
      </w:r>
      <w:r w:rsidR="00364039" w:rsidRPr="00CA3B86">
        <w:rPr>
          <w:rFonts w:ascii="Book Antiqua" w:hAnsi="Book Antiqua"/>
          <w:noProof/>
          <w:sz w:val="24"/>
          <w:szCs w:val="24"/>
          <w:vertAlign w:val="superscript"/>
        </w:rPr>
        <w:t>[12]</w:t>
      </w:r>
      <w:r w:rsidR="003827E7" w:rsidRPr="00CA3B86">
        <w:rPr>
          <w:rFonts w:ascii="Book Antiqua" w:hAnsi="Book Antiqua"/>
          <w:sz w:val="24"/>
          <w:szCs w:val="24"/>
          <w:vertAlign w:val="superscript"/>
        </w:rPr>
        <w:fldChar w:fldCharType="end"/>
      </w:r>
      <w:r w:rsidR="00C67D69" w:rsidRPr="001339DB">
        <w:rPr>
          <w:rFonts w:ascii="Book Antiqua" w:hAnsi="Book Antiqua"/>
          <w:sz w:val="24"/>
          <w:szCs w:val="24"/>
        </w:rPr>
        <w:t>.</w:t>
      </w:r>
      <w:r w:rsidR="00481769" w:rsidRPr="001339DB">
        <w:rPr>
          <w:rFonts w:ascii="Book Antiqua" w:hAnsi="Book Antiqua"/>
          <w:sz w:val="24"/>
          <w:szCs w:val="24"/>
        </w:rPr>
        <w:t xml:space="preserve"> </w:t>
      </w:r>
      <w:r w:rsidR="00352C0E" w:rsidRPr="001339DB">
        <w:rPr>
          <w:rFonts w:ascii="Book Antiqua" w:hAnsi="Book Antiqua"/>
          <w:sz w:val="24"/>
          <w:szCs w:val="24"/>
        </w:rPr>
        <w:t>T</w:t>
      </w:r>
      <w:r w:rsidRPr="001339DB">
        <w:rPr>
          <w:rFonts w:ascii="Book Antiqua" w:hAnsi="Book Antiqua"/>
          <w:sz w:val="24"/>
          <w:szCs w:val="24"/>
        </w:rPr>
        <w:t xml:space="preserve">he analysis </w:t>
      </w:r>
      <w:r w:rsidR="008E1666" w:rsidRPr="001339DB">
        <w:rPr>
          <w:rFonts w:ascii="Book Antiqua" w:hAnsi="Book Antiqua"/>
          <w:sz w:val="24"/>
          <w:szCs w:val="24"/>
        </w:rPr>
        <w:lastRenderedPageBreak/>
        <w:t xml:space="preserve">only </w:t>
      </w:r>
      <w:r w:rsidRPr="001339DB">
        <w:rPr>
          <w:rFonts w:ascii="Book Antiqua" w:hAnsi="Book Antiqua"/>
          <w:sz w:val="24"/>
          <w:szCs w:val="24"/>
        </w:rPr>
        <w:t>compare</w:t>
      </w:r>
      <w:r w:rsidR="00556057" w:rsidRPr="001339DB">
        <w:rPr>
          <w:rFonts w:ascii="Book Antiqua" w:hAnsi="Book Antiqua"/>
          <w:sz w:val="24"/>
          <w:szCs w:val="24"/>
        </w:rPr>
        <w:t>d</w:t>
      </w:r>
      <w:r w:rsidRPr="001339DB">
        <w:rPr>
          <w:rFonts w:ascii="Book Antiqua" w:hAnsi="Book Antiqua"/>
          <w:sz w:val="24"/>
          <w:szCs w:val="24"/>
        </w:rPr>
        <w:t xml:space="preserve"> </w:t>
      </w:r>
      <w:r w:rsidR="00556057" w:rsidRPr="001339DB">
        <w:rPr>
          <w:rFonts w:ascii="Book Antiqua" w:hAnsi="Book Antiqua"/>
          <w:sz w:val="24"/>
          <w:szCs w:val="24"/>
        </w:rPr>
        <w:t xml:space="preserve">results </w:t>
      </w:r>
      <w:r w:rsidRPr="001339DB">
        <w:rPr>
          <w:rFonts w:ascii="Book Antiqua" w:hAnsi="Book Antiqua"/>
          <w:sz w:val="24"/>
          <w:szCs w:val="24"/>
        </w:rPr>
        <w:t>between biopsy an</w:t>
      </w:r>
      <w:r w:rsidR="00BC6D2F" w:rsidRPr="001339DB">
        <w:rPr>
          <w:rFonts w:ascii="Book Antiqua" w:hAnsi="Book Antiqua"/>
          <w:sz w:val="24"/>
          <w:szCs w:val="24"/>
        </w:rPr>
        <w:t>d the sequential ELF</w:t>
      </w:r>
      <w:r w:rsidR="00F53A38" w:rsidRPr="001339DB">
        <w:rPr>
          <w:rFonts w:ascii="Book Antiqua" w:hAnsi="Book Antiqua"/>
          <w:sz w:val="24"/>
          <w:szCs w:val="24"/>
        </w:rPr>
        <w:t xml:space="preserve"> test</w:t>
      </w:r>
      <w:r w:rsidR="00BC6D2F" w:rsidRPr="001339DB">
        <w:rPr>
          <w:rFonts w:ascii="Book Antiqua" w:hAnsi="Book Antiqua"/>
          <w:sz w:val="24"/>
          <w:szCs w:val="24"/>
        </w:rPr>
        <w:t>/</w:t>
      </w:r>
      <w:r w:rsidR="00AF414F" w:rsidRPr="001339DB">
        <w:rPr>
          <w:rFonts w:ascii="Book Antiqua" w:hAnsi="Book Antiqua"/>
          <w:sz w:val="24"/>
          <w:szCs w:val="24"/>
        </w:rPr>
        <w:t>LSM</w:t>
      </w:r>
      <w:r w:rsidR="00BC6D2F" w:rsidRPr="001339DB">
        <w:rPr>
          <w:rFonts w:ascii="Book Antiqua" w:hAnsi="Book Antiqua"/>
          <w:sz w:val="24"/>
          <w:szCs w:val="24"/>
        </w:rPr>
        <w:t xml:space="preserve">. </w:t>
      </w:r>
      <w:r w:rsidR="00556057" w:rsidRPr="001339DB">
        <w:rPr>
          <w:rFonts w:ascii="Book Antiqua" w:hAnsi="Book Antiqua"/>
          <w:sz w:val="24"/>
          <w:szCs w:val="24"/>
        </w:rPr>
        <w:t>Results are present</w:t>
      </w:r>
      <w:r w:rsidR="008E1666" w:rsidRPr="001339DB">
        <w:rPr>
          <w:rFonts w:ascii="Book Antiqua" w:hAnsi="Book Antiqua"/>
          <w:sz w:val="24"/>
          <w:szCs w:val="24"/>
        </w:rPr>
        <w:t xml:space="preserve">ed in </w:t>
      </w:r>
      <w:r w:rsidR="00626E77" w:rsidRPr="001339DB">
        <w:rPr>
          <w:rFonts w:ascii="Book Antiqua" w:hAnsi="Book Antiqua"/>
          <w:sz w:val="24"/>
          <w:szCs w:val="24"/>
        </w:rPr>
        <w:t xml:space="preserve">the </w:t>
      </w:r>
      <w:r w:rsidR="008E1666" w:rsidRPr="001339DB">
        <w:rPr>
          <w:rFonts w:ascii="Book Antiqua" w:hAnsi="Book Antiqua"/>
          <w:sz w:val="24"/>
          <w:szCs w:val="24"/>
        </w:rPr>
        <w:t>form of tornado diagrams</w:t>
      </w:r>
      <w:r w:rsidR="00626E77" w:rsidRPr="001339DB">
        <w:rPr>
          <w:rFonts w:ascii="Book Antiqua" w:hAnsi="Book Antiqua"/>
          <w:sz w:val="24"/>
          <w:szCs w:val="24"/>
        </w:rPr>
        <w:t xml:space="preserve"> (Figures 2 and 3)</w:t>
      </w:r>
      <w:r w:rsidR="008E1666" w:rsidRPr="001339DB">
        <w:rPr>
          <w:rFonts w:ascii="Book Antiqua" w:hAnsi="Book Antiqua"/>
          <w:sz w:val="24"/>
          <w:szCs w:val="24"/>
        </w:rPr>
        <w:t>.</w:t>
      </w:r>
    </w:p>
    <w:p w:rsidR="00CA3B86" w:rsidRDefault="00BC6D2F" w:rsidP="00CA3B86">
      <w:pPr>
        <w:adjustRightInd w:val="0"/>
        <w:snapToGrid w:val="0"/>
        <w:spacing w:after="0" w:line="360" w:lineRule="auto"/>
        <w:ind w:firstLineChars="100" w:firstLine="240"/>
        <w:jc w:val="both"/>
        <w:rPr>
          <w:rFonts w:ascii="Book Antiqua" w:hAnsi="Book Antiqua"/>
          <w:sz w:val="24"/>
          <w:szCs w:val="24"/>
          <w:lang w:eastAsia="zh-CN"/>
        </w:rPr>
      </w:pPr>
      <w:r w:rsidRPr="001339DB">
        <w:rPr>
          <w:rFonts w:ascii="Book Antiqua" w:hAnsi="Book Antiqua"/>
          <w:sz w:val="24"/>
          <w:szCs w:val="24"/>
        </w:rPr>
        <w:t>Probabilistic</w:t>
      </w:r>
      <w:r w:rsidR="00556057" w:rsidRPr="001339DB">
        <w:rPr>
          <w:rFonts w:ascii="Book Antiqua" w:hAnsi="Book Antiqua"/>
          <w:sz w:val="24"/>
          <w:szCs w:val="24"/>
        </w:rPr>
        <w:t xml:space="preserve"> sensitivity analy</w:t>
      </w:r>
      <w:r w:rsidR="00CA3B86">
        <w:rPr>
          <w:rFonts w:ascii="Book Antiqua" w:hAnsi="Book Antiqua"/>
          <w:sz w:val="24"/>
          <w:szCs w:val="24"/>
        </w:rPr>
        <w:t>sis was performed by running 10</w:t>
      </w:r>
      <w:r w:rsidR="00556057" w:rsidRPr="001339DB">
        <w:rPr>
          <w:rFonts w:ascii="Book Antiqua" w:hAnsi="Book Antiqua"/>
          <w:sz w:val="24"/>
          <w:szCs w:val="24"/>
        </w:rPr>
        <w:t xml:space="preserve">000 Monte Carlo simulations per etiology group. </w:t>
      </w:r>
      <w:r w:rsidR="00730C44" w:rsidRPr="001339DB">
        <w:rPr>
          <w:rFonts w:ascii="Book Antiqua" w:hAnsi="Book Antiqua"/>
          <w:sz w:val="24"/>
          <w:szCs w:val="24"/>
        </w:rPr>
        <w:t>New p</w:t>
      </w:r>
      <w:r w:rsidR="00556057" w:rsidRPr="001339DB">
        <w:rPr>
          <w:rFonts w:ascii="Book Antiqua" w:hAnsi="Book Antiqua"/>
          <w:sz w:val="24"/>
          <w:szCs w:val="24"/>
        </w:rPr>
        <w:t>a</w:t>
      </w:r>
      <w:r w:rsidR="00730C44" w:rsidRPr="001339DB">
        <w:rPr>
          <w:rFonts w:ascii="Book Antiqua" w:hAnsi="Book Antiqua"/>
          <w:sz w:val="24"/>
          <w:szCs w:val="24"/>
        </w:rPr>
        <w:t>rameter values</w:t>
      </w:r>
      <w:r w:rsidR="00556057" w:rsidRPr="001339DB">
        <w:rPr>
          <w:rFonts w:ascii="Book Antiqua" w:hAnsi="Book Antiqua"/>
          <w:sz w:val="24"/>
          <w:szCs w:val="24"/>
        </w:rPr>
        <w:t xml:space="preserve"> </w:t>
      </w:r>
      <w:r w:rsidR="00B355D8" w:rsidRPr="001339DB">
        <w:rPr>
          <w:rFonts w:ascii="Book Antiqua" w:hAnsi="Book Antiqua"/>
          <w:sz w:val="24"/>
          <w:szCs w:val="24"/>
        </w:rPr>
        <w:t xml:space="preserve">were randomly drawn </w:t>
      </w:r>
      <w:r w:rsidR="00730C44" w:rsidRPr="001339DB">
        <w:rPr>
          <w:rFonts w:ascii="Book Antiqua" w:hAnsi="Book Antiqua"/>
          <w:sz w:val="24"/>
          <w:szCs w:val="24"/>
        </w:rPr>
        <w:t>from probabili</w:t>
      </w:r>
      <w:r w:rsidR="00B355D8" w:rsidRPr="001339DB">
        <w:rPr>
          <w:rFonts w:ascii="Book Antiqua" w:hAnsi="Book Antiqua"/>
          <w:sz w:val="24"/>
          <w:szCs w:val="24"/>
        </w:rPr>
        <w:t>t</w:t>
      </w:r>
      <w:r w:rsidR="00730C44" w:rsidRPr="001339DB">
        <w:rPr>
          <w:rFonts w:ascii="Book Antiqua" w:hAnsi="Book Antiqua"/>
          <w:sz w:val="24"/>
          <w:szCs w:val="24"/>
        </w:rPr>
        <w:t>y</w:t>
      </w:r>
      <w:r w:rsidR="00B355D8" w:rsidRPr="001339DB">
        <w:rPr>
          <w:rFonts w:ascii="Book Antiqua" w:hAnsi="Book Antiqua"/>
          <w:sz w:val="24"/>
          <w:szCs w:val="24"/>
        </w:rPr>
        <w:t xml:space="preserve"> density functions </w:t>
      </w:r>
      <w:r w:rsidR="00556057" w:rsidRPr="001339DB">
        <w:rPr>
          <w:rFonts w:ascii="Book Antiqua" w:hAnsi="Book Antiqua"/>
          <w:sz w:val="24"/>
          <w:szCs w:val="24"/>
        </w:rPr>
        <w:t>in each iteration</w:t>
      </w:r>
      <w:r w:rsidR="00231E26" w:rsidRPr="001339DB">
        <w:rPr>
          <w:rFonts w:ascii="Book Antiqua" w:hAnsi="Book Antiqua"/>
          <w:sz w:val="24"/>
          <w:szCs w:val="24"/>
        </w:rPr>
        <w:t>.</w:t>
      </w:r>
    </w:p>
    <w:p w:rsidR="00CA3B86" w:rsidRDefault="00CA3B86" w:rsidP="00CA3B86">
      <w:pPr>
        <w:adjustRightInd w:val="0"/>
        <w:snapToGrid w:val="0"/>
        <w:spacing w:after="0" w:line="360" w:lineRule="auto"/>
        <w:jc w:val="both"/>
        <w:rPr>
          <w:rFonts w:ascii="Book Antiqua" w:hAnsi="Book Antiqua"/>
          <w:sz w:val="24"/>
          <w:szCs w:val="24"/>
          <w:lang w:eastAsia="zh-CN"/>
        </w:rPr>
      </w:pPr>
    </w:p>
    <w:p w:rsidR="00CA3B86" w:rsidRPr="00CA3B86" w:rsidRDefault="00CA3B86" w:rsidP="00CA3B86">
      <w:pPr>
        <w:adjustRightInd w:val="0"/>
        <w:snapToGrid w:val="0"/>
        <w:spacing w:after="0" w:line="360" w:lineRule="auto"/>
        <w:jc w:val="both"/>
        <w:rPr>
          <w:rFonts w:ascii="Book Antiqua" w:hAnsi="Book Antiqua"/>
          <w:b/>
          <w:szCs w:val="24"/>
          <w:lang w:eastAsia="zh-CN"/>
        </w:rPr>
      </w:pPr>
      <w:r w:rsidRPr="00CA3B86">
        <w:rPr>
          <w:rFonts w:ascii="Book Antiqua" w:hAnsi="Book Antiqua"/>
          <w:b/>
          <w:szCs w:val="24"/>
        </w:rPr>
        <w:t>RESULTS</w:t>
      </w:r>
    </w:p>
    <w:p w:rsidR="003F3A4F" w:rsidRPr="00CA3B86" w:rsidRDefault="003F3A4F" w:rsidP="00CA3B86">
      <w:pPr>
        <w:adjustRightInd w:val="0"/>
        <w:snapToGrid w:val="0"/>
        <w:spacing w:after="0" w:line="360" w:lineRule="auto"/>
        <w:jc w:val="both"/>
        <w:rPr>
          <w:rFonts w:ascii="Book Antiqua" w:hAnsi="Book Antiqua"/>
          <w:b/>
          <w:i/>
          <w:sz w:val="24"/>
          <w:szCs w:val="24"/>
          <w:lang w:eastAsia="zh-CN"/>
        </w:rPr>
      </w:pPr>
      <w:r w:rsidRPr="00CA3B86">
        <w:rPr>
          <w:rFonts w:ascii="Book Antiqua" w:hAnsi="Book Antiqua"/>
          <w:b/>
          <w:i/>
          <w:sz w:val="24"/>
          <w:szCs w:val="24"/>
          <w:lang w:val="en-GB"/>
        </w:rPr>
        <w:t>Base case results</w:t>
      </w:r>
      <w:r w:rsidR="00157AB0" w:rsidRPr="00CA3B86">
        <w:rPr>
          <w:rFonts w:ascii="Book Antiqua" w:hAnsi="Book Antiqua"/>
          <w:b/>
          <w:i/>
          <w:sz w:val="24"/>
          <w:szCs w:val="24"/>
          <w:lang w:val="en-GB"/>
        </w:rPr>
        <w:t>:</w:t>
      </w:r>
      <w:r w:rsidR="000F7181" w:rsidRPr="00CA3B86">
        <w:rPr>
          <w:rFonts w:ascii="Book Antiqua" w:hAnsi="Book Antiqua"/>
          <w:b/>
          <w:i/>
          <w:sz w:val="24"/>
          <w:szCs w:val="24"/>
          <w:lang w:val="en-GB"/>
        </w:rPr>
        <w:t xml:space="preserve"> HCV</w:t>
      </w:r>
    </w:p>
    <w:p w:rsidR="00C41A20" w:rsidRPr="001339DB" w:rsidRDefault="00460691" w:rsidP="001339DB">
      <w:pPr>
        <w:adjustRightInd w:val="0"/>
        <w:snapToGrid w:val="0"/>
        <w:spacing w:after="0" w:line="360" w:lineRule="auto"/>
        <w:jc w:val="both"/>
        <w:rPr>
          <w:rFonts w:ascii="Book Antiqua" w:hAnsi="Book Antiqua"/>
          <w:sz w:val="24"/>
          <w:szCs w:val="24"/>
          <w:lang w:val="en-GB"/>
        </w:rPr>
      </w:pPr>
      <w:r w:rsidRPr="001339DB">
        <w:rPr>
          <w:rFonts w:ascii="Book Antiqua" w:hAnsi="Book Antiqua"/>
          <w:sz w:val="24"/>
          <w:szCs w:val="24"/>
          <w:lang w:val="en-GB"/>
        </w:rPr>
        <w:t xml:space="preserve">Table </w:t>
      </w:r>
      <w:r w:rsidR="00231E26" w:rsidRPr="001339DB">
        <w:rPr>
          <w:rFonts w:ascii="Book Antiqua" w:hAnsi="Book Antiqua"/>
          <w:sz w:val="24"/>
          <w:szCs w:val="24"/>
          <w:lang w:val="en-GB"/>
        </w:rPr>
        <w:t>3</w:t>
      </w:r>
      <w:r w:rsidRPr="001339DB">
        <w:rPr>
          <w:rFonts w:ascii="Book Antiqua" w:hAnsi="Book Antiqua"/>
          <w:sz w:val="24"/>
          <w:szCs w:val="24"/>
          <w:lang w:val="en-GB"/>
        </w:rPr>
        <w:t xml:space="preserve"> summarizes the results for HCV. B</w:t>
      </w:r>
      <w:r w:rsidR="00832054" w:rsidRPr="001339DB">
        <w:rPr>
          <w:rFonts w:ascii="Book Antiqua" w:hAnsi="Book Antiqua"/>
          <w:sz w:val="24"/>
          <w:szCs w:val="24"/>
          <w:lang w:val="en-GB"/>
        </w:rPr>
        <w:t xml:space="preserve">iopsy and ELF </w:t>
      </w:r>
      <w:r w:rsidR="00F53A38" w:rsidRPr="001339DB">
        <w:rPr>
          <w:rFonts w:ascii="Book Antiqua" w:hAnsi="Book Antiqua"/>
          <w:sz w:val="24"/>
          <w:szCs w:val="24"/>
          <w:lang w:val="en-GB"/>
        </w:rPr>
        <w:t xml:space="preserve">test </w:t>
      </w:r>
      <w:r w:rsidR="00832054" w:rsidRPr="001339DB">
        <w:rPr>
          <w:rFonts w:ascii="Book Antiqua" w:hAnsi="Book Antiqua"/>
          <w:sz w:val="24"/>
          <w:szCs w:val="24"/>
          <w:lang w:val="en-GB"/>
        </w:rPr>
        <w:t xml:space="preserve">alone </w:t>
      </w:r>
      <w:r w:rsidR="001276BF" w:rsidRPr="001339DB">
        <w:rPr>
          <w:rFonts w:ascii="Book Antiqua" w:hAnsi="Book Antiqua"/>
          <w:sz w:val="24"/>
          <w:szCs w:val="24"/>
          <w:lang w:val="en-GB"/>
        </w:rPr>
        <w:t>had</w:t>
      </w:r>
      <w:r w:rsidR="00832054" w:rsidRPr="001339DB">
        <w:rPr>
          <w:rFonts w:ascii="Book Antiqua" w:hAnsi="Book Antiqua"/>
          <w:sz w:val="24"/>
          <w:szCs w:val="24"/>
          <w:lang w:val="en-GB"/>
        </w:rPr>
        <w:t xml:space="preserve"> </w:t>
      </w:r>
      <w:r w:rsidR="00A55675" w:rsidRPr="001339DB">
        <w:rPr>
          <w:rFonts w:ascii="Book Antiqua" w:hAnsi="Book Antiqua"/>
          <w:sz w:val="24"/>
          <w:szCs w:val="24"/>
          <w:lang w:val="en-GB"/>
        </w:rPr>
        <w:t xml:space="preserve">the </w:t>
      </w:r>
      <w:r w:rsidR="00832054" w:rsidRPr="001339DB">
        <w:rPr>
          <w:rFonts w:ascii="Book Antiqua" w:hAnsi="Book Antiqua"/>
          <w:sz w:val="24"/>
          <w:szCs w:val="24"/>
          <w:lang w:val="en-GB"/>
        </w:rPr>
        <w:t>highest</w:t>
      </w:r>
      <w:r w:rsidR="00A55675" w:rsidRPr="001339DB">
        <w:rPr>
          <w:rFonts w:ascii="Book Antiqua" w:hAnsi="Book Antiqua"/>
          <w:sz w:val="24"/>
          <w:szCs w:val="24"/>
          <w:lang w:val="en-GB"/>
        </w:rPr>
        <w:t xml:space="preserve"> rate</w:t>
      </w:r>
      <w:r w:rsidR="00832054" w:rsidRPr="001339DB">
        <w:rPr>
          <w:rFonts w:ascii="Book Antiqua" w:hAnsi="Book Antiqua"/>
          <w:sz w:val="24"/>
          <w:szCs w:val="24"/>
          <w:lang w:val="en-GB"/>
        </w:rPr>
        <w:t xml:space="preserve"> </w:t>
      </w:r>
      <w:r w:rsidR="00A55675" w:rsidRPr="001339DB">
        <w:rPr>
          <w:rFonts w:ascii="Book Antiqua" w:hAnsi="Book Antiqua"/>
          <w:sz w:val="24"/>
          <w:szCs w:val="24"/>
          <w:lang w:val="en-GB"/>
        </w:rPr>
        <w:t xml:space="preserve">of </w:t>
      </w:r>
      <w:r w:rsidR="00F40F26" w:rsidRPr="001339DB">
        <w:rPr>
          <w:rFonts w:ascii="Book Antiqua" w:hAnsi="Book Antiqua"/>
          <w:sz w:val="24"/>
          <w:szCs w:val="24"/>
          <w:lang w:val="en-GB"/>
        </w:rPr>
        <w:t xml:space="preserve">true </w:t>
      </w:r>
      <w:r w:rsidR="00A55675" w:rsidRPr="001339DB">
        <w:rPr>
          <w:rFonts w:ascii="Book Antiqua" w:hAnsi="Book Antiqua"/>
          <w:sz w:val="24"/>
          <w:szCs w:val="24"/>
          <w:lang w:val="en-GB"/>
        </w:rPr>
        <w:t>F</w:t>
      </w:r>
      <w:r w:rsidR="00CA3B86">
        <w:rPr>
          <w:rFonts w:ascii="Book Antiqua" w:hAnsi="Book Antiqua" w:hint="eastAsia"/>
          <w:sz w:val="24"/>
          <w:szCs w:val="24"/>
          <w:lang w:val="en-GB" w:eastAsia="zh-CN"/>
        </w:rPr>
        <w:t xml:space="preserve"> </w:t>
      </w:r>
      <w:r w:rsidR="00D546FD" w:rsidRPr="001339DB">
        <w:rPr>
          <w:rFonts w:ascii="Book Antiqua" w:hAnsi="Book Antiqua"/>
          <w:sz w:val="24"/>
          <w:szCs w:val="24"/>
          <w:lang w:val="en-GB"/>
        </w:rPr>
        <w:t>≥</w:t>
      </w:r>
      <w:r w:rsidR="00CA3B86">
        <w:rPr>
          <w:rFonts w:ascii="Book Antiqua" w:hAnsi="Book Antiqua" w:hint="eastAsia"/>
          <w:sz w:val="24"/>
          <w:szCs w:val="24"/>
          <w:lang w:val="en-GB" w:eastAsia="zh-CN"/>
        </w:rPr>
        <w:t xml:space="preserve"> </w:t>
      </w:r>
      <w:r w:rsidR="00A55675" w:rsidRPr="001339DB">
        <w:rPr>
          <w:rFonts w:ascii="Book Antiqua" w:hAnsi="Book Antiqua"/>
          <w:sz w:val="24"/>
          <w:szCs w:val="24"/>
          <w:lang w:val="en-GB"/>
        </w:rPr>
        <w:t>2 cases detected</w:t>
      </w:r>
      <w:r w:rsidRPr="001339DB">
        <w:rPr>
          <w:rFonts w:ascii="Book Antiqua" w:hAnsi="Book Antiqua"/>
          <w:sz w:val="24"/>
          <w:szCs w:val="24"/>
          <w:lang w:val="en-GB"/>
        </w:rPr>
        <w:t xml:space="preserve"> (47.7%)</w:t>
      </w:r>
      <w:r w:rsidR="00157AB0" w:rsidRPr="001339DB">
        <w:rPr>
          <w:rFonts w:ascii="Book Antiqua" w:hAnsi="Book Antiqua"/>
          <w:sz w:val="24"/>
          <w:szCs w:val="24"/>
          <w:lang w:val="en-GB"/>
        </w:rPr>
        <w:t>,</w:t>
      </w:r>
      <w:r w:rsidRPr="001339DB">
        <w:rPr>
          <w:rFonts w:ascii="Book Antiqua" w:hAnsi="Book Antiqua"/>
          <w:sz w:val="24"/>
          <w:szCs w:val="24"/>
          <w:lang w:val="en-GB"/>
        </w:rPr>
        <w:t xml:space="preserve"> </w:t>
      </w:r>
      <w:r w:rsidR="00832054" w:rsidRPr="001339DB">
        <w:rPr>
          <w:rFonts w:ascii="Book Antiqua" w:hAnsi="Book Antiqua"/>
          <w:sz w:val="24"/>
          <w:szCs w:val="24"/>
          <w:lang w:val="en-GB"/>
        </w:rPr>
        <w:t>and sequential ELF</w:t>
      </w:r>
      <w:r w:rsidR="00F53A38" w:rsidRPr="001339DB">
        <w:rPr>
          <w:rFonts w:ascii="Book Antiqua" w:hAnsi="Book Antiqua"/>
          <w:sz w:val="24"/>
          <w:szCs w:val="24"/>
          <w:lang w:val="en-GB"/>
        </w:rPr>
        <w:t xml:space="preserve"> test</w:t>
      </w:r>
      <w:r w:rsidR="00832054" w:rsidRPr="001339DB">
        <w:rPr>
          <w:rFonts w:ascii="Book Antiqua" w:hAnsi="Book Antiqua"/>
          <w:sz w:val="24"/>
          <w:szCs w:val="24"/>
          <w:lang w:val="en-GB"/>
        </w:rPr>
        <w:t>/</w:t>
      </w:r>
      <w:r w:rsidR="003E32E4" w:rsidRPr="001339DB">
        <w:rPr>
          <w:rFonts w:ascii="Book Antiqua" w:hAnsi="Book Antiqua"/>
          <w:sz w:val="24"/>
          <w:szCs w:val="24"/>
          <w:lang w:val="en-GB"/>
        </w:rPr>
        <w:t>LSM</w:t>
      </w:r>
      <w:r w:rsidR="00832054" w:rsidRPr="001339DB">
        <w:rPr>
          <w:rFonts w:ascii="Book Antiqua" w:hAnsi="Book Antiqua"/>
          <w:sz w:val="24"/>
          <w:szCs w:val="24"/>
          <w:lang w:val="en-GB"/>
        </w:rPr>
        <w:t xml:space="preserve"> </w:t>
      </w:r>
      <w:r w:rsidR="00FD0E76" w:rsidRPr="001339DB">
        <w:rPr>
          <w:rFonts w:ascii="Book Antiqua" w:hAnsi="Book Antiqua"/>
          <w:sz w:val="24"/>
          <w:szCs w:val="24"/>
          <w:lang w:val="en-GB"/>
        </w:rPr>
        <w:t>produced</w:t>
      </w:r>
      <w:r w:rsidR="00832054" w:rsidRPr="001339DB">
        <w:rPr>
          <w:rFonts w:ascii="Book Antiqua" w:hAnsi="Book Antiqua"/>
          <w:sz w:val="24"/>
          <w:szCs w:val="24"/>
          <w:lang w:val="en-GB"/>
        </w:rPr>
        <w:t xml:space="preserve"> the </w:t>
      </w:r>
      <w:r w:rsidR="001276BF" w:rsidRPr="001339DB">
        <w:rPr>
          <w:rFonts w:ascii="Book Antiqua" w:hAnsi="Book Antiqua"/>
          <w:sz w:val="24"/>
          <w:szCs w:val="24"/>
          <w:lang w:val="en-GB"/>
        </w:rPr>
        <w:t>largest</w:t>
      </w:r>
      <w:r w:rsidR="00832054" w:rsidRPr="001339DB">
        <w:rPr>
          <w:rFonts w:ascii="Book Antiqua" w:hAnsi="Book Antiqua"/>
          <w:sz w:val="24"/>
          <w:szCs w:val="24"/>
          <w:lang w:val="en-GB"/>
        </w:rPr>
        <w:t xml:space="preserve"> rate of true negatives (44.5%). </w:t>
      </w:r>
      <w:r w:rsidR="003832D5" w:rsidRPr="001339DB">
        <w:rPr>
          <w:rFonts w:ascii="Book Antiqua" w:hAnsi="Book Antiqua"/>
          <w:sz w:val="24"/>
          <w:szCs w:val="24"/>
          <w:lang w:val="en-GB"/>
        </w:rPr>
        <w:t xml:space="preserve">In cirrhotic HCV patients, biopsy and ELF </w:t>
      </w:r>
      <w:r w:rsidR="00F53A38" w:rsidRPr="001339DB">
        <w:rPr>
          <w:rFonts w:ascii="Book Antiqua" w:hAnsi="Book Antiqua"/>
          <w:sz w:val="24"/>
          <w:szCs w:val="24"/>
          <w:lang w:val="en-GB"/>
        </w:rPr>
        <w:t xml:space="preserve">test </w:t>
      </w:r>
      <w:r w:rsidR="001276BF" w:rsidRPr="001339DB">
        <w:rPr>
          <w:rFonts w:ascii="Book Antiqua" w:hAnsi="Book Antiqua"/>
          <w:sz w:val="24"/>
          <w:szCs w:val="24"/>
          <w:lang w:val="en-GB"/>
        </w:rPr>
        <w:t>yielded</w:t>
      </w:r>
      <w:r w:rsidR="003832D5" w:rsidRPr="001339DB">
        <w:rPr>
          <w:rFonts w:ascii="Book Antiqua" w:hAnsi="Book Antiqua"/>
          <w:sz w:val="24"/>
          <w:szCs w:val="24"/>
          <w:lang w:val="en-GB"/>
        </w:rPr>
        <w:t xml:space="preserve"> the highest rate </w:t>
      </w:r>
      <w:r w:rsidR="00C41A20" w:rsidRPr="001339DB">
        <w:rPr>
          <w:rFonts w:ascii="Book Antiqua" w:hAnsi="Book Antiqua"/>
          <w:sz w:val="24"/>
          <w:szCs w:val="24"/>
          <w:lang w:val="en-GB"/>
        </w:rPr>
        <w:t>o</w:t>
      </w:r>
      <w:r w:rsidR="003832D5" w:rsidRPr="001339DB">
        <w:rPr>
          <w:rFonts w:ascii="Book Antiqua" w:hAnsi="Book Antiqua"/>
          <w:sz w:val="24"/>
          <w:szCs w:val="24"/>
          <w:lang w:val="en-GB"/>
        </w:rPr>
        <w:t xml:space="preserve">f true positives </w:t>
      </w:r>
      <w:r w:rsidR="00F40F26" w:rsidRPr="001339DB">
        <w:rPr>
          <w:rFonts w:ascii="Book Antiqua" w:hAnsi="Book Antiqua"/>
          <w:sz w:val="24"/>
          <w:szCs w:val="24"/>
          <w:lang w:val="en-GB"/>
        </w:rPr>
        <w:t>detected (18.1%)</w:t>
      </w:r>
      <w:r w:rsidR="00157AB0" w:rsidRPr="001339DB">
        <w:rPr>
          <w:rFonts w:ascii="Book Antiqua" w:hAnsi="Book Antiqua"/>
          <w:sz w:val="24"/>
          <w:szCs w:val="24"/>
          <w:lang w:val="en-GB"/>
        </w:rPr>
        <w:t>,</w:t>
      </w:r>
      <w:r w:rsidR="00F40F26" w:rsidRPr="001339DB">
        <w:rPr>
          <w:rFonts w:ascii="Book Antiqua" w:hAnsi="Book Antiqua"/>
          <w:sz w:val="24"/>
          <w:szCs w:val="24"/>
          <w:lang w:val="en-GB"/>
        </w:rPr>
        <w:t xml:space="preserve"> </w:t>
      </w:r>
      <w:r w:rsidR="003832D5" w:rsidRPr="001339DB">
        <w:rPr>
          <w:rFonts w:ascii="Book Antiqua" w:hAnsi="Book Antiqua"/>
          <w:sz w:val="24"/>
          <w:szCs w:val="24"/>
          <w:lang w:val="en-GB"/>
        </w:rPr>
        <w:t>and</w:t>
      </w:r>
      <w:r w:rsidR="00F40F26" w:rsidRPr="001339DB">
        <w:rPr>
          <w:rFonts w:ascii="Book Antiqua" w:hAnsi="Book Antiqua"/>
          <w:sz w:val="24"/>
          <w:szCs w:val="24"/>
          <w:lang w:val="en-GB"/>
        </w:rPr>
        <w:t xml:space="preserve"> biopsy ha</w:t>
      </w:r>
      <w:r w:rsidR="001276BF" w:rsidRPr="001339DB">
        <w:rPr>
          <w:rFonts w:ascii="Book Antiqua" w:hAnsi="Book Antiqua"/>
          <w:sz w:val="24"/>
          <w:szCs w:val="24"/>
          <w:lang w:val="en-GB"/>
        </w:rPr>
        <w:t>d</w:t>
      </w:r>
      <w:r w:rsidR="00F40F26" w:rsidRPr="001339DB">
        <w:rPr>
          <w:rFonts w:ascii="Book Antiqua" w:hAnsi="Book Antiqua"/>
          <w:sz w:val="24"/>
          <w:szCs w:val="24"/>
          <w:lang w:val="en-GB"/>
        </w:rPr>
        <w:t xml:space="preserve"> the highest r</w:t>
      </w:r>
      <w:r w:rsidR="00C41A20" w:rsidRPr="001339DB">
        <w:rPr>
          <w:rFonts w:ascii="Book Antiqua" w:hAnsi="Book Antiqua"/>
          <w:sz w:val="24"/>
          <w:szCs w:val="24"/>
          <w:lang w:val="en-GB"/>
        </w:rPr>
        <w:t>ate of true negatives (71.9%).</w:t>
      </w:r>
    </w:p>
    <w:p w:rsidR="00A435BF" w:rsidRPr="001339DB" w:rsidRDefault="00A435BF" w:rsidP="00CA3B86">
      <w:pPr>
        <w:adjustRightInd w:val="0"/>
        <w:snapToGrid w:val="0"/>
        <w:spacing w:after="0" w:line="360" w:lineRule="auto"/>
        <w:ind w:firstLineChars="100" w:firstLine="240"/>
        <w:jc w:val="both"/>
        <w:rPr>
          <w:rFonts w:ascii="Book Antiqua" w:hAnsi="Book Antiqua"/>
          <w:sz w:val="24"/>
          <w:szCs w:val="24"/>
          <w:lang w:val="en-GB"/>
        </w:rPr>
      </w:pPr>
      <w:r w:rsidRPr="001339DB">
        <w:rPr>
          <w:rFonts w:ascii="Book Antiqua" w:hAnsi="Book Antiqua"/>
          <w:sz w:val="24"/>
          <w:szCs w:val="24"/>
          <w:lang w:val="en-GB"/>
        </w:rPr>
        <w:t>All testing options resulted in a substantial reduction in the number of events compared with the no</w:t>
      </w:r>
      <w:r w:rsidR="00157AB0" w:rsidRPr="001339DB">
        <w:rPr>
          <w:rFonts w:ascii="Book Antiqua" w:hAnsi="Book Antiqua"/>
          <w:sz w:val="24"/>
          <w:szCs w:val="24"/>
          <w:lang w:val="en-GB"/>
        </w:rPr>
        <w:t>-</w:t>
      </w:r>
      <w:r w:rsidR="00FD0E76" w:rsidRPr="001339DB">
        <w:rPr>
          <w:rFonts w:ascii="Book Antiqua" w:hAnsi="Book Antiqua"/>
          <w:sz w:val="24"/>
          <w:szCs w:val="24"/>
          <w:lang w:val="en-GB"/>
        </w:rPr>
        <w:t>testing</w:t>
      </w:r>
      <w:r w:rsidRPr="001339DB">
        <w:rPr>
          <w:rFonts w:ascii="Book Antiqua" w:hAnsi="Book Antiqua"/>
          <w:sz w:val="24"/>
          <w:szCs w:val="24"/>
          <w:lang w:val="en-GB"/>
        </w:rPr>
        <w:t xml:space="preserve"> </w:t>
      </w:r>
      <w:r w:rsidR="00FD0E76" w:rsidRPr="001339DB">
        <w:rPr>
          <w:rFonts w:ascii="Book Antiqua" w:hAnsi="Book Antiqua"/>
          <w:sz w:val="24"/>
          <w:szCs w:val="24"/>
          <w:lang w:val="en-GB"/>
        </w:rPr>
        <w:t>option</w:t>
      </w:r>
      <w:r w:rsidRPr="001339DB">
        <w:rPr>
          <w:rFonts w:ascii="Book Antiqua" w:hAnsi="Book Antiqua"/>
          <w:sz w:val="24"/>
          <w:szCs w:val="24"/>
          <w:lang w:val="en-GB"/>
        </w:rPr>
        <w:t xml:space="preserve">. </w:t>
      </w:r>
      <w:r w:rsidR="00FD0E76" w:rsidRPr="001339DB">
        <w:rPr>
          <w:rFonts w:ascii="Book Antiqua" w:hAnsi="Book Antiqua"/>
          <w:sz w:val="24"/>
          <w:szCs w:val="24"/>
          <w:lang w:val="en-GB"/>
        </w:rPr>
        <w:t>In particular, s</w:t>
      </w:r>
      <w:r w:rsidRPr="001339DB">
        <w:rPr>
          <w:rFonts w:ascii="Book Antiqua" w:hAnsi="Book Antiqua"/>
          <w:sz w:val="24"/>
          <w:szCs w:val="24"/>
          <w:lang w:val="en-GB"/>
        </w:rPr>
        <w:t>equential ELF</w:t>
      </w:r>
      <w:r w:rsidR="00F53A38" w:rsidRPr="001339DB">
        <w:rPr>
          <w:rFonts w:ascii="Book Antiqua" w:hAnsi="Book Antiqua"/>
          <w:sz w:val="24"/>
          <w:szCs w:val="24"/>
          <w:lang w:val="en-GB"/>
        </w:rPr>
        <w:t xml:space="preserve"> test</w:t>
      </w:r>
      <w:r w:rsidRPr="001339DB">
        <w:rPr>
          <w:rFonts w:ascii="Book Antiqua" w:hAnsi="Book Antiqua"/>
          <w:sz w:val="24"/>
          <w:szCs w:val="24"/>
          <w:lang w:val="en-GB"/>
        </w:rPr>
        <w:t>/</w:t>
      </w:r>
      <w:r w:rsidR="003E32E4" w:rsidRPr="001339DB">
        <w:rPr>
          <w:rFonts w:ascii="Book Antiqua" w:hAnsi="Book Antiqua"/>
          <w:sz w:val="24"/>
          <w:szCs w:val="24"/>
          <w:lang w:val="en-GB"/>
        </w:rPr>
        <w:t>LSM</w:t>
      </w:r>
      <w:r w:rsidRPr="001339DB">
        <w:rPr>
          <w:rFonts w:ascii="Book Antiqua" w:hAnsi="Book Antiqua"/>
          <w:sz w:val="24"/>
          <w:szCs w:val="24"/>
          <w:lang w:val="en-GB"/>
        </w:rPr>
        <w:t xml:space="preserve"> </w:t>
      </w:r>
      <w:r w:rsidR="00FD0E76" w:rsidRPr="001339DB">
        <w:rPr>
          <w:rFonts w:ascii="Book Antiqua" w:hAnsi="Book Antiqua"/>
          <w:sz w:val="24"/>
          <w:szCs w:val="24"/>
          <w:lang w:val="en-GB"/>
        </w:rPr>
        <w:t>and</w:t>
      </w:r>
      <w:r w:rsidRPr="001339DB">
        <w:rPr>
          <w:rFonts w:ascii="Book Antiqua" w:hAnsi="Book Antiqua"/>
          <w:sz w:val="24"/>
          <w:szCs w:val="24"/>
          <w:lang w:val="en-GB"/>
        </w:rPr>
        <w:t xml:space="preserve"> ELF </w:t>
      </w:r>
      <w:r w:rsidR="00F53A38" w:rsidRPr="001339DB">
        <w:rPr>
          <w:rFonts w:ascii="Book Antiqua" w:hAnsi="Book Antiqua"/>
          <w:sz w:val="24"/>
          <w:szCs w:val="24"/>
          <w:lang w:val="en-GB"/>
        </w:rPr>
        <w:t xml:space="preserve">test </w:t>
      </w:r>
      <w:r w:rsidRPr="001339DB">
        <w:rPr>
          <w:rFonts w:ascii="Book Antiqua" w:hAnsi="Book Antiqua"/>
          <w:sz w:val="24"/>
          <w:szCs w:val="24"/>
          <w:lang w:val="en-GB"/>
        </w:rPr>
        <w:t xml:space="preserve">alone reduced the frequency </w:t>
      </w:r>
      <w:r w:rsidR="009448D7" w:rsidRPr="001339DB">
        <w:rPr>
          <w:rFonts w:ascii="Book Antiqua" w:hAnsi="Book Antiqua"/>
          <w:sz w:val="24"/>
          <w:szCs w:val="24"/>
          <w:lang w:val="en-GB"/>
        </w:rPr>
        <w:t>of new cases of cirrhosis to 0.9% and 0.2%</w:t>
      </w:r>
      <w:r w:rsidR="00157AB0" w:rsidRPr="001339DB">
        <w:rPr>
          <w:rFonts w:ascii="Book Antiqua" w:hAnsi="Book Antiqua"/>
          <w:sz w:val="24"/>
          <w:szCs w:val="24"/>
          <w:lang w:val="en-GB"/>
        </w:rPr>
        <w:t>,</w:t>
      </w:r>
      <w:r w:rsidR="009448D7" w:rsidRPr="001339DB">
        <w:rPr>
          <w:rFonts w:ascii="Book Antiqua" w:hAnsi="Book Antiqua"/>
          <w:sz w:val="24"/>
          <w:szCs w:val="24"/>
          <w:lang w:val="en-GB"/>
        </w:rPr>
        <w:t xml:space="preserve"> respectively</w:t>
      </w:r>
      <w:r w:rsidRPr="001339DB">
        <w:rPr>
          <w:rFonts w:ascii="Book Antiqua" w:hAnsi="Book Antiqua"/>
          <w:sz w:val="24"/>
          <w:szCs w:val="24"/>
          <w:lang w:val="en-GB"/>
        </w:rPr>
        <w:t xml:space="preserve">. </w:t>
      </w:r>
      <w:r w:rsidR="009448D7" w:rsidRPr="001339DB">
        <w:rPr>
          <w:rFonts w:ascii="Book Antiqua" w:hAnsi="Book Antiqua"/>
          <w:sz w:val="24"/>
          <w:szCs w:val="24"/>
          <w:lang w:val="en-GB"/>
        </w:rPr>
        <w:t>Similarly, l</w:t>
      </w:r>
      <w:r w:rsidRPr="001339DB">
        <w:rPr>
          <w:rFonts w:ascii="Book Antiqua" w:hAnsi="Book Antiqua"/>
          <w:sz w:val="24"/>
          <w:szCs w:val="24"/>
          <w:lang w:val="en-GB"/>
        </w:rPr>
        <w:t>iver fibrosis</w:t>
      </w:r>
      <w:r w:rsidR="00157AB0" w:rsidRPr="001339DB">
        <w:rPr>
          <w:rFonts w:ascii="Book Antiqua" w:hAnsi="Book Antiqua"/>
          <w:sz w:val="24"/>
          <w:szCs w:val="24"/>
          <w:lang w:val="en-GB"/>
        </w:rPr>
        <w:t>–</w:t>
      </w:r>
      <w:r w:rsidRPr="001339DB">
        <w:rPr>
          <w:rFonts w:ascii="Book Antiqua" w:hAnsi="Book Antiqua"/>
          <w:sz w:val="24"/>
          <w:szCs w:val="24"/>
          <w:lang w:val="en-GB"/>
        </w:rPr>
        <w:t>related death was 47.9</w:t>
      </w:r>
      <w:r w:rsidR="00460691" w:rsidRPr="001339DB">
        <w:rPr>
          <w:rFonts w:ascii="Book Antiqua" w:hAnsi="Book Antiqua"/>
          <w:sz w:val="24"/>
          <w:szCs w:val="24"/>
          <w:lang w:val="en-GB"/>
        </w:rPr>
        <w:t>%, 13.5%, 0.6%</w:t>
      </w:r>
      <w:r w:rsidR="00157AB0" w:rsidRPr="001339DB">
        <w:rPr>
          <w:rFonts w:ascii="Book Antiqua" w:hAnsi="Book Antiqua"/>
          <w:sz w:val="24"/>
          <w:szCs w:val="24"/>
          <w:lang w:val="en-GB"/>
        </w:rPr>
        <w:t>,</w:t>
      </w:r>
      <w:r w:rsidR="00460691" w:rsidRPr="001339DB">
        <w:rPr>
          <w:rFonts w:ascii="Book Antiqua" w:hAnsi="Book Antiqua"/>
          <w:sz w:val="24"/>
          <w:szCs w:val="24"/>
          <w:lang w:val="en-GB"/>
        </w:rPr>
        <w:t xml:space="preserve"> and 0.</w:t>
      </w:r>
      <w:r w:rsidR="006A44EE" w:rsidRPr="001339DB">
        <w:rPr>
          <w:rFonts w:ascii="Book Antiqua" w:hAnsi="Book Antiqua"/>
          <w:sz w:val="24"/>
          <w:szCs w:val="24"/>
          <w:lang w:val="en-GB"/>
        </w:rPr>
        <w:t>2</w:t>
      </w:r>
      <w:r w:rsidR="00460691" w:rsidRPr="001339DB">
        <w:rPr>
          <w:rFonts w:ascii="Book Antiqua" w:hAnsi="Book Antiqua"/>
          <w:sz w:val="24"/>
          <w:szCs w:val="24"/>
          <w:lang w:val="en-GB"/>
        </w:rPr>
        <w:t>% under the no</w:t>
      </w:r>
      <w:r w:rsidR="00157AB0" w:rsidRPr="001339DB">
        <w:rPr>
          <w:rFonts w:ascii="Book Antiqua" w:hAnsi="Book Antiqua"/>
          <w:sz w:val="24"/>
          <w:szCs w:val="24"/>
          <w:lang w:val="en-GB"/>
        </w:rPr>
        <w:t>-</w:t>
      </w:r>
      <w:r w:rsidR="00FD0E76" w:rsidRPr="001339DB">
        <w:rPr>
          <w:rFonts w:ascii="Book Antiqua" w:hAnsi="Book Antiqua"/>
          <w:sz w:val="24"/>
          <w:szCs w:val="24"/>
          <w:lang w:val="en-GB"/>
        </w:rPr>
        <w:t>testing</w:t>
      </w:r>
      <w:r w:rsidR="00460691" w:rsidRPr="001339DB">
        <w:rPr>
          <w:rFonts w:ascii="Book Antiqua" w:hAnsi="Book Antiqua"/>
          <w:sz w:val="24"/>
          <w:szCs w:val="24"/>
          <w:lang w:val="en-GB"/>
        </w:rPr>
        <w:t>, biopsy, sequential ELF</w:t>
      </w:r>
      <w:r w:rsidR="00F53A38" w:rsidRPr="001339DB">
        <w:rPr>
          <w:rFonts w:ascii="Book Antiqua" w:hAnsi="Book Antiqua"/>
          <w:sz w:val="24"/>
          <w:szCs w:val="24"/>
          <w:lang w:val="en-GB"/>
        </w:rPr>
        <w:t xml:space="preserve"> test</w:t>
      </w:r>
      <w:r w:rsidR="00460691" w:rsidRPr="001339DB">
        <w:rPr>
          <w:rFonts w:ascii="Book Antiqua" w:hAnsi="Book Antiqua"/>
          <w:sz w:val="24"/>
          <w:szCs w:val="24"/>
          <w:lang w:val="en-GB"/>
        </w:rPr>
        <w:t>/</w:t>
      </w:r>
      <w:r w:rsidR="003E32E4" w:rsidRPr="001339DB">
        <w:rPr>
          <w:rFonts w:ascii="Book Antiqua" w:hAnsi="Book Antiqua"/>
          <w:sz w:val="24"/>
          <w:szCs w:val="24"/>
          <w:lang w:val="en-GB"/>
        </w:rPr>
        <w:t>LSM</w:t>
      </w:r>
      <w:r w:rsidR="00157AB0" w:rsidRPr="001339DB">
        <w:rPr>
          <w:rFonts w:ascii="Book Antiqua" w:hAnsi="Book Antiqua"/>
          <w:sz w:val="24"/>
          <w:szCs w:val="24"/>
          <w:lang w:val="en-GB"/>
        </w:rPr>
        <w:t>,</w:t>
      </w:r>
      <w:r w:rsidR="00460691" w:rsidRPr="001339DB">
        <w:rPr>
          <w:rFonts w:ascii="Book Antiqua" w:hAnsi="Book Antiqua"/>
          <w:sz w:val="24"/>
          <w:szCs w:val="24"/>
          <w:lang w:val="en-GB"/>
        </w:rPr>
        <w:t xml:space="preserve"> and ELF </w:t>
      </w:r>
      <w:r w:rsidR="00F53A38" w:rsidRPr="001339DB">
        <w:rPr>
          <w:rFonts w:ascii="Book Antiqua" w:hAnsi="Book Antiqua"/>
          <w:sz w:val="24"/>
          <w:szCs w:val="24"/>
          <w:lang w:val="en-GB"/>
        </w:rPr>
        <w:t xml:space="preserve">test </w:t>
      </w:r>
      <w:r w:rsidR="00460691" w:rsidRPr="001339DB">
        <w:rPr>
          <w:rFonts w:ascii="Book Antiqua" w:hAnsi="Book Antiqua"/>
          <w:sz w:val="24"/>
          <w:szCs w:val="24"/>
          <w:lang w:val="en-GB"/>
        </w:rPr>
        <w:t>alone options, respectively.</w:t>
      </w:r>
    </w:p>
    <w:p w:rsidR="00CA3B86" w:rsidRDefault="006A44EE" w:rsidP="00CA3B86">
      <w:pPr>
        <w:adjustRightInd w:val="0"/>
        <w:snapToGrid w:val="0"/>
        <w:spacing w:after="0" w:line="360" w:lineRule="auto"/>
        <w:ind w:firstLineChars="100" w:firstLine="240"/>
        <w:jc w:val="both"/>
        <w:rPr>
          <w:rFonts w:ascii="Book Antiqua" w:hAnsi="Book Antiqua"/>
          <w:sz w:val="24"/>
          <w:szCs w:val="24"/>
          <w:lang w:val="en-GB" w:eastAsia="zh-CN"/>
        </w:rPr>
      </w:pPr>
      <w:r w:rsidRPr="001339DB">
        <w:rPr>
          <w:rFonts w:ascii="Book Antiqua" w:hAnsi="Book Antiqua"/>
          <w:sz w:val="24"/>
          <w:szCs w:val="24"/>
          <w:lang w:val="en-GB"/>
        </w:rPr>
        <w:t xml:space="preserve">ELF </w:t>
      </w:r>
      <w:r w:rsidR="00F53A38" w:rsidRPr="001339DB">
        <w:rPr>
          <w:rFonts w:ascii="Book Antiqua" w:hAnsi="Book Antiqua"/>
          <w:sz w:val="24"/>
          <w:szCs w:val="24"/>
          <w:lang w:val="en-GB"/>
        </w:rPr>
        <w:t xml:space="preserve">test </w:t>
      </w:r>
      <w:r w:rsidRPr="001339DB">
        <w:rPr>
          <w:rFonts w:ascii="Book Antiqua" w:hAnsi="Book Antiqua"/>
          <w:sz w:val="24"/>
          <w:szCs w:val="24"/>
          <w:lang w:val="en-GB"/>
        </w:rPr>
        <w:t xml:space="preserve">alone </w:t>
      </w:r>
      <w:r w:rsidR="00F30379" w:rsidRPr="001339DB">
        <w:rPr>
          <w:rFonts w:ascii="Book Antiqua" w:hAnsi="Book Antiqua"/>
          <w:sz w:val="24"/>
          <w:szCs w:val="24"/>
          <w:lang w:val="en-GB"/>
        </w:rPr>
        <w:t>wa</w:t>
      </w:r>
      <w:r w:rsidRPr="001339DB">
        <w:rPr>
          <w:rFonts w:ascii="Book Antiqua" w:hAnsi="Book Antiqua"/>
          <w:sz w:val="24"/>
          <w:szCs w:val="24"/>
          <w:lang w:val="en-GB"/>
        </w:rPr>
        <w:t>s the most effective strategy (16.75 QALYs) and it ha</w:t>
      </w:r>
      <w:r w:rsidR="00F30379" w:rsidRPr="001339DB">
        <w:rPr>
          <w:rFonts w:ascii="Book Antiqua" w:hAnsi="Book Antiqua"/>
          <w:sz w:val="24"/>
          <w:szCs w:val="24"/>
          <w:lang w:val="en-GB"/>
        </w:rPr>
        <w:t>d</w:t>
      </w:r>
      <w:r w:rsidRPr="001339DB">
        <w:rPr>
          <w:rFonts w:ascii="Book Antiqua" w:hAnsi="Book Antiqua"/>
          <w:sz w:val="24"/>
          <w:szCs w:val="24"/>
          <w:lang w:val="en-GB"/>
        </w:rPr>
        <w:t xml:space="preserve"> the highest </w:t>
      </w:r>
      <w:r w:rsidR="009448D7" w:rsidRPr="001339DB">
        <w:rPr>
          <w:rFonts w:ascii="Book Antiqua" w:hAnsi="Book Antiqua"/>
          <w:sz w:val="24"/>
          <w:szCs w:val="24"/>
          <w:lang w:val="en-GB"/>
        </w:rPr>
        <w:t xml:space="preserve">associated </w:t>
      </w:r>
      <w:r w:rsidRPr="001339DB">
        <w:rPr>
          <w:rFonts w:ascii="Book Antiqua" w:hAnsi="Book Antiqua"/>
          <w:sz w:val="24"/>
          <w:szCs w:val="24"/>
          <w:lang w:val="en-GB"/>
        </w:rPr>
        <w:t>cost (</w:t>
      </w:r>
      <w:r w:rsidR="009448D7" w:rsidRPr="001339DB">
        <w:rPr>
          <w:rFonts w:ascii="Book Antiqua" w:hAnsi="Book Antiqua"/>
          <w:sz w:val="24"/>
          <w:szCs w:val="24"/>
          <w:lang w:val="en-GB"/>
        </w:rPr>
        <w:t>60443€ per patient)</w:t>
      </w:r>
      <w:r w:rsidR="00DC6911" w:rsidRPr="001339DB">
        <w:rPr>
          <w:rFonts w:ascii="Book Antiqua" w:hAnsi="Book Antiqua"/>
          <w:sz w:val="24"/>
          <w:szCs w:val="24"/>
          <w:lang w:val="en-GB"/>
        </w:rPr>
        <w:t>.</w:t>
      </w:r>
      <w:r w:rsidR="009448D7" w:rsidRPr="001339DB">
        <w:rPr>
          <w:rFonts w:ascii="Book Antiqua" w:hAnsi="Book Antiqua"/>
          <w:sz w:val="24"/>
          <w:szCs w:val="24"/>
          <w:lang w:val="en-GB"/>
        </w:rPr>
        <w:t xml:space="preserve"> </w:t>
      </w:r>
      <w:r w:rsidR="00452C80" w:rsidRPr="001339DB">
        <w:rPr>
          <w:rFonts w:ascii="Book Antiqua" w:hAnsi="Book Antiqua"/>
          <w:sz w:val="24"/>
          <w:szCs w:val="24"/>
          <w:lang w:val="en-GB"/>
        </w:rPr>
        <w:t xml:space="preserve">The ICERs for </w:t>
      </w:r>
      <w:r w:rsidR="009448D7" w:rsidRPr="001339DB">
        <w:rPr>
          <w:rFonts w:ascii="Book Antiqua" w:hAnsi="Book Antiqua"/>
          <w:sz w:val="24"/>
          <w:szCs w:val="24"/>
          <w:lang w:val="en-GB"/>
        </w:rPr>
        <w:t>ELF</w:t>
      </w:r>
      <w:r w:rsidR="00F53A38" w:rsidRPr="001339DB">
        <w:rPr>
          <w:rFonts w:ascii="Book Antiqua" w:hAnsi="Book Antiqua"/>
          <w:sz w:val="24"/>
          <w:szCs w:val="24"/>
          <w:lang w:val="en-GB"/>
        </w:rPr>
        <w:t xml:space="preserve"> test</w:t>
      </w:r>
      <w:r w:rsidR="009448D7" w:rsidRPr="001339DB">
        <w:rPr>
          <w:rFonts w:ascii="Book Antiqua" w:hAnsi="Book Antiqua"/>
          <w:sz w:val="24"/>
          <w:szCs w:val="24"/>
          <w:lang w:val="en-GB"/>
        </w:rPr>
        <w:t>/</w:t>
      </w:r>
      <w:r w:rsidR="003E32E4" w:rsidRPr="001339DB">
        <w:rPr>
          <w:rFonts w:ascii="Book Antiqua" w:hAnsi="Book Antiqua"/>
          <w:sz w:val="24"/>
          <w:szCs w:val="24"/>
          <w:lang w:val="en-GB"/>
        </w:rPr>
        <w:t>LSM</w:t>
      </w:r>
      <w:r w:rsidR="009448D7" w:rsidRPr="001339DB">
        <w:rPr>
          <w:rFonts w:ascii="Book Antiqua" w:hAnsi="Book Antiqua"/>
          <w:sz w:val="24"/>
          <w:szCs w:val="24"/>
          <w:lang w:val="en-GB"/>
        </w:rPr>
        <w:t xml:space="preserve"> and ELF </w:t>
      </w:r>
      <w:r w:rsidR="00F53A38" w:rsidRPr="001339DB">
        <w:rPr>
          <w:rFonts w:ascii="Book Antiqua" w:hAnsi="Book Antiqua"/>
          <w:sz w:val="24"/>
          <w:szCs w:val="24"/>
          <w:lang w:val="en-GB"/>
        </w:rPr>
        <w:t xml:space="preserve">test </w:t>
      </w:r>
      <w:r w:rsidR="009448D7" w:rsidRPr="001339DB">
        <w:rPr>
          <w:rFonts w:ascii="Book Antiqua" w:hAnsi="Book Antiqua"/>
          <w:sz w:val="24"/>
          <w:szCs w:val="24"/>
          <w:lang w:val="en-GB"/>
        </w:rPr>
        <w:t xml:space="preserve">alone </w:t>
      </w:r>
      <w:r w:rsidR="00B40CB3" w:rsidRPr="001339DB">
        <w:rPr>
          <w:rFonts w:ascii="Book Antiqua" w:hAnsi="Book Antiqua"/>
          <w:sz w:val="24"/>
          <w:szCs w:val="24"/>
          <w:lang w:val="en-GB"/>
        </w:rPr>
        <w:t>were</w:t>
      </w:r>
      <w:r w:rsidR="009448D7" w:rsidRPr="001339DB">
        <w:rPr>
          <w:rFonts w:ascii="Book Antiqua" w:hAnsi="Book Antiqua"/>
          <w:sz w:val="24"/>
          <w:szCs w:val="24"/>
          <w:lang w:val="en-GB"/>
        </w:rPr>
        <w:t xml:space="preserve"> </w:t>
      </w:r>
      <w:r w:rsidR="002F7E65" w:rsidRPr="001339DB">
        <w:rPr>
          <w:rFonts w:ascii="Book Antiqua" w:hAnsi="Book Antiqua"/>
          <w:sz w:val="24"/>
          <w:szCs w:val="24"/>
          <w:lang w:val="en-GB"/>
        </w:rPr>
        <w:t>13438</w:t>
      </w:r>
      <w:r w:rsidR="00B40CB3" w:rsidRPr="001339DB">
        <w:rPr>
          <w:rFonts w:ascii="Book Antiqua" w:hAnsi="Book Antiqua"/>
          <w:sz w:val="24"/>
          <w:szCs w:val="24"/>
          <w:lang w:val="en-GB"/>
        </w:rPr>
        <w:t>€</w:t>
      </w:r>
      <w:r w:rsidR="002F7E65" w:rsidRPr="001339DB">
        <w:rPr>
          <w:rFonts w:ascii="Book Antiqua" w:hAnsi="Book Antiqua"/>
          <w:sz w:val="24"/>
          <w:szCs w:val="24"/>
          <w:lang w:val="en-GB"/>
        </w:rPr>
        <w:t xml:space="preserve"> and 11</w:t>
      </w:r>
      <w:r w:rsidR="00B40CB3" w:rsidRPr="001339DB">
        <w:rPr>
          <w:rFonts w:ascii="Book Antiqua" w:hAnsi="Book Antiqua"/>
          <w:sz w:val="24"/>
          <w:szCs w:val="24"/>
          <w:lang w:val="en-GB"/>
        </w:rPr>
        <w:t>484€</w:t>
      </w:r>
      <w:r w:rsidR="002F7E65" w:rsidRPr="001339DB">
        <w:rPr>
          <w:rFonts w:ascii="Book Antiqua" w:hAnsi="Book Antiqua"/>
          <w:sz w:val="24"/>
          <w:szCs w:val="24"/>
          <w:lang w:val="en-GB"/>
        </w:rPr>
        <w:t xml:space="preserve"> </w:t>
      </w:r>
      <w:r w:rsidR="009448D7" w:rsidRPr="001339DB">
        <w:rPr>
          <w:rFonts w:ascii="Book Antiqua" w:hAnsi="Book Antiqua"/>
          <w:sz w:val="24"/>
          <w:szCs w:val="24"/>
          <w:lang w:val="en-GB"/>
        </w:rPr>
        <w:t>per QALY</w:t>
      </w:r>
      <w:r w:rsidR="002F7E65" w:rsidRPr="001339DB">
        <w:rPr>
          <w:rFonts w:ascii="Book Antiqua" w:hAnsi="Book Antiqua"/>
          <w:sz w:val="24"/>
          <w:szCs w:val="24"/>
          <w:lang w:val="en-GB"/>
        </w:rPr>
        <w:t>, respectively</w:t>
      </w:r>
      <w:r w:rsidR="009448D7" w:rsidRPr="001339DB">
        <w:rPr>
          <w:rFonts w:ascii="Book Antiqua" w:hAnsi="Book Antiqua"/>
          <w:sz w:val="24"/>
          <w:szCs w:val="24"/>
          <w:lang w:val="en-GB"/>
        </w:rPr>
        <w:t>.</w:t>
      </w:r>
    </w:p>
    <w:p w:rsidR="00CA3B86" w:rsidRDefault="00CA3B86" w:rsidP="00CA3B86">
      <w:pPr>
        <w:adjustRightInd w:val="0"/>
        <w:snapToGrid w:val="0"/>
        <w:spacing w:after="0" w:line="360" w:lineRule="auto"/>
        <w:jc w:val="both"/>
        <w:rPr>
          <w:rFonts w:ascii="Book Antiqua" w:hAnsi="Book Antiqua"/>
          <w:sz w:val="24"/>
          <w:szCs w:val="24"/>
          <w:lang w:val="en-GB" w:eastAsia="zh-CN"/>
        </w:rPr>
      </w:pPr>
    </w:p>
    <w:p w:rsidR="007203F6" w:rsidRPr="00CA3B86" w:rsidRDefault="007203F6" w:rsidP="00CA3B86">
      <w:pPr>
        <w:adjustRightInd w:val="0"/>
        <w:snapToGrid w:val="0"/>
        <w:spacing w:after="0" w:line="360" w:lineRule="auto"/>
        <w:jc w:val="both"/>
        <w:rPr>
          <w:rFonts w:ascii="Book Antiqua" w:hAnsi="Book Antiqua"/>
          <w:b/>
          <w:sz w:val="24"/>
          <w:szCs w:val="24"/>
          <w:lang w:val="en-GB" w:eastAsia="zh-CN"/>
        </w:rPr>
      </w:pPr>
      <w:r w:rsidRPr="00CA3B86">
        <w:rPr>
          <w:rFonts w:ascii="Book Antiqua" w:hAnsi="Book Antiqua"/>
          <w:b/>
          <w:i/>
          <w:sz w:val="24"/>
          <w:szCs w:val="24"/>
          <w:lang w:val="en-GB"/>
        </w:rPr>
        <w:t>Base case results</w:t>
      </w:r>
      <w:r w:rsidR="00157AB0" w:rsidRPr="00CA3B86">
        <w:rPr>
          <w:rFonts w:ascii="Book Antiqua" w:hAnsi="Book Antiqua"/>
          <w:b/>
          <w:i/>
          <w:sz w:val="24"/>
          <w:szCs w:val="24"/>
          <w:lang w:val="en-GB"/>
        </w:rPr>
        <w:t>:</w:t>
      </w:r>
      <w:r w:rsidRPr="00CA3B86">
        <w:rPr>
          <w:rFonts w:ascii="Book Antiqua" w:hAnsi="Book Antiqua"/>
          <w:b/>
          <w:i/>
          <w:sz w:val="24"/>
          <w:szCs w:val="24"/>
          <w:lang w:val="en-GB"/>
        </w:rPr>
        <w:t xml:space="preserve"> ALD</w:t>
      </w:r>
    </w:p>
    <w:p w:rsidR="00FE7BC5" w:rsidRPr="001339DB" w:rsidRDefault="00B52DA1" w:rsidP="001339DB">
      <w:pPr>
        <w:adjustRightInd w:val="0"/>
        <w:snapToGrid w:val="0"/>
        <w:spacing w:after="0" w:line="360" w:lineRule="auto"/>
        <w:jc w:val="both"/>
        <w:rPr>
          <w:rFonts w:ascii="Book Antiqua" w:hAnsi="Book Antiqua"/>
          <w:sz w:val="24"/>
          <w:szCs w:val="24"/>
        </w:rPr>
      </w:pPr>
      <w:r w:rsidRPr="001339DB">
        <w:rPr>
          <w:rFonts w:ascii="Book Antiqua" w:hAnsi="Book Antiqua"/>
          <w:sz w:val="24"/>
          <w:szCs w:val="24"/>
          <w:lang w:val="en-GB"/>
        </w:rPr>
        <w:t xml:space="preserve">Results for ALD patients are presented in </w:t>
      </w:r>
      <w:r w:rsidR="00157AB0" w:rsidRPr="001339DB">
        <w:rPr>
          <w:rFonts w:ascii="Book Antiqua" w:hAnsi="Book Antiqua"/>
          <w:sz w:val="24"/>
          <w:szCs w:val="24"/>
          <w:lang w:val="en-GB"/>
        </w:rPr>
        <w:t>T</w:t>
      </w:r>
      <w:r w:rsidRPr="001339DB">
        <w:rPr>
          <w:rFonts w:ascii="Book Antiqua" w:hAnsi="Book Antiqua"/>
          <w:sz w:val="24"/>
          <w:szCs w:val="24"/>
          <w:lang w:val="en-GB"/>
        </w:rPr>
        <w:t xml:space="preserve">able </w:t>
      </w:r>
      <w:r w:rsidR="00231E26" w:rsidRPr="001339DB">
        <w:rPr>
          <w:rFonts w:ascii="Book Antiqua" w:hAnsi="Book Antiqua"/>
          <w:sz w:val="24"/>
          <w:szCs w:val="24"/>
          <w:lang w:val="en-GB"/>
        </w:rPr>
        <w:t>4</w:t>
      </w:r>
      <w:r w:rsidRPr="001339DB">
        <w:rPr>
          <w:rFonts w:ascii="Book Antiqua" w:hAnsi="Book Antiqua"/>
          <w:sz w:val="24"/>
          <w:szCs w:val="24"/>
          <w:lang w:val="en-GB"/>
        </w:rPr>
        <w:t xml:space="preserve">. </w:t>
      </w:r>
      <w:r w:rsidR="00E6189C" w:rsidRPr="001339DB">
        <w:rPr>
          <w:rFonts w:ascii="Book Antiqua" w:hAnsi="Book Antiqua"/>
          <w:sz w:val="24"/>
          <w:szCs w:val="24"/>
        </w:rPr>
        <w:t xml:space="preserve">As in the HCV case, biopsy and ELF </w:t>
      </w:r>
      <w:r w:rsidR="00167322" w:rsidRPr="001339DB">
        <w:rPr>
          <w:rFonts w:ascii="Book Antiqua" w:hAnsi="Book Antiqua"/>
          <w:sz w:val="24"/>
          <w:szCs w:val="24"/>
        </w:rPr>
        <w:t xml:space="preserve">test </w:t>
      </w:r>
      <w:r w:rsidR="00731A99" w:rsidRPr="001339DB">
        <w:rPr>
          <w:rFonts w:ascii="Book Antiqua" w:hAnsi="Book Antiqua"/>
          <w:sz w:val="24"/>
          <w:szCs w:val="24"/>
        </w:rPr>
        <w:t xml:space="preserve">alone </w:t>
      </w:r>
      <w:r w:rsidR="00D81CB2" w:rsidRPr="001339DB">
        <w:rPr>
          <w:rFonts w:ascii="Book Antiqua" w:hAnsi="Book Antiqua"/>
          <w:sz w:val="24"/>
          <w:szCs w:val="24"/>
        </w:rPr>
        <w:t>produced</w:t>
      </w:r>
      <w:r w:rsidR="00E6189C" w:rsidRPr="001339DB">
        <w:rPr>
          <w:rFonts w:ascii="Book Antiqua" w:hAnsi="Book Antiqua"/>
          <w:sz w:val="24"/>
          <w:szCs w:val="24"/>
        </w:rPr>
        <w:t xml:space="preserve"> the highest </w:t>
      </w:r>
      <w:r w:rsidR="00D81CB2" w:rsidRPr="001339DB">
        <w:rPr>
          <w:rFonts w:ascii="Book Antiqua" w:hAnsi="Book Antiqua"/>
          <w:sz w:val="24"/>
          <w:szCs w:val="24"/>
        </w:rPr>
        <w:t>rate</w:t>
      </w:r>
      <w:r w:rsidR="00E6189C" w:rsidRPr="001339DB">
        <w:rPr>
          <w:rFonts w:ascii="Book Antiqua" w:hAnsi="Book Antiqua"/>
          <w:sz w:val="24"/>
          <w:szCs w:val="24"/>
        </w:rPr>
        <w:t xml:space="preserve"> of true </w:t>
      </w:r>
      <w:r w:rsidR="00E6189C" w:rsidRPr="001339DB">
        <w:rPr>
          <w:rFonts w:ascii="Book Antiqua" w:hAnsi="Book Antiqua"/>
          <w:sz w:val="24"/>
          <w:szCs w:val="24"/>
          <w:lang w:val="en-GB"/>
        </w:rPr>
        <w:t>F</w:t>
      </w:r>
      <w:r w:rsidR="00CA3B86">
        <w:rPr>
          <w:rFonts w:ascii="Book Antiqua" w:hAnsi="Book Antiqua" w:hint="eastAsia"/>
          <w:sz w:val="24"/>
          <w:szCs w:val="24"/>
          <w:lang w:val="en-GB" w:eastAsia="zh-CN"/>
        </w:rPr>
        <w:t xml:space="preserve"> </w:t>
      </w:r>
      <w:r w:rsidR="00D546FD" w:rsidRPr="001339DB">
        <w:rPr>
          <w:rFonts w:ascii="Book Antiqua" w:hAnsi="Book Antiqua"/>
          <w:sz w:val="24"/>
          <w:szCs w:val="24"/>
          <w:lang w:val="en-GB"/>
        </w:rPr>
        <w:t>≥</w:t>
      </w:r>
      <w:r w:rsidR="00CA3B86">
        <w:rPr>
          <w:rFonts w:ascii="Book Antiqua" w:hAnsi="Book Antiqua" w:hint="eastAsia"/>
          <w:sz w:val="24"/>
          <w:szCs w:val="24"/>
          <w:lang w:val="en-GB" w:eastAsia="zh-CN"/>
        </w:rPr>
        <w:t xml:space="preserve"> </w:t>
      </w:r>
      <w:r w:rsidR="00E6189C" w:rsidRPr="001339DB">
        <w:rPr>
          <w:rFonts w:ascii="Book Antiqua" w:hAnsi="Book Antiqua"/>
          <w:sz w:val="24"/>
          <w:szCs w:val="24"/>
          <w:lang w:val="en-GB"/>
        </w:rPr>
        <w:t xml:space="preserve">2 </w:t>
      </w:r>
      <w:r w:rsidR="00D81CB2" w:rsidRPr="001339DB">
        <w:rPr>
          <w:rFonts w:ascii="Book Antiqua" w:hAnsi="Book Antiqua"/>
          <w:sz w:val="24"/>
          <w:szCs w:val="24"/>
          <w:lang w:val="en-GB"/>
        </w:rPr>
        <w:t>detected (47.7%)</w:t>
      </w:r>
      <w:r w:rsidR="00157AB0" w:rsidRPr="001339DB">
        <w:rPr>
          <w:rFonts w:ascii="Book Antiqua" w:hAnsi="Book Antiqua"/>
          <w:sz w:val="24"/>
          <w:szCs w:val="24"/>
          <w:lang w:val="en-GB"/>
        </w:rPr>
        <w:t>,</w:t>
      </w:r>
      <w:r w:rsidR="00D81CB2" w:rsidRPr="001339DB">
        <w:rPr>
          <w:rFonts w:ascii="Book Antiqua" w:hAnsi="Book Antiqua"/>
          <w:sz w:val="24"/>
          <w:szCs w:val="24"/>
          <w:lang w:val="en-GB"/>
        </w:rPr>
        <w:t xml:space="preserve"> while ELF</w:t>
      </w:r>
      <w:r w:rsidR="00167322" w:rsidRPr="001339DB">
        <w:rPr>
          <w:rFonts w:ascii="Book Antiqua" w:hAnsi="Book Antiqua"/>
          <w:sz w:val="24"/>
          <w:szCs w:val="24"/>
          <w:lang w:val="en-GB"/>
        </w:rPr>
        <w:t xml:space="preserve"> test</w:t>
      </w:r>
      <w:r w:rsidR="00D81CB2" w:rsidRPr="001339DB">
        <w:rPr>
          <w:rFonts w:ascii="Book Antiqua" w:hAnsi="Book Antiqua"/>
          <w:sz w:val="24"/>
          <w:szCs w:val="24"/>
          <w:lang w:val="en-GB"/>
        </w:rPr>
        <w:t>/</w:t>
      </w:r>
      <w:r w:rsidR="003E32E4" w:rsidRPr="001339DB">
        <w:rPr>
          <w:rFonts w:ascii="Book Antiqua" w:hAnsi="Book Antiqua"/>
          <w:sz w:val="24"/>
          <w:szCs w:val="24"/>
          <w:lang w:val="en-GB"/>
        </w:rPr>
        <w:t>LSM</w:t>
      </w:r>
      <w:r w:rsidR="00D81CB2" w:rsidRPr="001339DB">
        <w:rPr>
          <w:rFonts w:ascii="Book Antiqua" w:hAnsi="Book Antiqua"/>
          <w:sz w:val="24"/>
          <w:szCs w:val="24"/>
          <w:lang w:val="en-GB"/>
        </w:rPr>
        <w:t xml:space="preserve"> had the highest rate of true negatives (45.2%). </w:t>
      </w:r>
      <w:r w:rsidR="00443380" w:rsidRPr="001339DB">
        <w:rPr>
          <w:rFonts w:ascii="Book Antiqua" w:hAnsi="Book Antiqua"/>
          <w:sz w:val="24"/>
          <w:szCs w:val="24"/>
          <w:lang w:val="en-GB"/>
        </w:rPr>
        <w:t xml:space="preserve">In cirrhotic ALD patients, biopsy and ELF </w:t>
      </w:r>
      <w:r w:rsidR="00167322" w:rsidRPr="001339DB">
        <w:rPr>
          <w:rFonts w:ascii="Book Antiqua" w:hAnsi="Book Antiqua"/>
          <w:sz w:val="24"/>
          <w:szCs w:val="24"/>
          <w:lang w:val="en-GB"/>
        </w:rPr>
        <w:t xml:space="preserve">test </w:t>
      </w:r>
      <w:r w:rsidR="00443380" w:rsidRPr="001339DB">
        <w:rPr>
          <w:rFonts w:ascii="Book Antiqua" w:hAnsi="Book Antiqua"/>
          <w:sz w:val="24"/>
          <w:szCs w:val="24"/>
          <w:lang w:val="en-GB"/>
        </w:rPr>
        <w:t>delivered the highest rate of true positives (18.1%)</w:t>
      </w:r>
      <w:r w:rsidR="00157AB0" w:rsidRPr="001339DB">
        <w:rPr>
          <w:rFonts w:ascii="Book Antiqua" w:hAnsi="Book Antiqua"/>
          <w:sz w:val="24"/>
          <w:szCs w:val="24"/>
          <w:lang w:val="en-GB"/>
        </w:rPr>
        <w:t>,</w:t>
      </w:r>
      <w:r w:rsidR="00443380" w:rsidRPr="001339DB">
        <w:rPr>
          <w:rFonts w:ascii="Book Antiqua" w:hAnsi="Book Antiqua"/>
          <w:sz w:val="24"/>
          <w:szCs w:val="24"/>
          <w:lang w:val="en-GB"/>
        </w:rPr>
        <w:t xml:space="preserve"> while ELF</w:t>
      </w:r>
      <w:r w:rsidR="00167322" w:rsidRPr="001339DB">
        <w:rPr>
          <w:rFonts w:ascii="Book Antiqua" w:hAnsi="Book Antiqua"/>
          <w:sz w:val="24"/>
          <w:szCs w:val="24"/>
          <w:lang w:val="en-GB"/>
        </w:rPr>
        <w:t xml:space="preserve"> test</w:t>
      </w:r>
      <w:r w:rsidR="00443380" w:rsidRPr="001339DB">
        <w:rPr>
          <w:rFonts w:ascii="Book Antiqua" w:hAnsi="Book Antiqua"/>
          <w:sz w:val="24"/>
          <w:szCs w:val="24"/>
          <w:lang w:val="en-GB"/>
        </w:rPr>
        <w:t>/</w:t>
      </w:r>
      <w:r w:rsidR="003E32E4" w:rsidRPr="001339DB">
        <w:rPr>
          <w:rFonts w:ascii="Book Antiqua" w:hAnsi="Book Antiqua"/>
          <w:sz w:val="24"/>
          <w:szCs w:val="24"/>
          <w:lang w:val="en-GB"/>
        </w:rPr>
        <w:t>LSM</w:t>
      </w:r>
      <w:r w:rsidR="00443380" w:rsidRPr="001339DB">
        <w:rPr>
          <w:rFonts w:ascii="Book Antiqua" w:hAnsi="Book Antiqua"/>
          <w:sz w:val="24"/>
          <w:szCs w:val="24"/>
          <w:lang w:val="en-GB"/>
        </w:rPr>
        <w:t xml:space="preserve"> </w:t>
      </w:r>
      <w:r w:rsidR="00731A99" w:rsidRPr="001339DB">
        <w:rPr>
          <w:rFonts w:ascii="Book Antiqua" w:hAnsi="Book Antiqua"/>
          <w:sz w:val="24"/>
          <w:szCs w:val="24"/>
          <w:lang w:val="en-GB"/>
        </w:rPr>
        <w:t>generated</w:t>
      </w:r>
      <w:r w:rsidR="00443380" w:rsidRPr="001339DB">
        <w:rPr>
          <w:rFonts w:ascii="Book Antiqua" w:hAnsi="Book Antiqua"/>
          <w:sz w:val="24"/>
          <w:szCs w:val="24"/>
          <w:lang w:val="en-GB"/>
        </w:rPr>
        <w:t xml:space="preserve"> the highest rate of true negatives (73.5%).</w:t>
      </w:r>
      <w:r w:rsidR="00FE7BC5" w:rsidRPr="001339DB">
        <w:rPr>
          <w:rFonts w:ascii="Book Antiqua" w:hAnsi="Book Antiqua"/>
          <w:sz w:val="24"/>
          <w:szCs w:val="24"/>
        </w:rPr>
        <w:t xml:space="preserve"> </w:t>
      </w:r>
    </w:p>
    <w:p w:rsidR="007720D7" w:rsidRPr="001339DB" w:rsidRDefault="00D4709B" w:rsidP="00CA3B86">
      <w:pPr>
        <w:adjustRightInd w:val="0"/>
        <w:snapToGrid w:val="0"/>
        <w:spacing w:after="0" w:line="360" w:lineRule="auto"/>
        <w:ind w:firstLineChars="100" w:firstLine="240"/>
        <w:jc w:val="both"/>
        <w:rPr>
          <w:rFonts w:ascii="Book Antiqua" w:hAnsi="Book Antiqua"/>
          <w:sz w:val="24"/>
          <w:szCs w:val="24"/>
          <w:lang w:val="en-GB"/>
        </w:rPr>
      </w:pPr>
      <w:r w:rsidRPr="001339DB">
        <w:rPr>
          <w:rFonts w:ascii="Book Antiqua" w:hAnsi="Book Antiqua"/>
          <w:sz w:val="24"/>
          <w:szCs w:val="24"/>
          <w:lang w:val="en-GB"/>
        </w:rPr>
        <w:lastRenderedPageBreak/>
        <w:t>ELF</w:t>
      </w:r>
      <w:r w:rsidR="00167322" w:rsidRPr="001339DB">
        <w:rPr>
          <w:rFonts w:ascii="Book Antiqua" w:hAnsi="Book Antiqua"/>
          <w:sz w:val="24"/>
          <w:szCs w:val="24"/>
          <w:lang w:val="en-GB"/>
        </w:rPr>
        <w:t xml:space="preserve"> test</w:t>
      </w:r>
      <w:r w:rsidRPr="001339DB">
        <w:rPr>
          <w:rFonts w:ascii="Book Antiqua" w:hAnsi="Book Antiqua"/>
          <w:sz w:val="24"/>
          <w:szCs w:val="24"/>
          <w:lang w:val="en-GB"/>
        </w:rPr>
        <w:t>/</w:t>
      </w:r>
      <w:r w:rsidR="003E32E4" w:rsidRPr="001339DB">
        <w:rPr>
          <w:rFonts w:ascii="Book Antiqua" w:hAnsi="Book Antiqua"/>
          <w:sz w:val="24"/>
          <w:szCs w:val="24"/>
          <w:lang w:val="en-GB"/>
        </w:rPr>
        <w:t>LSM</w:t>
      </w:r>
      <w:r w:rsidRPr="001339DB">
        <w:rPr>
          <w:rFonts w:ascii="Book Antiqua" w:hAnsi="Book Antiqua"/>
          <w:sz w:val="24"/>
          <w:szCs w:val="24"/>
          <w:lang w:val="en-GB"/>
        </w:rPr>
        <w:t xml:space="preserve"> or ELF </w:t>
      </w:r>
      <w:r w:rsidR="00167322" w:rsidRPr="001339DB">
        <w:rPr>
          <w:rFonts w:ascii="Book Antiqua" w:hAnsi="Book Antiqua"/>
          <w:sz w:val="24"/>
          <w:szCs w:val="24"/>
          <w:lang w:val="en-GB"/>
        </w:rPr>
        <w:t xml:space="preserve">test </w:t>
      </w:r>
      <w:r w:rsidRPr="001339DB">
        <w:rPr>
          <w:rFonts w:ascii="Book Antiqua" w:hAnsi="Book Antiqua"/>
          <w:sz w:val="24"/>
          <w:szCs w:val="24"/>
          <w:lang w:val="en-GB"/>
        </w:rPr>
        <w:t xml:space="preserve">alone </w:t>
      </w:r>
      <w:r w:rsidR="00A766EE" w:rsidRPr="001339DB">
        <w:rPr>
          <w:rFonts w:ascii="Book Antiqua" w:hAnsi="Book Antiqua"/>
          <w:sz w:val="24"/>
          <w:szCs w:val="24"/>
          <w:lang w:val="en-GB"/>
        </w:rPr>
        <w:t>reduced the frequency of events significantly although frequency rates remained high. Liver fibrosis</w:t>
      </w:r>
      <w:r w:rsidR="00157AB0" w:rsidRPr="001339DB">
        <w:rPr>
          <w:rFonts w:ascii="Book Antiqua" w:hAnsi="Book Antiqua"/>
          <w:sz w:val="24"/>
          <w:szCs w:val="24"/>
          <w:lang w:val="en-GB"/>
        </w:rPr>
        <w:t>–</w:t>
      </w:r>
      <w:r w:rsidR="00A766EE" w:rsidRPr="001339DB">
        <w:rPr>
          <w:rFonts w:ascii="Book Antiqua" w:hAnsi="Book Antiqua"/>
          <w:sz w:val="24"/>
          <w:szCs w:val="24"/>
          <w:lang w:val="en-GB"/>
        </w:rPr>
        <w:t>related death was 68.8%, 66.5%, 54.8%</w:t>
      </w:r>
      <w:r w:rsidR="00157AB0" w:rsidRPr="001339DB">
        <w:rPr>
          <w:rFonts w:ascii="Book Antiqua" w:hAnsi="Book Antiqua"/>
          <w:sz w:val="24"/>
          <w:szCs w:val="24"/>
          <w:lang w:val="en-GB"/>
        </w:rPr>
        <w:t>,</w:t>
      </w:r>
      <w:r w:rsidR="00A766EE" w:rsidRPr="001339DB">
        <w:rPr>
          <w:rFonts w:ascii="Book Antiqua" w:hAnsi="Book Antiqua"/>
          <w:sz w:val="24"/>
          <w:szCs w:val="24"/>
          <w:lang w:val="en-GB"/>
        </w:rPr>
        <w:t xml:space="preserve"> and 44.4% under the no</w:t>
      </w:r>
      <w:r w:rsidR="00157AB0" w:rsidRPr="001339DB">
        <w:rPr>
          <w:rFonts w:ascii="Book Antiqua" w:hAnsi="Book Antiqua"/>
          <w:sz w:val="24"/>
          <w:szCs w:val="24"/>
          <w:lang w:val="en-GB"/>
        </w:rPr>
        <w:t>-</w:t>
      </w:r>
      <w:r w:rsidR="00A766EE" w:rsidRPr="001339DB">
        <w:rPr>
          <w:rFonts w:ascii="Book Antiqua" w:hAnsi="Book Antiqua"/>
          <w:sz w:val="24"/>
          <w:szCs w:val="24"/>
          <w:lang w:val="en-GB"/>
        </w:rPr>
        <w:t>testing, biopsy, sequential ELF</w:t>
      </w:r>
      <w:r w:rsidR="00167322" w:rsidRPr="001339DB">
        <w:rPr>
          <w:rFonts w:ascii="Book Antiqua" w:hAnsi="Book Antiqua"/>
          <w:sz w:val="24"/>
          <w:szCs w:val="24"/>
          <w:lang w:val="en-GB"/>
        </w:rPr>
        <w:t xml:space="preserve"> test</w:t>
      </w:r>
      <w:r w:rsidR="00A766EE" w:rsidRPr="001339DB">
        <w:rPr>
          <w:rFonts w:ascii="Book Antiqua" w:hAnsi="Book Antiqua"/>
          <w:sz w:val="24"/>
          <w:szCs w:val="24"/>
          <w:lang w:val="en-GB"/>
        </w:rPr>
        <w:t>/</w:t>
      </w:r>
      <w:r w:rsidR="003E32E4" w:rsidRPr="001339DB">
        <w:rPr>
          <w:rFonts w:ascii="Book Antiqua" w:hAnsi="Book Antiqua"/>
          <w:sz w:val="24"/>
          <w:szCs w:val="24"/>
          <w:lang w:val="en-GB"/>
        </w:rPr>
        <w:t>LSM</w:t>
      </w:r>
      <w:r w:rsidR="00157AB0" w:rsidRPr="001339DB">
        <w:rPr>
          <w:rFonts w:ascii="Book Antiqua" w:hAnsi="Book Antiqua"/>
          <w:sz w:val="24"/>
          <w:szCs w:val="24"/>
          <w:lang w:val="en-GB"/>
        </w:rPr>
        <w:t>,</w:t>
      </w:r>
      <w:r w:rsidR="00A766EE" w:rsidRPr="001339DB">
        <w:rPr>
          <w:rFonts w:ascii="Book Antiqua" w:hAnsi="Book Antiqua"/>
          <w:sz w:val="24"/>
          <w:szCs w:val="24"/>
          <w:lang w:val="en-GB"/>
        </w:rPr>
        <w:t xml:space="preserve"> and ELF </w:t>
      </w:r>
      <w:r w:rsidR="00167322" w:rsidRPr="001339DB">
        <w:rPr>
          <w:rFonts w:ascii="Book Antiqua" w:hAnsi="Book Antiqua"/>
          <w:sz w:val="24"/>
          <w:szCs w:val="24"/>
          <w:lang w:val="en-GB"/>
        </w:rPr>
        <w:t xml:space="preserve">test </w:t>
      </w:r>
      <w:r w:rsidR="00E912F3" w:rsidRPr="001339DB">
        <w:rPr>
          <w:rFonts w:ascii="Book Antiqua" w:hAnsi="Book Antiqua"/>
          <w:sz w:val="24"/>
          <w:szCs w:val="24"/>
          <w:lang w:val="en-GB"/>
        </w:rPr>
        <w:t>alone options, respectively.</w:t>
      </w:r>
    </w:p>
    <w:p w:rsidR="00375984" w:rsidRDefault="004341DD" w:rsidP="00CA3B86">
      <w:pPr>
        <w:adjustRightInd w:val="0"/>
        <w:snapToGrid w:val="0"/>
        <w:spacing w:after="0" w:line="360" w:lineRule="auto"/>
        <w:ind w:firstLineChars="100" w:firstLine="240"/>
        <w:jc w:val="both"/>
        <w:rPr>
          <w:rFonts w:ascii="Book Antiqua" w:hAnsi="Book Antiqua"/>
          <w:sz w:val="24"/>
          <w:szCs w:val="24"/>
          <w:lang w:val="en-GB" w:eastAsia="zh-CN"/>
        </w:rPr>
      </w:pPr>
      <w:r w:rsidRPr="001339DB">
        <w:rPr>
          <w:rFonts w:ascii="Book Antiqua" w:hAnsi="Book Antiqua"/>
          <w:sz w:val="24"/>
          <w:szCs w:val="24"/>
          <w:lang w:val="en-GB"/>
        </w:rPr>
        <w:t>In this type of patients</w:t>
      </w:r>
      <w:r w:rsidR="00157AB0" w:rsidRPr="001339DB">
        <w:rPr>
          <w:rFonts w:ascii="Book Antiqua" w:hAnsi="Book Antiqua"/>
          <w:sz w:val="24"/>
          <w:szCs w:val="24"/>
          <w:lang w:val="en-GB"/>
        </w:rPr>
        <w:t>,</w:t>
      </w:r>
      <w:r w:rsidRPr="001339DB">
        <w:rPr>
          <w:rFonts w:ascii="Book Antiqua" w:hAnsi="Book Antiqua"/>
          <w:sz w:val="24"/>
          <w:szCs w:val="24"/>
          <w:lang w:val="en-GB"/>
        </w:rPr>
        <w:t xml:space="preserve"> </w:t>
      </w:r>
      <w:r w:rsidR="00B52DA1" w:rsidRPr="001339DB">
        <w:rPr>
          <w:rFonts w:ascii="Book Antiqua" w:hAnsi="Book Antiqua"/>
          <w:sz w:val="24"/>
          <w:szCs w:val="24"/>
          <w:lang w:val="en-GB"/>
        </w:rPr>
        <w:t xml:space="preserve">ELF </w:t>
      </w:r>
      <w:r w:rsidR="00167322" w:rsidRPr="001339DB">
        <w:rPr>
          <w:rFonts w:ascii="Book Antiqua" w:hAnsi="Book Antiqua"/>
          <w:sz w:val="24"/>
          <w:szCs w:val="24"/>
          <w:lang w:val="en-GB"/>
        </w:rPr>
        <w:t xml:space="preserve">testing </w:t>
      </w:r>
      <w:r w:rsidR="00B52DA1" w:rsidRPr="001339DB">
        <w:rPr>
          <w:rFonts w:ascii="Book Antiqua" w:hAnsi="Book Antiqua"/>
          <w:sz w:val="24"/>
          <w:szCs w:val="24"/>
          <w:lang w:val="en-GB"/>
        </w:rPr>
        <w:t xml:space="preserve">alone produced the largest number of QALYs (11.94) but it was the most costly option (14661€ per patient). </w:t>
      </w:r>
      <w:r w:rsidR="00A361E3" w:rsidRPr="001339DB">
        <w:rPr>
          <w:rFonts w:ascii="Book Antiqua" w:hAnsi="Book Antiqua"/>
          <w:sz w:val="24"/>
          <w:szCs w:val="24"/>
          <w:lang w:val="en-GB"/>
        </w:rPr>
        <w:t>The ICERs of s</w:t>
      </w:r>
      <w:r w:rsidR="00BD6434" w:rsidRPr="001339DB">
        <w:rPr>
          <w:rFonts w:ascii="Book Antiqua" w:hAnsi="Book Antiqua"/>
          <w:sz w:val="24"/>
          <w:szCs w:val="24"/>
          <w:lang w:val="en-GB"/>
        </w:rPr>
        <w:t>equential</w:t>
      </w:r>
      <w:r w:rsidRPr="001339DB">
        <w:rPr>
          <w:rFonts w:ascii="Book Antiqua" w:hAnsi="Book Antiqua"/>
          <w:sz w:val="24"/>
          <w:szCs w:val="24"/>
          <w:lang w:val="en-GB"/>
        </w:rPr>
        <w:t xml:space="preserve"> </w:t>
      </w:r>
      <w:r w:rsidR="00667503" w:rsidRPr="001339DB">
        <w:rPr>
          <w:rFonts w:ascii="Book Antiqua" w:hAnsi="Book Antiqua"/>
          <w:sz w:val="24"/>
          <w:szCs w:val="24"/>
          <w:lang w:val="en-GB"/>
        </w:rPr>
        <w:t>ELF</w:t>
      </w:r>
      <w:r w:rsidR="00167322" w:rsidRPr="001339DB">
        <w:rPr>
          <w:rFonts w:ascii="Book Antiqua" w:hAnsi="Book Antiqua"/>
          <w:sz w:val="24"/>
          <w:szCs w:val="24"/>
          <w:lang w:val="en-GB"/>
        </w:rPr>
        <w:t xml:space="preserve"> test</w:t>
      </w:r>
      <w:r w:rsidR="00667503" w:rsidRPr="001339DB">
        <w:rPr>
          <w:rFonts w:ascii="Book Antiqua" w:hAnsi="Book Antiqua"/>
          <w:sz w:val="24"/>
          <w:szCs w:val="24"/>
          <w:lang w:val="en-GB"/>
        </w:rPr>
        <w:t>/</w:t>
      </w:r>
      <w:r w:rsidR="003E32E4" w:rsidRPr="001339DB">
        <w:rPr>
          <w:rFonts w:ascii="Book Antiqua" w:hAnsi="Book Antiqua"/>
          <w:sz w:val="24"/>
          <w:szCs w:val="24"/>
          <w:lang w:val="en-GB"/>
        </w:rPr>
        <w:t>LSM</w:t>
      </w:r>
      <w:r w:rsidR="00667503" w:rsidRPr="001339DB">
        <w:rPr>
          <w:rFonts w:ascii="Book Antiqua" w:hAnsi="Book Antiqua"/>
          <w:sz w:val="24"/>
          <w:szCs w:val="24"/>
          <w:lang w:val="en-GB"/>
        </w:rPr>
        <w:t xml:space="preserve"> </w:t>
      </w:r>
      <w:r w:rsidR="009D4F3B" w:rsidRPr="001339DB">
        <w:rPr>
          <w:rFonts w:ascii="Book Antiqua" w:hAnsi="Book Antiqua"/>
          <w:sz w:val="24"/>
          <w:szCs w:val="24"/>
          <w:lang w:val="en-GB"/>
        </w:rPr>
        <w:t xml:space="preserve">and ELF </w:t>
      </w:r>
      <w:r w:rsidR="00167322" w:rsidRPr="001339DB">
        <w:rPr>
          <w:rFonts w:ascii="Book Antiqua" w:hAnsi="Book Antiqua"/>
          <w:sz w:val="24"/>
          <w:szCs w:val="24"/>
          <w:lang w:val="en-GB"/>
        </w:rPr>
        <w:t xml:space="preserve">test </w:t>
      </w:r>
      <w:r w:rsidR="009D4F3B" w:rsidRPr="001339DB">
        <w:rPr>
          <w:rFonts w:ascii="Book Antiqua" w:hAnsi="Book Antiqua"/>
          <w:sz w:val="24"/>
          <w:szCs w:val="24"/>
          <w:lang w:val="en-GB"/>
        </w:rPr>
        <w:t>alone</w:t>
      </w:r>
      <w:r w:rsidR="00A361E3" w:rsidRPr="001339DB">
        <w:rPr>
          <w:rFonts w:ascii="Book Antiqua" w:hAnsi="Book Antiqua"/>
          <w:sz w:val="24"/>
          <w:szCs w:val="24"/>
          <w:lang w:val="en-GB"/>
        </w:rPr>
        <w:t xml:space="preserve"> are</w:t>
      </w:r>
      <w:r w:rsidR="00B52DA1" w:rsidRPr="001339DB">
        <w:rPr>
          <w:rFonts w:ascii="Book Antiqua" w:hAnsi="Book Antiqua"/>
          <w:sz w:val="24"/>
          <w:szCs w:val="24"/>
          <w:lang w:val="en-GB"/>
        </w:rPr>
        <w:t xml:space="preserve"> 280€ and 189€ per QALY, respectively</w:t>
      </w:r>
      <w:r w:rsidR="009D4F3B" w:rsidRPr="001339DB">
        <w:rPr>
          <w:rFonts w:ascii="Book Antiqua" w:hAnsi="Book Antiqua"/>
          <w:sz w:val="24"/>
          <w:szCs w:val="24"/>
          <w:lang w:val="en-GB"/>
        </w:rPr>
        <w:t>.</w:t>
      </w:r>
    </w:p>
    <w:p w:rsidR="00CA3B86" w:rsidRPr="001339DB" w:rsidRDefault="00CA3B86" w:rsidP="00CA3B86">
      <w:pPr>
        <w:adjustRightInd w:val="0"/>
        <w:snapToGrid w:val="0"/>
        <w:spacing w:after="0" w:line="360" w:lineRule="auto"/>
        <w:ind w:firstLineChars="100" w:firstLine="240"/>
        <w:jc w:val="both"/>
        <w:rPr>
          <w:rFonts w:ascii="Book Antiqua" w:hAnsi="Book Antiqua"/>
          <w:sz w:val="24"/>
          <w:szCs w:val="24"/>
          <w:lang w:val="en-GB" w:eastAsia="zh-CN"/>
        </w:rPr>
      </w:pPr>
    </w:p>
    <w:p w:rsidR="00E74284" w:rsidRPr="00CA3B86" w:rsidRDefault="00C9448E" w:rsidP="001339DB">
      <w:pPr>
        <w:pStyle w:val="Heading2"/>
        <w:adjustRightInd w:val="0"/>
        <w:snapToGrid w:val="0"/>
        <w:spacing w:before="0" w:after="0" w:line="360" w:lineRule="auto"/>
        <w:jc w:val="both"/>
        <w:rPr>
          <w:rFonts w:ascii="Book Antiqua" w:hAnsi="Book Antiqua"/>
          <w:i/>
          <w:sz w:val="24"/>
          <w:szCs w:val="24"/>
        </w:rPr>
      </w:pPr>
      <w:r w:rsidRPr="00CA3B86">
        <w:rPr>
          <w:rFonts w:ascii="Book Antiqua" w:hAnsi="Book Antiqua"/>
          <w:i/>
          <w:sz w:val="24"/>
          <w:szCs w:val="24"/>
        </w:rPr>
        <w:t>Deterministic s</w:t>
      </w:r>
      <w:r w:rsidR="00FD0E76" w:rsidRPr="00CA3B86">
        <w:rPr>
          <w:rFonts w:ascii="Book Antiqua" w:hAnsi="Book Antiqua"/>
          <w:i/>
          <w:sz w:val="24"/>
          <w:szCs w:val="24"/>
        </w:rPr>
        <w:t>ensitivity analysis</w:t>
      </w:r>
    </w:p>
    <w:p w:rsidR="00B9223B" w:rsidRPr="001339DB" w:rsidRDefault="004D5D85" w:rsidP="001339DB">
      <w:pPr>
        <w:adjustRightInd w:val="0"/>
        <w:snapToGrid w:val="0"/>
        <w:spacing w:after="0" w:line="360" w:lineRule="auto"/>
        <w:jc w:val="both"/>
        <w:rPr>
          <w:rFonts w:ascii="Book Antiqua" w:hAnsi="Book Antiqua"/>
          <w:sz w:val="24"/>
          <w:szCs w:val="24"/>
        </w:rPr>
      </w:pPr>
      <w:r w:rsidRPr="001339DB">
        <w:rPr>
          <w:rFonts w:ascii="Book Antiqua" w:hAnsi="Book Antiqua"/>
          <w:sz w:val="24"/>
          <w:szCs w:val="24"/>
        </w:rPr>
        <w:t xml:space="preserve">Results of the deterministic analysis </w:t>
      </w:r>
      <w:r w:rsidR="00CE24B2" w:rsidRPr="001339DB">
        <w:rPr>
          <w:rFonts w:ascii="Book Antiqua" w:hAnsi="Book Antiqua"/>
          <w:sz w:val="24"/>
          <w:szCs w:val="24"/>
        </w:rPr>
        <w:t xml:space="preserve">for key parameters </w:t>
      </w:r>
      <w:r w:rsidR="00C9448E" w:rsidRPr="001339DB">
        <w:rPr>
          <w:rFonts w:ascii="Book Antiqua" w:hAnsi="Book Antiqua"/>
          <w:sz w:val="24"/>
          <w:szCs w:val="24"/>
        </w:rPr>
        <w:t xml:space="preserve">in HCV individuals </w:t>
      </w:r>
      <w:r w:rsidRPr="001339DB">
        <w:rPr>
          <w:rFonts w:ascii="Book Antiqua" w:hAnsi="Book Antiqua"/>
          <w:sz w:val="24"/>
          <w:szCs w:val="24"/>
        </w:rPr>
        <w:t xml:space="preserve">are summarized in </w:t>
      </w:r>
      <w:r w:rsidR="00157AB0" w:rsidRPr="001339DB">
        <w:rPr>
          <w:rFonts w:ascii="Book Antiqua" w:hAnsi="Book Antiqua"/>
          <w:sz w:val="24"/>
          <w:szCs w:val="24"/>
        </w:rPr>
        <w:t>F</w:t>
      </w:r>
      <w:r w:rsidRPr="001339DB">
        <w:rPr>
          <w:rFonts w:ascii="Book Antiqua" w:hAnsi="Book Antiqua"/>
          <w:sz w:val="24"/>
          <w:szCs w:val="24"/>
        </w:rPr>
        <w:t xml:space="preserve">igure 2. </w:t>
      </w:r>
      <w:r w:rsidR="0088589C" w:rsidRPr="001339DB">
        <w:rPr>
          <w:rFonts w:ascii="Book Antiqua" w:hAnsi="Book Antiqua"/>
          <w:sz w:val="24"/>
          <w:szCs w:val="24"/>
        </w:rPr>
        <w:t>The ICER was</w:t>
      </w:r>
      <w:r w:rsidR="00CE24B2" w:rsidRPr="001339DB">
        <w:rPr>
          <w:rFonts w:ascii="Book Antiqua" w:hAnsi="Book Antiqua"/>
          <w:sz w:val="24"/>
          <w:szCs w:val="24"/>
        </w:rPr>
        <w:t xml:space="preserve"> most</w:t>
      </w:r>
      <w:r w:rsidR="0088589C" w:rsidRPr="001339DB">
        <w:rPr>
          <w:rFonts w:ascii="Book Antiqua" w:hAnsi="Book Antiqua"/>
          <w:sz w:val="24"/>
          <w:szCs w:val="24"/>
        </w:rPr>
        <w:t>ly</w:t>
      </w:r>
      <w:r w:rsidR="00CE24B2" w:rsidRPr="001339DB">
        <w:rPr>
          <w:rFonts w:ascii="Book Antiqua" w:hAnsi="Book Antiqua"/>
          <w:sz w:val="24"/>
          <w:szCs w:val="24"/>
        </w:rPr>
        <w:t xml:space="preserve"> sensitive to variations in the </w:t>
      </w:r>
      <w:r w:rsidR="0088589C" w:rsidRPr="001339DB">
        <w:rPr>
          <w:rFonts w:ascii="Book Antiqua" w:hAnsi="Book Antiqua"/>
          <w:sz w:val="24"/>
          <w:szCs w:val="24"/>
        </w:rPr>
        <w:t>discount rate, cost of antivirals</w:t>
      </w:r>
      <w:r w:rsidR="00157AB0" w:rsidRPr="001339DB">
        <w:rPr>
          <w:rFonts w:ascii="Book Antiqua" w:hAnsi="Book Antiqua"/>
          <w:sz w:val="24"/>
          <w:szCs w:val="24"/>
        </w:rPr>
        <w:t>,</w:t>
      </w:r>
      <w:r w:rsidR="0088589C" w:rsidRPr="001339DB">
        <w:rPr>
          <w:rFonts w:ascii="Book Antiqua" w:hAnsi="Book Antiqua"/>
          <w:sz w:val="24"/>
          <w:szCs w:val="24"/>
        </w:rPr>
        <w:t xml:space="preserve"> and the cohort’s initial age. The lowest ICER (5800€ per QALY) was obtained when the discount rate was 0, whereas the highest ICER (21400€ per QALY) occurred when the assumed cost of antivirals was high (72000€ for a 12-</w:t>
      </w:r>
      <w:r w:rsidR="00CA3B86">
        <w:rPr>
          <w:rFonts w:ascii="Book Antiqua" w:hAnsi="Book Antiqua" w:hint="eastAsia"/>
          <w:sz w:val="24"/>
          <w:szCs w:val="24"/>
          <w:lang w:eastAsia="zh-CN"/>
        </w:rPr>
        <w:t>wk</w:t>
      </w:r>
      <w:r w:rsidR="0088589C" w:rsidRPr="001339DB">
        <w:rPr>
          <w:rFonts w:ascii="Book Antiqua" w:hAnsi="Book Antiqua"/>
          <w:sz w:val="24"/>
          <w:szCs w:val="24"/>
        </w:rPr>
        <w:t xml:space="preserve"> treatment). </w:t>
      </w:r>
      <w:r w:rsidR="00B9223B" w:rsidRPr="001339DB">
        <w:rPr>
          <w:rFonts w:ascii="Book Antiqua" w:hAnsi="Book Antiqua"/>
          <w:sz w:val="24"/>
          <w:szCs w:val="24"/>
        </w:rPr>
        <w:t>The remaining parameters of the model had a minor impact.</w:t>
      </w:r>
    </w:p>
    <w:p w:rsidR="00C9448E" w:rsidRDefault="00EA57F4" w:rsidP="00CA3B86">
      <w:pPr>
        <w:adjustRightInd w:val="0"/>
        <w:snapToGrid w:val="0"/>
        <w:spacing w:after="0" w:line="360" w:lineRule="auto"/>
        <w:ind w:firstLineChars="100" w:firstLine="240"/>
        <w:jc w:val="both"/>
        <w:rPr>
          <w:rFonts w:ascii="Book Antiqua" w:hAnsi="Book Antiqua"/>
          <w:sz w:val="24"/>
          <w:szCs w:val="24"/>
          <w:lang w:eastAsia="zh-CN"/>
        </w:rPr>
      </w:pPr>
      <w:r w:rsidRPr="001339DB">
        <w:rPr>
          <w:rFonts w:ascii="Book Antiqua" w:hAnsi="Book Antiqua"/>
          <w:sz w:val="24"/>
          <w:szCs w:val="24"/>
        </w:rPr>
        <w:t xml:space="preserve">Deterministic sensitivity results for ALD are </w:t>
      </w:r>
      <w:r w:rsidR="0011098C" w:rsidRPr="001339DB">
        <w:rPr>
          <w:rFonts w:ascii="Book Antiqua" w:hAnsi="Book Antiqua"/>
          <w:sz w:val="24"/>
          <w:szCs w:val="24"/>
        </w:rPr>
        <w:t>shown</w:t>
      </w:r>
      <w:r w:rsidRPr="001339DB">
        <w:rPr>
          <w:rFonts w:ascii="Book Antiqua" w:hAnsi="Book Antiqua"/>
          <w:sz w:val="24"/>
          <w:szCs w:val="24"/>
        </w:rPr>
        <w:t xml:space="preserve"> in </w:t>
      </w:r>
      <w:r w:rsidR="00157AB0" w:rsidRPr="001339DB">
        <w:rPr>
          <w:rFonts w:ascii="Book Antiqua" w:hAnsi="Book Antiqua"/>
          <w:sz w:val="24"/>
          <w:szCs w:val="24"/>
        </w:rPr>
        <w:t>F</w:t>
      </w:r>
      <w:r w:rsidR="0088589C" w:rsidRPr="001339DB">
        <w:rPr>
          <w:rFonts w:ascii="Book Antiqua" w:hAnsi="Book Antiqua"/>
          <w:sz w:val="24"/>
          <w:szCs w:val="24"/>
        </w:rPr>
        <w:t>igure 3</w:t>
      </w:r>
      <w:r w:rsidRPr="001339DB">
        <w:rPr>
          <w:rFonts w:ascii="Book Antiqua" w:hAnsi="Book Antiqua"/>
          <w:sz w:val="24"/>
          <w:szCs w:val="24"/>
        </w:rPr>
        <w:t xml:space="preserve">. </w:t>
      </w:r>
      <w:r w:rsidR="00E225EA" w:rsidRPr="001339DB">
        <w:rPr>
          <w:rFonts w:ascii="Book Antiqua" w:hAnsi="Book Antiqua"/>
          <w:sz w:val="24"/>
          <w:szCs w:val="24"/>
        </w:rPr>
        <w:t>S</w:t>
      </w:r>
      <w:r w:rsidR="00507D8C" w:rsidRPr="001339DB">
        <w:rPr>
          <w:rFonts w:ascii="Book Antiqua" w:hAnsi="Book Antiqua"/>
          <w:sz w:val="24"/>
          <w:szCs w:val="24"/>
        </w:rPr>
        <w:t>equential ELF</w:t>
      </w:r>
      <w:r w:rsidR="00167322" w:rsidRPr="001339DB">
        <w:rPr>
          <w:rFonts w:ascii="Book Antiqua" w:hAnsi="Book Antiqua"/>
          <w:sz w:val="24"/>
          <w:szCs w:val="24"/>
        </w:rPr>
        <w:t xml:space="preserve"> test</w:t>
      </w:r>
      <w:r w:rsidR="00507D8C" w:rsidRPr="001339DB">
        <w:rPr>
          <w:rFonts w:ascii="Book Antiqua" w:hAnsi="Book Antiqua"/>
          <w:sz w:val="24"/>
          <w:szCs w:val="24"/>
        </w:rPr>
        <w:t>/</w:t>
      </w:r>
      <w:r w:rsidR="003E32E4" w:rsidRPr="001339DB">
        <w:rPr>
          <w:rFonts w:ascii="Book Antiqua" w:hAnsi="Book Antiqua"/>
          <w:sz w:val="24"/>
          <w:szCs w:val="24"/>
        </w:rPr>
        <w:t>LSM</w:t>
      </w:r>
      <w:r w:rsidR="00507D8C" w:rsidRPr="001339DB">
        <w:rPr>
          <w:rFonts w:ascii="Book Antiqua" w:hAnsi="Book Antiqua"/>
          <w:sz w:val="24"/>
          <w:szCs w:val="24"/>
        </w:rPr>
        <w:t xml:space="preserve"> </w:t>
      </w:r>
      <w:r w:rsidR="001B38C3" w:rsidRPr="001339DB">
        <w:rPr>
          <w:rFonts w:ascii="Book Antiqua" w:hAnsi="Book Antiqua"/>
          <w:sz w:val="24"/>
          <w:szCs w:val="24"/>
        </w:rPr>
        <w:t xml:space="preserve">was superior to </w:t>
      </w:r>
      <w:r w:rsidR="00507D8C" w:rsidRPr="001339DB">
        <w:rPr>
          <w:rFonts w:ascii="Book Antiqua" w:hAnsi="Book Antiqua"/>
          <w:sz w:val="24"/>
          <w:szCs w:val="24"/>
        </w:rPr>
        <w:t>biopsy</w:t>
      </w:r>
      <w:r w:rsidR="00107FCD" w:rsidRPr="001339DB">
        <w:rPr>
          <w:rFonts w:ascii="Book Antiqua" w:hAnsi="Book Antiqua"/>
          <w:sz w:val="24"/>
          <w:szCs w:val="24"/>
        </w:rPr>
        <w:t xml:space="preserve"> </w:t>
      </w:r>
      <w:r w:rsidR="00E225EA" w:rsidRPr="001339DB">
        <w:rPr>
          <w:rFonts w:ascii="Book Antiqua" w:hAnsi="Book Antiqua"/>
          <w:sz w:val="24"/>
          <w:szCs w:val="24"/>
        </w:rPr>
        <w:t>when the assumed cost of</w:t>
      </w:r>
      <w:r w:rsidR="00107FCD" w:rsidRPr="001339DB">
        <w:rPr>
          <w:rFonts w:ascii="Book Antiqua" w:hAnsi="Book Antiqua"/>
          <w:sz w:val="24"/>
          <w:szCs w:val="24"/>
        </w:rPr>
        <w:t xml:space="preserve"> detoxification therapy</w:t>
      </w:r>
      <w:r w:rsidR="00E225EA" w:rsidRPr="001339DB">
        <w:rPr>
          <w:rFonts w:ascii="Book Antiqua" w:hAnsi="Book Antiqua"/>
          <w:sz w:val="24"/>
          <w:szCs w:val="24"/>
        </w:rPr>
        <w:t xml:space="preserve"> was low (173€ per individual treated).</w:t>
      </w:r>
      <w:r w:rsidR="00107FCD" w:rsidRPr="001339DB">
        <w:rPr>
          <w:rFonts w:ascii="Book Antiqua" w:hAnsi="Book Antiqua"/>
          <w:sz w:val="24"/>
          <w:szCs w:val="24"/>
        </w:rPr>
        <w:t xml:space="preserve"> </w:t>
      </w:r>
      <w:r w:rsidR="00E225EA" w:rsidRPr="001339DB">
        <w:rPr>
          <w:rFonts w:ascii="Book Antiqua" w:hAnsi="Book Antiqua"/>
          <w:sz w:val="24"/>
          <w:szCs w:val="24"/>
        </w:rPr>
        <w:t>ELF</w:t>
      </w:r>
      <w:r w:rsidR="00167322" w:rsidRPr="001339DB">
        <w:rPr>
          <w:rFonts w:ascii="Book Antiqua" w:hAnsi="Book Antiqua"/>
          <w:sz w:val="24"/>
          <w:szCs w:val="24"/>
        </w:rPr>
        <w:t xml:space="preserve"> test</w:t>
      </w:r>
      <w:r w:rsidR="00E225EA" w:rsidRPr="001339DB">
        <w:rPr>
          <w:rFonts w:ascii="Book Antiqua" w:hAnsi="Book Antiqua"/>
          <w:sz w:val="24"/>
          <w:szCs w:val="24"/>
        </w:rPr>
        <w:t>/</w:t>
      </w:r>
      <w:r w:rsidR="003E32E4" w:rsidRPr="001339DB">
        <w:rPr>
          <w:rFonts w:ascii="Book Antiqua" w:hAnsi="Book Antiqua"/>
          <w:sz w:val="24"/>
          <w:szCs w:val="24"/>
        </w:rPr>
        <w:t>LSM</w:t>
      </w:r>
      <w:r w:rsidR="00E225EA" w:rsidRPr="001339DB">
        <w:rPr>
          <w:rFonts w:ascii="Book Antiqua" w:hAnsi="Book Antiqua"/>
          <w:sz w:val="24"/>
          <w:szCs w:val="24"/>
        </w:rPr>
        <w:t xml:space="preserve"> </w:t>
      </w:r>
      <w:r w:rsidR="001B38C3" w:rsidRPr="001339DB">
        <w:rPr>
          <w:rFonts w:ascii="Book Antiqua" w:hAnsi="Book Antiqua"/>
          <w:sz w:val="24"/>
          <w:szCs w:val="24"/>
        </w:rPr>
        <w:t xml:space="preserve">was </w:t>
      </w:r>
      <w:r w:rsidR="00E225EA" w:rsidRPr="001339DB">
        <w:rPr>
          <w:rFonts w:ascii="Book Antiqua" w:hAnsi="Book Antiqua"/>
          <w:sz w:val="24"/>
          <w:szCs w:val="24"/>
        </w:rPr>
        <w:t xml:space="preserve">also </w:t>
      </w:r>
      <w:r w:rsidR="001B38C3" w:rsidRPr="001339DB">
        <w:rPr>
          <w:rFonts w:ascii="Book Antiqua" w:hAnsi="Book Antiqua"/>
          <w:sz w:val="24"/>
          <w:szCs w:val="24"/>
        </w:rPr>
        <w:t xml:space="preserve">superior to </w:t>
      </w:r>
      <w:r w:rsidR="00E225EA" w:rsidRPr="001339DB">
        <w:rPr>
          <w:rFonts w:ascii="Book Antiqua" w:hAnsi="Book Antiqua"/>
          <w:sz w:val="24"/>
          <w:szCs w:val="24"/>
        </w:rPr>
        <w:t xml:space="preserve">biopsy when individuals diagnosed as F2/F3 had a </w:t>
      </w:r>
      <w:r w:rsidR="007E27D7" w:rsidRPr="001339DB">
        <w:rPr>
          <w:rFonts w:ascii="Book Antiqua" w:hAnsi="Book Antiqua"/>
          <w:sz w:val="24"/>
          <w:szCs w:val="24"/>
        </w:rPr>
        <w:t>high</w:t>
      </w:r>
      <w:r w:rsidR="00E225EA" w:rsidRPr="001339DB">
        <w:rPr>
          <w:rFonts w:ascii="Book Antiqua" w:hAnsi="Book Antiqua"/>
          <w:sz w:val="24"/>
          <w:szCs w:val="24"/>
        </w:rPr>
        <w:t xml:space="preserve"> </w:t>
      </w:r>
      <w:r w:rsidR="00107FCD" w:rsidRPr="001339DB">
        <w:rPr>
          <w:rFonts w:ascii="Book Antiqua" w:hAnsi="Book Antiqua"/>
          <w:sz w:val="24"/>
          <w:szCs w:val="24"/>
        </w:rPr>
        <w:t xml:space="preserve">probability </w:t>
      </w:r>
      <w:r w:rsidR="007E27D7" w:rsidRPr="001339DB">
        <w:rPr>
          <w:rFonts w:ascii="Book Antiqua" w:hAnsi="Book Antiqua"/>
          <w:sz w:val="24"/>
          <w:szCs w:val="24"/>
        </w:rPr>
        <w:t>of abstinence (43%) and a low probability of relapse (17%) within a year</w:t>
      </w:r>
      <w:r w:rsidR="00107FCD" w:rsidRPr="001339DB">
        <w:rPr>
          <w:rFonts w:ascii="Book Antiqua" w:hAnsi="Book Antiqua"/>
          <w:sz w:val="24"/>
          <w:szCs w:val="24"/>
        </w:rPr>
        <w:t>.</w:t>
      </w:r>
      <w:r w:rsidR="00474D3D" w:rsidRPr="001339DB">
        <w:rPr>
          <w:rFonts w:ascii="Book Antiqua" w:hAnsi="Book Antiqua"/>
          <w:sz w:val="24"/>
          <w:szCs w:val="24"/>
        </w:rPr>
        <w:t xml:space="preserve"> In all other cases studied</w:t>
      </w:r>
      <w:r w:rsidR="00157AB0" w:rsidRPr="001339DB">
        <w:rPr>
          <w:rFonts w:ascii="Book Antiqua" w:hAnsi="Book Antiqua"/>
          <w:sz w:val="24"/>
          <w:szCs w:val="24"/>
        </w:rPr>
        <w:t>,</w:t>
      </w:r>
      <w:r w:rsidR="00474D3D" w:rsidRPr="001339DB">
        <w:rPr>
          <w:rFonts w:ascii="Book Antiqua" w:hAnsi="Book Antiqua"/>
          <w:sz w:val="24"/>
          <w:szCs w:val="24"/>
        </w:rPr>
        <w:t xml:space="preserve"> t</w:t>
      </w:r>
      <w:r w:rsidR="007E27D7" w:rsidRPr="001339DB">
        <w:rPr>
          <w:rFonts w:ascii="Book Antiqua" w:hAnsi="Book Antiqua"/>
          <w:sz w:val="24"/>
          <w:szCs w:val="24"/>
        </w:rPr>
        <w:t>he ICER of ELF</w:t>
      </w:r>
      <w:r w:rsidR="00167322" w:rsidRPr="001339DB">
        <w:rPr>
          <w:rFonts w:ascii="Book Antiqua" w:hAnsi="Book Antiqua"/>
          <w:sz w:val="24"/>
          <w:szCs w:val="24"/>
        </w:rPr>
        <w:t xml:space="preserve"> test</w:t>
      </w:r>
      <w:r w:rsidR="007E27D7" w:rsidRPr="001339DB">
        <w:rPr>
          <w:rFonts w:ascii="Book Antiqua" w:hAnsi="Book Antiqua"/>
          <w:sz w:val="24"/>
          <w:szCs w:val="24"/>
        </w:rPr>
        <w:t>/</w:t>
      </w:r>
      <w:r w:rsidR="003E32E4" w:rsidRPr="001339DB">
        <w:rPr>
          <w:rFonts w:ascii="Book Antiqua" w:hAnsi="Book Antiqua"/>
          <w:sz w:val="24"/>
          <w:szCs w:val="24"/>
        </w:rPr>
        <w:t>LSM</w:t>
      </w:r>
      <w:r w:rsidR="007E27D7" w:rsidRPr="001339DB">
        <w:rPr>
          <w:rFonts w:ascii="Book Antiqua" w:hAnsi="Book Antiqua"/>
          <w:sz w:val="24"/>
          <w:szCs w:val="24"/>
        </w:rPr>
        <w:t xml:space="preserve"> compared to biopsy was smaller than 1400€ per QALY.</w:t>
      </w:r>
    </w:p>
    <w:p w:rsidR="00CA3B86" w:rsidRPr="001339DB" w:rsidRDefault="00CA3B86" w:rsidP="00CA3B86">
      <w:pPr>
        <w:adjustRightInd w:val="0"/>
        <w:snapToGrid w:val="0"/>
        <w:spacing w:after="0" w:line="360" w:lineRule="auto"/>
        <w:ind w:firstLineChars="100" w:firstLine="240"/>
        <w:jc w:val="both"/>
        <w:rPr>
          <w:rFonts w:ascii="Book Antiqua" w:hAnsi="Book Antiqua"/>
          <w:sz w:val="24"/>
          <w:szCs w:val="24"/>
          <w:lang w:eastAsia="zh-CN"/>
        </w:rPr>
      </w:pPr>
    </w:p>
    <w:p w:rsidR="002A3C01" w:rsidRPr="00CA3B86" w:rsidRDefault="002A3C01" w:rsidP="001339DB">
      <w:pPr>
        <w:pStyle w:val="Heading2"/>
        <w:adjustRightInd w:val="0"/>
        <w:snapToGrid w:val="0"/>
        <w:spacing w:before="0" w:after="0" w:line="360" w:lineRule="auto"/>
        <w:jc w:val="both"/>
        <w:rPr>
          <w:rFonts w:ascii="Book Antiqua" w:hAnsi="Book Antiqua"/>
          <w:i/>
          <w:sz w:val="24"/>
          <w:szCs w:val="24"/>
        </w:rPr>
      </w:pPr>
      <w:r w:rsidRPr="00CA3B86">
        <w:rPr>
          <w:rFonts w:ascii="Book Antiqua" w:hAnsi="Book Antiqua"/>
          <w:i/>
          <w:sz w:val="24"/>
          <w:szCs w:val="24"/>
        </w:rPr>
        <w:t>Probabilistic sensitivity analysis results</w:t>
      </w:r>
    </w:p>
    <w:p w:rsidR="007E4D09" w:rsidRDefault="0011098C" w:rsidP="001339DB">
      <w:pPr>
        <w:adjustRightInd w:val="0"/>
        <w:snapToGrid w:val="0"/>
        <w:spacing w:after="0" w:line="360" w:lineRule="auto"/>
        <w:jc w:val="both"/>
        <w:rPr>
          <w:rFonts w:ascii="Book Antiqua" w:hAnsi="Book Antiqua"/>
          <w:sz w:val="24"/>
          <w:szCs w:val="24"/>
          <w:lang w:eastAsia="zh-CN"/>
        </w:rPr>
      </w:pPr>
      <w:r w:rsidRPr="001339DB">
        <w:rPr>
          <w:rFonts w:ascii="Book Antiqua" w:hAnsi="Book Antiqua"/>
          <w:sz w:val="24"/>
          <w:szCs w:val="24"/>
        </w:rPr>
        <w:t>Figure 4 presents cost-effectiveness acceptability curves</w:t>
      </w:r>
      <w:r w:rsidR="003827E7" w:rsidRPr="00CA3B86">
        <w:rPr>
          <w:rFonts w:ascii="Book Antiqua" w:hAnsi="Book Antiqua"/>
          <w:sz w:val="24"/>
          <w:szCs w:val="24"/>
          <w:vertAlign w:val="superscript"/>
        </w:rPr>
        <w:fldChar w:fldCharType="begin" w:fldLock="1"/>
      </w:r>
      <w:r w:rsidR="003A7F4C" w:rsidRPr="00CA3B86">
        <w:rPr>
          <w:rFonts w:ascii="Book Antiqua" w:hAnsi="Book Antiqua"/>
          <w:sz w:val="24"/>
          <w:szCs w:val="24"/>
          <w:vertAlign w:val="superscript"/>
        </w:rPr>
        <w:instrText>ADDIN CSL_CITATION { "citationItems" : [ { "id" : "ITEM-1", "itemData" : { "DOI" : "10.1002/hec.903", "ISBN" : "5", "ISSN" : "10579230", "PMID" : "15127421", "abstract" : "Cost-effectiveness acceptability curves (CEACs) have been widely adopted as a method to quantify and graphically represent uncertainty in economic evaluation studies of health-care technologies. However, there remain some common fallacies regarding the nature and shape of CEACs that largely result from the textbook illustration of the CEAC. This textbook CEAC shows a smooth curve starting at probability 0, with an asymptote to 1 for higher money values of the health outcome (). But this familiar ogive shape which makes the textbook CEAC look like a cumulative distribution function is just one special case of the CEAC. The reality is that the CEAC can take many shapes and turns because it is a graphic transformation from the cost-effectiveness plane, where the joint density of incremental costs and effects may straddle quadrants with attendant discontinuities and asymptotes. In fact CEACs: (i) do not have to cut the y-axis at 0; (ii) do not have to asymptote to 1; (iii) are not always monotonically increasing in ; and (iv) do not represent cumulative distribution functions (cdfs). Within this paper we present a gallery of CEACs in order to identify the fallacies and illustrate the facts surrounding the CEAC. The aim of the paper is to serve as a reference tool to accompany the increased use of CEACs within major medical journals.", "author" : [ { "dropping-particle" : "", "family" : "Fenwick", "given" : "Elisabeth", "non-dropping-particle" : "", "parse-names" : false, "suffix" : "" }, { "dropping-particle" : "", "family" : "O'Brien", "given" : "Bernie J.", "non-dropping-particle" : "", "parse-names" : false, "suffix" : "" }, { "dropping-particle" : "", "family" : "Briggs", "given" : "Andrew", "non-dropping-particle" : "", "parse-names" : false, "suffix" : "" } ], "container-title" : "Health Economics", "id" : "ITEM-1", "issue" : "5", "issued" : { "date-parts" : [ [ "2004" ] ] }, "page" : "405-415", "title" : "Cost-effectiveness acceptability curves - Facts, fallacies and frequently asked questions", "type" : "article-journal", "volume" : "13" }, "uris" : [ "http://www.mendeley.com/documents/?uuid=e1bede55-2a0f-4465-ab2f-81362ffd53e3" ] } ], "mendeley" : { "formattedCitation" : "[40]", "plainTextFormattedCitation" : "[40]", "previouslyFormattedCitation" : "[40]" }, "properties" : { "noteIndex" : 0 }, "schema" : "https://github.com/citation-style-language/schema/raw/master/csl-citation.json" }</w:instrText>
      </w:r>
      <w:r w:rsidR="003827E7" w:rsidRPr="00CA3B86">
        <w:rPr>
          <w:rFonts w:ascii="Book Antiqua" w:hAnsi="Book Antiqua"/>
          <w:sz w:val="24"/>
          <w:szCs w:val="24"/>
          <w:vertAlign w:val="superscript"/>
        </w:rPr>
        <w:fldChar w:fldCharType="separate"/>
      </w:r>
      <w:r w:rsidR="00823CC0" w:rsidRPr="00CA3B86">
        <w:rPr>
          <w:rFonts w:ascii="Book Antiqua" w:hAnsi="Book Antiqua"/>
          <w:noProof/>
          <w:sz w:val="24"/>
          <w:szCs w:val="24"/>
          <w:vertAlign w:val="superscript"/>
        </w:rPr>
        <w:t>[40]</w:t>
      </w:r>
      <w:r w:rsidR="003827E7" w:rsidRPr="00CA3B86">
        <w:rPr>
          <w:rFonts w:ascii="Book Antiqua" w:hAnsi="Book Antiqua"/>
          <w:sz w:val="24"/>
          <w:szCs w:val="24"/>
          <w:vertAlign w:val="superscript"/>
        </w:rPr>
        <w:fldChar w:fldCharType="end"/>
      </w:r>
      <w:r w:rsidR="007E4D09" w:rsidRPr="001339DB">
        <w:rPr>
          <w:rFonts w:ascii="Book Antiqua" w:hAnsi="Book Antiqua"/>
          <w:sz w:val="24"/>
          <w:szCs w:val="24"/>
        </w:rPr>
        <w:t xml:space="preserve"> for HCV and ALD</w:t>
      </w:r>
      <w:r w:rsidRPr="001339DB">
        <w:rPr>
          <w:rFonts w:ascii="Book Antiqua" w:hAnsi="Book Antiqua"/>
          <w:sz w:val="24"/>
          <w:szCs w:val="24"/>
        </w:rPr>
        <w:t>.</w:t>
      </w:r>
      <w:r w:rsidR="00C731E9">
        <w:rPr>
          <w:rFonts w:ascii="Book Antiqua" w:hAnsi="Book Antiqua"/>
          <w:sz w:val="24"/>
          <w:szCs w:val="24"/>
        </w:rPr>
        <w:t xml:space="preserve"> </w:t>
      </w:r>
      <w:r w:rsidR="007E4D09" w:rsidRPr="001339DB">
        <w:rPr>
          <w:rFonts w:ascii="Book Antiqua" w:hAnsi="Book Antiqua"/>
          <w:sz w:val="24"/>
          <w:szCs w:val="24"/>
        </w:rPr>
        <w:t>The figure shows the probability that sequential ELF</w:t>
      </w:r>
      <w:r w:rsidR="00167322" w:rsidRPr="001339DB">
        <w:rPr>
          <w:rFonts w:ascii="Book Antiqua" w:hAnsi="Book Antiqua"/>
          <w:sz w:val="24"/>
          <w:szCs w:val="24"/>
        </w:rPr>
        <w:t xml:space="preserve"> test</w:t>
      </w:r>
      <w:r w:rsidR="007E4D09" w:rsidRPr="001339DB">
        <w:rPr>
          <w:rFonts w:ascii="Book Antiqua" w:hAnsi="Book Antiqua"/>
          <w:sz w:val="24"/>
          <w:szCs w:val="24"/>
        </w:rPr>
        <w:t>/</w:t>
      </w:r>
      <w:r w:rsidR="003E32E4" w:rsidRPr="001339DB">
        <w:rPr>
          <w:rFonts w:ascii="Book Antiqua" w:hAnsi="Book Antiqua"/>
          <w:sz w:val="24"/>
          <w:szCs w:val="24"/>
        </w:rPr>
        <w:t>LSM</w:t>
      </w:r>
      <w:r w:rsidR="007E4D09" w:rsidRPr="001339DB">
        <w:rPr>
          <w:rFonts w:ascii="Book Antiqua" w:hAnsi="Book Antiqua"/>
          <w:sz w:val="24"/>
          <w:szCs w:val="24"/>
        </w:rPr>
        <w:t xml:space="preserve"> is cost-effective compared to biopsy at different </w:t>
      </w:r>
      <w:r w:rsidR="003B41AA" w:rsidRPr="001339DB">
        <w:rPr>
          <w:rFonts w:ascii="Book Antiqua" w:hAnsi="Book Antiqua"/>
          <w:sz w:val="24"/>
          <w:szCs w:val="24"/>
        </w:rPr>
        <w:t xml:space="preserve">levels of </w:t>
      </w:r>
      <w:r w:rsidR="007E4D09" w:rsidRPr="001339DB">
        <w:rPr>
          <w:rFonts w:ascii="Book Antiqua" w:hAnsi="Book Antiqua"/>
          <w:sz w:val="24"/>
          <w:szCs w:val="24"/>
        </w:rPr>
        <w:t xml:space="preserve">willingness-to-pay </w:t>
      </w:r>
      <w:r w:rsidR="0090444C" w:rsidRPr="001339DB">
        <w:rPr>
          <w:rFonts w:ascii="Book Antiqua" w:hAnsi="Book Antiqua"/>
          <w:sz w:val="24"/>
          <w:szCs w:val="24"/>
        </w:rPr>
        <w:t xml:space="preserve">(WTP) </w:t>
      </w:r>
      <w:r w:rsidR="007E4D09" w:rsidRPr="001339DB">
        <w:rPr>
          <w:rFonts w:ascii="Book Antiqua" w:hAnsi="Book Antiqua"/>
          <w:sz w:val="24"/>
          <w:szCs w:val="24"/>
        </w:rPr>
        <w:t>for one QALY.</w:t>
      </w:r>
      <w:r w:rsidR="00AE093F" w:rsidRPr="001339DB">
        <w:rPr>
          <w:rFonts w:ascii="Book Antiqua" w:hAnsi="Book Antiqua"/>
          <w:sz w:val="24"/>
          <w:szCs w:val="24"/>
        </w:rPr>
        <w:t xml:space="preserve"> At a </w:t>
      </w:r>
      <w:r w:rsidR="0090444C" w:rsidRPr="001339DB">
        <w:rPr>
          <w:rFonts w:ascii="Book Antiqua" w:hAnsi="Book Antiqua"/>
          <w:sz w:val="24"/>
          <w:szCs w:val="24"/>
        </w:rPr>
        <w:t>WTP</w:t>
      </w:r>
      <w:r w:rsidR="00544678" w:rsidRPr="001339DB">
        <w:rPr>
          <w:rFonts w:ascii="Book Antiqua" w:hAnsi="Book Antiqua"/>
          <w:sz w:val="24"/>
          <w:szCs w:val="24"/>
        </w:rPr>
        <w:t xml:space="preserve"> of 30</w:t>
      </w:r>
      <w:r w:rsidR="00076E4F" w:rsidRPr="001339DB">
        <w:rPr>
          <w:rFonts w:ascii="Book Antiqua" w:hAnsi="Book Antiqua"/>
          <w:sz w:val="24"/>
          <w:szCs w:val="24"/>
        </w:rPr>
        <w:t>,</w:t>
      </w:r>
      <w:r w:rsidR="00AE093F" w:rsidRPr="001339DB">
        <w:rPr>
          <w:rFonts w:ascii="Book Antiqua" w:hAnsi="Book Antiqua"/>
          <w:sz w:val="24"/>
          <w:szCs w:val="24"/>
        </w:rPr>
        <w:t>000€ per QALY</w:t>
      </w:r>
      <w:r w:rsidR="00076E4F" w:rsidRPr="001339DB">
        <w:rPr>
          <w:rFonts w:ascii="Book Antiqua" w:hAnsi="Book Antiqua"/>
          <w:sz w:val="24"/>
          <w:szCs w:val="24"/>
        </w:rPr>
        <w:t xml:space="preserve"> </w:t>
      </w:r>
      <w:r w:rsidR="00432ADF" w:rsidRPr="001339DB">
        <w:rPr>
          <w:rFonts w:ascii="Book Antiqua" w:hAnsi="Book Antiqua"/>
          <w:sz w:val="24"/>
          <w:szCs w:val="24"/>
        </w:rPr>
        <w:t xml:space="preserve">the probability that </w:t>
      </w:r>
      <w:r w:rsidR="00AE093F" w:rsidRPr="001339DB">
        <w:rPr>
          <w:rFonts w:ascii="Book Antiqua" w:hAnsi="Book Antiqua"/>
          <w:sz w:val="24"/>
          <w:szCs w:val="24"/>
        </w:rPr>
        <w:t>ELF</w:t>
      </w:r>
      <w:r w:rsidR="00167322" w:rsidRPr="001339DB">
        <w:rPr>
          <w:rFonts w:ascii="Book Antiqua" w:hAnsi="Book Antiqua"/>
          <w:sz w:val="24"/>
          <w:szCs w:val="24"/>
        </w:rPr>
        <w:t xml:space="preserve"> test</w:t>
      </w:r>
      <w:r w:rsidR="00AE093F" w:rsidRPr="001339DB">
        <w:rPr>
          <w:rFonts w:ascii="Book Antiqua" w:hAnsi="Book Antiqua"/>
          <w:sz w:val="24"/>
          <w:szCs w:val="24"/>
        </w:rPr>
        <w:t>/</w:t>
      </w:r>
      <w:r w:rsidR="003E32E4" w:rsidRPr="001339DB">
        <w:rPr>
          <w:rFonts w:ascii="Book Antiqua" w:hAnsi="Book Antiqua"/>
          <w:sz w:val="24"/>
          <w:szCs w:val="24"/>
        </w:rPr>
        <w:t>LSM</w:t>
      </w:r>
      <w:r w:rsidR="00AE093F" w:rsidRPr="001339DB">
        <w:rPr>
          <w:rFonts w:ascii="Book Antiqua" w:hAnsi="Book Antiqua"/>
          <w:sz w:val="24"/>
          <w:szCs w:val="24"/>
        </w:rPr>
        <w:t xml:space="preserve"> </w:t>
      </w:r>
      <w:r w:rsidR="00432ADF" w:rsidRPr="001339DB">
        <w:rPr>
          <w:rFonts w:ascii="Book Antiqua" w:hAnsi="Book Antiqua"/>
          <w:sz w:val="24"/>
          <w:szCs w:val="24"/>
        </w:rPr>
        <w:t xml:space="preserve">is cost-effective </w:t>
      </w:r>
      <w:r w:rsidR="00432ADF" w:rsidRPr="001339DB">
        <w:rPr>
          <w:rFonts w:ascii="Book Antiqua" w:hAnsi="Book Antiqua"/>
          <w:sz w:val="24"/>
          <w:szCs w:val="24"/>
        </w:rPr>
        <w:lastRenderedPageBreak/>
        <w:t xml:space="preserve">is </w:t>
      </w:r>
      <w:r w:rsidR="00462D30" w:rsidRPr="001339DB">
        <w:rPr>
          <w:rFonts w:ascii="Book Antiqua" w:hAnsi="Book Antiqua"/>
          <w:sz w:val="24"/>
          <w:szCs w:val="24"/>
        </w:rPr>
        <w:t>90.1%</w:t>
      </w:r>
      <w:r w:rsidR="00432ADF" w:rsidRPr="001339DB">
        <w:rPr>
          <w:rFonts w:ascii="Book Antiqua" w:hAnsi="Book Antiqua"/>
          <w:sz w:val="24"/>
          <w:szCs w:val="24"/>
        </w:rPr>
        <w:t xml:space="preserve"> and </w:t>
      </w:r>
      <w:r w:rsidR="00462D30" w:rsidRPr="001339DB">
        <w:rPr>
          <w:rFonts w:ascii="Book Antiqua" w:hAnsi="Book Antiqua"/>
          <w:sz w:val="24"/>
          <w:szCs w:val="24"/>
        </w:rPr>
        <w:t>&gt;</w:t>
      </w:r>
      <w:r w:rsidR="00CA3B86">
        <w:rPr>
          <w:rFonts w:ascii="Book Antiqua" w:hAnsi="Book Antiqua" w:hint="eastAsia"/>
          <w:sz w:val="24"/>
          <w:szCs w:val="24"/>
          <w:lang w:eastAsia="zh-CN"/>
        </w:rPr>
        <w:t xml:space="preserve"> </w:t>
      </w:r>
      <w:r w:rsidR="00432ADF" w:rsidRPr="001339DB">
        <w:rPr>
          <w:rFonts w:ascii="Book Antiqua" w:hAnsi="Book Antiqua"/>
          <w:sz w:val="24"/>
          <w:szCs w:val="24"/>
        </w:rPr>
        <w:t>99.</w:t>
      </w:r>
      <w:r w:rsidR="00462D30" w:rsidRPr="001339DB">
        <w:rPr>
          <w:rFonts w:ascii="Book Antiqua" w:hAnsi="Book Antiqua"/>
          <w:sz w:val="24"/>
          <w:szCs w:val="24"/>
        </w:rPr>
        <w:t>9</w:t>
      </w:r>
      <w:r w:rsidR="00432ADF" w:rsidRPr="001339DB">
        <w:rPr>
          <w:rFonts w:ascii="Book Antiqua" w:hAnsi="Book Antiqua"/>
          <w:sz w:val="24"/>
          <w:szCs w:val="24"/>
        </w:rPr>
        <w:t xml:space="preserve">% in HCV and ALD, respectively. </w:t>
      </w:r>
      <w:r w:rsidR="00D0188A" w:rsidRPr="001339DB">
        <w:rPr>
          <w:rFonts w:ascii="Book Antiqua" w:hAnsi="Book Antiqua"/>
          <w:sz w:val="24"/>
          <w:szCs w:val="24"/>
        </w:rPr>
        <w:t>For this last etiology group,</w:t>
      </w:r>
      <w:r w:rsidR="002617B3" w:rsidRPr="001339DB">
        <w:rPr>
          <w:rFonts w:ascii="Book Antiqua" w:hAnsi="Book Antiqua"/>
          <w:sz w:val="24"/>
          <w:szCs w:val="24"/>
        </w:rPr>
        <w:t xml:space="preserve"> ELF</w:t>
      </w:r>
      <w:r w:rsidR="00167322" w:rsidRPr="001339DB">
        <w:rPr>
          <w:rFonts w:ascii="Book Antiqua" w:hAnsi="Book Antiqua"/>
          <w:sz w:val="24"/>
          <w:szCs w:val="24"/>
        </w:rPr>
        <w:t xml:space="preserve"> test</w:t>
      </w:r>
      <w:r w:rsidR="002617B3" w:rsidRPr="001339DB">
        <w:rPr>
          <w:rFonts w:ascii="Book Antiqua" w:hAnsi="Book Antiqua"/>
          <w:sz w:val="24"/>
          <w:szCs w:val="24"/>
        </w:rPr>
        <w:t>/</w:t>
      </w:r>
      <w:r w:rsidR="003E32E4" w:rsidRPr="001339DB">
        <w:rPr>
          <w:rFonts w:ascii="Book Antiqua" w:hAnsi="Book Antiqua"/>
          <w:sz w:val="24"/>
          <w:szCs w:val="24"/>
        </w:rPr>
        <w:t>LSM</w:t>
      </w:r>
      <w:r w:rsidR="002617B3" w:rsidRPr="001339DB">
        <w:rPr>
          <w:rFonts w:ascii="Book Antiqua" w:hAnsi="Book Antiqua"/>
          <w:sz w:val="24"/>
          <w:szCs w:val="24"/>
        </w:rPr>
        <w:t xml:space="preserve"> is cost-effective</w:t>
      </w:r>
      <w:r w:rsidR="00462D30" w:rsidRPr="001339DB">
        <w:rPr>
          <w:rFonts w:ascii="Book Antiqua" w:hAnsi="Book Antiqua"/>
          <w:sz w:val="24"/>
          <w:szCs w:val="24"/>
        </w:rPr>
        <w:t xml:space="preserve"> with a probability</w:t>
      </w:r>
      <w:r w:rsidR="007D1CF2" w:rsidRPr="001339DB">
        <w:rPr>
          <w:rFonts w:ascii="Book Antiqua" w:hAnsi="Book Antiqua"/>
          <w:sz w:val="24"/>
          <w:szCs w:val="24"/>
        </w:rPr>
        <w:t xml:space="preserve"> </w:t>
      </w:r>
      <w:r w:rsidR="002617B3" w:rsidRPr="001339DB">
        <w:rPr>
          <w:rFonts w:ascii="Book Antiqua" w:hAnsi="Book Antiqua"/>
          <w:sz w:val="24"/>
          <w:szCs w:val="24"/>
        </w:rPr>
        <w:t>larger than 8</w:t>
      </w:r>
      <w:r w:rsidR="00462D30" w:rsidRPr="001339DB">
        <w:rPr>
          <w:rFonts w:ascii="Book Antiqua" w:hAnsi="Book Antiqua"/>
          <w:sz w:val="24"/>
          <w:szCs w:val="24"/>
        </w:rPr>
        <w:t>5</w:t>
      </w:r>
      <w:r w:rsidR="002617B3" w:rsidRPr="001339DB">
        <w:rPr>
          <w:rFonts w:ascii="Book Antiqua" w:hAnsi="Book Antiqua"/>
          <w:sz w:val="24"/>
          <w:szCs w:val="24"/>
        </w:rPr>
        <w:t>%</w:t>
      </w:r>
      <w:r w:rsidR="00F65C1D" w:rsidRPr="001339DB">
        <w:rPr>
          <w:rFonts w:ascii="Book Antiqua" w:hAnsi="Book Antiqua"/>
          <w:sz w:val="24"/>
          <w:szCs w:val="24"/>
        </w:rPr>
        <w:t xml:space="preserve"> </w:t>
      </w:r>
      <w:r w:rsidR="00D0188A" w:rsidRPr="001339DB">
        <w:rPr>
          <w:rFonts w:ascii="Book Antiqua" w:hAnsi="Book Antiqua"/>
          <w:sz w:val="24"/>
          <w:szCs w:val="24"/>
        </w:rPr>
        <w:t>at</w:t>
      </w:r>
      <w:r w:rsidR="002617B3" w:rsidRPr="001339DB">
        <w:rPr>
          <w:rFonts w:ascii="Book Antiqua" w:hAnsi="Book Antiqua"/>
          <w:sz w:val="24"/>
          <w:szCs w:val="24"/>
        </w:rPr>
        <w:t xml:space="preserve"> any </w:t>
      </w:r>
      <w:r w:rsidR="0090444C" w:rsidRPr="001339DB">
        <w:rPr>
          <w:rFonts w:ascii="Book Antiqua" w:hAnsi="Book Antiqua"/>
          <w:sz w:val="24"/>
          <w:szCs w:val="24"/>
        </w:rPr>
        <w:t>WTP</w:t>
      </w:r>
      <w:r w:rsidR="007D1CF2" w:rsidRPr="001339DB">
        <w:rPr>
          <w:rFonts w:ascii="Book Antiqua" w:hAnsi="Book Antiqua"/>
          <w:sz w:val="24"/>
          <w:szCs w:val="24"/>
        </w:rPr>
        <w:t>.</w:t>
      </w:r>
    </w:p>
    <w:p w:rsidR="00CA3B86" w:rsidRPr="001339DB" w:rsidRDefault="00CA3B86" w:rsidP="001339DB">
      <w:pPr>
        <w:adjustRightInd w:val="0"/>
        <w:snapToGrid w:val="0"/>
        <w:spacing w:after="0" w:line="360" w:lineRule="auto"/>
        <w:jc w:val="both"/>
        <w:rPr>
          <w:rFonts w:ascii="Book Antiqua" w:hAnsi="Book Antiqua"/>
          <w:sz w:val="24"/>
          <w:szCs w:val="24"/>
          <w:lang w:eastAsia="zh-CN"/>
        </w:rPr>
      </w:pPr>
    </w:p>
    <w:p w:rsidR="00E15934" w:rsidRPr="001339DB" w:rsidRDefault="00E15934" w:rsidP="001339DB">
      <w:pPr>
        <w:pStyle w:val="Heading1"/>
        <w:adjustRightInd w:val="0"/>
        <w:snapToGrid w:val="0"/>
        <w:spacing w:before="0" w:after="0" w:line="360" w:lineRule="auto"/>
        <w:jc w:val="both"/>
        <w:rPr>
          <w:rFonts w:ascii="Book Antiqua" w:hAnsi="Book Antiqua"/>
          <w:szCs w:val="24"/>
        </w:rPr>
      </w:pPr>
      <w:r w:rsidRPr="001339DB">
        <w:rPr>
          <w:rFonts w:ascii="Book Antiqua" w:hAnsi="Book Antiqua"/>
          <w:szCs w:val="24"/>
        </w:rPr>
        <w:t>Discussion</w:t>
      </w:r>
    </w:p>
    <w:p w:rsidR="00CD6CFA" w:rsidRPr="001339DB" w:rsidRDefault="0069162D" w:rsidP="001339DB">
      <w:pPr>
        <w:adjustRightInd w:val="0"/>
        <w:snapToGrid w:val="0"/>
        <w:spacing w:after="0" w:line="360" w:lineRule="auto"/>
        <w:jc w:val="both"/>
        <w:rPr>
          <w:rFonts w:ascii="Book Antiqua" w:hAnsi="Book Antiqua"/>
          <w:sz w:val="24"/>
          <w:szCs w:val="24"/>
        </w:rPr>
      </w:pPr>
      <w:r w:rsidRPr="001339DB">
        <w:rPr>
          <w:rFonts w:ascii="Book Antiqua" w:hAnsi="Book Antiqua"/>
          <w:sz w:val="24"/>
          <w:szCs w:val="24"/>
        </w:rPr>
        <w:t xml:space="preserve">To our knowledge, this is the first </w:t>
      </w:r>
      <w:r w:rsidR="00FD08C3" w:rsidRPr="001339DB">
        <w:rPr>
          <w:rFonts w:ascii="Book Antiqua" w:hAnsi="Book Antiqua"/>
          <w:sz w:val="24"/>
          <w:szCs w:val="24"/>
        </w:rPr>
        <w:t>study that estimates</w:t>
      </w:r>
      <w:r w:rsidRPr="001339DB">
        <w:rPr>
          <w:rFonts w:ascii="Book Antiqua" w:hAnsi="Book Antiqua"/>
          <w:sz w:val="24"/>
          <w:szCs w:val="24"/>
        </w:rPr>
        <w:t xml:space="preserve"> the cost-effecti</w:t>
      </w:r>
      <w:r w:rsidR="00D0188A" w:rsidRPr="001339DB">
        <w:rPr>
          <w:rFonts w:ascii="Book Antiqua" w:hAnsi="Book Antiqua"/>
          <w:sz w:val="24"/>
          <w:szCs w:val="24"/>
        </w:rPr>
        <w:t>veness of the sequential use of</w:t>
      </w:r>
      <w:r w:rsidRPr="001339DB">
        <w:rPr>
          <w:rFonts w:ascii="Book Antiqua" w:hAnsi="Book Antiqua"/>
          <w:sz w:val="24"/>
          <w:szCs w:val="24"/>
        </w:rPr>
        <w:t xml:space="preserve"> ELF</w:t>
      </w:r>
      <w:r w:rsidR="00167322" w:rsidRPr="001339DB">
        <w:rPr>
          <w:rFonts w:ascii="Book Antiqua" w:hAnsi="Book Antiqua"/>
          <w:sz w:val="24"/>
          <w:szCs w:val="24"/>
        </w:rPr>
        <w:t xml:space="preserve"> test</w:t>
      </w:r>
      <w:r w:rsidRPr="001339DB">
        <w:rPr>
          <w:rFonts w:ascii="Book Antiqua" w:hAnsi="Book Antiqua"/>
          <w:sz w:val="24"/>
          <w:szCs w:val="24"/>
        </w:rPr>
        <w:t>/</w:t>
      </w:r>
      <w:r w:rsidR="003E32E4" w:rsidRPr="001339DB">
        <w:rPr>
          <w:rFonts w:ascii="Book Antiqua" w:hAnsi="Book Antiqua"/>
          <w:sz w:val="24"/>
          <w:szCs w:val="24"/>
        </w:rPr>
        <w:t>LSM</w:t>
      </w:r>
      <w:r w:rsidRPr="001339DB">
        <w:rPr>
          <w:rFonts w:ascii="Book Antiqua" w:hAnsi="Book Antiqua"/>
          <w:sz w:val="24"/>
          <w:szCs w:val="24"/>
        </w:rPr>
        <w:t xml:space="preserve"> for the assessment of liver fibrosis.</w:t>
      </w:r>
      <w:r w:rsidR="002F7E65" w:rsidRPr="001339DB">
        <w:rPr>
          <w:rFonts w:ascii="Book Antiqua" w:hAnsi="Book Antiqua"/>
          <w:sz w:val="24"/>
          <w:szCs w:val="24"/>
        </w:rPr>
        <w:t xml:space="preserve"> </w:t>
      </w:r>
      <w:r w:rsidR="00AF638A" w:rsidRPr="001339DB">
        <w:rPr>
          <w:rFonts w:ascii="Book Antiqua" w:hAnsi="Book Antiqua"/>
          <w:sz w:val="24"/>
          <w:szCs w:val="24"/>
        </w:rPr>
        <w:t>Our findings</w:t>
      </w:r>
      <w:r w:rsidR="002F7E65" w:rsidRPr="001339DB">
        <w:rPr>
          <w:rFonts w:ascii="Book Antiqua" w:hAnsi="Book Antiqua"/>
          <w:sz w:val="24"/>
          <w:szCs w:val="24"/>
        </w:rPr>
        <w:t xml:space="preserve"> show</w:t>
      </w:r>
      <w:r w:rsidR="00AF638A" w:rsidRPr="001339DB">
        <w:rPr>
          <w:rFonts w:ascii="Book Antiqua" w:hAnsi="Book Antiqua"/>
          <w:sz w:val="24"/>
          <w:szCs w:val="24"/>
        </w:rPr>
        <w:t xml:space="preserve"> that </w:t>
      </w:r>
      <w:r w:rsidR="002F7E65" w:rsidRPr="001339DB">
        <w:rPr>
          <w:rFonts w:ascii="Book Antiqua" w:hAnsi="Book Antiqua"/>
          <w:sz w:val="24"/>
          <w:szCs w:val="24"/>
        </w:rPr>
        <w:t>ELF</w:t>
      </w:r>
      <w:r w:rsidR="00167322" w:rsidRPr="001339DB">
        <w:rPr>
          <w:rFonts w:ascii="Book Antiqua" w:hAnsi="Book Antiqua"/>
          <w:sz w:val="24"/>
          <w:szCs w:val="24"/>
        </w:rPr>
        <w:t xml:space="preserve"> test</w:t>
      </w:r>
      <w:r w:rsidR="002F7E65" w:rsidRPr="001339DB">
        <w:rPr>
          <w:rFonts w:ascii="Book Antiqua" w:hAnsi="Book Antiqua"/>
          <w:sz w:val="24"/>
          <w:szCs w:val="24"/>
        </w:rPr>
        <w:t>/</w:t>
      </w:r>
      <w:r w:rsidR="003E32E4" w:rsidRPr="001339DB">
        <w:rPr>
          <w:rFonts w:ascii="Book Antiqua" w:hAnsi="Book Antiqua"/>
          <w:sz w:val="24"/>
          <w:szCs w:val="24"/>
        </w:rPr>
        <w:t>LSM</w:t>
      </w:r>
      <w:r w:rsidR="002F7E65" w:rsidRPr="001339DB">
        <w:rPr>
          <w:rFonts w:ascii="Book Antiqua" w:hAnsi="Book Antiqua"/>
          <w:sz w:val="24"/>
          <w:szCs w:val="24"/>
        </w:rPr>
        <w:t xml:space="preserve"> is a cost-effective strategy</w:t>
      </w:r>
      <w:r w:rsidR="00AF638A" w:rsidRPr="001339DB">
        <w:rPr>
          <w:rFonts w:ascii="Book Antiqua" w:hAnsi="Book Antiqua"/>
          <w:sz w:val="24"/>
          <w:szCs w:val="24"/>
        </w:rPr>
        <w:t xml:space="preserve"> </w:t>
      </w:r>
      <w:r w:rsidR="00762187" w:rsidRPr="001339DB">
        <w:rPr>
          <w:rFonts w:ascii="Book Antiqua" w:hAnsi="Book Antiqua"/>
          <w:sz w:val="24"/>
          <w:szCs w:val="24"/>
        </w:rPr>
        <w:t>for</w:t>
      </w:r>
      <w:r w:rsidR="00AF638A" w:rsidRPr="001339DB">
        <w:rPr>
          <w:rFonts w:ascii="Book Antiqua" w:hAnsi="Book Antiqua"/>
          <w:sz w:val="24"/>
          <w:szCs w:val="24"/>
        </w:rPr>
        <w:t xml:space="preserve"> a </w:t>
      </w:r>
      <w:r w:rsidR="0090444C" w:rsidRPr="001339DB">
        <w:rPr>
          <w:rFonts w:ascii="Book Antiqua" w:hAnsi="Book Antiqua"/>
          <w:sz w:val="24"/>
          <w:szCs w:val="24"/>
        </w:rPr>
        <w:t>WTP</w:t>
      </w:r>
      <w:r w:rsidR="00AF638A" w:rsidRPr="001339DB">
        <w:rPr>
          <w:rFonts w:ascii="Book Antiqua" w:hAnsi="Book Antiqua"/>
          <w:sz w:val="24"/>
          <w:szCs w:val="24"/>
        </w:rPr>
        <w:t xml:space="preserve"> of 30</w:t>
      </w:r>
      <w:r w:rsidR="002F7E65" w:rsidRPr="001339DB">
        <w:rPr>
          <w:rFonts w:ascii="Book Antiqua" w:hAnsi="Book Antiqua"/>
          <w:sz w:val="24"/>
          <w:szCs w:val="24"/>
        </w:rPr>
        <w:t>000</w:t>
      </w:r>
      <w:r w:rsidR="00AF638A" w:rsidRPr="001339DB">
        <w:rPr>
          <w:rFonts w:ascii="Book Antiqua" w:hAnsi="Book Antiqua"/>
          <w:sz w:val="24"/>
          <w:szCs w:val="24"/>
        </w:rPr>
        <w:t>€</w:t>
      </w:r>
      <w:r w:rsidR="00B75E4D" w:rsidRPr="001339DB">
        <w:rPr>
          <w:rFonts w:ascii="Book Antiqua" w:hAnsi="Book Antiqua"/>
          <w:sz w:val="24"/>
          <w:szCs w:val="24"/>
        </w:rPr>
        <w:t xml:space="preserve"> per QALY</w:t>
      </w:r>
      <w:r w:rsidR="002F7E65" w:rsidRPr="001339DB">
        <w:rPr>
          <w:rFonts w:ascii="Book Antiqua" w:hAnsi="Book Antiqua"/>
          <w:sz w:val="24"/>
          <w:szCs w:val="24"/>
        </w:rPr>
        <w:t xml:space="preserve">, </w:t>
      </w:r>
      <w:r w:rsidR="00AF638A" w:rsidRPr="001339DB">
        <w:rPr>
          <w:rFonts w:ascii="Book Antiqua" w:hAnsi="Book Antiqua"/>
          <w:sz w:val="24"/>
          <w:szCs w:val="24"/>
        </w:rPr>
        <w:t xml:space="preserve">the </w:t>
      </w:r>
      <w:r w:rsidR="002F7E65" w:rsidRPr="001339DB">
        <w:rPr>
          <w:rFonts w:ascii="Book Antiqua" w:hAnsi="Book Antiqua"/>
          <w:sz w:val="24"/>
          <w:szCs w:val="24"/>
        </w:rPr>
        <w:t>cost-</w:t>
      </w:r>
      <w:r w:rsidR="00AF638A" w:rsidRPr="001339DB">
        <w:rPr>
          <w:rFonts w:ascii="Book Antiqua" w:hAnsi="Book Antiqua"/>
          <w:sz w:val="24"/>
          <w:szCs w:val="24"/>
        </w:rPr>
        <w:t>effectiveness threshold</w:t>
      </w:r>
      <w:r w:rsidR="00B75E4D" w:rsidRPr="001339DB">
        <w:rPr>
          <w:rFonts w:ascii="Book Antiqua" w:hAnsi="Book Antiqua"/>
          <w:sz w:val="24"/>
          <w:szCs w:val="24"/>
        </w:rPr>
        <w:t xml:space="preserve"> </w:t>
      </w:r>
      <w:r w:rsidR="00610A60" w:rsidRPr="001339DB">
        <w:rPr>
          <w:rFonts w:ascii="Book Antiqua" w:hAnsi="Book Antiqua"/>
          <w:sz w:val="24"/>
          <w:szCs w:val="24"/>
        </w:rPr>
        <w:t>commonly used</w:t>
      </w:r>
      <w:r w:rsidR="002F7E65" w:rsidRPr="001339DB">
        <w:rPr>
          <w:rFonts w:ascii="Book Antiqua" w:hAnsi="Book Antiqua"/>
          <w:sz w:val="24"/>
          <w:szCs w:val="24"/>
        </w:rPr>
        <w:t xml:space="preserve"> in</w:t>
      </w:r>
      <w:r w:rsidR="00AF638A" w:rsidRPr="001339DB">
        <w:rPr>
          <w:rFonts w:ascii="Book Antiqua" w:hAnsi="Book Antiqua"/>
          <w:sz w:val="24"/>
          <w:szCs w:val="24"/>
        </w:rPr>
        <w:t xml:space="preserve"> Spain</w:t>
      </w:r>
      <w:r w:rsidR="003827E7" w:rsidRPr="00CA3B86">
        <w:rPr>
          <w:rFonts w:ascii="Book Antiqua" w:hAnsi="Book Antiqua"/>
          <w:sz w:val="24"/>
          <w:szCs w:val="24"/>
          <w:vertAlign w:val="superscript"/>
        </w:rPr>
        <w:fldChar w:fldCharType="begin" w:fldLock="1"/>
      </w:r>
      <w:r w:rsidR="003A7F4C" w:rsidRPr="00CA3B86">
        <w:rPr>
          <w:rFonts w:ascii="Book Antiqua" w:hAnsi="Book Antiqua"/>
          <w:sz w:val="24"/>
          <w:szCs w:val="24"/>
          <w:vertAlign w:val="superscript"/>
        </w:rPr>
        <w:instrText>ADDIN CSL_CITATION { "citationItems" : [ { "id" : "ITEM-1", "itemData" : { "DOI" : "10.1016/S0213-9111(02)71933-X", "ISSN" : "02139111", "abstract" : "Introducci\u00a2n : A pesar del creciente reconocimiento de la potencial utilidad de los estudios de coste-efectividad, en Espa\u00a4a no existe ning\u00a3n criterio que permita establecer si una determinada tecnolog\u00a1a sanitaria puede considerarse rentable o no. El objetivo de este trabajo es describir cu les han sido los l\u00a1mites y criterios utilizados en Espa\u00a4a para recomendar la adopci\u00a2n o el rechazo de intervenciones sanitarias en Funci\u00f3n de su coste-efectividad. M\u201atodo : Se realiz\u00a2 una revisi\u00a2n de las evaluaciones econ\u00a2micas de intervenciones sanitarias publicadas en Espa\u00a4a desde 1990 hasta 2001. Se seleccionaron las evaluaciones econ\u00a2micas completas en las que el cociente coste-efectividad se hab\u00a1a expresado como coste por a\u00f1o de vida ganado (AVG), como coste por a\u00f1o de vida ajustado por calidad (AVAC) o como coste por vida salvada. Se analizaron las intervenciones sobre las que los autores establecieron alg\u00a3n tipo de recomendaci\u00a2n (de adopci\u00a2n o rechazo), as\u00a1 como los criterios utilizados. Resultados : Veinte (20%) de las 100 evaluaciones econ\u00a2micas completas publicadas cumplieron con los criterios se\u00a4alados. En 16 de los estudios, los resultados se expresaron como coste por AVG, en 6 como coste por AVAC y en 1 como coste por vida salvada. Se evaluaron un total de 82 intervenciones sanitarias, en 44 de las cuales se realiz\u00a2 alg\u00a3n tipo de recomendaci\u00a2n. Los autores recomendaron la adopci\u00a2n de todas las intervenciones sanitarias con un coste-efectividad inferior a 30.000 euros (5 millones de pesetas) por AVG. Por encima de esa cifra no se apreci\u00a2 ninguna tendencia. Conclusiones : Si bien los resultados deben ser interpretados con mucha precauci\u00a2n, dadas las limitaciones del estudio, los l\u00a1mites de coste-efectividad presentados en este trabajo podr\u00a1an constituir una primera referencia a lo que podr\u00a1a considerarse como una intervenci\u00a2n sanitaria eficiente en Espa\u00a4a. Introduction : Despite the growing recognition of the potential applications of cost-effectiveness assessments, a criterion to establish what is an efficient health technology does not exist in Spain. The objective of this work is to describe the limits and the criteria used in Spain to recommend the adoption of health interventions. Method : A review of the economic evaluations of health technologies published in Spain from 1990 to 2001 was conducted. Complete economic assessments in which the cost-effectiveness ratio was expressed as cost per life-year gained (LYG), cost per quality-adjusted-life-year \u2026", "author" : [ { "dropping-particle" : "", "family" : "Sacrist\u00e1n", "given" : "J.a.", "non-dropping-particle" : "", "parse-names" : false, "suffix" : "" }, { "dropping-particle" : "", "family" : "Oliva", "given" : "J.", "non-dropping-particle" : "", "parse-names" : false, "suffix" : "" }, { "dropping-particle" : "", "family" : "Llano", "given" : "J.", "non-dropping-particle" : "Del", "parse-names" : false, "suffix" : "" }, { "dropping-particle" : "", "family" : "Prieto", "given" : "L.", "non-dropping-particle" : "", "parse-names" : false, "suffix" : "" }, { "dropping-particle" : "", "family" : "Pinto", "given" : "J.L.", "non-dropping-particle" : "", "parse-names" : false, "suffix" : "" } ], "container-title" : "Gaceta Sanitaria", "id" : "ITEM-1", "issue" : "4", "issued" : { "date-parts" : [ [ "2002" ] ] }, "page" : "334-343", "title" : "\u00bfQu\u00e9 es una tecnolog\u00eda sanitaria eficiente en Espa\u00f1a?", "type" : "article-journal", "volume" : "16" }, "uris" : [ "http://www.mendeley.com/documents/?uuid=04586792-f620-41b0-8836-48aafa649589" ] } ], "mendeley" : { "formattedCitation" : "[41]", "plainTextFormattedCitation" : "[41]", "previouslyFormattedCitation" : "[41]" }, "properties" : { "noteIndex" : 0 }, "schema" : "https://github.com/citation-style-language/schema/raw/master/csl-citation.json" }</w:instrText>
      </w:r>
      <w:r w:rsidR="003827E7" w:rsidRPr="00CA3B86">
        <w:rPr>
          <w:rFonts w:ascii="Book Antiqua" w:hAnsi="Book Antiqua"/>
          <w:sz w:val="24"/>
          <w:szCs w:val="24"/>
          <w:vertAlign w:val="superscript"/>
        </w:rPr>
        <w:fldChar w:fldCharType="separate"/>
      </w:r>
      <w:r w:rsidR="00823CC0" w:rsidRPr="00CA3B86">
        <w:rPr>
          <w:rFonts w:ascii="Book Antiqua" w:hAnsi="Book Antiqua"/>
          <w:noProof/>
          <w:sz w:val="24"/>
          <w:szCs w:val="24"/>
          <w:vertAlign w:val="superscript"/>
        </w:rPr>
        <w:t>[41]</w:t>
      </w:r>
      <w:r w:rsidR="003827E7" w:rsidRPr="00CA3B86">
        <w:rPr>
          <w:rFonts w:ascii="Book Antiqua" w:hAnsi="Book Antiqua"/>
          <w:sz w:val="24"/>
          <w:szCs w:val="24"/>
          <w:vertAlign w:val="superscript"/>
        </w:rPr>
        <w:fldChar w:fldCharType="end"/>
      </w:r>
      <w:r w:rsidR="00C67D69" w:rsidRPr="001339DB">
        <w:rPr>
          <w:rFonts w:ascii="Book Antiqua" w:hAnsi="Book Antiqua"/>
          <w:sz w:val="24"/>
          <w:szCs w:val="24"/>
        </w:rPr>
        <w:t>.</w:t>
      </w:r>
      <w:r w:rsidR="002F7E65" w:rsidRPr="001339DB">
        <w:rPr>
          <w:rFonts w:ascii="Book Antiqua" w:hAnsi="Book Antiqua"/>
          <w:sz w:val="24"/>
          <w:szCs w:val="24"/>
        </w:rPr>
        <w:t xml:space="preserve"> </w:t>
      </w:r>
      <w:r w:rsidR="00762187" w:rsidRPr="001339DB">
        <w:rPr>
          <w:rFonts w:ascii="Book Antiqua" w:hAnsi="Book Antiqua"/>
          <w:sz w:val="24"/>
          <w:szCs w:val="24"/>
        </w:rPr>
        <w:t>At</w:t>
      </w:r>
      <w:r w:rsidR="00CD6CFA" w:rsidRPr="001339DB">
        <w:rPr>
          <w:rFonts w:ascii="Book Antiqua" w:hAnsi="Book Antiqua"/>
          <w:sz w:val="24"/>
          <w:szCs w:val="24"/>
        </w:rPr>
        <w:t xml:space="preserve"> this threshold, the net</w:t>
      </w:r>
      <w:r w:rsidR="00762187" w:rsidRPr="001339DB">
        <w:rPr>
          <w:rFonts w:ascii="Book Antiqua" w:hAnsi="Book Antiqua"/>
          <w:sz w:val="24"/>
          <w:szCs w:val="24"/>
        </w:rPr>
        <w:t xml:space="preserve"> health</w:t>
      </w:r>
      <w:r w:rsidR="00CD6CFA" w:rsidRPr="001339DB">
        <w:rPr>
          <w:rFonts w:ascii="Book Antiqua" w:hAnsi="Book Antiqua"/>
          <w:sz w:val="24"/>
          <w:szCs w:val="24"/>
        </w:rPr>
        <w:t xml:space="preserve"> benefit</w:t>
      </w:r>
      <w:r w:rsidR="003827E7" w:rsidRPr="00CA3B86">
        <w:rPr>
          <w:rFonts w:ascii="Book Antiqua" w:hAnsi="Book Antiqua"/>
          <w:sz w:val="24"/>
          <w:szCs w:val="24"/>
          <w:vertAlign w:val="superscript"/>
        </w:rPr>
        <w:fldChar w:fldCharType="begin" w:fldLock="1"/>
      </w:r>
      <w:r w:rsidR="003A7F4C" w:rsidRPr="00CA3B86">
        <w:rPr>
          <w:rFonts w:ascii="Book Antiqua" w:hAnsi="Book Antiqua"/>
          <w:sz w:val="24"/>
          <w:szCs w:val="24"/>
          <w:vertAlign w:val="superscript"/>
        </w:rPr>
        <w:instrText>ADDIN CSL_CITATION { "citationItems" : [ { "id" : "ITEM-1", "itemData" : { "DOI" : "10.2165/00019053-200321010-00003", "ISBN" : "1170-7690 (Print)\\r1170-7690 (Linking)", "ISSN" : "11707690", "PMID" : "12484802", "abstract" : "No consensus has yet been reached on how to analyse uncertainty in economic evaluation studies where individual patient data are available for costs and health effects. This paper summarises the available results regarding the analysis of uncertainty on the cost-effectiveness plane and argues for using the net-benefit approach when analysing uncertainty in cost-effectiveness studies. The net-benefit approach avoids the interpretation and statistical problems related to the incremental cost effectiveness ratio and implies several advantages. First, traditional statistical methods can be used for confidence-interval estimation and hypothesis testing. Second, calculation of the optimal sample size and the power of the study are facilitated allowing the correlation between costs and effects to vary within and between patient groups. Third, the use of a Bayesian approach to cost-effectiveness analysis is facilitated. Fourth, a formal relation between cost-effectiveness acceptability curves and statistical inference is provided. Finally, the net-benefit approach gives the Fieller's limits of the confidence interval for the incremental cost-effectiveness ratio in the cost-effectiveness plane. Based on these advantages the net-benefit approach should strongly be considered when analysing uncertainty in cost-effectiveness analyses.", "author" : [ { "dropping-particle" : "", "family" : "Zethraeus", "given" : "Niklas", "non-dropping-particle" : "", "parse-names" : false, "suffix" : "" }, { "dropping-particle" : "", "family" : "Johannesson", "given" : "Magnus", "non-dropping-particle" : "", "parse-names" : false, "suffix" : "" }, { "dropping-particle" : "", "family" : "J\u00f6nsson", "given" : "Bengt", "non-dropping-particle" : "", "parse-names" : false, "suffix" : "" }, { "dropping-particle" : "", "family" : "L\u00f6thgren", "given" : "Mickael", "non-dropping-particle" : "", "parse-names" : false, "suffix" : "" }, { "dropping-particle" : "", "family" : "Tambour", "given" : "Magnus", "non-dropping-particle" : "", "parse-names" : false, "suffix" : "" } ], "container-title" : "PharmacoEconomics", "id" : "ITEM-1", "issue" : "1", "issued" : { "date-parts" : [ [ "2003" ] ] }, "page" : "39-48", "title" : "Advantages of using the net-benefit approach for analysing uncertainty in economic evaluation studies", "type" : "article-journal", "volume" : "21" }, "uris" : [ "http://www.mendeley.com/documents/?uuid=9a03a404-b421-4ada-9540-311da4166d0e" ] } ], "mendeley" : { "formattedCitation" : "[42]", "plainTextFormattedCitation" : "[42]", "previouslyFormattedCitation" : "[42]" }, "properties" : { "noteIndex" : 0 }, "schema" : "https://github.com/citation-style-language/schema/raw/master/csl-citation.json" }</w:instrText>
      </w:r>
      <w:r w:rsidR="003827E7" w:rsidRPr="00CA3B86">
        <w:rPr>
          <w:rFonts w:ascii="Book Antiqua" w:hAnsi="Book Antiqua"/>
          <w:sz w:val="24"/>
          <w:szCs w:val="24"/>
          <w:vertAlign w:val="superscript"/>
        </w:rPr>
        <w:fldChar w:fldCharType="separate"/>
      </w:r>
      <w:r w:rsidR="00823CC0" w:rsidRPr="00CA3B86">
        <w:rPr>
          <w:rFonts w:ascii="Book Antiqua" w:hAnsi="Book Antiqua"/>
          <w:noProof/>
          <w:sz w:val="24"/>
          <w:szCs w:val="24"/>
          <w:vertAlign w:val="superscript"/>
        </w:rPr>
        <w:t>[42]</w:t>
      </w:r>
      <w:r w:rsidR="003827E7" w:rsidRPr="00CA3B86">
        <w:rPr>
          <w:rFonts w:ascii="Book Antiqua" w:hAnsi="Book Antiqua"/>
          <w:sz w:val="24"/>
          <w:szCs w:val="24"/>
          <w:vertAlign w:val="superscript"/>
        </w:rPr>
        <w:fldChar w:fldCharType="end"/>
      </w:r>
      <w:r w:rsidR="00CD6CFA" w:rsidRPr="00CA3B86">
        <w:rPr>
          <w:rFonts w:ascii="Book Antiqua" w:hAnsi="Book Antiqua"/>
          <w:sz w:val="24"/>
          <w:szCs w:val="24"/>
          <w:vertAlign w:val="superscript"/>
        </w:rPr>
        <w:t xml:space="preserve"> </w:t>
      </w:r>
      <w:r w:rsidR="0090444C" w:rsidRPr="001339DB">
        <w:rPr>
          <w:rFonts w:ascii="Book Antiqua" w:hAnsi="Book Antiqua"/>
          <w:sz w:val="24"/>
          <w:szCs w:val="24"/>
        </w:rPr>
        <w:t xml:space="preserve">of </w:t>
      </w:r>
      <w:r w:rsidR="00CD6CFA" w:rsidRPr="001339DB">
        <w:rPr>
          <w:rFonts w:ascii="Book Antiqua" w:hAnsi="Book Antiqua"/>
          <w:sz w:val="24"/>
          <w:szCs w:val="24"/>
        </w:rPr>
        <w:t>ELF</w:t>
      </w:r>
      <w:r w:rsidR="00167322" w:rsidRPr="001339DB">
        <w:rPr>
          <w:rFonts w:ascii="Book Antiqua" w:hAnsi="Book Antiqua"/>
          <w:sz w:val="24"/>
          <w:szCs w:val="24"/>
        </w:rPr>
        <w:t xml:space="preserve"> test</w:t>
      </w:r>
      <w:r w:rsidR="00CD6CFA" w:rsidRPr="001339DB">
        <w:rPr>
          <w:rFonts w:ascii="Book Antiqua" w:hAnsi="Book Antiqua"/>
          <w:sz w:val="24"/>
          <w:szCs w:val="24"/>
        </w:rPr>
        <w:t>/</w:t>
      </w:r>
      <w:r w:rsidR="003E32E4" w:rsidRPr="001339DB">
        <w:rPr>
          <w:rFonts w:ascii="Book Antiqua" w:hAnsi="Book Antiqua"/>
          <w:sz w:val="24"/>
          <w:szCs w:val="24"/>
        </w:rPr>
        <w:t>LSM</w:t>
      </w:r>
      <w:r w:rsidR="00CD6CFA" w:rsidRPr="001339DB">
        <w:rPr>
          <w:rFonts w:ascii="Book Antiqua" w:hAnsi="Book Antiqua"/>
          <w:sz w:val="24"/>
          <w:szCs w:val="24"/>
        </w:rPr>
        <w:t xml:space="preserve"> compared to biopsy is 17526€</w:t>
      </w:r>
      <w:r w:rsidR="0090444C" w:rsidRPr="001339DB">
        <w:rPr>
          <w:rFonts w:ascii="Book Antiqua" w:hAnsi="Book Antiqua"/>
          <w:sz w:val="24"/>
          <w:szCs w:val="24"/>
        </w:rPr>
        <w:t xml:space="preserve"> and 39450€ per HCV and ALD patient, respectively.</w:t>
      </w:r>
      <w:r w:rsidR="00221E9B" w:rsidRPr="001339DB">
        <w:rPr>
          <w:rFonts w:ascii="Book Antiqua" w:hAnsi="Book Antiqua"/>
          <w:sz w:val="24"/>
          <w:szCs w:val="24"/>
        </w:rPr>
        <w:t xml:space="preserve"> </w:t>
      </w:r>
      <w:r w:rsidR="00E51712" w:rsidRPr="001339DB">
        <w:rPr>
          <w:rFonts w:ascii="Book Antiqua" w:hAnsi="Book Antiqua"/>
          <w:sz w:val="24"/>
          <w:szCs w:val="24"/>
        </w:rPr>
        <w:t>The probabilistic sensitivity analysis showed that the results were robust.</w:t>
      </w:r>
    </w:p>
    <w:p w:rsidR="00C733A0" w:rsidRPr="001339DB" w:rsidRDefault="00383D3D" w:rsidP="00CA3B86">
      <w:pPr>
        <w:adjustRightInd w:val="0"/>
        <w:snapToGrid w:val="0"/>
        <w:spacing w:after="0" w:line="360" w:lineRule="auto"/>
        <w:ind w:firstLineChars="100" w:firstLine="240"/>
        <w:jc w:val="both"/>
        <w:rPr>
          <w:rFonts w:ascii="Book Antiqua" w:hAnsi="Book Antiqua"/>
          <w:sz w:val="24"/>
          <w:szCs w:val="24"/>
        </w:rPr>
      </w:pPr>
      <w:r w:rsidRPr="001339DB">
        <w:rPr>
          <w:rFonts w:ascii="Book Antiqua" w:hAnsi="Book Antiqua"/>
          <w:sz w:val="24"/>
          <w:szCs w:val="24"/>
        </w:rPr>
        <w:t>P</w:t>
      </w:r>
      <w:r w:rsidR="0069162D" w:rsidRPr="001339DB">
        <w:rPr>
          <w:rFonts w:ascii="Book Antiqua" w:hAnsi="Book Antiqua"/>
          <w:sz w:val="24"/>
          <w:szCs w:val="24"/>
        </w:rPr>
        <w:t xml:space="preserve">revious </w:t>
      </w:r>
      <w:r w:rsidRPr="001339DB">
        <w:rPr>
          <w:rFonts w:ascii="Book Antiqua" w:hAnsi="Book Antiqua"/>
          <w:sz w:val="24"/>
          <w:szCs w:val="24"/>
        </w:rPr>
        <w:t>research</w:t>
      </w:r>
      <w:r w:rsidR="0069162D" w:rsidRPr="001339DB">
        <w:rPr>
          <w:rFonts w:ascii="Book Antiqua" w:hAnsi="Book Antiqua"/>
          <w:sz w:val="24"/>
          <w:szCs w:val="24"/>
        </w:rPr>
        <w:t xml:space="preserve"> </w:t>
      </w:r>
      <w:r w:rsidR="00D0188A" w:rsidRPr="001339DB">
        <w:rPr>
          <w:rFonts w:ascii="Book Antiqua" w:hAnsi="Book Antiqua"/>
          <w:sz w:val="24"/>
          <w:szCs w:val="24"/>
        </w:rPr>
        <w:t>for HCV patients in the UK</w:t>
      </w:r>
      <w:r w:rsidR="0069162D" w:rsidRPr="001339DB">
        <w:rPr>
          <w:rFonts w:ascii="Book Antiqua" w:hAnsi="Book Antiqua"/>
          <w:sz w:val="24"/>
          <w:szCs w:val="24"/>
        </w:rPr>
        <w:t xml:space="preserve"> show</w:t>
      </w:r>
      <w:r w:rsidR="00803267" w:rsidRPr="001339DB">
        <w:rPr>
          <w:rFonts w:ascii="Book Antiqua" w:hAnsi="Book Antiqua"/>
          <w:sz w:val="24"/>
          <w:szCs w:val="24"/>
        </w:rPr>
        <w:t>ed</w:t>
      </w:r>
      <w:r w:rsidR="0069162D" w:rsidRPr="001339DB">
        <w:rPr>
          <w:rFonts w:ascii="Book Antiqua" w:hAnsi="Book Antiqua"/>
          <w:sz w:val="24"/>
          <w:szCs w:val="24"/>
        </w:rPr>
        <w:t xml:space="preserve"> that tre</w:t>
      </w:r>
      <w:r w:rsidR="00D0188A" w:rsidRPr="001339DB">
        <w:rPr>
          <w:rFonts w:ascii="Book Antiqua" w:hAnsi="Book Antiqua"/>
          <w:sz w:val="24"/>
          <w:szCs w:val="24"/>
        </w:rPr>
        <w:t xml:space="preserve">atment with </w:t>
      </w:r>
      <w:r w:rsidR="00A055B4" w:rsidRPr="001339DB">
        <w:rPr>
          <w:rFonts w:ascii="Book Antiqua" w:hAnsi="Book Antiqua"/>
          <w:sz w:val="24"/>
          <w:szCs w:val="24"/>
        </w:rPr>
        <w:t>antiviral</w:t>
      </w:r>
      <w:r w:rsidR="00D0188A" w:rsidRPr="001339DB">
        <w:rPr>
          <w:rFonts w:ascii="Book Antiqua" w:hAnsi="Book Antiqua"/>
          <w:sz w:val="24"/>
          <w:szCs w:val="24"/>
        </w:rPr>
        <w:t xml:space="preserve"> agent</w:t>
      </w:r>
      <w:r w:rsidR="0069162D" w:rsidRPr="001339DB">
        <w:rPr>
          <w:rFonts w:ascii="Book Antiqua" w:hAnsi="Book Antiqua"/>
          <w:sz w:val="24"/>
          <w:szCs w:val="24"/>
        </w:rPr>
        <w:t xml:space="preserve">s </w:t>
      </w:r>
      <w:r w:rsidR="007269D0" w:rsidRPr="001339DB">
        <w:rPr>
          <w:rFonts w:ascii="Book Antiqua" w:hAnsi="Book Antiqua"/>
          <w:sz w:val="24"/>
          <w:szCs w:val="24"/>
        </w:rPr>
        <w:t xml:space="preserve">without </w:t>
      </w:r>
      <w:r w:rsidR="00093CC7" w:rsidRPr="001339DB">
        <w:rPr>
          <w:rFonts w:ascii="Book Antiqua" w:hAnsi="Book Antiqua"/>
          <w:sz w:val="24"/>
          <w:szCs w:val="24"/>
        </w:rPr>
        <w:t xml:space="preserve">liver </w:t>
      </w:r>
      <w:r w:rsidR="007269D0" w:rsidRPr="001339DB">
        <w:rPr>
          <w:rFonts w:ascii="Book Antiqua" w:hAnsi="Book Antiqua"/>
          <w:sz w:val="24"/>
          <w:szCs w:val="24"/>
        </w:rPr>
        <w:t xml:space="preserve">testing </w:t>
      </w:r>
      <w:r w:rsidR="004A12D8" w:rsidRPr="001339DB">
        <w:rPr>
          <w:rFonts w:ascii="Book Antiqua" w:hAnsi="Book Antiqua"/>
          <w:sz w:val="24"/>
          <w:szCs w:val="24"/>
        </w:rPr>
        <w:t>wa</w:t>
      </w:r>
      <w:r w:rsidR="0069162D" w:rsidRPr="001339DB">
        <w:rPr>
          <w:rFonts w:ascii="Book Antiqua" w:hAnsi="Book Antiqua"/>
          <w:sz w:val="24"/>
          <w:szCs w:val="24"/>
        </w:rPr>
        <w:t xml:space="preserve">s the most cost-effective strategy to </w:t>
      </w:r>
      <w:r w:rsidR="00803267" w:rsidRPr="001339DB">
        <w:rPr>
          <w:rFonts w:ascii="Book Antiqua" w:hAnsi="Book Antiqua"/>
          <w:sz w:val="24"/>
          <w:szCs w:val="24"/>
        </w:rPr>
        <w:t>reduce</w:t>
      </w:r>
      <w:r w:rsidR="0069162D" w:rsidRPr="001339DB">
        <w:rPr>
          <w:rFonts w:ascii="Book Antiqua" w:hAnsi="Book Antiqua"/>
          <w:sz w:val="24"/>
          <w:szCs w:val="24"/>
        </w:rPr>
        <w:t xml:space="preserve"> liver fibrosis occurrence and progression</w:t>
      </w:r>
      <w:r w:rsidR="003827E7" w:rsidRPr="00CA3B86">
        <w:rPr>
          <w:rFonts w:ascii="Book Antiqua" w:hAnsi="Book Antiqua"/>
          <w:sz w:val="24"/>
          <w:szCs w:val="24"/>
          <w:vertAlign w:val="superscript"/>
        </w:rPr>
        <w:fldChar w:fldCharType="begin" w:fldLock="1"/>
      </w:r>
      <w:r w:rsidR="00A11871" w:rsidRPr="00CA3B86">
        <w:rPr>
          <w:rFonts w:ascii="Book Antiqua" w:hAnsi="Book Antiqua"/>
          <w:sz w:val="24"/>
          <w:szCs w:val="24"/>
          <w:vertAlign w:val="superscript"/>
        </w:rPr>
        <w:instrText>ADDIN CSL_CITATION { "citationItems" : [ { "id" : "ITEM-1", "itemData" : { "DOI" : "10.3310/hta19090", "ISSN" : "1366-5278", "author" : [ { "dropping-particle" : "", "family" : "Crossan", "given" : "Catriona", "non-dropping-particle" : "", "parse-names" : false, "suffix" : "" }, { "dropping-particle" : "", "family" : "Tsochatzis", "given" : "Emmanuel a", "non-dropping-particle" : "", "parse-names" : false, "suffix" : "" }, { "dropping-particle" : "", "family" : "Longworth", "given" : "Louise", "non-dropping-particle" : "", "parse-names" : false, "suffix" : "" }, { "dropping-particle" : "", "family" : "Gurusamy", "given" : "Kurinchi", "non-dropping-particle" : "", "parse-names" : false, "suffix" : "" }, { "dropping-particle" : "", "family" : "Davidson", "given" : "Brian", "non-dropping-particle" : "", "parse-names" : false, "suffix" : "" }, { "dropping-particle" : "", "family" : "Rodr\u00edguez-Per\u00e1lvarez", "given" : "Manuel", "non-dropping-particle" : "", "parse-names" : false, "suffix" : "" }, { "dropping-particle" : "", "family" : "Mantzoukis", "given" : "Konstantinos", "non-dropping-particle" : "", "parse-names" : false, "suffix" : "" }, { "dropping-particle" : "", "family" : "O\u2019Brien", "given" : "Julia", "non-dropping-particle" : "", "parse-names" : false, "suffix" : "" }, { "dropping-particle" : "", "family" : "Thalassinos", "given" : "Evangelos", "non-dropping-particle" : "", "parse-names" : false, "suffix" : "" }, { "dropping-particle" : "", "family" : "Papastergiou", "given" : "Vassilios", "non-dropping-particle" : "", "parse-names" : false, "suffix" : "" }, { "dropping-particle" : "", "family" : "Burroughs", "given" : "Andrew", "non-dropping-particle" : "", "parse-names" : false, "suffix" : "" } ], "container-title" : "Health technology assessment (NHS)", "id" : "ITEM-1", "issue" : "9", "issued" : { "date-parts" : [ [ "2015" ] ] }, "page" : "1-410", "title" : "Cost-effectiveness of non-invasive methods for assessment and monitoring of liver fibrosis and cirrhosis in patients with chronic liver disease: systematic review and economic evaluation", "type" : "article-journal", "volume" : "19" }, "uris" : [ "http://www.mendeley.com/documents/?uuid=5b57a84e-a9dc-4bfa-a1f0-171621d56a8e" ] } ], "mendeley" : { "formattedCitation" : "[15]", "plainTextFormattedCitation" : "[15]", "previouslyFormattedCitation" : "[15]" }, "properties" : { "noteIndex" : 0 }, "schema" : "https://github.com/citation-style-language/schema/raw/master/csl-citation.json" }</w:instrText>
      </w:r>
      <w:r w:rsidR="003827E7" w:rsidRPr="00CA3B86">
        <w:rPr>
          <w:rFonts w:ascii="Book Antiqua" w:hAnsi="Book Antiqua"/>
          <w:sz w:val="24"/>
          <w:szCs w:val="24"/>
          <w:vertAlign w:val="superscript"/>
        </w:rPr>
        <w:fldChar w:fldCharType="separate"/>
      </w:r>
      <w:r w:rsidR="00364039" w:rsidRPr="00CA3B86">
        <w:rPr>
          <w:rFonts w:ascii="Book Antiqua" w:hAnsi="Book Antiqua"/>
          <w:noProof/>
          <w:sz w:val="24"/>
          <w:szCs w:val="24"/>
          <w:vertAlign w:val="superscript"/>
        </w:rPr>
        <w:t>[15]</w:t>
      </w:r>
      <w:r w:rsidR="003827E7" w:rsidRPr="00CA3B86">
        <w:rPr>
          <w:rFonts w:ascii="Book Antiqua" w:hAnsi="Book Antiqua"/>
          <w:sz w:val="24"/>
          <w:szCs w:val="24"/>
          <w:vertAlign w:val="superscript"/>
        </w:rPr>
        <w:fldChar w:fldCharType="end"/>
      </w:r>
      <w:r w:rsidR="00C67D69" w:rsidRPr="001339DB">
        <w:rPr>
          <w:rFonts w:ascii="Book Antiqua" w:hAnsi="Book Antiqua"/>
          <w:sz w:val="24"/>
          <w:szCs w:val="24"/>
        </w:rPr>
        <w:t>.</w:t>
      </w:r>
      <w:r w:rsidR="0069162D" w:rsidRPr="001339DB">
        <w:rPr>
          <w:rFonts w:ascii="Book Antiqua" w:hAnsi="Book Antiqua"/>
          <w:sz w:val="24"/>
          <w:szCs w:val="24"/>
        </w:rPr>
        <w:t xml:space="preserve"> However, </w:t>
      </w:r>
      <w:r w:rsidR="00A055B4" w:rsidRPr="001339DB">
        <w:rPr>
          <w:rFonts w:ascii="Book Antiqua" w:hAnsi="Book Antiqua"/>
          <w:sz w:val="24"/>
          <w:szCs w:val="24"/>
        </w:rPr>
        <w:t>that study was based on interferon-containing options. New, interferon-free options</w:t>
      </w:r>
      <w:r w:rsidR="0069162D" w:rsidRPr="001339DB">
        <w:rPr>
          <w:rFonts w:ascii="Book Antiqua" w:hAnsi="Book Antiqua"/>
          <w:sz w:val="24"/>
          <w:szCs w:val="24"/>
        </w:rPr>
        <w:t xml:space="preserve"> </w:t>
      </w:r>
      <w:r w:rsidR="00803267" w:rsidRPr="001339DB">
        <w:rPr>
          <w:rFonts w:ascii="Book Antiqua" w:hAnsi="Book Antiqua"/>
          <w:sz w:val="24"/>
          <w:szCs w:val="24"/>
        </w:rPr>
        <w:t>are costly</w:t>
      </w:r>
      <w:r w:rsidR="0069162D" w:rsidRPr="001339DB">
        <w:rPr>
          <w:rFonts w:ascii="Book Antiqua" w:hAnsi="Book Antiqua"/>
          <w:sz w:val="24"/>
          <w:szCs w:val="24"/>
        </w:rPr>
        <w:t xml:space="preserve"> and </w:t>
      </w:r>
      <w:r w:rsidR="00803267" w:rsidRPr="001339DB">
        <w:rPr>
          <w:rFonts w:ascii="Book Antiqua" w:hAnsi="Book Antiqua"/>
          <w:sz w:val="24"/>
          <w:szCs w:val="24"/>
        </w:rPr>
        <w:t xml:space="preserve">providing all HCV patients with the treatment </w:t>
      </w:r>
      <w:r w:rsidR="0069162D" w:rsidRPr="001339DB">
        <w:rPr>
          <w:rFonts w:ascii="Book Antiqua" w:hAnsi="Book Antiqua"/>
          <w:sz w:val="24"/>
          <w:szCs w:val="24"/>
        </w:rPr>
        <w:t>can be a financially unsustaina</w:t>
      </w:r>
      <w:r w:rsidR="00E51712" w:rsidRPr="001339DB">
        <w:rPr>
          <w:rFonts w:ascii="Book Antiqua" w:hAnsi="Book Antiqua"/>
          <w:sz w:val="24"/>
          <w:szCs w:val="24"/>
        </w:rPr>
        <w:t>ble strategy for some countries</w:t>
      </w:r>
      <w:r w:rsidR="0069162D" w:rsidRPr="001339DB">
        <w:rPr>
          <w:rFonts w:ascii="Book Antiqua" w:hAnsi="Book Antiqua"/>
          <w:sz w:val="24"/>
          <w:szCs w:val="24"/>
        </w:rPr>
        <w:t>. In this situation, an ELF</w:t>
      </w:r>
      <w:r w:rsidR="00167322" w:rsidRPr="001339DB">
        <w:rPr>
          <w:rFonts w:ascii="Book Antiqua" w:hAnsi="Book Antiqua"/>
          <w:sz w:val="24"/>
          <w:szCs w:val="24"/>
        </w:rPr>
        <w:t xml:space="preserve"> test</w:t>
      </w:r>
      <w:r w:rsidR="0069162D" w:rsidRPr="001339DB">
        <w:rPr>
          <w:rFonts w:ascii="Book Antiqua" w:hAnsi="Book Antiqua"/>
          <w:sz w:val="24"/>
          <w:szCs w:val="24"/>
        </w:rPr>
        <w:t>/</w:t>
      </w:r>
      <w:r w:rsidR="003E32E4" w:rsidRPr="001339DB">
        <w:rPr>
          <w:rFonts w:ascii="Book Antiqua" w:hAnsi="Book Antiqua"/>
          <w:sz w:val="24"/>
          <w:szCs w:val="24"/>
        </w:rPr>
        <w:t>LSM</w:t>
      </w:r>
      <w:r w:rsidR="0069162D" w:rsidRPr="001339DB">
        <w:rPr>
          <w:rFonts w:ascii="Book Antiqua" w:hAnsi="Book Antiqua"/>
          <w:sz w:val="24"/>
          <w:szCs w:val="24"/>
        </w:rPr>
        <w:t xml:space="preserve"> strategy </w:t>
      </w:r>
      <w:r w:rsidR="00803267" w:rsidRPr="001339DB">
        <w:rPr>
          <w:rFonts w:ascii="Book Antiqua" w:hAnsi="Book Antiqua"/>
          <w:sz w:val="24"/>
          <w:szCs w:val="24"/>
        </w:rPr>
        <w:t>may</w:t>
      </w:r>
      <w:r w:rsidR="0069162D" w:rsidRPr="001339DB">
        <w:rPr>
          <w:rFonts w:ascii="Book Antiqua" w:hAnsi="Book Antiqua"/>
          <w:sz w:val="24"/>
          <w:szCs w:val="24"/>
        </w:rPr>
        <w:t xml:space="preserve"> help to balance sustainability with right care since </w:t>
      </w:r>
      <w:r w:rsidR="00D0188A" w:rsidRPr="001339DB">
        <w:rPr>
          <w:rFonts w:ascii="Book Antiqua" w:hAnsi="Book Antiqua"/>
          <w:sz w:val="24"/>
          <w:szCs w:val="24"/>
        </w:rPr>
        <w:t xml:space="preserve">it </w:t>
      </w:r>
      <w:r w:rsidR="007A4557" w:rsidRPr="001339DB">
        <w:rPr>
          <w:rFonts w:ascii="Book Antiqua" w:hAnsi="Book Antiqua"/>
          <w:sz w:val="24"/>
          <w:szCs w:val="24"/>
        </w:rPr>
        <w:t>would</w:t>
      </w:r>
      <w:r w:rsidR="0069162D" w:rsidRPr="001339DB">
        <w:rPr>
          <w:rFonts w:ascii="Book Antiqua" w:hAnsi="Book Antiqua"/>
          <w:sz w:val="24"/>
          <w:szCs w:val="24"/>
        </w:rPr>
        <w:t xml:space="preserve"> be able to </w:t>
      </w:r>
      <w:r w:rsidR="005419C8" w:rsidRPr="001339DB">
        <w:rPr>
          <w:rFonts w:ascii="Book Antiqua" w:hAnsi="Book Antiqua"/>
          <w:sz w:val="24"/>
          <w:szCs w:val="24"/>
        </w:rPr>
        <w:t xml:space="preserve">promptly </w:t>
      </w:r>
      <w:r w:rsidR="0069162D" w:rsidRPr="001339DB">
        <w:rPr>
          <w:rFonts w:ascii="Book Antiqua" w:hAnsi="Book Antiqua"/>
          <w:sz w:val="24"/>
          <w:szCs w:val="24"/>
        </w:rPr>
        <w:t xml:space="preserve">identify </w:t>
      </w:r>
      <w:r w:rsidR="00221E9B" w:rsidRPr="001339DB">
        <w:rPr>
          <w:rFonts w:ascii="Book Antiqua" w:hAnsi="Book Antiqua"/>
          <w:sz w:val="24"/>
          <w:szCs w:val="24"/>
        </w:rPr>
        <w:t>non-invasive</w:t>
      </w:r>
      <w:r w:rsidR="006379CD" w:rsidRPr="001339DB">
        <w:rPr>
          <w:rFonts w:ascii="Book Antiqua" w:hAnsi="Book Antiqua"/>
          <w:sz w:val="24"/>
          <w:szCs w:val="24"/>
        </w:rPr>
        <w:t>ly</w:t>
      </w:r>
      <w:r w:rsidR="00221E9B" w:rsidRPr="001339DB">
        <w:rPr>
          <w:rFonts w:ascii="Book Antiqua" w:hAnsi="Book Antiqua"/>
          <w:sz w:val="24"/>
          <w:szCs w:val="24"/>
        </w:rPr>
        <w:t xml:space="preserve"> </w:t>
      </w:r>
      <w:r w:rsidR="006379CD" w:rsidRPr="001339DB">
        <w:rPr>
          <w:rFonts w:ascii="Book Antiqua" w:hAnsi="Book Antiqua"/>
          <w:sz w:val="24"/>
          <w:szCs w:val="24"/>
        </w:rPr>
        <w:t xml:space="preserve">those HCV patients </w:t>
      </w:r>
      <w:r w:rsidR="005419C8" w:rsidRPr="001339DB">
        <w:rPr>
          <w:rFonts w:ascii="Book Antiqua" w:hAnsi="Book Antiqua"/>
          <w:sz w:val="24"/>
          <w:szCs w:val="24"/>
        </w:rPr>
        <w:t>i</w:t>
      </w:r>
      <w:r w:rsidR="0069162D" w:rsidRPr="001339DB">
        <w:rPr>
          <w:rFonts w:ascii="Book Antiqua" w:hAnsi="Book Antiqua"/>
          <w:sz w:val="24"/>
          <w:szCs w:val="24"/>
        </w:rPr>
        <w:t xml:space="preserve">n early stages of liver fibrosis and </w:t>
      </w:r>
      <w:r w:rsidR="005419C8" w:rsidRPr="001339DB">
        <w:rPr>
          <w:rFonts w:ascii="Book Antiqua" w:hAnsi="Book Antiqua"/>
          <w:sz w:val="24"/>
          <w:szCs w:val="24"/>
        </w:rPr>
        <w:t xml:space="preserve">to </w:t>
      </w:r>
      <w:r w:rsidR="0069162D" w:rsidRPr="001339DB">
        <w:rPr>
          <w:rFonts w:ascii="Book Antiqua" w:hAnsi="Book Antiqua"/>
          <w:sz w:val="24"/>
          <w:szCs w:val="24"/>
        </w:rPr>
        <w:t>gran</w:t>
      </w:r>
      <w:r w:rsidR="00D0188A" w:rsidRPr="001339DB">
        <w:rPr>
          <w:rFonts w:ascii="Book Antiqua" w:hAnsi="Book Antiqua"/>
          <w:sz w:val="24"/>
          <w:szCs w:val="24"/>
        </w:rPr>
        <w:t>t them access to treatment.</w:t>
      </w:r>
    </w:p>
    <w:p w:rsidR="004A5BFF" w:rsidRPr="001339DB" w:rsidRDefault="008142B9" w:rsidP="00CA3B86">
      <w:pPr>
        <w:adjustRightInd w:val="0"/>
        <w:snapToGrid w:val="0"/>
        <w:spacing w:after="0" w:line="360" w:lineRule="auto"/>
        <w:ind w:firstLineChars="100" w:firstLine="240"/>
        <w:jc w:val="both"/>
        <w:rPr>
          <w:rFonts w:ascii="Book Antiqua" w:hAnsi="Book Antiqua"/>
          <w:sz w:val="24"/>
          <w:szCs w:val="24"/>
        </w:rPr>
      </w:pPr>
      <w:r w:rsidRPr="001339DB">
        <w:rPr>
          <w:rFonts w:ascii="Book Antiqua" w:hAnsi="Book Antiqua"/>
          <w:sz w:val="24"/>
          <w:szCs w:val="24"/>
        </w:rPr>
        <w:t>In ALD patients, sequential ELF</w:t>
      </w:r>
      <w:r w:rsidR="00167322" w:rsidRPr="001339DB">
        <w:rPr>
          <w:rFonts w:ascii="Book Antiqua" w:hAnsi="Book Antiqua"/>
          <w:sz w:val="24"/>
          <w:szCs w:val="24"/>
        </w:rPr>
        <w:t xml:space="preserve"> test</w:t>
      </w:r>
      <w:r w:rsidRPr="001339DB">
        <w:rPr>
          <w:rFonts w:ascii="Book Antiqua" w:hAnsi="Book Antiqua"/>
          <w:sz w:val="24"/>
          <w:szCs w:val="24"/>
        </w:rPr>
        <w:t>/</w:t>
      </w:r>
      <w:r w:rsidR="003E32E4" w:rsidRPr="001339DB">
        <w:rPr>
          <w:rFonts w:ascii="Book Antiqua" w:hAnsi="Book Antiqua"/>
          <w:sz w:val="24"/>
          <w:szCs w:val="24"/>
        </w:rPr>
        <w:t>LSM</w:t>
      </w:r>
      <w:r w:rsidRPr="001339DB">
        <w:rPr>
          <w:rFonts w:ascii="Book Antiqua" w:hAnsi="Book Antiqua"/>
          <w:sz w:val="24"/>
          <w:szCs w:val="24"/>
        </w:rPr>
        <w:t xml:space="preserve"> and ELF </w:t>
      </w:r>
      <w:r w:rsidR="00167322" w:rsidRPr="001339DB">
        <w:rPr>
          <w:rFonts w:ascii="Book Antiqua" w:hAnsi="Book Antiqua"/>
          <w:sz w:val="24"/>
          <w:szCs w:val="24"/>
        </w:rPr>
        <w:t xml:space="preserve">test </w:t>
      </w:r>
      <w:r w:rsidRPr="001339DB">
        <w:rPr>
          <w:rFonts w:ascii="Book Antiqua" w:hAnsi="Book Antiqua"/>
          <w:sz w:val="24"/>
          <w:szCs w:val="24"/>
        </w:rPr>
        <w:t xml:space="preserve">alone are both cost-effective strategies compared with biopsy. Moreover, for this group of patients ELF </w:t>
      </w:r>
      <w:r w:rsidR="00167322" w:rsidRPr="001339DB">
        <w:rPr>
          <w:rFonts w:ascii="Book Antiqua" w:hAnsi="Book Antiqua"/>
          <w:sz w:val="24"/>
          <w:szCs w:val="24"/>
        </w:rPr>
        <w:t xml:space="preserve">testing </w:t>
      </w:r>
      <w:r w:rsidRPr="001339DB">
        <w:rPr>
          <w:rFonts w:ascii="Book Antiqua" w:hAnsi="Book Antiqua"/>
          <w:sz w:val="24"/>
          <w:szCs w:val="24"/>
        </w:rPr>
        <w:t>alone is only slightly more expensive than</w:t>
      </w:r>
      <w:r w:rsidR="00A11871" w:rsidRPr="001339DB">
        <w:rPr>
          <w:rFonts w:ascii="Book Antiqua" w:hAnsi="Book Antiqua"/>
          <w:sz w:val="24"/>
          <w:szCs w:val="24"/>
        </w:rPr>
        <w:t xml:space="preserve"> the</w:t>
      </w:r>
      <w:r w:rsidRPr="001339DB">
        <w:rPr>
          <w:rFonts w:ascii="Book Antiqua" w:hAnsi="Book Antiqua"/>
          <w:sz w:val="24"/>
          <w:szCs w:val="24"/>
        </w:rPr>
        <w:t xml:space="preserve"> ELF</w:t>
      </w:r>
      <w:r w:rsidR="00167322" w:rsidRPr="001339DB">
        <w:rPr>
          <w:rFonts w:ascii="Book Antiqua" w:hAnsi="Book Antiqua"/>
          <w:sz w:val="24"/>
          <w:szCs w:val="24"/>
        </w:rPr>
        <w:t xml:space="preserve"> test</w:t>
      </w:r>
      <w:r w:rsidRPr="001339DB">
        <w:rPr>
          <w:rFonts w:ascii="Book Antiqua" w:hAnsi="Book Antiqua"/>
          <w:sz w:val="24"/>
          <w:szCs w:val="24"/>
        </w:rPr>
        <w:t>/</w:t>
      </w:r>
      <w:r w:rsidR="003E32E4" w:rsidRPr="001339DB">
        <w:rPr>
          <w:rFonts w:ascii="Book Antiqua" w:hAnsi="Book Antiqua"/>
          <w:sz w:val="24"/>
          <w:szCs w:val="24"/>
        </w:rPr>
        <w:t>LSM</w:t>
      </w:r>
      <w:r w:rsidR="00A11871" w:rsidRPr="001339DB">
        <w:rPr>
          <w:rFonts w:ascii="Book Antiqua" w:hAnsi="Book Antiqua"/>
          <w:sz w:val="24"/>
          <w:szCs w:val="24"/>
        </w:rPr>
        <w:t xml:space="preserve"> strategy</w:t>
      </w:r>
      <w:r w:rsidRPr="001339DB">
        <w:rPr>
          <w:rFonts w:ascii="Book Antiqua" w:hAnsi="Book Antiqua"/>
          <w:sz w:val="24"/>
          <w:szCs w:val="24"/>
        </w:rPr>
        <w:t xml:space="preserve">. Therefore, ELF </w:t>
      </w:r>
      <w:r w:rsidR="00167322" w:rsidRPr="001339DB">
        <w:rPr>
          <w:rFonts w:ascii="Book Antiqua" w:hAnsi="Book Antiqua"/>
          <w:sz w:val="24"/>
          <w:szCs w:val="24"/>
        </w:rPr>
        <w:t xml:space="preserve">testing </w:t>
      </w:r>
      <w:r w:rsidRPr="001339DB">
        <w:rPr>
          <w:rFonts w:ascii="Book Antiqua" w:hAnsi="Book Antiqua"/>
          <w:sz w:val="24"/>
          <w:szCs w:val="24"/>
        </w:rPr>
        <w:t xml:space="preserve">alone is a highly cost-effective strategy for </w:t>
      </w:r>
      <w:r w:rsidR="004A5BFF" w:rsidRPr="001339DB">
        <w:rPr>
          <w:rFonts w:ascii="Book Antiqua" w:hAnsi="Book Antiqua"/>
          <w:sz w:val="24"/>
          <w:szCs w:val="24"/>
        </w:rPr>
        <w:t>ALD</w:t>
      </w:r>
      <w:r w:rsidRPr="001339DB">
        <w:rPr>
          <w:rFonts w:ascii="Book Antiqua" w:hAnsi="Book Antiqua"/>
          <w:sz w:val="24"/>
          <w:szCs w:val="24"/>
        </w:rPr>
        <w:t xml:space="preserve"> patients.</w:t>
      </w:r>
      <w:r w:rsidR="00221E9B" w:rsidRPr="001339DB">
        <w:rPr>
          <w:rFonts w:ascii="Book Antiqua" w:hAnsi="Book Antiqua"/>
          <w:sz w:val="24"/>
          <w:szCs w:val="24"/>
        </w:rPr>
        <w:t xml:space="preserve"> </w:t>
      </w:r>
    </w:p>
    <w:p w:rsidR="00221E9B" w:rsidRPr="001339DB" w:rsidRDefault="00D00CD7" w:rsidP="00CA3B86">
      <w:pPr>
        <w:adjustRightInd w:val="0"/>
        <w:snapToGrid w:val="0"/>
        <w:spacing w:after="0" w:line="360" w:lineRule="auto"/>
        <w:ind w:firstLineChars="100" w:firstLine="240"/>
        <w:jc w:val="both"/>
        <w:rPr>
          <w:rFonts w:ascii="Book Antiqua" w:hAnsi="Book Antiqua"/>
          <w:sz w:val="24"/>
          <w:szCs w:val="24"/>
        </w:rPr>
      </w:pPr>
      <w:r w:rsidRPr="001339DB">
        <w:rPr>
          <w:rFonts w:ascii="Book Antiqua" w:hAnsi="Book Antiqua"/>
          <w:sz w:val="24"/>
          <w:szCs w:val="24"/>
        </w:rPr>
        <w:t xml:space="preserve">Finally, </w:t>
      </w:r>
      <w:r w:rsidR="00F61E87" w:rsidRPr="001339DB">
        <w:rPr>
          <w:rFonts w:ascii="Book Antiqua" w:hAnsi="Book Antiqua"/>
          <w:sz w:val="24"/>
          <w:szCs w:val="24"/>
        </w:rPr>
        <w:t>because ELF can be easily performed at primary health care centers it</w:t>
      </w:r>
      <w:r w:rsidR="00E51712" w:rsidRPr="001339DB">
        <w:rPr>
          <w:rFonts w:ascii="Book Antiqua" w:hAnsi="Book Antiqua"/>
          <w:sz w:val="24"/>
          <w:szCs w:val="24"/>
        </w:rPr>
        <w:t xml:space="preserve"> can provide a more equitable access to early diagnostic and treatment</w:t>
      </w:r>
      <w:r w:rsidR="00F61E87" w:rsidRPr="001339DB">
        <w:rPr>
          <w:rFonts w:ascii="Book Antiqua" w:hAnsi="Book Antiqua"/>
          <w:sz w:val="24"/>
          <w:szCs w:val="24"/>
        </w:rPr>
        <w:t xml:space="preserve"> </w:t>
      </w:r>
      <w:r w:rsidR="00221E9B" w:rsidRPr="001339DB">
        <w:rPr>
          <w:rFonts w:ascii="Book Antiqua" w:hAnsi="Book Antiqua"/>
          <w:sz w:val="24"/>
          <w:szCs w:val="24"/>
        </w:rPr>
        <w:t xml:space="preserve">for </w:t>
      </w:r>
      <w:r w:rsidRPr="001339DB">
        <w:rPr>
          <w:rFonts w:ascii="Book Antiqua" w:hAnsi="Book Antiqua"/>
          <w:sz w:val="24"/>
          <w:szCs w:val="24"/>
        </w:rPr>
        <w:t>HVC and A</w:t>
      </w:r>
      <w:r w:rsidR="00E51712" w:rsidRPr="001339DB">
        <w:rPr>
          <w:rFonts w:ascii="Book Antiqua" w:hAnsi="Book Antiqua"/>
          <w:sz w:val="24"/>
          <w:szCs w:val="24"/>
        </w:rPr>
        <w:t>LD</w:t>
      </w:r>
      <w:r w:rsidRPr="001339DB">
        <w:rPr>
          <w:rFonts w:ascii="Book Antiqua" w:hAnsi="Book Antiqua"/>
          <w:sz w:val="24"/>
          <w:szCs w:val="24"/>
        </w:rPr>
        <w:t xml:space="preserve"> </w:t>
      </w:r>
      <w:r w:rsidR="00221E9B" w:rsidRPr="001339DB">
        <w:rPr>
          <w:rFonts w:ascii="Book Antiqua" w:hAnsi="Book Antiqua"/>
          <w:sz w:val="24"/>
          <w:szCs w:val="24"/>
        </w:rPr>
        <w:t>patients with incipient liver fibrosis.</w:t>
      </w:r>
      <w:r w:rsidRPr="001339DB">
        <w:rPr>
          <w:rFonts w:ascii="Book Antiqua" w:hAnsi="Book Antiqua"/>
          <w:sz w:val="24"/>
          <w:szCs w:val="24"/>
        </w:rPr>
        <w:t xml:space="preserve"> Moreover, </w:t>
      </w:r>
      <w:r w:rsidR="00F61E87" w:rsidRPr="001339DB">
        <w:rPr>
          <w:rFonts w:ascii="Book Antiqua" w:hAnsi="Book Antiqua"/>
          <w:sz w:val="24"/>
          <w:szCs w:val="24"/>
        </w:rPr>
        <w:t xml:space="preserve">the </w:t>
      </w:r>
      <w:r w:rsidRPr="001339DB">
        <w:rPr>
          <w:rFonts w:ascii="Book Antiqua" w:hAnsi="Book Antiqua"/>
          <w:sz w:val="24"/>
          <w:szCs w:val="24"/>
        </w:rPr>
        <w:t xml:space="preserve">sequential use of ELF test/LSM </w:t>
      </w:r>
      <w:r w:rsidR="00F61E87" w:rsidRPr="001339DB">
        <w:rPr>
          <w:rFonts w:ascii="Book Antiqua" w:hAnsi="Book Antiqua"/>
          <w:sz w:val="24"/>
          <w:szCs w:val="24"/>
        </w:rPr>
        <w:t>may contribute to a better selection of patients in need of treatment, thus</w:t>
      </w:r>
      <w:r w:rsidRPr="001339DB">
        <w:rPr>
          <w:rFonts w:ascii="Book Antiqua" w:hAnsi="Book Antiqua"/>
          <w:sz w:val="24"/>
          <w:szCs w:val="24"/>
        </w:rPr>
        <w:t xml:space="preserve"> </w:t>
      </w:r>
      <w:r w:rsidR="00F61E87" w:rsidRPr="001339DB">
        <w:rPr>
          <w:rFonts w:ascii="Book Antiqua" w:hAnsi="Book Antiqua"/>
          <w:sz w:val="24"/>
          <w:szCs w:val="24"/>
        </w:rPr>
        <w:lastRenderedPageBreak/>
        <w:t>improving on care</w:t>
      </w:r>
      <w:r w:rsidRPr="001339DB">
        <w:rPr>
          <w:rFonts w:ascii="Book Antiqua" w:hAnsi="Book Antiqua"/>
          <w:sz w:val="24"/>
          <w:szCs w:val="24"/>
        </w:rPr>
        <w:t xml:space="preserve"> appropriateness and </w:t>
      </w:r>
      <w:r w:rsidR="00F61E87" w:rsidRPr="001339DB">
        <w:rPr>
          <w:rFonts w:ascii="Book Antiqua" w:hAnsi="Book Antiqua"/>
          <w:sz w:val="24"/>
          <w:szCs w:val="24"/>
        </w:rPr>
        <w:t>potentially</w:t>
      </w:r>
      <w:r w:rsidRPr="001339DB">
        <w:rPr>
          <w:rFonts w:ascii="Book Antiqua" w:hAnsi="Book Antiqua"/>
          <w:sz w:val="24"/>
          <w:szCs w:val="24"/>
        </w:rPr>
        <w:t xml:space="preserve"> </w:t>
      </w:r>
      <w:r w:rsidR="00F61E87" w:rsidRPr="001339DB">
        <w:rPr>
          <w:rFonts w:ascii="Book Antiqua" w:hAnsi="Book Antiqua"/>
          <w:sz w:val="24"/>
          <w:szCs w:val="24"/>
        </w:rPr>
        <w:t>reducing</w:t>
      </w:r>
      <w:r w:rsidRPr="001339DB">
        <w:rPr>
          <w:rFonts w:ascii="Book Antiqua" w:hAnsi="Book Antiqua"/>
          <w:sz w:val="24"/>
          <w:szCs w:val="24"/>
        </w:rPr>
        <w:t xml:space="preserve"> cost</w:t>
      </w:r>
      <w:r w:rsidR="00F61E87" w:rsidRPr="001339DB">
        <w:rPr>
          <w:rFonts w:ascii="Book Antiqua" w:hAnsi="Book Antiqua"/>
          <w:sz w:val="24"/>
          <w:szCs w:val="24"/>
        </w:rPr>
        <w:t>s</w:t>
      </w:r>
      <w:r w:rsidRPr="001339DB">
        <w:rPr>
          <w:rFonts w:ascii="Book Antiqua" w:hAnsi="Book Antiqua"/>
          <w:sz w:val="24"/>
          <w:szCs w:val="24"/>
        </w:rPr>
        <w:t xml:space="preserve"> for both patients and hospitals. </w:t>
      </w:r>
    </w:p>
    <w:p w:rsidR="00CA3B86" w:rsidRDefault="004A1702" w:rsidP="00CA3B86">
      <w:pPr>
        <w:adjustRightInd w:val="0"/>
        <w:snapToGrid w:val="0"/>
        <w:spacing w:after="0" w:line="360" w:lineRule="auto"/>
        <w:ind w:firstLineChars="100" w:firstLine="240"/>
        <w:jc w:val="both"/>
        <w:rPr>
          <w:rFonts w:ascii="Book Antiqua" w:hAnsi="Book Antiqua"/>
          <w:sz w:val="24"/>
          <w:szCs w:val="24"/>
          <w:lang w:eastAsia="zh-CN"/>
        </w:rPr>
      </w:pPr>
      <w:r w:rsidRPr="001339DB">
        <w:rPr>
          <w:rFonts w:ascii="Book Antiqua" w:hAnsi="Book Antiqua"/>
          <w:sz w:val="24"/>
          <w:szCs w:val="24"/>
        </w:rPr>
        <w:t xml:space="preserve">The </w:t>
      </w:r>
      <w:r w:rsidR="00F52822" w:rsidRPr="001339DB">
        <w:rPr>
          <w:rFonts w:ascii="Book Antiqua" w:hAnsi="Book Antiqua"/>
          <w:sz w:val="24"/>
          <w:szCs w:val="24"/>
        </w:rPr>
        <w:t>study</w:t>
      </w:r>
      <w:r w:rsidRPr="001339DB">
        <w:rPr>
          <w:rFonts w:ascii="Book Antiqua" w:hAnsi="Book Antiqua"/>
          <w:sz w:val="24"/>
          <w:szCs w:val="24"/>
        </w:rPr>
        <w:t xml:space="preserve"> has several limitations. </w:t>
      </w:r>
      <w:r w:rsidR="002A66E7" w:rsidRPr="001339DB">
        <w:rPr>
          <w:rFonts w:ascii="Book Antiqua" w:hAnsi="Book Antiqua"/>
          <w:sz w:val="24"/>
          <w:szCs w:val="24"/>
        </w:rPr>
        <w:t>First,</w:t>
      </w:r>
      <w:r w:rsidRPr="001339DB">
        <w:rPr>
          <w:rFonts w:ascii="Book Antiqua" w:hAnsi="Book Antiqua"/>
          <w:sz w:val="24"/>
          <w:szCs w:val="24"/>
        </w:rPr>
        <w:t xml:space="preserve"> </w:t>
      </w:r>
      <w:r w:rsidR="00461779" w:rsidRPr="001339DB">
        <w:rPr>
          <w:rFonts w:ascii="Book Antiqua" w:hAnsi="Book Antiqua"/>
          <w:sz w:val="24"/>
          <w:szCs w:val="24"/>
        </w:rPr>
        <w:t>numerous</w:t>
      </w:r>
      <w:r w:rsidRPr="001339DB">
        <w:rPr>
          <w:rFonts w:ascii="Book Antiqua" w:hAnsi="Book Antiqua"/>
          <w:sz w:val="24"/>
          <w:szCs w:val="24"/>
        </w:rPr>
        <w:t xml:space="preserve"> parameters were sourced from small or single studies. This was especially apparent for information regarding ELF </w:t>
      </w:r>
      <w:r w:rsidR="00167322" w:rsidRPr="001339DB">
        <w:rPr>
          <w:rFonts w:ascii="Book Antiqua" w:hAnsi="Book Antiqua"/>
          <w:sz w:val="24"/>
          <w:szCs w:val="24"/>
        </w:rPr>
        <w:t xml:space="preserve">test </w:t>
      </w:r>
      <w:r w:rsidRPr="001339DB">
        <w:rPr>
          <w:rFonts w:ascii="Book Antiqua" w:hAnsi="Book Antiqua"/>
          <w:sz w:val="24"/>
          <w:szCs w:val="24"/>
        </w:rPr>
        <w:t>accuracy</w:t>
      </w:r>
      <w:r w:rsidR="00157AB0" w:rsidRPr="001339DB">
        <w:rPr>
          <w:rFonts w:ascii="Book Antiqua" w:hAnsi="Book Antiqua"/>
          <w:sz w:val="24"/>
          <w:szCs w:val="24"/>
        </w:rPr>
        <w:t xml:space="preserve"> and</w:t>
      </w:r>
      <w:r w:rsidRPr="001339DB">
        <w:rPr>
          <w:rFonts w:ascii="Book Antiqua" w:hAnsi="Book Antiqua"/>
          <w:sz w:val="24"/>
          <w:szCs w:val="24"/>
        </w:rPr>
        <w:t xml:space="preserve"> the efficacy of detoxification therapy and alcohol relapse rates, among others. </w:t>
      </w:r>
      <w:r w:rsidR="00426478" w:rsidRPr="001339DB">
        <w:rPr>
          <w:rFonts w:ascii="Book Antiqua" w:hAnsi="Book Antiqua"/>
          <w:sz w:val="24"/>
          <w:szCs w:val="24"/>
        </w:rPr>
        <w:t>Further</w:t>
      </w:r>
      <w:r w:rsidR="009515C2" w:rsidRPr="001339DB">
        <w:rPr>
          <w:rFonts w:ascii="Book Antiqua" w:hAnsi="Book Antiqua"/>
          <w:sz w:val="24"/>
          <w:szCs w:val="24"/>
        </w:rPr>
        <w:t xml:space="preserve"> </w:t>
      </w:r>
      <w:r w:rsidR="00426478" w:rsidRPr="001339DB">
        <w:rPr>
          <w:rFonts w:ascii="Book Antiqua" w:hAnsi="Book Antiqua"/>
          <w:sz w:val="24"/>
          <w:szCs w:val="24"/>
        </w:rPr>
        <w:t>research</w:t>
      </w:r>
      <w:r w:rsidR="009515C2" w:rsidRPr="001339DB">
        <w:rPr>
          <w:rFonts w:ascii="Book Antiqua" w:hAnsi="Book Antiqua"/>
          <w:sz w:val="24"/>
          <w:szCs w:val="24"/>
        </w:rPr>
        <w:t xml:space="preserve"> </w:t>
      </w:r>
      <w:r w:rsidR="00426478" w:rsidRPr="001339DB">
        <w:rPr>
          <w:rFonts w:ascii="Book Antiqua" w:hAnsi="Book Antiqua"/>
          <w:sz w:val="24"/>
          <w:szCs w:val="24"/>
        </w:rPr>
        <w:t>is needed</w:t>
      </w:r>
      <w:r w:rsidR="009515C2" w:rsidRPr="001339DB">
        <w:rPr>
          <w:rFonts w:ascii="Book Antiqua" w:hAnsi="Book Antiqua"/>
          <w:sz w:val="24"/>
          <w:szCs w:val="24"/>
        </w:rPr>
        <w:t xml:space="preserve"> to address th</w:t>
      </w:r>
      <w:r w:rsidR="00426478" w:rsidRPr="001339DB">
        <w:rPr>
          <w:rFonts w:ascii="Book Antiqua" w:hAnsi="Book Antiqua"/>
          <w:sz w:val="24"/>
          <w:szCs w:val="24"/>
        </w:rPr>
        <w:t>is shortcoming</w:t>
      </w:r>
      <w:r w:rsidR="009515C2" w:rsidRPr="001339DB">
        <w:rPr>
          <w:rFonts w:ascii="Book Antiqua" w:hAnsi="Book Antiqua"/>
          <w:sz w:val="24"/>
          <w:szCs w:val="24"/>
        </w:rPr>
        <w:t xml:space="preserve">. </w:t>
      </w:r>
      <w:r w:rsidR="00426478" w:rsidRPr="001339DB">
        <w:rPr>
          <w:rFonts w:ascii="Book Antiqua" w:hAnsi="Book Antiqua"/>
          <w:sz w:val="24"/>
          <w:szCs w:val="24"/>
        </w:rPr>
        <w:t>Additionally</w:t>
      </w:r>
      <w:r w:rsidRPr="001339DB">
        <w:rPr>
          <w:rFonts w:ascii="Book Antiqua" w:hAnsi="Book Antiqua"/>
          <w:sz w:val="24"/>
          <w:szCs w:val="24"/>
        </w:rPr>
        <w:t xml:space="preserve">, most of the clinical data </w:t>
      </w:r>
      <w:r w:rsidR="00A54419" w:rsidRPr="001339DB">
        <w:rPr>
          <w:rFonts w:ascii="Book Antiqua" w:hAnsi="Book Antiqua"/>
          <w:sz w:val="24"/>
          <w:szCs w:val="24"/>
        </w:rPr>
        <w:t xml:space="preserve">and prevalence rates </w:t>
      </w:r>
      <w:r w:rsidRPr="001339DB">
        <w:rPr>
          <w:rFonts w:ascii="Book Antiqua" w:hAnsi="Book Antiqua"/>
          <w:sz w:val="24"/>
          <w:szCs w:val="24"/>
        </w:rPr>
        <w:t xml:space="preserve">used in the </w:t>
      </w:r>
      <w:r w:rsidR="00461779" w:rsidRPr="001339DB">
        <w:rPr>
          <w:rFonts w:ascii="Book Antiqua" w:hAnsi="Book Antiqua"/>
          <w:sz w:val="24"/>
          <w:szCs w:val="24"/>
        </w:rPr>
        <w:t>analysis</w:t>
      </w:r>
      <w:r w:rsidRPr="001339DB">
        <w:rPr>
          <w:rFonts w:ascii="Book Antiqua" w:hAnsi="Book Antiqua"/>
          <w:sz w:val="24"/>
          <w:szCs w:val="24"/>
        </w:rPr>
        <w:t xml:space="preserve"> c</w:t>
      </w:r>
      <w:r w:rsidR="00FF62AE" w:rsidRPr="001339DB">
        <w:rPr>
          <w:rFonts w:ascii="Book Antiqua" w:hAnsi="Book Antiqua"/>
          <w:sz w:val="24"/>
          <w:szCs w:val="24"/>
        </w:rPr>
        <w:t>a</w:t>
      </w:r>
      <w:r w:rsidRPr="001339DB">
        <w:rPr>
          <w:rFonts w:ascii="Book Antiqua" w:hAnsi="Book Antiqua"/>
          <w:sz w:val="24"/>
          <w:szCs w:val="24"/>
        </w:rPr>
        <w:t xml:space="preserve">me from studies carried out outside </w:t>
      </w:r>
      <w:r w:rsidR="00157AB0" w:rsidRPr="001339DB">
        <w:rPr>
          <w:rFonts w:ascii="Book Antiqua" w:hAnsi="Book Antiqua"/>
          <w:sz w:val="24"/>
          <w:szCs w:val="24"/>
        </w:rPr>
        <w:t xml:space="preserve">of </w:t>
      </w:r>
      <w:r w:rsidRPr="001339DB">
        <w:rPr>
          <w:rFonts w:ascii="Book Antiqua" w:hAnsi="Book Antiqua"/>
          <w:sz w:val="24"/>
          <w:szCs w:val="24"/>
        </w:rPr>
        <w:t xml:space="preserve">Spain. </w:t>
      </w:r>
      <w:r w:rsidR="00F52822" w:rsidRPr="001339DB">
        <w:rPr>
          <w:rFonts w:ascii="Book Antiqua" w:hAnsi="Book Antiqua"/>
          <w:sz w:val="24"/>
          <w:szCs w:val="24"/>
        </w:rPr>
        <w:t xml:space="preserve">Although </w:t>
      </w:r>
      <w:r w:rsidR="00FF62AE" w:rsidRPr="001339DB">
        <w:rPr>
          <w:rFonts w:ascii="Book Antiqua" w:hAnsi="Book Antiqua"/>
          <w:sz w:val="24"/>
          <w:szCs w:val="24"/>
        </w:rPr>
        <w:t>discrepancies</w:t>
      </w:r>
      <w:r w:rsidR="00461779" w:rsidRPr="001339DB">
        <w:rPr>
          <w:rFonts w:ascii="Book Antiqua" w:hAnsi="Book Antiqua"/>
          <w:sz w:val="24"/>
          <w:szCs w:val="24"/>
        </w:rPr>
        <w:t xml:space="preserve"> in clinical data across countries </w:t>
      </w:r>
      <w:r w:rsidR="00F52822" w:rsidRPr="001339DB">
        <w:rPr>
          <w:rFonts w:ascii="Book Antiqua" w:hAnsi="Book Antiqua"/>
          <w:sz w:val="24"/>
          <w:szCs w:val="24"/>
        </w:rPr>
        <w:t>may affect</w:t>
      </w:r>
      <w:r w:rsidR="00461779" w:rsidRPr="001339DB">
        <w:rPr>
          <w:rFonts w:ascii="Book Antiqua" w:hAnsi="Book Antiqua"/>
          <w:sz w:val="24"/>
          <w:szCs w:val="24"/>
        </w:rPr>
        <w:t xml:space="preserve"> country-</w:t>
      </w:r>
      <w:r w:rsidR="00F52822" w:rsidRPr="001339DB">
        <w:rPr>
          <w:rFonts w:ascii="Book Antiqua" w:hAnsi="Book Antiqua"/>
          <w:sz w:val="24"/>
          <w:szCs w:val="24"/>
        </w:rPr>
        <w:t>specific effectiveness and, therefore, cost-effectiveness ratio</w:t>
      </w:r>
      <w:r w:rsidR="00461779" w:rsidRPr="001339DB">
        <w:rPr>
          <w:rFonts w:ascii="Book Antiqua" w:hAnsi="Book Antiqua"/>
          <w:sz w:val="24"/>
          <w:szCs w:val="24"/>
        </w:rPr>
        <w:t>s</w:t>
      </w:r>
      <w:r w:rsidR="00F52822" w:rsidRPr="001339DB">
        <w:rPr>
          <w:rFonts w:ascii="Book Antiqua" w:hAnsi="Book Antiqua"/>
          <w:sz w:val="24"/>
          <w:szCs w:val="24"/>
        </w:rPr>
        <w:t xml:space="preserve">, </w:t>
      </w:r>
      <w:r w:rsidRPr="001339DB">
        <w:rPr>
          <w:rFonts w:ascii="Book Antiqua" w:hAnsi="Book Antiqua"/>
          <w:sz w:val="24"/>
          <w:szCs w:val="24"/>
        </w:rPr>
        <w:t xml:space="preserve">we do not expect </w:t>
      </w:r>
      <w:r w:rsidR="009F414A" w:rsidRPr="001339DB">
        <w:rPr>
          <w:rFonts w:ascii="Book Antiqua" w:hAnsi="Book Antiqua"/>
          <w:sz w:val="24"/>
          <w:szCs w:val="24"/>
        </w:rPr>
        <w:t>important</w:t>
      </w:r>
      <w:r w:rsidRPr="001339DB">
        <w:rPr>
          <w:rFonts w:ascii="Book Antiqua" w:hAnsi="Book Antiqua"/>
          <w:sz w:val="24"/>
          <w:szCs w:val="24"/>
        </w:rPr>
        <w:t xml:space="preserve"> differences in patient characteristics and professional expertise</w:t>
      </w:r>
      <w:r w:rsidR="00F52822" w:rsidRPr="001339DB">
        <w:rPr>
          <w:rFonts w:ascii="Book Antiqua" w:hAnsi="Book Antiqua"/>
          <w:sz w:val="24"/>
          <w:szCs w:val="24"/>
        </w:rPr>
        <w:t xml:space="preserve"> </w:t>
      </w:r>
      <w:r w:rsidR="004778F3" w:rsidRPr="001339DB">
        <w:rPr>
          <w:rFonts w:ascii="Book Antiqua" w:hAnsi="Book Antiqua"/>
          <w:sz w:val="24"/>
          <w:szCs w:val="24"/>
        </w:rPr>
        <w:t>in</w:t>
      </w:r>
      <w:r w:rsidR="00F52822" w:rsidRPr="001339DB">
        <w:rPr>
          <w:rFonts w:ascii="Book Antiqua" w:hAnsi="Book Antiqua"/>
          <w:sz w:val="24"/>
          <w:szCs w:val="24"/>
        </w:rPr>
        <w:t xml:space="preserve"> our country</w:t>
      </w:r>
      <w:r w:rsidR="004778F3" w:rsidRPr="001339DB">
        <w:rPr>
          <w:rFonts w:ascii="Book Antiqua" w:hAnsi="Book Antiqua"/>
          <w:sz w:val="24"/>
          <w:szCs w:val="24"/>
        </w:rPr>
        <w:t xml:space="preserve"> compared to others</w:t>
      </w:r>
      <w:r w:rsidR="00461779" w:rsidRPr="001339DB">
        <w:rPr>
          <w:rFonts w:ascii="Book Antiqua" w:hAnsi="Book Antiqua"/>
          <w:sz w:val="24"/>
          <w:szCs w:val="24"/>
        </w:rPr>
        <w:t xml:space="preserve">. </w:t>
      </w:r>
      <w:r w:rsidR="00A54419" w:rsidRPr="001339DB">
        <w:rPr>
          <w:rFonts w:ascii="Book Antiqua" w:hAnsi="Book Antiqua"/>
          <w:sz w:val="24"/>
          <w:szCs w:val="24"/>
        </w:rPr>
        <w:t xml:space="preserve">Moreover, the sensitivity analysis showed that results were robust to wide variations in the underlying </w:t>
      </w:r>
      <w:r w:rsidR="0077247E" w:rsidRPr="001339DB">
        <w:rPr>
          <w:rFonts w:ascii="Book Antiqua" w:hAnsi="Book Antiqua"/>
          <w:sz w:val="24"/>
          <w:szCs w:val="24"/>
        </w:rPr>
        <w:t xml:space="preserve">clinical </w:t>
      </w:r>
      <w:r w:rsidR="00A54419" w:rsidRPr="001339DB">
        <w:rPr>
          <w:rFonts w:ascii="Book Antiqua" w:hAnsi="Book Antiqua"/>
          <w:sz w:val="24"/>
          <w:szCs w:val="24"/>
        </w:rPr>
        <w:t xml:space="preserve">parameters. </w:t>
      </w:r>
      <w:r w:rsidRPr="001339DB">
        <w:rPr>
          <w:rFonts w:ascii="Book Antiqua" w:hAnsi="Book Antiqua"/>
          <w:sz w:val="24"/>
          <w:szCs w:val="24"/>
        </w:rPr>
        <w:t>Second</w:t>
      </w:r>
      <w:r w:rsidR="00F52822" w:rsidRPr="001339DB">
        <w:rPr>
          <w:rFonts w:ascii="Book Antiqua" w:hAnsi="Book Antiqua"/>
          <w:sz w:val="24"/>
          <w:szCs w:val="24"/>
        </w:rPr>
        <w:t>ly</w:t>
      </w:r>
      <w:r w:rsidRPr="001339DB">
        <w:rPr>
          <w:rFonts w:ascii="Book Antiqua" w:hAnsi="Book Antiqua"/>
          <w:sz w:val="24"/>
          <w:szCs w:val="24"/>
        </w:rPr>
        <w:t>,</w:t>
      </w:r>
      <w:r w:rsidR="00F52822" w:rsidRPr="001339DB">
        <w:rPr>
          <w:rFonts w:ascii="Book Antiqua" w:hAnsi="Book Antiqua"/>
          <w:sz w:val="24"/>
          <w:szCs w:val="24"/>
        </w:rPr>
        <w:t xml:space="preserve"> the </w:t>
      </w:r>
      <w:r w:rsidR="00C84149" w:rsidRPr="001339DB">
        <w:rPr>
          <w:rFonts w:ascii="Book Antiqua" w:hAnsi="Book Antiqua"/>
          <w:sz w:val="24"/>
          <w:szCs w:val="24"/>
        </w:rPr>
        <w:t xml:space="preserve">estimates </w:t>
      </w:r>
      <w:r w:rsidR="00FF62AE" w:rsidRPr="001339DB">
        <w:rPr>
          <w:rFonts w:ascii="Book Antiqua" w:hAnsi="Book Antiqua"/>
          <w:sz w:val="24"/>
          <w:szCs w:val="24"/>
        </w:rPr>
        <w:t>for</w:t>
      </w:r>
      <w:r w:rsidR="00C84149" w:rsidRPr="001339DB">
        <w:rPr>
          <w:rFonts w:ascii="Book Antiqua" w:hAnsi="Book Antiqua"/>
          <w:sz w:val="24"/>
          <w:szCs w:val="24"/>
        </w:rPr>
        <w:t xml:space="preserve"> sensitivity</w:t>
      </w:r>
      <w:r w:rsidR="00973426" w:rsidRPr="001339DB">
        <w:rPr>
          <w:rFonts w:ascii="Book Antiqua" w:hAnsi="Book Antiqua"/>
          <w:sz w:val="24"/>
          <w:szCs w:val="24"/>
        </w:rPr>
        <w:t xml:space="preserve"> (90%)</w:t>
      </w:r>
      <w:r w:rsidR="00C84149" w:rsidRPr="001339DB">
        <w:rPr>
          <w:rFonts w:ascii="Book Antiqua" w:hAnsi="Book Antiqua"/>
          <w:sz w:val="24"/>
          <w:szCs w:val="24"/>
        </w:rPr>
        <w:t xml:space="preserve"> and specificity</w:t>
      </w:r>
      <w:r w:rsidR="00973426" w:rsidRPr="001339DB">
        <w:rPr>
          <w:rFonts w:ascii="Book Antiqua" w:hAnsi="Book Antiqua"/>
          <w:sz w:val="24"/>
          <w:szCs w:val="24"/>
        </w:rPr>
        <w:t xml:space="preserve"> (90%)</w:t>
      </w:r>
      <w:r w:rsidR="00C84149" w:rsidRPr="001339DB">
        <w:rPr>
          <w:rFonts w:ascii="Book Antiqua" w:hAnsi="Book Antiqua"/>
          <w:sz w:val="24"/>
          <w:szCs w:val="24"/>
        </w:rPr>
        <w:t xml:space="preserve"> of </w:t>
      </w:r>
      <w:r w:rsidR="00FF62AE" w:rsidRPr="001339DB">
        <w:rPr>
          <w:rFonts w:ascii="Book Antiqua" w:hAnsi="Book Antiqua"/>
          <w:sz w:val="24"/>
          <w:szCs w:val="24"/>
        </w:rPr>
        <w:t xml:space="preserve">liver </w:t>
      </w:r>
      <w:r w:rsidR="00C84149" w:rsidRPr="001339DB">
        <w:rPr>
          <w:rFonts w:ascii="Book Antiqua" w:hAnsi="Book Antiqua"/>
          <w:sz w:val="24"/>
          <w:szCs w:val="24"/>
        </w:rPr>
        <w:t xml:space="preserve">biopsy </w:t>
      </w:r>
      <w:r w:rsidR="00541E1E" w:rsidRPr="001339DB">
        <w:rPr>
          <w:rFonts w:ascii="Book Antiqua" w:hAnsi="Book Antiqua"/>
          <w:sz w:val="24"/>
          <w:szCs w:val="24"/>
        </w:rPr>
        <w:t xml:space="preserve">were obtained from </w:t>
      </w:r>
      <w:r w:rsidR="002A66E7" w:rsidRPr="001339DB">
        <w:rPr>
          <w:rFonts w:ascii="Book Antiqua" w:hAnsi="Book Antiqua"/>
          <w:sz w:val="24"/>
          <w:szCs w:val="24"/>
        </w:rPr>
        <w:t>a</w:t>
      </w:r>
      <w:r w:rsidR="00541E1E" w:rsidRPr="001339DB">
        <w:rPr>
          <w:rFonts w:ascii="Book Antiqua" w:hAnsi="Book Antiqua"/>
          <w:sz w:val="24"/>
          <w:szCs w:val="24"/>
        </w:rPr>
        <w:t xml:space="preserve"> study whose</w:t>
      </w:r>
      <w:r w:rsidR="00FB5080" w:rsidRPr="001339DB">
        <w:rPr>
          <w:rFonts w:ascii="Book Antiqua" w:hAnsi="Book Antiqua"/>
          <w:sz w:val="24"/>
          <w:szCs w:val="24"/>
        </w:rPr>
        <w:t xml:space="preserve"> </w:t>
      </w:r>
      <w:r w:rsidR="00541E1E" w:rsidRPr="001339DB">
        <w:rPr>
          <w:rFonts w:ascii="Book Antiqua" w:hAnsi="Book Antiqua"/>
          <w:sz w:val="24"/>
          <w:szCs w:val="24"/>
        </w:rPr>
        <w:t>estimates are themselves</w:t>
      </w:r>
      <w:r w:rsidR="00FB5080" w:rsidRPr="001339DB">
        <w:rPr>
          <w:rFonts w:ascii="Book Antiqua" w:hAnsi="Book Antiqua"/>
          <w:sz w:val="24"/>
          <w:szCs w:val="24"/>
        </w:rPr>
        <w:t xml:space="preserve"> based on clinician opinion</w:t>
      </w:r>
      <w:r w:rsidR="003827E7" w:rsidRPr="00CA3B86">
        <w:rPr>
          <w:rFonts w:ascii="Book Antiqua" w:hAnsi="Book Antiqua"/>
          <w:sz w:val="24"/>
          <w:szCs w:val="24"/>
          <w:vertAlign w:val="superscript"/>
        </w:rPr>
        <w:fldChar w:fldCharType="begin" w:fldLock="1"/>
      </w:r>
      <w:r w:rsidR="003A7F4C" w:rsidRPr="00CA3B86">
        <w:rPr>
          <w:rFonts w:ascii="Book Antiqua" w:hAnsi="Book Antiqua"/>
          <w:sz w:val="24"/>
          <w:szCs w:val="24"/>
          <w:vertAlign w:val="superscript"/>
        </w:rPr>
        <w:instrText>ADDIN CSL_CITATION { "citationItems" : [ { "id" : "ITEM-1", "itemData" : { "DOI" : "10.1016/j.jhep.2008.07.039", "ISBN" : "0168-8278 (Print) 0168-8278 (Linking)", "ISSN" : "01688278", "PMID" : "19012989", "abstract" : "Background/Aims: Alternatives to liver biopsy for staging liver disease caused by hepatitis C virus (HCV) have not appeared accurate enough for widespread clinical use. We characterized the magnitude of the impact of error in the \"gold standard\" on the observed diagnostic accuracy of surrogate markers. Methods: We calculated the area under the receiver operating characteristic curve (AUROC) for a surrogate marker against the gold standard (biopsy) for a range of possible performances of each test (biopsy and marker) against truth and a gradient of clinically significant disease prevalence. Results: In the 'best' scenario where liver biopsy accuracy is highest (sensitivity and specificity of biopsy are 90%) and the prevalence of significant disease 40%, the calculated AUROC would be 0.90 for a perfect marker (99% actual accuracy) which is within the range of what has already been observed. With lower biopsy sensitivity and specificity, AUROC determinations &gt;0.90 could not be achieved even for a marker that perfectly measured disease. Conclusions: We demonstrate that error in the liver biopsy result itself makes it impossible to distinguish a perfect surrogate from ones that are now judged by some as clinically unacceptable. An alternative gold standard is needed to assess the accuracy of tests used to stage HCV-related liver disease. \u00a9 2008 European Association for the Study of the Liver.", "author" : [ { "dropping-particle" : "", "family" : "Mehta", "given" : "Shruti H.", "non-dropping-particle" : "", "parse-names" : false, "suffix" : "" }, { "dropping-particle" : "", "family" : "Lau", "given" : "Bryan", "non-dropping-particle" : "", "parse-names" : false, "suffix" : "" }, { "dropping-particle" : "", "family" : "Afdhal", "given" : "Nezam H.", "non-dropping-particle" : "", "parse-names" : false, "suffix" : "" }, { "dropping-particle" : "", "family" : "Thomas", "given" : "David L.", "non-dropping-particle" : "", "parse-names" : false, "suffix" : "" } ], "container-title" : "Journal of Hepatology", "id" : "ITEM-1", "issue" : "1", "issued" : { "date-parts" : [ [ "2009" ] ] }, "page" : "36-41", "publisher" : "European Association for the Study of the Liver", "title" : "Exceeding the limits of liver histology markers", "type" : "article-journal", "volume" : "50" }, "uris" : [ "http://www.mendeley.com/documents/?uuid=f915fd92-2838-4b7c-a2c7-1892ac180ddc" ] } ], "mendeley" : { "formattedCitation" : "[25]", "plainTextFormattedCitation" : "[25]", "previouslyFormattedCitation" : "[25]" }, "properties" : { "noteIndex" : 0 }, "schema" : "https://github.com/citation-style-language/schema/raw/master/csl-citation.json" }</w:instrText>
      </w:r>
      <w:r w:rsidR="003827E7" w:rsidRPr="00CA3B86">
        <w:rPr>
          <w:rFonts w:ascii="Book Antiqua" w:hAnsi="Book Antiqua"/>
          <w:sz w:val="24"/>
          <w:szCs w:val="24"/>
          <w:vertAlign w:val="superscript"/>
        </w:rPr>
        <w:fldChar w:fldCharType="separate"/>
      </w:r>
      <w:r w:rsidR="003A7F4C" w:rsidRPr="00CA3B86">
        <w:rPr>
          <w:rFonts w:ascii="Book Antiqua" w:hAnsi="Book Antiqua"/>
          <w:noProof/>
          <w:sz w:val="24"/>
          <w:szCs w:val="24"/>
          <w:vertAlign w:val="superscript"/>
        </w:rPr>
        <w:t>[25]</w:t>
      </w:r>
      <w:r w:rsidR="003827E7" w:rsidRPr="00CA3B86">
        <w:rPr>
          <w:rFonts w:ascii="Book Antiqua" w:hAnsi="Book Antiqua"/>
          <w:sz w:val="24"/>
          <w:szCs w:val="24"/>
          <w:vertAlign w:val="superscript"/>
        </w:rPr>
        <w:fldChar w:fldCharType="end"/>
      </w:r>
      <w:r w:rsidR="00C67D69" w:rsidRPr="001339DB">
        <w:rPr>
          <w:rFonts w:ascii="Book Antiqua" w:hAnsi="Book Antiqua"/>
          <w:sz w:val="24"/>
          <w:szCs w:val="24"/>
        </w:rPr>
        <w:t>.</w:t>
      </w:r>
      <w:r w:rsidR="00FB5080" w:rsidRPr="001339DB">
        <w:rPr>
          <w:rFonts w:ascii="Book Antiqua" w:hAnsi="Book Antiqua"/>
          <w:sz w:val="24"/>
          <w:szCs w:val="24"/>
        </w:rPr>
        <w:t xml:space="preserve"> </w:t>
      </w:r>
      <w:r w:rsidR="00C84149" w:rsidRPr="001339DB">
        <w:rPr>
          <w:rFonts w:ascii="Book Antiqua" w:hAnsi="Book Antiqua"/>
          <w:sz w:val="24"/>
          <w:szCs w:val="24"/>
        </w:rPr>
        <w:t xml:space="preserve">Nevertheless, </w:t>
      </w:r>
      <w:r w:rsidR="00C733A0" w:rsidRPr="001339DB">
        <w:rPr>
          <w:rFonts w:ascii="Book Antiqua" w:hAnsi="Book Antiqua"/>
          <w:sz w:val="24"/>
          <w:szCs w:val="24"/>
        </w:rPr>
        <w:t xml:space="preserve">the sensitivity analysis showed that </w:t>
      </w:r>
      <w:r w:rsidR="00541E1E" w:rsidRPr="001339DB">
        <w:rPr>
          <w:rFonts w:ascii="Book Antiqua" w:hAnsi="Book Antiqua"/>
          <w:sz w:val="24"/>
          <w:szCs w:val="24"/>
        </w:rPr>
        <w:t>variations in the accuracy of biopsy</w:t>
      </w:r>
      <w:r w:rsidR="00C84149" w:rsidRPr="001339DB">
        <w:rPr>
          <w:rFonts w:ascii="Book Antiqua" w:hAnsi="Book Antiqua"/>
          <w:sz w:val="24"/>
          <w:szCs w:val="24"/>
        </w:rPr>
        <w:t xml:space="preserve"> d</w:t>
      </w:r>
      <w:r w:rsidR="00541E1E" w:rsidRPr="001339DB">
        <w:rPr>
          <w:rFonts w:ascii="Book Antiqua" w:hAnsi="Book Antiqua"/>
          <w:sz w:val="24"/>
          <w:szCs w:val="24"/>
        </w:rPr>
        <w:t>id</w:t>
      </w:r>
      <w:r w:rsidR="00A11871" w:rsidRPr="001339DB">
        <w:rPr>
          <w:rFonts w:ascii="Book Antiqua" w:hAnsi="Book Antiqua"/>
          <w:sz w:val="24"/>
          <w:szCs w:val="24"/>
        </w:rPr>
        <w:t xml:space="preserve"> not affect the main results</w:t>
      </w:r>
      <w:proofErr w:type="gramStart"/>
      <w:r w:rsidR="00A11871" w:rsidRPr="001339DB">
        <w:rPr>
          <w:rFonts w:ascii="Book Antiqua" w:hAnsi="Book Antiqua"/>
          <w:sz w:val="24"/>
          <w:szCs w:val="24"/>
        </w:rPr>
        <w:t>.</w:t>
      </w:r>
      <w:r w:rsidR="00541E1E" w:rsidRPr="001339DB">
        <w:rPr>
          <w:rFonts w:ascii="Book Antiqua" w:hAnsi="Book Antiqua"/>
          <w:sz w:val="24"/>
          <w:szCs w:val="24"/>
        </w:rPr>
        <w:t>.</w:t>
      </w:r>
      <w:proofErr w:type="gramEnd"/>
      <w:r w:rsidR="00541E1E" w:rsidRPr="001339DB">
        <w:rPr>
          <w:rFonts w:ascii="Book Antiqua" w:hAnsi="Book Antiqua"/>
          <w:sz w:val="24"/>
          <w:szCs w:val="24"/>
        </w:rPr>
        <w:t xml:space="preserve"> </w:t>
      </w:r>
      <w:r w:rsidR="000418B5" w:rsidRPr="001339DB">
        <w:rPr>
          <w:rFonts w:ascii="Book Antiqua" w:hAnsi="Book Antiqua"/>
          <w:sz w:val="24"/>
          <w:szCs w:val="24"/>
        </w:rPr>
        <w:t>Finally</w:t>
      </w:r>
      <w:r w:rsidRPr="001339DB">
        <w:rPr>
          <w:rFonts w:ascii="Book Antiqua" w:hAnsi="Book Antiqua"/>
          <w:sz w:val="24"/>
          <w:szCs w:val="24"/>
        </w:rPr>
        <w:t xml:space="preserve">, cost estimates were </w:t>
      </w:r>
      <w:r w:rsidR="00541E1E" w:rsidRPr="001339DB">
        <w:rPr>
          <w:rFonts w:ascii="Book Antiqua" w:hAnsi="Book Antiqua"/>
          <w:sz w:val="24"/>
          <w:szCs w:val="24"/>
        </w:rPr>
        <w:t>obtained</w:t>
      </w:r>
      <w:r w:rsidR="000418B5" w:rsidRPr="001339DB">
        <w:rPr>
          <w:rFonts w:ascii="Book Antiqua" w:hAnsi="Book Antiqua"/>
          <w:sz w:val="24"/>
          <w:szCs w:val="24"/>
        </w:rPr>
        <w:t xml:space="preserve"> from our </w:t>
      </w:r>
      <w:r w:rsidR="00541E1E" w:rsidRPr="001339DB">
        <w:rPr>
          <w:rFonts w:ascii="Book Antiqua" w:hAnsi="Book Antiqua"/>
          <w:sz w:val="24"/>
          <w:szCs w:val="24"/>
        </w:rPr>
        <w:t>h</w:t>
      </w:r>
      <w:r w:rsidR="000418B5" w:rsidRPr="001339DB">
        <w:rPr>
          <w:rFonts w:ascii="Book Antiqua" w:hAnsi="Book Antiqua"/>
          <w:sz w:val="24"/>
          <w:szCs w:val="24"/>
        </w:rPr>
        <w:t>ospital</w:t>
      </w:r>
      <w:r w:rsidR="00541E1E" w:rsidRPr="001339DB">
        <w:rPr>
          <w:rFonts w:ascii="Book Antiqua" w:hAnsi="Book Antiqua"/>
          <w:sz w:val="24"/>
          <w:szCs w:val="24"/>
        </w:rPr>
        <w:t xml:space="preserve"> or from Spanish sources</w:t>
      </w:r>
      <w:r w:rsidRPr="001339DB">
        <w:rPr>
          <w:rFonts w:ascii="Book Antiqua" w:hAnsi="Book Antiqua"/>
          <w:sz w:val="24"/>
          <w:szCs w:val="24"/>
        </w:rPr>
        <w:t xml:space="preserve">. </w:t>
      </w:r>
      <w:r w:rsidR="009F414A" w:rsidRPr="001339DB">
        <w:rPr>
          <w:rFonts w:ascii="Book Antiqua" w:hAnsi="Book Antiqua"/>
          <w:sz w:val="24"/>
          <w:szCs w:val="24"/>
        </w:rPr>
        <w:t>Differences</w:t>
      </w:r>
      <w:r w:rsidRPr="001339DB">
        <w:rPr>
          <w:rFonts w:ascii="Book Antiqua" w:hAnsi="Book Antiqua"/>
          <w:sz w:val="24"/>
          <w:szCs w:val="24"/>
        </w:rPr>
        <w:t xml:space="preserve"> in economic data across countries may affect the</w:t>
      </w:r>
      <w:r w:rsidR="000418B5" w:rsidRPr="001339DB">
        <w:rPr>
          <w:rFonts w:ascii="Book Antiqua" w:hAnsi="Book Antiqua"/>
          <w:sz w:val="24"/>
          <w:szCs w:val="24"/>
        </w:rPr>
        <w:t xml:space="preserve"> final</w:t>
      </w:r>
      <w:r w:rsidRPr="001339DB">
        <w:rPr>
          <w:rFonts w:ascii="Book Antiqua" w:hAnsi="Book Antiqua"/>
          <w:sz w:val="24"/>
          <w:szCs w:val="24"/>
        </w:rPr>
        <w:t xml:space="preserve"> results. </w:t>
      </w:r>
      <w:r w:rsidR="000418B5" w:rsidRPr="001339DB">
        <w:rPr>
          <w:rFonts w:ascii="Book Antiqua" w:hAnsi="Book Antiqua"/>
          <w:sz w:val="24"/>
          <w:szCs w:val="24"/>
        </w:rPr>
        <w:t xml:space="preserve">However, the wide variation in the unit costs that we have used in the sensitivity analysis </w:t>
      </w:r>
      <w:r w:rsidR="00541E1E" w:rsidRPr="001339DB">
        <w:rPr>
          <w:rFonts w:ascii="Book Antiqua" w:hAnsi="Book Antiqua"/>
          <w:sz w:val="24"/>
          <w:szCs w:val="24"/>
        </w:rPr>
        <w:t xml:space="preserve">systematically </w:t>
      </w:r>
      <w:r w:rsidR="00426478" w:rsidRPr="001339DB">
        <w:rPr>
          <w:rFonts w:ascii="Book Antiqua" w:hAnsi="Book Antiqua"/>
          <w:sz w:val="24"/>
          <w:szCs w:val="24"/>
        </w:rPr>
        <w:t>corroborated</w:t>
      </w:r>
      <w:r w:rsidR="000418B5" w:rsidRPr="001339DB">
        <w:rPr>
          <w:rFonts w:ascii="Book Antiqua" w:hAnsi="Book Antiqua"/>
          <w:sz w:val="24"/>
          <w:szCs w:val="24"/>
        </w:rPr>
        <w:t xml:space="preserve"> that the sequential ELF</w:t>
      </w:r>
      <w:r w:rsidR="00167322" w:rsidRPr="001339DB">
        <w:rPr>
          <w:rFonts w:ascii="Book Antiqua" w:hAnsi="Book Antiqua"/>
          <w:sz w:val="24"/>
          <w:szCs w:val="24"/>
        </w:rPr>
        <w:t xml:space="preserve"> test</w:t>
      </w:r>
      <w:r w:rsidR="000418B5" w:rsidRPr="001339DB">
        <w:rPr>
          <w:rFonts w:ascii="Book Antiqua" w:hAnsi="Book Antiqua"/>
          <w:sz w:val="24"/>
          <w:szCs w:val="24"/>
        </w:rPr>
        <w:t>/</w:t>
      </w:r>
      <w:r w:rsidR="003E32E4" w:rsidRPr="001339DB">
        <w:rPr>
          <w:rFonts w:ascii="Book Antiqua" w:hAnsi="Book Antiqua"/>
          <w:sz w:val="24"/>
          <w:szCs w:val="24"/>
        </w:rPr>
        <w:t>LSM</w:t>
      </w:r>
      <w:r w:rsidR="000418B5" w:rsidRPr="001339DB">
        <w:rPr>
          <w:rFonts w:ascii="Book Antiqua" w:hAnsi="Book Antiqua"/>
          <w:sz w:val="24"/>
          <w:szCs w:val="24"/>
        </w:rPr>
        <w:t xml:space="preserve"> strategy </w:t>
      </w:r>
      <w:r w:rsidR="00541E1E" w:rsidRPr="001339DB">
        <w:rPr>
          <w:rFonts w:ascii="Book Antiqua" w:hAnsi="Book Antiqua"/>
          <w:sz w:val="24"/>
          <w:szCs w:val="24"/>
        </w:rPr>
        <w:t>was</w:t>
      </w:r>
      <w:r w:rsidR="00CA3B86">
        <w:rPr>
          <w:rFonts w:ascii="Book Antiqua" w:hAnsi="Book Antiqua"/>
          <w:sz w:val="24"/>
          <w:szCs w:val="24"/>
        </w:rPr>
        <w:t xml:space="preserve"> cost-effective.</w:t>
      </w:r>
    </w:p>
    <w:p w:rsidR="00CA3B86" w:rsidRDefault="00CA3B86" w:rsidP="00CA3B86">
      <w:pPr>
        <w:adjustRightInd w:val="0"/>
        <w:snapToGrid w:val="0"/>
        <w:spacing w:after="0" w:line="360" w:lineRule="auto"/>
        <w:ind w:firstLineChars="100" w:firstLine="240"/>
        <w:jc w:val="both"/>
        <w:rPr>
          <w:rFonts w:ascii="Book Antiqua" w:hAnsi="Book Antiqua"/>
          <w:sz w:val="24"/>
          <w:szCs w:val="24"/>
          <w:lang w:eastAsia="zh-CN"/>
        </w:rPr>
      </w:pPr>
      <w:r w:rsidRPr="00CA3B86">
        <w:rPr>
          <w:rFonts w:ascii="Book Antiqua" w:hAnsi="Book Antiqua" w:hint="eastAsia"/>
          <w:sz w:val="24"/>
          <w:szCs w:val="24"/>
          <w:lang w:eastAsia="zh-CN"/>
        </w:rPr>
        <w:t xml:space="preserve">In </w:t>
      </w:r>
      <w:r w:rsidRPr="00CA3B86">
        <w:rPr>
          <w:rFonts w:ascii="Book Antiqua" w:hAnsi="Book Antiqua"/>
          <w:sz w:val="24"/>
          <w:szCs w:val="24"/>
        </w:rPr>
        <w:t>conclusion</w:t>
      </w:r>
      <w:r w:rsidRPr="00CA3B86">
        <w:rPr>
          <w:rFonts w:ascii="Book Antiqua" w:hAnsi="Book Antiqua"/>
          <w:sz w:val="24"/>
          <w:szCs w:val="24"/>
          <w:lang w:eastAsia="zh-CN"/>
        </w:rPr>
        <w:t xml:space="preserve">, </w:t>
      </w:r>
      <w:r w:rsidRPr="00CA3B86">
        <w:rPr>
          <w:rFonts w:ascii="Book Antiqua" w:hAnsi="Book Antiqua"/>
          <w:sz w:val="24"/>
          <w:szCs w:val="24"/>
        </w:rPr>
        <w:t>testing</w:t>
      </w:r>
      <w:r w:rsidR="00484A90" w:rsidRPr="00CA3B86">
        <w:rPr>
          <w:rFonts w:ascii="Book Antiqua" w:hAnsi="Book Antiqua"/>
          <w:sz w:val="24"/>
          <w:szCs w:val="24"/>
        </w:rPr>
        <w:t xml:space="preserve"> </w:t>
      </w:r>
      <w:r w:rsidR="00025456" w:rsidRPr="00CA3B86">
        <w:rPr>
          <w:rFonts w:ascii="Book Antiqua" w:hAnsi="Book Antiqua"/>
          <w:sz w:val="24"/>
          <w:szCs w:val="24"/>
        </w:rPr>
        <w:t xml:space="preserve">for liver fibrosis </w:t>
      </w:r>
      <w:r w:rsidR="00484A90" w:rsidRPr="00CA3B86">
        <w:rPr>
          <w:rFonts w:ascii="Book Antiqua" w:hAnsi="Book Antiqua"/>
          <w:sz w:val="24"/>
          <w:szCs w:val="24"/>
        </w:rPr>
        <w:t>annually with sequential ELF</w:t>
      </w:r>
      <w:r w:rsidR="00167322" w:rsidRPr="00CA3B86">
        <w:rPr>
          <w:rFonts w:ascii="Book Antiqua" w:hAnsi="Book Antiqua"/>
          <w:sz w:val="24"/>
          <w:szCs w:val="24"/>
        </w:rPr>
        <w:t xml:space="preserve"> test</w:t>
      </w:r>
      <w:r w:rsidR="00484A90" w:rsidRPr="00CA3B86">
        <w:rPr>
          <w:rFonts w:ascii="Book Antiqua" w:hAnsi="Book Antiqua"/>
          <w:sz w:val="24"/>
          <w:szCs w:val="24"/>
        </w:rPr>
        <w:t>/</w:t>
      </w:r>
      <w:r w:rsidR="003E32E4" w:rsidRPr="00CA3B86">
        <w:rPr>
          <w:rFonts w:ascii="Book Antiqua" w:hAnsi="Book Antiqua"/>
          <w:sz w:val="24"/>
          <w:szCs w:val="24"/>
        </w:rPr>
        <w:t>LSM</w:t>
      </w:r>
      <w:r w:rsidR="00484A90" w:rsidRPr="00CA3B86">
        <w:rPr>
          <w:rFonts w:ascii="Book Antiqua" w:hAnsi="Book Antiqua"/>
          <w:sz w:val="24"/>
          <w:szCs w:val="24"/>
        </w:rPr>
        <w:t xml:space="preserve"> or ELF </w:t>
      </w:r>
      <w:r w:rsidR="00167322" w:rsidRPr="00CA3B86">
        <w:rPr>
          <w:rFonts w:ascii="Book Antiqua" w:hAnsi="Book Antiqua"/>
          <w:sz w:val="24"/>
          <w:szCs w:val="24"/>
        </w:rPr>
        <w:t xml:space="preserve">test </w:t>
      </w:r>
      <w:r w:rsidR="00025456" w:rsidRPr="00CA3B86">
        <w:rPr>
          <w:rFonts w:ascii="Book Antiqua" w:hAnsi="Book Antiqua"/>
          <w:sz w:val="24"/>
          <w:szCs w:val="24"/>
        </w:rPr>
        <w:t xml:space="preserve">alone </w:t>
      </w:r>
      <w:r w:rsidR="00441577" w:rsidRPr="00CA3B86">
        <w:rPr>
          <w:rFonts w:ascii="Book Antiqua" w:hAnsi="Book Antiqua"/>
          <w:sz w:val="24"/>
          <w:szCs w:val="24"/>
        </w:rPr>
        <w:t>resulted in</w:t>
      </w:r>
      <w:r w:rsidR="00484A90" w:rsidRPr="00CA3B86">
        <w:rPr>
          <w:rFonts w:ascii="Book Antiqua" w:hAnsi="Book Antiqua"/>
          <w:sz w:val="24"/>
          <w:szCs w:val="24"/>
        </w:rPr>
        <w:t xml:space="preserve"> a substantial reduction in the number of events </w:t>
      </w:r>
      <w:r w:rsidR="00025456" w:rsidRPr="00CA3B86">
        <w:rPr>
          <w:rFonts w:ascii="Book Antiqua" w:hAnsi="Book Antiqua"/>
          <w:sz w:val="24"/>
          <w:szCs w:val="24"/>
        </w:rPr>
        <w:t>(cirrhosis, hepatocellular carcinoma</w:t>
      </w:r>
      <w:r w:rsidR="00157AB0" w:rsidRPr="00CA3B86">
        <w:rPr>
          <w:rFonts w:ascii="Book Antiqua" w:hAnsi="Book Antiqua"/>
          <w:sz w:val="24"/>
          <w:szCs w:val="24"/>
        </w:rPr>
        <w:t>,</w:t>
      </w:r>
      <w:r w:rsidR="00025456" w:rsidRPr="00CA3B86">
        <w:rPr>
          <w:rFonts w:ascii="Book Antiqua" w:hAnsi="Book Antiqua"/>
          <w:sz w:val="24"/>
          <w:szCs w:val="24"/>
        </w:rPr>
        <w:t xml:space="preserve"> and fibrosis-related death) </w:t>
      </w:r>
      <w:r w:rsidR="00441577" w:rsidRPr="00CA3B86">
        <w:rPr>
          <w:rFonts w:ascii="Book Antiqua" w:hAnsi="Book Antiqua"/>
          <w:sz w:val="24"/>
          <w:szCs w:val="24"/>
        </w:rPr>
        <w:t>and a significant increase in QALYs for</w:t>
      </w:r>
      <w:r w:rsidR="00484A90" w:rsidRPr="00CA3B86">
        <w:rPr>
          <w:rFonts w:ascii="Book Antiqua" w:hAnsi="Book Antiqua"/>
          <w:sz w:val="24"/>
          <w:szCs w:val="24"/>
        </w:rPr>
        <w:t xml:space="preserve"> HCV and ALD patients</w:t>
      </w:r>
      <w:r w:rsidR="00025456" w:rsidRPr="00CA3B86">
        <w:rPr>
          <w:rFonts w:ascii="Book Antiqua" w:hAnsi="Book Antiqua"/>
          <w:sz w:val="24"/>
          <w:szCs w:val="24"/>
        </w:rPr>
        <w:t>, compared with a single liver biopsy</w:t>
      </w:r>
      <w:r w:rsidR="00484A90" w:rsidRPr="00CA3B86">
        <w:rPr>
          <w:rFonts w:ascii="Book Antiqua" w:hAnsi="Book Antiqua"/>
          <w:sz w:val="24"/>
          <w:szCs w:val="24"/>
        </w:rPr>
        <w:t>.</w:t>
      </w:r>
      <w:r w:rsidR="00025456" w:rsidRPr="00CA3B86">
        <w:rPr>
          <w:rFonts w:ascii="Book Antiqua" w:hAnsi="Book Antiqua"/>
          <w:sz w:val="24"/>
          <w:szCs w:val="24"/>
        </w:rPr>
        <w:t xml:space="preserve"> Out of the three </w:t>
      </w:r>
      <w:r w:rsidR="00A0759D" w:rsidRPr="00CA3B86">
        <w:rPr>
          <w:rFonts w:ascii="Book Antiqua" w:hAnsi="Book Antiqua"/>
          <w:sz w:val="24"/>
          <w:szCs w:val="24"/>
        </w:rPr>
        <w:t>options analy</w:t>
      </w:r>
      <w:r w:rsidR="00157AB0" w:rsidRPr="00CA3B86">
        <w:rPr>
          <w:rFonts w:ascii="Book Antiqua" w:hAnsi="Book Antiqua"/>
          <w:sz w:val="24"/>
          <w:szCs w:val="24"/>
        </w:rPr>
        <w:t>z</w:t>
      </w:r>
      <w:r w:rsidR="00A0759D" w:rsidRPr="00CA3B86">
        <w:rPr>
          <w:rFonts w:ascii="Book Antiqua" w:hAnsi="Book Antiqua"/>
          <w:sz w:val="24"/>
          <w:szCs w:val="24"/>
        </w:rPr>
        <w:t>ed</w:t>
      </w:r>
      <w:r w:rsidR="00025456" w:rsidRPr="00CA3B86">
        <w:rPr>
          <w:rFonts w:ascii="Book Antiqua" w:hAnsi="Book Antiqua"/>
          <w:sz w:val="24"/>
          <w:szCs w:val="24"/>
        </w:rPr>
        <w:t xml:space="preserve">, ELF </w:t>
      </w:r>
      <w:r w:rsidR="00167322" w:rsidRPr="00CA3B86">
        <w:rPr>
          <w:rFonts w:ascii="Book Antiqua" w:hAnsi="Book Antiqua"/>
          <w:sz w:val="24"/>
          <w:szCs w:val="24"/>
        </w:rPr>
        <w:t xml:space="preserve">testing </w:t>
      </w:r>
      <w:r w:rsidR="00025456" w:rsidRPr="00CA3B86">
        <w:rPr>
          <w:rFonts w:ascii="Book Antiqua" w:hAnsi="Book Antiqua"/>
          <w:sz w:val="24"/>
          <w:szCs w:val="24"/>
        </w:rPr>
        <w:t>alone had the best health outcomes for both etiology groups</w:t>
      </w:r>
      <w:r w:rsidR="0077247E" w:rsidRPr="00CA3B86">
        <w:rPr>
          <w:rFonts w:ascii="Book Antiqua" w:hAnsi="Book Antiqua"/>
          <w:sz w:val="24"/>
          <w:szCs w:val="24"/>
        </w:rPr>
        <w:t xml:space="preserve"> (</w:t>
      </w:r>
      <w:r w:rsidR="00E22E31" w:rsidRPr="00CA3B86">
        <w:rPr>
          <w:rFonts w:ascii="Book Antiqua" w:hAnsi="Book Antiqua"/>
          <w:i/>
          <w:sz w:val="24"/>
          <w:szCs w:val="24"/>
        </w:rPr>
        <w:t>i.e</w:t>
      </w:r>
      <w:r w:rsidR="0077247E" w:rsidRPr="00CA3B86">
        <w:rPr>
          <w:rFonts w:ascii="Book Antiqua" w:hAnsi="Book Antiqua"/>
          <w:sz w:val="24"/>
          <w:szCs w:val="24"/>
        </w:rPr>
        <w:t>.</w:t>
      </w:r>
      <w:r>
        <w:rPr>
          <w:rFonts w:ascii="Book Antiqua" w:hAnsi="Book Antiqua" w:hint="eastAsia"/>
          <w:sz w:val="24"/>
          <w:szCs w:val="24"/>
          <w:lang w:eastAsia="zh-CN"/>
        </w:rPr>
        <w:t>,</w:t>
      </w:r>
      <w:r w:rsidR="0077247E" w:rsidRPr="00CA3B86">
        <w:rPr>
          <w:rFonts w:ascii="Book Antiqua" w:hAnsi="Book Antiqua"/>
          <w:sz w:val="24"/>
          <w:szCs w:val="24"/>
        </w:rPr>
        <w:t xml:space="preserve"> H</w:t>
      </w:r>
      <w:r w:rsidR="00051E02" w:rsidRPr="00CA3B86">
        <w:rPr>
          <w:rFonts w:ascii="Book Antiqua" w:hAnsi="Book Antiqua"/>
          <w:sz w:val="24"/>
          <w:szCs w:val="24"/>
        </w:rPr>
        <w:t>CV</w:t>
      </w:r>
      <w:r w:rsidR="0077247E" w:rsidRPr="00CA3B86">
        <w:rPr>
          <w:rFonts w:ascii="Book Antiqua" w:hAnsi="Book Antiqua"/>
          <w:sz w:val="24"/>
          <w:szCs w:val="24"/>
        </w:rPr>
        <w:t xml:space="preserve"> and A</w:t>
      </w:r>
      <w:r w:rsidR="00051E02" w:rsidRPr="00CA3B86">
        <w:rPr>
          <w:rFonts w:ascii="Book Antiqua" w:hAnsi="Book Antiqua"/>
          <w:sz w:val="24"/>
          <w:szCs w:val="24"/>
        </w:rPr>
        <w:t>LD</w:t>
      </w:r>
      <w:r w:rsidR="0077247E" w:rsidRPr="00CA3B86">
        <w:rPr>
          <w:rFonts w:ascii="Book Antiqua" w:hAnsi="Book Antiqua"/>
          <w:sz w:val="24"/>
          <w:szCs w:val="24"/>
        </w:rPr>
        <w:t>)</w:t>
      </w:r>
      <w:r w:rsidR="00A0759D" w:rsidRPr="00CA3B86">
        <w:rPr>
          <w:rFonts w:ascii="Book Antiqua" w:hAnsi="Book Antiqua"/>
          <w:sz w:val="24"/>
          <w:szCs w:val="24"/>
        </w:rPr>
        <w:t>, but it was also the most costly of the strategies</w:t>
      </w:r>
      <w:r w:rsidR="00760E70" w:rsidRPr="00CA3B86">
        <w:rPr>
          <w:rFonts w:ascii="Book Antiqua" w:hAnsi="Book Antiqua"/>
          <w:sz w:val="24"/>
          <w:szCs w:val="24"/>
        </w:rPr>
        <w:t xml:space="preserve">. </w:t>
      </w:r>
      <w:r w:rsidR="00CD0A95" w:rsidRPr="00CA3B86">
        <w:rPr>
          <w:rFonts w:ascii="Book Antiqua" w:hAnsi="Book Antiqua"/>
          <w:sz w:val="24"/>
          <w:szCs w:val="24"/>
        </w:rPr>
        <w:t xml:space="preserve">In light of </w:t>
      </w:r>
      <w:r w:rsidR="00F23661" w:rsidRPr="00CA3B86">
        <w:rPr>
          <w:rFonts w:ascii="Book Antiqua" w:hAnsi="Book Antiqua"/>
          <w:sz w:val="24"/>
          <w:szCs w:val="24"/>
        </w:rPr>
        <w:t>these</w:t>
      </w:r>
      <w:r w:rsidR="00CD0A95" w:rsidRPr="00CA3B86">
        <w:rPr>
          <w:rFonts w:ascii="Book Antiqua" w:hAnsi="Book Antiqua"/>
          <w:sz w:val="24"/>
          <w:szCs w:val="24"/>
        </w:rPr>
        <w:t xml:space="preserve"> results</w:t>
      </w:r>
      <w:r w:rsidR="00157AB0" w:rsidRPr="00CA3B86">
        <w:rPr>
          <w:rFonts w:ascii="Book Antiqua" w:hAnsi="Book Antiqua"/>
          <w:sz w:val="24"/>
          <w:szCs w:val="24"/>
        </w:rPr>
        <w:t>,</w:t>
      </w:r>
      <w:r w:rsidR="00CD0A95" w:rsidRPr="00CA3B86">
        <w:rPr>
          <w:rFonts w:ascii="Book Antiqua" w:hAnsi="Book Antiqua"/>
          <w:sz w:val="24"/>
          <w:szCs w:val="24"/>
        </w:rPr>
        <w:t xml:space="preserve"> sequential ELF</w:t>
      </w:r>
      <w:r w:rsidR="00167322" w:rsidRPr="00CA3B86">
        <w:rPr>
          <w:rFonts w:ascii="Book Antiqua" w:hAnsi="Book Antiqua"/>
          <w:sz w:val="24"/>
          <w:szCs w:val="24"/>
        </w:rPr>
        <w:t xml:space="preserve"> test</w:t>
      </w:r>
      <w:r w:rsidR="00CD0A95" w:rsidRPr="00CA3B86">
        <w:rPr>
          <w:rFonts w:ascii="Book Antiqua" w:hAnsi="Book Antiqua"/>
          <w:sz w:val="24"/>
          <w:szCs w:val="24"/>
        </w:rPr>
        <w:t>/</w:t>
      </w:r>
      <w:r w:rsidR="003E32E4" w:rsidRPr="00CA3B86">
        <w:rPr>
          <w:rFonts w:ascii="Book Antiqua" w:hAnsi="Book Antiqua"/>
          <w:sz w:val="24"/>
          <w:szCs w:val="24"/>
        </w:rPr>
        <w:t>LSM</w:t>
      </w:r>
      <w:r w:rsidR="00342622" w:rsidRPr="00CA3B86">
        <w:rPr>
          <w:rFonts w:ascii="Book Antiqua" w:hAnsi="Book Antiqua"/>
          <w:sz w:val="24"/>
          <w:szCs w:val="24"/>
        </w:rPr>
        <w:t xml:space="preserve"> can be </w:t>
      </w:r>
      <w:r w:rsidR="00760E70" w:rsidRPr="00CA3B86">
        <w:rPr>
          <w:rFonts w:ascii="Book Antiqua" w:hAnsi="Book Antiqua"/>
          <w:sz w:val="24"/>
          <w:szCs w:val="24"/>
        </w:rPr>
        <w:t>considered</w:t>
      </w:r>
      <w:r w:rsidR="00342622" w:rsidRPr="00CA3B86">
        <w:rPr>
          <w:rFonts w:ascii="Book Antiqua" w:hAnsi="Book Antiqua"/>
          <w:sz w:val="24"/>
          <w:szCs w:val="24"/>
        </w:rPr>
        <w:t xml:space="preserve"> as an option </w:t>
      </w:r>
      <w:r w:rsidR="00760E70" w:rsidRPr="00CA3B86">
        <w:rPr>
          <w:rFonts w:ascii="Book Antiqua" w:hAnsi="Book Antiqua"/>
          <w:sz w:val="24"/>
          <w:szCs w:val="24"/>
        </w:rPr>
        <w:t>providing a balance between proper care and costs</w:t>
      </w:r>
      <w:r w:rsidR="00CB0F1B" w:rsidRPr="00CA3B86">
        <w:rPr>
          <w:rFonts w:ascii="Book Antiqua" w:hAnsi="Book Antiqua"/>
          <w:sz w:val="24"/>
          <w:szCs w:val="24"/>
        </w:rPr>
        <w:t xml:space="preserve">, </w:t>
      </w:r>
      <w:r w:rsidR="00CB0F1B" w:rsidRPr="00CA3B86">
        <w:rPr>
          <w:rFonts w:ascii="Book Antiqua" w:hAnsi="Book Antiqua"/>
          <w:sz w:val="24"/>
          <w:szCs w:val="24"/>
        </w:rPr>
        <w:lastRenderedPageBreak/>
        <w:t xml:space="preserve">especially </w:t>
      </w:r>
      <w:r w:rsidR="00760E70" w:rsidRPr="00CA3B86">
        <w:rPr>
          <w:rFonts w:ascii="Book Antiqua" w:hAnsi="Book Antiqua"/>
          <w:sz w:val="24"/>
          <w:szCs w:val="24"/>
        </w:rPr>
        <w:t xml:space="preserve">in </w:t>
      </w:r>
      <w:r w:rsidR="00CB0F1B" w:rsidRPr="00CA3B86">
        <w:rPr>
          <w:rFonts w:ascii="Book Antiqua" w:hAnsi="Book Antiqua"/>
          <w:sz w:val="24"/>
          <w:szCs w:val="24"/>
        </w:rPr>
        <w:t xml:space="preserve">HCV patients. In ALD, </w:t>
      </w:r>
      <w:r w:rsidR="00051E02" w:rsidRPr="00CA3B86">
        <w:rPr>
          <w:rFonts w:ascii="Book Antiqua" w:hAnsi="Book Antiqua"/>
          <w:sz w:val="24"/>
          <w:szCs w:val="24"/>
        </w:rPr>
        <w:t xml:space="preserve">the </w:t>
      </w:r>
      <w:r w:rsidR="00E03FD5" w:rsidRPr="00CA3B86">
        <w:rPr>
          <w:rFonts w:ascii="Book Antiqua" w:hAnsi="Book Antiqua"/>
          <w:sz w:val="24"/>
          <w:szCs w:val="24"/>
        </w:rPr>
        <w:t>preferred</w:t>
      </w:r>
      <w:r w:rsidR="00CB0F1B" w:rsidRPr="00CA3B86">
        <w:rPr>
          <w:rFonts w:ascii="Book Antiqua" w:hAnsi="Book Antiqua"/>
          <w:sz w:val="24"/>
          <w:szCs w:val="24"/>
        </w:rPr>
        <w:t xml:space="preserve"> strategy is ELF </w:t>
      </w:r>
      <w:r w:rsidR="00167322" w:rsidRPr="00CA3B86">
        <w:rPr>
          <w:rFonts w:ascii="Book Antiqua" w:hAnsi="Book Antiqua"/>
          <w:sz w:val="24"/>
          <w:szCs w:val="24"/>
        </w:rPr>
        <w:t xml:space="preserve">testing </w:t>
      </w:r>
      <w:r w:rsidR="00CB0F1B" w:rsidRPr="00CA3B86">
        <w:rPr>
          <w:rFonts w:ascii="Book Antiqua" w:hAnsi="Book Antiqua"/>
          <w:sz w:val="24"/>
          <w:szCs w:val="24"/>
        </w:rPr>
        <w:t xml:space="preserve">alone as its low incremental cost and large associated </w:t>
      </w:r>
      <w:r w:rsidR="00760E70" w:rsidRPr="00CA3B86">
        <w:rPr>
          <w:rFonts w:ascii="Book Antiqua" w:hAnsi="Book Antiqua"/>
          <w:sz w:val="24"/>
          <w:szCs w:val="24"/>
        </w:rPr>
        <w:t xml:space="preserve">health </w:t>
      </w:r>
      <w:r w:rsidR="00CB0F1B" w:rsidRPr="00CA3B86">
        <w:rPr>
          <w:rFonts w:ascii="Book Antiqua" w:hAnsi="Book Antiqua"/>
          <w:sz w:val="24"/>
          <w:szCs w:val="24"/>
        </w:rPr>
        <w:t>gains make it a highly cost-effective option.</w:t>
      </w:r>
    </w:p>
    <w:p w:rsidR="00CA3B86" w:rsidRDefault="00CA3B86" w:rsidP="00CA3B86">
      <w:pPr>
        <w:adjustRightInd w:val="0"/>
        <w:snapToGrid w:val="0"/>
        <w:spacing w:after="0" w:line="360" w:lineRule="auto"/>
        <w:jc w:val="both"/>
        <w:rPr>
          <w:rFonts w:ascii="Book Antiqua" w:hAnsi="Book Antiqua"/>
          <w:sz w:val="24"/>
          <w:szCs w:val="24"/>
          <w:lang w:eastAsia="zh-CN"/>
        </w:rPr>
      </w:pPr>
    </w:p>
    <w:p w:rsidR="005C4F97" w:rsidRPr="00CA3B86" w:rsidRDefault="00CA3B86" w:rsidP="00CA3B86">
      <w:pPr>
        <w:adjustRightInd w:val="0"/>
        <w:snapToGrid w:val="0"/>
        <w:spacing w:after="0" w:line="360" w:lineRule="auto"/>
        <w:jc w:val="both"/>
        <w:rPr>
          <w:rFonts w:ascii="Book Antiqua" w:hAnsi="Book Antiqua"/>
          <w:b/>
          <w:sz w:val="24"/>
          <w:szCs w:val="24"/>
          <w:lang w:eastAsia="zh-CN"/>
        </w:rPr>
      </w:pPr>
      <w:r w:rsidRPr="00CA3B86">
        <w:rPr>
          <w:rFonts w:ascii="Book Antiqua" w:hAnsi="Book Antiqua"/>
          <w:b/>
          <w:szCs w:val="24"/>
        </w:rPr>
        <w:t>ACKNOWLEDGEMENTS</w:t>
      </w:r>
    </w:p>
    <w:p w:rsidR="00392CE9" w:rsidRDefault="001A3196" w:rsidP="001339DB">
      <w:pPr>
        <w:adjustRightInd w:val="0"/>
        <w:snapToGrid w:val="0"/>
        <w:spacing w:after="0" w:line="360" w:lineRule="auto"/>
        <w:jc w:val="both"/>
        <w:rPr>
          <w:rFonts w:ascii="Book Antiqua" w:hAnsi="Book Antiqua"/>
          <w:sz w:val="24"/>
          <w:szCs w:val="24"/>
          <w:lang w:eastAsia="zh-CN"/>
        </w:rPr>
      </w:pPr>
      <w:r w:rsidRPr="001339DB">
        <w:rPr>
          <w:rFonts w:ascii="Book Antiqua" w:hAnsi="Book Antiqua"/>
          <w:sz w:val="24"/>
          <w:szCs w:val="24"/>
        </w:rPr>
        <w:t>We are grateful to</w:t>
      </w:r>
      <w:r w:rsidR="00891F6F" w:rsidRPr="001339DB">
        <w:rPr>
          <w:rFonts w:ascii="Book Antiqua" w:hAnsi="Book Antiqua"/>
          <w:sz w:val="24"/>
          <w:szCs w:val="24"/>
        </w:rPr>
        <w:t xml:space="preserve"> </w:t>
      </w:r>
      <w:r w:rsidR="005C4F97" w:rsidRPr="001339DB">
        <w:rPr>
          <w:rFonts w:ascii="Book Antiqua" w:hAnsi="Book Antiqua"/>
          <w:sz w:val="24"/>
          <w:szCs w:val="24"/>
        </w:rPr>
        <w:t xml:space="preserve">Krzysztof </w:t>
      </w:r>
      <w:proofErr w:type="spellStart"/>
      <w:r w:rsidR="005C4F97" w:rsidRPr="001339DB">
        <w:rPr>
          <w:rFonts w:ascii="Book Antiqua" w:hAnsi="Book Antiqua"/>
          <w:sz w:val="24"/>
          <w:szCs w:val="24"/>
        </w:rPr>
        <w:t>Lach</w:t>
      </w:r>
      <w:proofErr w:type="spellEnd"/>
      <w:r w:rsidR="005C4F97" w:rsidRPr="001339DB">
        <w:rPr>
          <w:rFonts w:ascii="Book Antiqua" w:hAnsi="Book Antiqua"/>
          <w:sz w:val="24"/>
          <w:szCs w:val="24"/>
        </w:rPr>
        <w:t xml:space="preserve">, Gemma </w:t>
      </w:r>
      <w:proofErr w:type="spellStart"/>
      <w:r w:rsidR="005C4F97" w:rsidRPr="001339DB">
        <w:rPr>
          <w:rFonts w:ascii="Book Antiqua" w:hAnsi="Book Antiqua"/>
          <w:sz w:val="24"/>
          <w:szCs w:val="24"/>
        </w:rPr>
        <w:t>Lorente</w:t>
      </w:r>
      <w:proofErr w:type="spellEnd"/>
      <w:r w:rsidRPr="001339DB">
        <w:rPr>
          <w:rFonts w:ascii="Book Antiqua" w:hAnsi="Book Antiqua"/>
          <w:sz w:val="24"/>
          <w:szCs w:val="24"/>
        </w:rPr>
        <w:t xml:space="preserve"> and </w:t>
      </w:r>
      <w:proofErr w:type="spellStart"/>
      <w:r w:rsidRPr="001339DB">
        <w:rPr>
          <w:rFonts w:ascii="Book Antiqua" w:hAnsi="Book Antiqua"/>
          <w:sz w:val="24"/>
          <w:szCs w:val="24"/>
        </w:rPr>
        <w:t>Laia</w:t>
      </w:r>
      <w:proofErr w:type="spellEnd"/>
      <w:r w:rsidRPr="001339DB">
        <w:rPr>
          <w:rFonts w:ascii="Book Antiqua" w:hAnsi="Book Antiqua"/>
          <w:sz w:val="24"/>
          <w:szCs w:val="24"/>
        </w:rPr>
        <w:t xml:space="preserve"> Rodríguez </w:t>
      </w:r>
      <w:r w:rsidR="00891F6F" w:rsidRPr="001339DB">
        <w:rPr>
          <w:rFonts w:ascii="Book Antiqua" w:hAnsi="Book Antiqua"/>
          <w:sz w:val="24"/>
          <w:szCs w:val="24"/>
        </w:rPr>
        <w:t xml:space="preserve">from Hospital Clínic Barcelona </w:t>
      </w:r>
      <w:r w:rsidRPr="001339DB">
        <w:rPr>
          <w:rFonts w:ascii="Book Antiqua" w:hAnsi="Book Antiqua"/>
          <w:sz w:val="24"/>
          <w:szCs w:val="24"/>
        </w:rPr>
        <w:t>for t</w:t>
      </w:r>
      <w:r w:rsidR="00780671" w:rsidRPr="001339DB">
        <w:rPr>
          <w:rFonts w:ascii="Book Antiqua" w:hAnsi="Book Antiqua"/>
          <w:sz w:val="24"/>
          <w:szCs w:val="24"/>
        </w:rPr>
        <w:t>h</w:t>
      </w:r>
      <w:r w:rsidRPr="001339DB">
        <w:rPr>
          <w:rFonts w:ascii="Book Antiqua" w:hAnsi="Book Antiqua"/>
          <w:sz w:val="24"/>
          <w:szCs w:val="24"/>
        </w:rPr>
        <w:t>e</w:t>
      </w:r>
      <w:r w:rsidR="00780671" w:rsidRPr="001339DB">
        <w:rPr>
          <w:rFonts w:ascii="Book Antiqua" w:hAnsi="Book Antiqua"/>
          <w:sz w:val="24"/>
          <w:szCs w:val="24"/>
        </w:rPr>
        <w:t>i</w:t>
      </w:r>
      <w:r w:rsidRPr="001339DB">
        <w:rPr>
          <w:rFonts w:ascii="Book Antiqua" w:hAnsi="Book Antiqua"/>
          <w:sz w:val="24"/>
          <w:szCs w:val="24"/>
        </w:rPr>
        <w:t>r valuable assistance.</w:t>
      </w:r>
    </w:p>
    <w:p w:rsidR="00CA3B86" w:rsidRDefault="00CA3B86" w:rsidP="001339DB">
      <w:pPr>
        <w:adjustRightInd w:val="0"/>
        <w:snapToGrid w:val="0"/>
        <w:spacing w:after="0" w:line="360" w:lineRule="auto"/>
        <w:jc w:val="both"/>
        <w:rPr>
          <w:rFonts w:ascii="Book Antiqua" w:hAnsi="Book Antiqua"/>
          <w:sz w:val="24"/>
          <w:szCs w:val="24"/>
          <w:lang w:eastAsia="zh-CN"/>
        </w:rPr>
      </w:pPr>
    </w:p>
    <w:p w:rsidR="00DB200F" w:rsidRPr="006C48BE" w:rsidRDefault="00DB200F" w:rsidP="00DB200F">
      <w:pPr>
        <w:adjustRightInd w:val="0"/>
        <w:snapToGrid w:val="0"/>
        <w:spacing w:line="360" w:lineRule="auto"/>
        <w:jc w:val="both"/>
        <w:rPr>
          <w:rFonts w:ascii="Book Antiqua" w:hAnsi="Book Antiqua"/>
          <w:b/>
        </w:rPr>
      </w:pPr>
      <w:r w:rsidRPr="006C48BE">
        <w:rPr>
          <w:rFonts w:ascii="Book Antiqua" w:hAnsi="Book Antiqua"/>
          <w:b/>
        </w:rPr>
        <w:t>COMMENTS</w:t>
      </w:r>
    </w:p>
    <w:p w:rsidR="00DB200F" w:rsidRDefault="00DB200F" w:rsidP="00DB200F">
      <w:pPr>
        <w:autoSpaceDE w:val="0"/>
        <w:autoSpaceDN w:val="0"/>
        <w:adjustRightInd w:val="0"/>
        <w:snapToGrid w:val="0"/>
        <w:spacing w:line="360" w:lineRule="auto"/>
        <w:jc w:val="both"/>
        <w:rPr>
          <w:rFonts w:ascii="Book Antiqua" w:hAnsi="Book Antiqua" w:cs="Book Antiqua"/>
          <w:b/>
          <w:i/>
          <w:iCs/>
          <w:lang w:eastAsia="zh-CN"/>
        </w:rPr>
      </w:pPr>
      <w:r w:rsidRPr="006C48BE">
        <w:rPr>
          <w:rFonts w:ascii="Book Antiqua" w:hAnsi="Book Antiqua" w:cs="Book Antiqua"/>
          <w:b/>
          <w:i/>
          <w:iCs/>
        </w:rPr>
        <w:t>Background</w:t>
      </w:r>
    </w:p>
    <w:p w:rsidR="00ED257C" w:rsidRDefault="00ED257C" w:rsidP="00DB200F">
      <w:pPr>
        <w:autoSpaceDE w:val="0"/>
        <w:autoSpaceDN w:val="0"/>
        <w:adjustRightInd w:val="0"/>
        <w:snapToGrid w:val="0"/>
        <w:spacing w:line="360" w:lineRule="auto"/>
        <w:jc w:val="both"/>
        <w:rPr>
          <w:rFonts w:ascii="Book Antiqua" w:hAnsi="Book Antiqua"/>
          <w:sz w:val="24"/>
          <w:szCs w:val="24"/>
          <w:lang w:val="en-GB" w:eastAsia="zh-CN"/>
        </w:rPr>
      </w:pPr>
      <w:r w:rsidRPr="001339DB">
        <w:rPr>
          <w:rFonts w:ascii="Book Antiqua" w:hAnsi="Book Antiqua"/>
          <w:sz w:val="24"/>
          <w:szCs w:val="24"/>
          <w:lang w:val="en-GB"/>
        </w:rPr>
        <w:t xml:space="preserve">The tremendous advances made in biomedicine and biotechnology during the last decade have led to long-standing “gold standard” invasive diagnostic and therapeutic procedures being challenged by novel, rapid, and </w:t>
      </w:r>
      <w:proofErr w:type="spellStart"/>
      <w:r w:rsidRPr="001339DB">
        <w:rPr>
          <w:rFonts w:ascii="Book Antiqua" w:hAnsi="Book Antiqua"/>
          <w:sz w:val="24"/>
          <w:szCs w:val="24"/>
          <w:lang w:val="en-GB"/>
        </w:rPr>
        <w:t>noninvasive</w:t>
      </w:r>
      <w:proofErr w:type="spellEnd"/>
      <w:r w:rsidRPr="001339DB">
        <w:rPr>
          <w:rFonts w:ascii="Book Antiqua" w:hAnsi="Book Antiqua"/>
          <w:sz w:val="24"/>
          <w:szCs w:val="24"/>
          <w:lang w:val="en-GB"/>
        </w:rPr>
        <w:t xml:space="preserve"> methods. </w:t>
      </w:r>
      <w:proofErr w:type="spellStart"/>
      <w:r w:rsidRPr="001339DB">
        <w:rPr>
          <w:rFonts w:ascii="Book Antiqua" w:hAnsi="Book Antiqua"/>
          <w:sz w:val="24"/>
          <w:szCs w:val="24"/>
          <w:lang w:val="en-GB"/>
        </w:rPr>
        <w:t>Noninvasive</w:t>
      </w:r>
      <w:proofErr w:type="spellEnd"/>
      <w:r w:rsidRPr="001339DB">
        <w:rPr>
          <w:rFonts w:ascii="Book Antiqua" w:hAnsi="Book Antiqua"/>
          <w:sz w:val="24"/>
          <w:szCs w:val="24"/>
          <w:lang w:val="en-GB"/>
        </w:rPr>
        <w:t xml:space="preserve"> diagnosis of liver fibrosis (LF) is one of the fields that has evolved most rapidly in recent years. Diagnosis and follow-up of liver diseases has long relied on liver biopsy, and only recently has its value as a method to assess the severity of LF or to follow-up disease progression been questioned. Though biopsy is used to stage most cases of liver disease, it is well known that this procedure has several limitations.</w:t>
      </w:r>
    </w:p>
    <w:p w:rsidR="00ED257C" w:rsidRPr="006C48BE" w:rsidRDefault="00ED257C" w:rsidP="00DB200F">
      <w:pPr>
        <w:autoSpaceDE w:val="0"/>
        <w:autoSpaceDN w:val="0"/>
        <w:adjustRightInd w:val="0"/>
        <w:snapToGrid w:val="0"/>
        <w:spacing w:line="360" w:lineRule="auto"/>
        <w:jc w:val="both"/>
        <w:rPr>
          <w:rFonts w:ascii="Book Antiqua" w:hAnsi="Book Antiqua" w:cs="Book Antiqua"/>
          <w:b/>
          <w:i/>
          <w:iCs/>
          <w:lang w:eastAsia="zh-CN"/>
        </w:rPr>
      </w:pPr>
    </w:p>
    <w:p w:rsidR="00DB200F" w:rsidRDefault="00DB200F" w:rsidP="00DB200F">
      <w:pPr>
        <w:autoSpaceDE w:val="0"/>
        <w:autoSpaceDN w:val="0"/>
        <w:adjustRightInd w:val="0"/>
        <w:snapToGrid w:val="0"/>
        <w:spacing w:line="360" w:lineRule="auto"/>
        <w:jc w:val="both"/>
        <w:rPr>
          <w:rFonts w:ascii="Book Antiqua" w:hAnsi="Book Antiqua" w:cs="Book Antiqua"/>
          <w:b/>
          <w:i/>
          <w:iCs/>
          <w:lang w:eastAsia="zh-CN"/>
        </w:rPr>
      </w:pPr>
      <w:r w:rsidRPr="006C48BE">
        <w:rPr>
          <w:rFonts w:ascii="Book Antiqua" w:hAnsi="Book Antiqua" w:cs="Book Antiqua"/>
          <w:b/>
          <w:i/>
          <w:iCs/>
        </w:rPr>
        <w:t>Research frontiers</w:t>
      </w:r>
    </w:p>
    <w:p w:rsidR="00ED257C" w:rsidRDefault="00ED257C" w:rsidP="00ED257C">
      <w:pPr>
        <w:adjustRightInd w:val="0"/>
        <w:snapToGrid w:val="0"/>
        <w:spacing w:after="0" w:line="360" w:lineRule="auto"/>
        <w:jc w:val="both"/>
        <w:rPr>
          <w:rFonts w:ascii="Book Antiqua" w:hAnsi="Book Antiqua"/>
          <w:sz w:val="24"/>
          <w:szCs w:val="24"/>
          <w:lang w:val="en-GB" w:eastAsia="zh-CN"/>
        </w:rPr>
      </w:pPr>
      <w:r w:rsidRPr="001339DB">
        <w:rPr>
          <w:rFonts w:ascii="Book Antiqua" w:hAnsi="Book Antiqua"/>
          <w:sz w:val="24"/>
          <w:szCs w:val="24"/>
          <w:lang w:val="en-GB"/>
        </w:rPr>
        <w:t xml:space="preserve">The aim of the current study is to assess both the accuracy of the sequential use of ELF test/LSM in the evaluation of the severity of liver disease and its cost-effectiveness compared with the use of biopsy in patients with </w:t>
      </w:r>
      <w:r w:rsidR="006F4B20" w:rsidRPr="001339DB">
        <w:rPr>
          <w:rFonts w:ascii="Book Antiqua" w:hAnsi="Book Antiqua"/>
          <w:sz w:val="24"/>
          <w:szCs w:val="24"/>
          <w:lang w:val="en-GB"/>
        </w:rPr>
        <w:t xml:space="preserve">hepatitis C virus (HCV) </w:t>
      </w:r>
      <w:r w:rsidRPr="001339DB">
        <w:rPr>
          <w:rFonts w:ascii="Book Antiqua" w:hAnsi="Book Antiqua"/>
          <w:sz w:val="24"/>
          <w:szCs w:val="24"/>
          <w:lang w:val="en-GB"/>
        </w:rPr>
        <w:t xml:space="preserve">or alcoholic liver disease (ALD). </w:t>
      </w:r>
    </w:p>
    <w:p w:rsidR="00ED257C" w:rsidRPr="00F40705" w:rsidRDefault="00ED257C" w:rsidP="00DB200F">
      <w:pPr>
        <w:autoSpaceDE w:val="0"/>
        <w:autoSpaceDN w:val="0"/>
        <w:adjustRightInd w:val="0"/>
        <w:snapToGrid w:val="0"/>
        <w:spacing w:line="360" w:lineRule="auto"/>
        <w:jc w:val="both"/>
        <w:rPr>
          <w:rFonts w:ascii="Book Antiqua" w:hAnsi="Book Antiqua" w:cs="Book Antiqua"/>
          <w:b/>
          <w:i/>
          <w:iCs/>
          <w:lang w:val="en-GB" w:eastAsia="zh-CN"/>
        </w:rPr>
      </w:pPr>
    </w:p>
    <w:p w:rsidR="00DB200F" w:rsidRDefault="00DB200F" w:rsidP="00DB200F">
      <w:pPr>
        <w:adjustRightInd w:val="0"/>
        <w:snapToGrid w:val="0"/>
        <w:spacing w:line="360" w:lineRule="auto"/>
        <w:jc w:val="both"/>
        <w:rPr>
          <w:rFonts w:ascii="Book Antiqua" w:hAnsi="Book Antiqua" w:cs="Book Antiqua"/>
          <w:b/>
          <w:i/>
          <w:iCs/>
          <w:lang w:eastAsia="zh-CN"/>
        </w:rPr>
      </w:pPr>
      <w:r w:rsidRPr="006C48BE">
        <w:rPr>
          <w:rFonts w:ascii="Book Antiqua" w:hAnsi="Book Antiqua" w:cs="Book Antiqua"/>
          <w:b/>
          <w:i/>
          <w:iCs/>
        </w:rPr>
        <w:t>Innovations and breakthrough</w:t>
      </w:r>
    </w:p>
    <w:p w:rsidR="00F40705" w:rsidRDefault="00F40705" w:rsidP="00F40705">
      <w:pPr>
        <w:adjustRightInd w:val="0"/>
        <w:snapToGrid w:val="0"/>
        <w:spacing w:after="0" w:line="360" w:lineRule="auto"/>
        <w:jc w:val="both"/>
        <w:rPr>
          <w:rFonts w:ascii="Book Antiqua" w:hAnsi="Book Antiqua"/>
          <w:sz w:val="24"/>
          <w:szCs w:val="24"/>
          <w:lang w:val="en-GB" w:eastAsia="zh-CN"/>
        </w:rPr>
      </w:pPr>
      <w:r w:rsidRPr="001339DB">
        <w:rPr>
          <w:rFonts w:ascii="Book Antiqua" w:hAnsi="Book Antiqua"/>
          <w:sz w:val="24"/>
          <w:szCs w:val="24"/>
          <w:lang w:val="en-GB"/>
        </w:rPr>
        <w:lastRenderedPageBreak/>
        <w:t>In HCV patients, annual sequential ELF test/LSM and annual ELF test alone prevented respectively 12.9 and 13.3 liver fibrosis-related deaths per 100 persons tested, compared to biopsy. The incremental cost-effectiveness rati</w:t>
      </w:r>
      <w:r>
        <w:rPr>
          <w:rFonts w:ascii="Book Antiqua" w:hAnsi="Book Antiqua"/>
          <w:sz w:val="24"/>
          <w:szCs w:val="24"/>
          <w:lang w:val="en-GB"/>
        </w:rPr>
        <w:t>os (ICERs) were respectively 13400€ and 11</w:t>
      </w:r>
      <w:r w:rsidRPr="001339DB">
        <w:rPr>
          <w:rFonts w:ascii="Book Antiqua" w:hAnsi="Book Antiqua"/>
          <w:sz w:val="24"/>
          <w:szCs w:val="24"/>
          <w:lang w:val="en-GB"/>
        </w:rPr>
        <w:t>500€ per quality-adjusted life year (QALY). In ALD, fibrosis-related deaths decreased by 11.7 and 22.1 per 100 persons tested respectively with sequential ELF test/LSM and annual ELF test alone. ICERs were 280€ and 190€ per QALY, respectively.</w:t>
      </w:r>
    </w:p>
    <w:p w:rsidR="00F40705" w:rsidRPr="006C48BE" w:rsidRDefault="00F40705" w:rsidP="00DB200F">
      <w:pPr>
        <w:adjustRightInd w:val="0"/>
        <w:snapToGrid w:val="0"/>
        <w:spacing w:line="360" w:lineRule="auto"/>
        <w:jc w:val="both"/>
        <w:rPr>
          <w:rFonts w:ascii="Book Antiqua" w:hAnsi="Book Antiqua" w:cs="Book Antiqua"/>
          <w:b/>
          <w:i/>
          <w:iCs/>
          <w:lang w:eastAsia="zh-CN"/>
        </w:rPr>
      </w:pPr>
    </w:p>
    <w:p w:rsidR="00DB200F" w:rsidRDefault="00DB200F" w:rsidP="00DB200F">
      <w:pPr>
        <w:adjustRightInd w:val="0"/>
        <w:snapToGrid w:val="0"/>
        <w:spacing w:line="360" w:lineRule="auto"/>
        <w:jc w:val="both"/>
        <w:rPr>
          <w:rFonts w:ascii="Book Antiqua" w:hAnsi="Book Antiqua" w:cs="Book Antiqua"/>
          <w:b/>
          <w:i/>
          <w:iCs/>
          <w:lang w:eastAsia="zh-CN"/>
        </w:rPr>
      </w:pPr>
      <w:r w:rsidRPr="006C48BE">
        <w:rPr>
          <w:rFonts w:ascii="Book Antiqua" w:hAnsi="Book Antiqua" w:cs="Book Antiqua"/>
          <w:b/>
          <w:i/>
          <w:iCs/>
        </w:rPr>
        <w:t>Applications</w:t>
      </w:r>
    </w:p>
    <w:p w:rsidR="00F40705" w:rsidRPr="001339DB" w:rsidRDefault="00F40705" w:rsidP="00F40705">
      <w:pPr>
        <w:adjustRightInd w:val="0"/>
        <w:snapToGrid w:val="0"/>
        <w:spacing w:after="0" w:line="360" w:lineRule="auto"/>
        <w:jc w:val="both"/>
        <w:rPr>
          <w:rFonts w:ascii="Book Antiqua" w:hAnsi="Book Antiqua"/>
          <w:sz w:val="24"/>
          <w:szCs w:val="24"/>
          <w:lang w:val="en-GB"/>
        </w:rPr>
      </w:pPr>
      <w:r>
        <w:rPr>
          <w:rFonts w:ascii="Book Antiqua" w:hAnsi="Book Antiqua" w:hint="eastAsia"/>
          <w:sz w:val="24"/>
          <w:szCs w:val="24"/>
          <w:lang w:val="en-GB" w:eastAsia="zh-CN"/>
        </w:rPr>
        <w:t xml:space="preserve">The authors found </w:t>
      </w:r>
      <w:r>
        <w:rPr>
          <w:rFonts w:ascii="Book Antiqua" w:hAnsi="Book Antiqua"/>
          <w:sz w:val="24"/>
          <w:szCs w:val="24"/>
          <w:lang w:val="en-GB" w:eastAsia="zh-CN"/>
        </w:rPr>
        <w:t>that</w:t>
      </w:r>
      <w:r>
        <w:rPr>
          <w:rFonts w:ascii="Book Antiqua" w:hAnsi="Book Antiqua" w:hint="eastAsia"/>
          <w:sz w:val="24"/>
          <w:szCs w:val="24"/>
          <w:lang w:val="en-GB" w:eastAsia="zh-CN"/>
        </w:rPr>
        <w:t xml:space="preserve"> t</w:t>
      </w:r>
      <w:r w:rsidRPr="001339DB">
        <w:rPr>
          <w:rFonts w:ascii="Book Antiqua" w:hAnsi="Book Antiqua"/>
          <w:sz w:val="24"/>
          <w:szCs w:val="24"/>
          <w:lang w:val="en-GB"/>
        </w:rPr>
        <w:t>he use of the ELF test with or without a confirmation LSM are cost-effective options compared to a single liver biopsy for testing liver fibrosis in HCV and ALD patients in Spain.</w:t>
      </w:r>
    </w:p>
    <w:p w:rsidR="00F40705" w:rsidRPr="00F40705" w:rsidRDefault="00F40705" w:rsidP="00DB200F">
      <w:pPr>
        <w:adjustRightInd w:val="0"/>
        <w:snapToGrid w:val="0"/>
        <w:spacing w:line="360" w:lineRule="auto"/>
        <w:jc w:val="both"/>
        <w:rPr>
          <w:rFonts w:ascii="Book Antiqua" w:hAnsi="Book Antiqua" w:cs="Book Antiqua"/>
          <w:b/>
          <w:i/>
          <w:iCs/>
          <w:lang w:val="en-GB" w:eastAsia="zh-CN"/>
        </w:rPr>
      </w:pPr>
    </w:p>
    <w:p w:rsidR="00DB200F" w:rsidRDefault="00DB200F" w:rsidP="00DB200F">
      <w:pPr>
        <w:pStyle w:val="NormalWeb"/>
        <w:adjustRightInd w:val="0"/>
        <w:snapToGrid w:val="0"/>
        <w:spacing w:before="0" w:beforeAutospacing="0" w:after="0" w:afterAutospacing="0" w:line="360" w:lineRule="auto"/>
        <w:jc w:val="both"/>
        <w:rPr>
          <w:rFonts w:ascii="Book Antiqua" w:hAnsi="Book Antiqua"/>
          <w:b/>
          <w:lang w:val="en-GB" w:eastAsia="zh-CN"/>
        </w:rPr>
      </w:pPr>
      <w:r w:rsidRPr="006C48BE">
        <w:rPr>
          <w:rFonts w:ascii="Book Antiqua" w:hAnsi="Book Antiqua" w:cs="Book Antiqua"/>
          <w:b/>
          <w:i/>
          <w:iCs/>
        </w:rPr>
        <w:t>Peer-review</w:t>
      </w:r>
      <w:r w:rsidRPr="006C48BE">
        <w:rPr>
          <w:rFonts w:ascii="Book Antiqua" w:hAnsi="Book Antiqua"/>
          <w:b/>
          <w:lang w:val="en-GB"/>
        </w:rPr>
        <w:t xml:space="preserve"> </w:t>
      </w:r>
    </w:p>
    <w:p w:rsidR="009A251F" w:rsidRPr="009A251F" w:rsidRDefault="009A251F" w:rsidP="00DB200F">
      <w:pPr>
        <w:pStyle w:val="NormalWeb"/>
        <w:adjustRightInd w:val="0"/>
        <w:snapToGrid w:val="0"/>
        <w:spacing w:before="0" w:beforeAutospacing="0" w:after="0" w:afterAutospacing="0" w:line="360" w:lineRule="auto"/>
        <w:jc w:val="both"/>
        <w:rPr>
          <w:rFonts w:ascii="Book Antiqua" w:hAnsi="Book Antiqua"/>
          <w:lang w:val="en-GB" w:eastAsia="zh-CN"/>
        </w:rPr>
      </w:pPr>
      <w:r w:rsidRPr="009A251F">
        <w:rPr>
          <w:rFonts w:ascii="Book Antiqua" w:hAnsi="Book Antiqua"/>
          <w:lang w:val="en-GB" w:eastAsia="zh-CN"/>
        </w:rPr>
        <w:t xml:space="preserve">This is a very clearly written paper, and </w:t>
      </w:r>
      <w:r w:rsidR="00CA3FEE">
        <w:rPr>
          <w:rFonts w:ascii="Book Antiqua" w:hAnsi="Book Antiqua" w:hint="eastAsia"/>
          <w:lang w:val="en-GB" w:eastAsia="zh-CN"/>
        </w:rPr>
        <w:t>the authors</w:t>
      </w:r>
      <w:r w:rsidRPr="009A251F">
        <w:rPr>
          <w:rFonts w:ascii="Book Antiqua" w:hAnsi="Book Antiqua"/>
          <w:lang w:val="en-GB" w:eastAsia="zh-CN"/>
        </w:rPr>
        <w:t xml:space="preserve"> make a good case for why the topic is an important one, particularly in a medical landscape that is changing rapidly as new technologies become available.</w:t>
      </w:r>
    </w:p>
    <w:p w:rsidR="00CA3B86" w:rsidRPr="00CA3B86" w:rsidRDefault="00CA3B86" w:rsidP="001339DB">
      <w:pPr>
        <w:adjustRightInd w:val="0"/>
        <w:snapToGrid w:val="0"/>
        <w:spacing w:after="0" w:line="360" w:lineRule="auto"/>
        <w:jc w:val="both"/>
        <w:rPr>
          <w:rFonts w:ascii="Book Antiqua" w:hAnsi="Book Antiqua"/>
          <w:sz w:val="24"/>
          <w:szCs w:val="24"/>
          <w:lang w:eastAsia="zh-CN"/>
        </w:rPr>
      </w:pPr>
    </w:p>
    <w:p w:rsidR="00E87BEB" w:rsidRDefault="00CA3B86" w:rsidP="00294646">
      <w:pPr>
        <w:spacing w:after="200"/>
        <w:rPr>
          <w:rFonts w:ascii="Book Antiqua" w:hAnsi="Book Antiqua"/>
          <w:b/>
          <w:szCs w:val="24"/>
          <w:lang w:eastAsia="zh-CN"/>
        </w:rPr>
      </w:pPr>
      <w:r>
        <w:rPr>
          <w:rFonts w:ascii="Book Antiqua" w:hAnsi="Book Antiqua"/>
          <w:szCs w:val="24"/>
        </w:rPr>
        <w:br w:type="page"/>
      </w:r>
      <w:r w:rsidR="00294646" w:rsidRPr="00294646">
        <w:rPr>
          <w:rFonts w:ascii="Book Antiqua" w:hAnsi="Book Antiqua"/>
          <w:b/>
          <w:szCs w:val="24"/>
        </w:rPr>
        <w:lastRenderedPageBreak/>
        <w:t>REFERENCES</w:t>
      </w:r>
    </w:p>
    <w:p w:rsidR="00FA3392" w:rsidRPr="00FA3392" w:rsidRDefault="00FA3392" w:rsidP="00FA3392">
      <w:pPr>
        <w:spacing w:after="0" w:line="360" w:lineRule="auto"/>
        <w:jc w:val="both"/>
        <w:rPr>
          <w:rFonts w:ascii="Book Antiqua" w:eastAsia="SimSun" w:hAnsi="Book Antiqua" w:cs="SimSun"/>
          <w:color w:val="000000"/>
          <w:sz w:val="24"/>
          <w:szCs w:val="24"/>
          <w:lang w:eastAsia="zh-CN"/>
        </w:rPr>
      </w:pPr>
      <w:r w:rsidRPr="00FA3392">
        <w:rPr>
          <w:rFonts w:ascii="Book Antiqua" w:eastAsia="SimSun" w:hAnsi="Book Antiqua" w:cs="SimSun"/>
          <w:color w:val="000000"/>
          <w:sz w:val="24"/>
          <w:szCs w:val="24"/>
          <w:lang w:eastAsia="zh-CN"/>
        </w:rPr>
        <w:t>1 </w:t>
      </w:r>
      <w:proofErr w:type="spellStart"/>
      <w:r w:rsidRPr="00FA3392">
        <w:rPr>
          <w:rFonts w:ascii="Book Antiqua" w:eastAsia="SimSun" w:hAnsi="Book Antiqua" w:cs="SimSun"/>
          <w:b/>
          <w:bCs/>
          <w:color w:val="000000"/>
          <w:sz w:val="24"/>
          <w:szCs w:val="24"/>
          <w:lang w:eastAsia="zh-CN"/>
        </w:rPr>
        <w:t>Castera</w:t>
      </w:r>
      <w:proofErr w:type="spellEnd"/>
      <w:r w:rsidRPr="00FA3392">
        <w:rPr>
          <w:rFonts w:ascii="Book Antiqua" w:eastAsia="SimSun" w:hAnsi="Book Antiqua" w:cs="SimSun"/>
          <w:b/>
          <w:bCs/>
          <w:color w:val="000000"/>
          <w:sz w:val="24"/>
          <w:szCs w:val="24"/>
          <w:lang w:eastAsia="zh-CN"/>
        </w:rPr>
        <w:t xml:space="preserve"> L</w:t>
      </w:r>
      <w:r w:rsidRPr="00FA3392">
        <w:rPr>
          <w:rFonts w:ascii="Book Antiqua" w:eastAsia="SimSun" w:hAnsi="Book Antiqua" w:cs="SimSun"/>
          <w:color w:val="000000"/>
          <w:sz w:val="24"/>
          <w:szCs w:val="24"/>
          <w:lang w:eastAsia="zh-CN"/>
        </w:rPr>
        <w:t>. Assessing liver fibrosis. </w:t>
      </w:r>
      <w:r w:rsidRPr="00FA3392">
        <w:rPr>
          <w:rFonts w:ascii="Book Antiqua" w:eastAsia="SimSun" w:hAnsi="Book Antiqua" w:cs="SimSun"/>
          <w:i/>
          <w:iCs/>
          <w:color w:val="000000"/>
          <w:sz w:val="24"/>
          <w:szCs w:val="24"/>
          <w:lang w:eastAsia="zh-CN"/>
        </w:rPr>
        <w:t xml:space="preserve">Expert Rev </w:t>
      </w:r>
      <w:proofErr w:type="spellStart"/>
      <w:r w:rsidRPr="00FA3392">
        <w:rPr>
          <w:rFonts w:ascii="Book Antiqua" w:eastAsia="SimSun" w:hAnsi="Book Antiqua" w:cs="SimSun"/>
          <w:i/>
          <w:iCs/>
          <w:color w:val="000000"/>
          <w:sz w:val="24"/>
          <w:szCs w:val="24"/>
          <w:lang w:eastAsia="zh-CN"/>
        </w:rPr>
        <w:t>Gastroenterol</w:t>
      </w:r>
      <w:proofErr w:type="spellEnd"/>
      <w:r w:rsidRPr="00FA3392">
        <w:rPr>
          <w:rFonts w:ascii="Book Antiqua" w:eastAsia="SimSun" w:hAnsi="Book Antiqua" w:cs="SimSun"/>
          <w:i/>
          <w:iCs/>
          <w:color w:val="000000"/>
          <w:sz w:val="24"/>
          <w:szCs w:val="24"/>
          <w:lang w:eastAsia="zh-CN"/>
        </w:rPr>
        <w:t xml:space="preserve"> </w:t>
      </w:r>
      <w:proofErr w:type="spellStart"/>
      <w:r w:rsidRPr="00FA3392">
        <w:rPr>
          <w:rFonts w:ascii="Book Antiqua" w:eastAsia="SimSun" w:hAnsi="Book Antiqua" w:cs="SimSun"/>
          <w:i/>
          <w:iCs/>
          <w:color w:val="000000"/>
          <w:sz w:val="24"/>
          <w:szCs w:val="24"/>
          <w:lang w:eastAsia="zh-CN"/>
        </w:rPr>
        <w:t>Hepatol</w:t>
      </w:r>
      <w:proofErr w:type="spellEnd"/>
      <w:r w:rsidRPr="00FA3392">
        <w:rPr>
          <w:rFonts w:ascii="Book Antiqua" w:eastAsia="SimSun" w:hAnsi="Book Antiqua" w:cs="SimSun"/>
          <w:color w:val="000000"/>
          <w:sz w:val="24"/>
          <w:szCs w:val="24"/>
          <w:lang w:eastAsia="zh-CN"/>
        </w:rPr>
        <w:t> 2008; </w:t>
      </w:r>
      <w:r w:rsidRPr="00FA3392">
        <w:rPr>
          <w:rFonts w:ascii="Book Antiqua" w:eastAsia="SimSun" w:hAnsi="Book Antiqua" w:cs="SimSun"/>
          <w:b/>
          <w:bCs/>
          <w:color w:val="000000"/>
          <w:sz w:val="24"/>
          <w:szCs w:val="24"/>
          <w:lang w:eastAsia="zh-CN"/>
        </w:rPr>
        <w:t>2</w:t>
      </w:r>
      <w:r w:rsidRPr="00FA3392">
        <w:rPr>
          <w:rFonts w:ascii="Book Antiqua" w:eastAsia="SimSun" w:hAnsi="Book Antiqua" w:cs="SimSun"/>
          <w:color w:val="000000"/>
          <w:sz w:val="24"/>
          <w:szCs w:val="24"/>
          <w:lang w:eastAsia="zh-CN"/>
        </w:rPr>
        <w:t>: 541-552 [PMID: 19072402 DOI: 10.1586/17474124.2.4.541]</w:t>
      </w:r>
    </w:p>
    <w:p w:rsidR="00FA3392" w:rsidRPr="00FA3392" w:rsidRDefault="00FA3392" w:rsidP="00FA3392">
      <w:pPr>
        <w:spacing w:after="0" w:line="360" w:lineRule="auto"/>
        <w:jc w:val="both"/>
        <w:rPr>
          <w:rFonts w:ascii="Book Antiqua" w:eastAsia="SimSun" w:hAnsi="Book Antiqua" w:cs="SimSun"/>
          <w:color w:val="000000"/>
          <w:sz w:val="24"/>
          <w:szCs w:val="24"/>
          <w:lang w:eastAsia="zh-CN"/>
        </w:rPr>
      </w:pPr>
      <w:r w:rsidRPr="00FA3392">
        <w:rPr>
          <w:rFonts w:ascii="Book Antiqua" w:eastAsia="SimSun" w:hAnsi="Book Antiqua" w:cs="SimSun"/>
          <w:color w:val="000000"/>
          <w:sz w:val="24"/>
          <w:szCs w:val="24"/>
          <w:lang w:eastAsia="zh-CN"/>
        </w:rPr>
        <w:t>2 </w:t>
      </w:r>
      <w:proofErr w:type="spellStart"/>
      <w:r w:rsidRPr="00FA3392">
        <w:rPr>
          <w:rFonts w:ascii="Book Antiqua" w:eastAsia="SimSun" w:hAnsi="Book Antiqua" w:cs="SimSun"/>
          <w:b/>
          <w:bCs/>
          <w:color w:val="000000"/>
          <w:sz w:val="24"/>
          <w:szCs w:val="24"/>
          <w:lang w:eastAsia="zh-CN"/>
        </w:rPr>
        <w:t>Bedossa</w:t>
      </w:r>
      <w:proofErr w:type="spellEnd"/>
      <w:r w:rsidRPr="00FA3392">
        <w:rPr>
          <w:rFonts w:ascii="Book Antiqua" w:eastAsia="SimSun" w:hAnsi="Book Antiqua" w:cs="SimSun"/>
          <w:b/>
          <w:bCs/>
          <w:color w:val="000000"/>
          <w:sz w:val="24"/>
          <w:szCs w:val="24"/>
          <w:lang w:eastAsia="zh-CN"/>
        </w:rPr>
        <w:t xml:space="preserve"> P</w:t>
      </w:r>
      <w:r w:rsidRPr="00FA3392">
        <w:rPr>
          <w:rFonts w:ascii="Book Antiqua" w:eastAsia="SimSun" w:hAnsi="Book Antiqua" w:cs="SimSun"/>
          <w:color w:val="000000"/>
          <w:sz w:val="24"/>
          <w:szCs w:val="24"/>
          <w:lang w:eastAsia="zh-CN"/>
        </w:rPr>
        <w:t xml:space="preserve">, </w:t>
      </w:r>
      <w:proofErr w:type="spellStart"/>
      <w:r w:rsidRPr="00FA3392">
        <w:rPr>
          <w:rFonts w:ascii="Book Antiqua" w:eastAsia="SimSun" w:hAnsi="Book Antiqua" w:cs="SimSun"/>
          <w:color w:val="000000"/>
          <w:sz w:val="24"/>
          <w:szCs w:val="24"/>
          <w:lang w:eastAsia="zh-CN"/>
        </w:rPr>
        <w:t>Dargère</w:t>
      </w:r>
      <w:proofErr w:type="spellEnd"/>
      <w:r w:rsidRPr="00FA3392">
        <w:rPr>
          <w:rFonts w:ascii="Book Antiqua" w:eastAsia="SimSun" w:hAnsi="Book Antiqua" w:cs="SimSun"/>
          <w:color w:val="000000"/>
          <w:sz w:val="24"/>
          <w:szCs w:val="24"/>
          <w:lang w:eastAsia="zh-CN"/>
        </w:rPr>
        <w:t xml:space="preserve"> D, Paradis V. Sampling variability of liver fibrosis in chronic hepatitis C. </w:t>
      </w:r>
      <w:r w:rsidRPr="00FA3392">
        <w:rPr>
          <w:rFonts w:ascii="Book Antiqua" w:eastAsia="SimSun" w:hAnsi="Book Antiqua" w:cs="SimSun"/>
          <w:i/>
          <w:iCs/>
          <w:color w:val="000000"/>
          <w:sz w:val="24"/>
          <w:szCs w:val="24"/>
          <w:lang w:eastAsia="zh-CN"/>
        </w:rPr>
        <w:t>Hepatology</w:t>
      </w:r>
      <w:r w:rsidRPr="00FA3392">
        <w:rPr>
          <w:rFonts w:ascii="Book Antiqua" w:eastAsia="SimSun" w:hAnsi="Book Antiqua" w:cs="SimSun"/>
          <w:color w:val="000000"/>
          <w:sz w:val="24"/>
          <w:szCs w:val="24"/>
          <w:lang w:eastAsia="zh-CN"/>
        </w:rPr>
        <w:t> 2003; </w:t>
      </w:r>
      <w:r w:rsidRPr="00FA3392">
        <w:rPr>
          <w:rFonts w:ascii="Book Antiqua" w:eastAsia="SimSun" w:hAnsi="Book Antiqua" w:cs="SimSun"/>
          <w:b/>
          <w:bCs/>
          <w:color w:val="000000"/>
          <w:sz w:val="24"/>
          <w:szCs w:val="24"/>
          <w:lang w:eastAsia="zh-CN"/>
        </w:rPr>
        <w:t>38</w:t>
      </w:r>
      <w:r w:rsidRPr="00FA3392">
        <w:rPr>
          <w:rFonts w:ascii="Book Antiqua" w:eastAsia="SimSun" w:hAnsi="Book Antiqua" w:cs="SimSun"/>
          <w:color w:val="000000"/>
          <w:sz w:val="24"/>
          <w:szCs w:val="24"/>
          <w:lang w:eastAsia="zh-CN"/>
        </w:rPr>
        <w:t>: 1449-1457 [PMID: 14647056 DOI: 10.1053/jhep.2003.09022]</w:t>
      </w:r>
    </w:p>
    <w:p w:rsidR="00FA3392" w:rsidRPr="00FA3392" w:rsidRDefault="00FA3392" w:rsidP="00FA3392">
      <w:pPr>
        <w:spacing w:after="0" w:line="360" w:lineRule="auto"/>
        <w:jc w:val="both"/>
        <w:rPr>
          <w:rFonts w:ascii="Book Antiqua" w:eastAsia="SimSun" w:hAnsi="Book Antiqua" w:cs="SimSun"/>
          <w:color w:val="000000"/>
          <w:sz w:val="24"/>
          <w:szCs w:val="24"/>
          <w:lang w:eastAsia="zh-CN"/>
        </w:rPr>
      </w:pPr>
      <w:r w:rsidRPr="00FA3392">
        <w:rPr>
          <w:rFonts w:ascii="Book Antiqua" w:eastAsia="SimSun" w:hAnsi="Book Antiqua" w:cs="SimSun"/>
          <w:color w:val="000000"/>
          <w:sz w:val="24"/>
          <w:szCs w:val="24"/>
          <w:lang w:eastAsia="zh-CN"/>
        </w:rPr>
        <w:t>3 </w:t>
      </w:r>
      <w:proofErr w:type="spellStart"/>
      <w:r w:rsidRPr="00FA3392">
        <w:rPr>
          <w:rFonts w:ascii="Book Antiqua" w:eastAsia="SimSun" w:hAnsi="Book Antiqua" w:cs="SimSun"/>
          <w:b/>
          <w:bCs/>
          <w:color w:val="000000"/>
          <w:sz w:val="24"/>
          <w:szCs w:val="24"/>
          <w:lang w:eastAsia="zh-CN"/>
        </w:rPr>
        <w:t>Cadranel</w:t>
      </w:r>
      <w:proofErr w:type="spellEnd"/>
      <w:r w:rsidRPr="00FA3392">
        <w:rPr>
          <w:rFonts w:ascii="Book Antiqua" w:eastAsia="SimSun" w:hAnsi="Book Antiqua" w:cs="SimSun"/>
          <w:b/>
          <w:bCs/>
          <w:color w:val="000000"/>
          <w:sz w:val="24"/>
          <w:szCs w:val="24"/>
          <w:lang w:eastAsia="zh-CN"/>
        </w:rPr>
        <w:t xml:space="preserve"> JF</w:t>
      </w:r>
      <w:r w:rsidRPr="00FA3392">
        <w:rPr>
          <w:rFonts w:ascii="Book Antiqua" w:eastAsia="SimSun" w:hAnsi="Book Antiqua" w:cs="SimSun"/>
          <w:color w:val="000000"/>
          <w:sz w:val="24"/>
          <w:szCs w:val="24"/>
          <w:lang w:eastAsia="zh-CN"/>
        </w:rPr>
        <w:t xml:space="preserve">, </w:t>
      </w:r>
      <w:proofErr w:type="spellStart"/>
      <w:r w:rsidRPr="00FA3392">
        <w:rPr>
          <w:rFonts w:ascii="Book Antiqua" w:eastAsia="SimSun" w:hAnsi="Book Antiqua" w:cs="SimSun"/>
          <w:color w:val="000000"/>
          <w:sz w:val="24"/>
          <w:szCs w:val="24"/>
          <w:lang w:eastAsia="zh-CN"/>
        </w:rPr>
        <w:t>Rufat</w:t>
      </w:r>
      <w:proofErr w:type="spellEnd"/>
      <w:r w:rsidRPr="00FA3392">
        <w:rPr>
          <w:rFonts w:ascii="Book Antiqua" w:eastAsia="SimSun" w:hAnsi="Book Antiqua" w:cs="SimSun"/>
          <w:color w:val="000000"/>
          <w:sz w:val="24"/>
          <w:szCs w:val="24"/>
          <w:lang w:eastAsia="zh-CN"/>
        </w:rPr>
        <w:t xml:space="preserve"> P, </w:t>
      </w:r>
      <w:proofErr w:type="spellStart"/>
      <w:r w:rsidRPr="00FA3392">
        <w:rPr>
          <w:rFonts w:ascii="Book Antiqua" w:eastAsia="SimSun" w:hAnsi="Book Antiqua" w:cs="SimSun"/>
          <w:color w:val="000000"/>
          <w:sz w:val="24"/>
          <w:szCs w:val="24"/>
          <w:lang w:eastAsia="zh-CN"/>
        </w:rPr>
        <w:t>Degos</w:t>
      </w:r>
      <w:proofErr w:type="spellEnd"/>
      <w:r w:rsidRPr="00FA3392">
        <w:rPr>
          <w:rFonts w:ascii="Book Antiqua" w:eastAsia="SimSun" w:hAnsi="Book Antiqua" w:cs="SimSun"/>
          <w:color w:val="000000"/>
          <w:sz w:val="24"/>
          <w:szCs w:val="24"/>
          <w:lang w:eastAsia="zh-CN"/>
        </w:rPr>
        <w:t xml:space="preserve"> F. Practices of liver biopsy in France: results of a prospective nationwide survey. For the Group of Epidemiology of the French Association for the Study of the Liver (AFEF). </w:t>
      </w:r>
      <w:r w:rsidRPr="00FA3392">
        <w:rPr>
          <w:rFonts w:ascii="Book Antiqua" w:eastAsia="SimSun" w:hAnsi="Book Antiqua" w:cs="SimSun"/>
          <w:i/>
          <w:iCs/>
          <w:color w:val="000000"/>
          <w:sz w:val="24"/>
          <w:szCs w:val="24"/>
          <w:lang w:eastAsia="zh-CN"/>
        </w:rPr>
        <w:t>Hepatology</w:t>
      </w:r>
      <w:r w:rsidRPr="00FA3392">
        <w:rPr>
          <w:rFonts w:ascii="Book Antiqua" w:eastAsia="SimSun" w:hAnsi="Book Antiqua" w:cs="SimSun"/>
          <w:color w:val="000000"/>
          <w:sz w:val="24"/>
          <w:szCs w:val="24"/>
          <w:lang w:eastAsia="zh-CN"/>
        </w:rPr>
        <w:t> 2000; </w:t>
      </w:r>
      <w:r w:rsidRPr="00FA3392">
        <w:rPr>
          <w:rFonts w:ascii="Book Antiqua" w:eastAsia="SimSun" w:hAnsi="Book Antiqua" w:cs="SimSun"/>
          <w:b/>
          <w:bCs/>
          <w:color w:val="000000"/>
          <w:sz w:val="24"/>
          <w:szCs w:val="24"/>
          <w:lang w:eastAsia="zh-CN"/>
        </w:rPr>
        <w:t>32</w:t>
      </w:r>
      <w:r w:rsidRPr="00FA3392">
        <w:rPr>
          <w:rFonts w:ascii="Book Antiqua" w:eastAsia="SimSun" w:hAnsi="Book Antiqua" w:cs="SimSun"/>
          <w:color w:val="000000"/>
          <w:sz w:val="24"/>
          <w:szCs w:val="24"/>
          <w:lang w:eastAsia="zh-CN"/>
        </w:rPr>
        <w:t>: 477-481 [PMID: 10960438 DOI: 10.1053/jhep.2000.16602]</w:t>
      </w:r>
    </w:p>
    <w:p w:rsidR="00FA3392" w:rsidRPr="00FA3392" w:rsidRDefault="00FA3392" w:rsidP="00FA3392">
      <w:pPr>
        <w:spacing w:after="0" w:line="360" w:lineRule="auto"/>
        <w:jc w:val="both"/>
        <w:rPr>
          <w:rFonts w:ascii="Book Antiqua" w:eastAsia="SimSun" w:hAnsi="Book Antiqua" w:cs="SimSun"/>
          <w:color w:val="000000"/>
          <w:sz w:val="24"/>
          <w:szCs w:val="24"/>
          <w:lang w:eastAsia="zh-CN"/>
        </w:rPr>
      </w:pPr>
      <w:r w:rsidRPr="00FA3392">
        <w:rPr>
          <w:rFonts w:ascii="Book Antiqua" w:eastAsia="SimSun" w:hAnsi="Book Antiqua" w:cs="SimSun"/>
          <w:color w:val="000000"/>
          <w:sz w:val="24"/>
          <w:szCs w:val="24"/>
          <w:lang w:eastAsia="zh-CN"/>
        </w:rPr>
        <w:t>4 </w:t>
      </w:r>
      <w:proofErr w:type="spellStart"/>
      <w:r w:rsidRPr="00FA3392">
        <w:rPr>
          <w:rFonts w:ascii="Book Antiqua" w:eastAsia="SimSun" w:hAnsi="Book Antiqua" w:cs="SimSun"/>
          <w:b/>
          <w:bCs/>
          <w:color w:val="000000"/>
          <w:sz w:val="24"/>
          <w:szCs w:val="24"/>
          <w:lang w:eastAsia="zh-CN"/>
        </w:rPr>
        <w:t>Martínez</w:t>
      </w:r>
      <w:proofErr w:type="spellEnd"/>
      <w:r w:rsidRPr="00FA3392">
        <w:rPr>
          <w:rFonts w:ascii="Book Antiqua" w:eastAsia="SimSun" w:hAnsi="Book Antiqua" w:cs="SimSun"/>
          <w:b/>
          <w:bCs/>
          <w:color w:val="000000"/>
          <w:sz w:val="24"/>
          <w:szCs w:val="24"/>
          <w:lang w:eastAsia="zh-CN"/>
        </w:rPr>
        <w:t xml:space="preserve"> SM</w:t>
      </w:r>
      <w:r w:rsidRPr="00FA3392">
        <w:rPr>
          <w:rFonts w:ascii="Book Antiqua" w:eastAsia="SimSun" w:hAnsi="Book Antiqua" w:cs="SimSun"/>
          <w:color w:val="000000"/>
          <w:sz w:val="24"/>
          <w:szCs w:val="24"/>
          <w:lang w:eastAsia="zh-CN"/>
        </w:rPr>
        <w:t xml:space="preserve">, Crespo G, </w:t>
      </w:r>
      <w:proofErr w:type="spellStart"/>
      <w:r w:rsidRPr="00FA3392">
        <w:rPr>
          <w:rFonts w:ascii="Book Antiqua" w:eastAsia="SimSun" w:hAnsi="Book Antiqua" w:cs="SimSun"/>
          <w:color w:val="000000"/>
          <w:sz w:val="24"/>
          <w:szCs w:val="24"/>
          <w:lang w:eastAsia="zh-CN"/>
        </w:rPr>
        <w:t>Navasa</w:t>
      </w:r>
      <w:proofErr w:type="spellEnd"/>
      <w:r w:rsidRPr="00FA3392">
        <w:rPr>
          <w:rFonts w:ascii="Book Antiqua" w:eastAsia="SimSun" w:hAnsi="Book Antiqua" w:cs="SimSun"/>
          <w:color w:val="000000"/>
          <w:sz w:val="24"/>
          <w:szCs w:val="24"/>
          <w:lang w:eastAsia="zh-CN"/>
        </w:rPr>
        <w:t xml:space="preserve"> M, </w:t>
      </w:r>
      <w:proofErr w:type="spellStart"/>
      <w:r w:rsidRPr="00FA3392">
        <w:rPr>
          <w:rFonts w:ascii="Book Antiqua" w:eastAsia="SimSun" w:hAnsi="Book Antiqua" w:cs="SimSun"/>
          <w:color w:val="000000"/>
          <w:sz w:val="24"/>
          <w:szCs w:val="24"/>
          <w:lang w:eastAsia="zh-CN"/>
        </w:rPr>
        <w:t>Forns</w:t>
      </w:r>
      <w:proofErr w:type="spellEnd"/>
      <w:r w:rsidRPr="00FA3392">
        <w:rPr>
          <w:rFonts w:ascii="Book Antiqua" w:eastAsia="SimSun" w:hAnsi="Book Antiqua" w:cs="SimSun"/>
          <w:color w:val="000000"/>
          <w:sz w:val="24"/>
          <w:szCs w:val="24"/>
          <w:lang w:eastAsia="zh-CN"/>
        </w:rPr>
        <w:t xml:space="preserve"> X. Noninvasive assessment of liver fibrosis. </w:t>
      </w:r>
      <w:r w:rsidRPr="00FA3392">
        <w:rPr>
          <w:rFonts w:ascii="Book Antiqua" w:eastAsia="SimSun" w:hAnsi="Book Antiqua" w:cs="SimSun"/>
          <w:i/>
          <w:iCs/>
          <w:color w:val="000000"/>
          <w:sz w:val="24"/>
          <w:szCs w:val="24"/>
          <w:lang w:eastAsia="zh-CN"/>
        </w:rPr>
        <w:t>Hepatology</w:t>
      </w:r>
      <w:r w:rsidRPr="00FA3392">
        <w:rPr>
          <w:rFonts w:ascii="Book Antiqua" w:eastAsia="SimSun" w:hAnsi="Book Antiqua" w:cs="SimSun"/>
          <w:color w:val="000000"/>
          <w:sz w:val="24"/>
          <w:szCs w:val="24"/>
          <w:lang w:eastAsia="zh-CN"/>
        </w:rPr>
        <w:t> 2011; </w:t>
      </w:r>
      <w:r w:rsidRPr="00FA3392">
        <w:rPr>
          <w:rFonts w:ascii="Book Antiqua" w:eastAsia="SimSun" w:hAnsi="Book Antiqua" w:cs="SimSun"/>
          <w:b/>
          <w:bCs/>
          <w:color w:val="000000"/>
          <w:sz w:val="24"/>
          <w:szCs w:val="24"/>
          <w:lang w:eastAsia="zh-CN"/>
        </w:rPr>
        <w:t>53</w:t>
      </w:r>
      <w:r w:rsidRPr="00FA3392">
        <w:rPr>
          <w:rFonts w:ascii="Book Antiqua" w:eastAsia="SimSun" w:hAnsi="Book Antiqua" w:cs="SimSun"/>
          <w:color w:val="000000"/>
          <w:sz w:val="24"/>
          <w:szCs w:val="24"/>
          <w:lang w:eastAsia="zh-CN"/>
        </w:rPr>
        <w:t>: 325-335 [PMID: 21254180 DOI: 10.1002/hep.24013]</w:t>
      </w:r>
    </w:p>
    <w:p w:rsidR="00FA3392" w:rsidRPr="00FA3392" w:rsidRDefault="00FA3392" w:rsidP="00FA3392">
      <w:pPr>
        <w:spacing w:after="0" w:line="360" w:lineRule="auto"/>
        <w:jc w:val="both"/>
        <w:rPr>
          <w:rFonts w:ascii="Book Antiqua" w:eastAsia="SimSun" w:hAnsi="Book Antiqua" w:cs="SimSun"/>
          <w:color w:val="000000"/>
          <w:sz w:val="24"/>
          <w:szCs w:val="24"/>
          <w:lang w:eastAsia="zh-CN"/>
        </w:rPr>
      </w:pPr>
      <w:r w:rsidRPr="00FA3392">
        <w:rPr>
          <w:rFonts w:ascii="Book Antiqua" w:eastAsia="SimSun" w:hAnsi="Book Antiqua" w:cs="SimSun"/>
          <w:color w:val="000000"/>
          <w:sz w:val="24"/>
          <w:szCs w:val="24"/>
          <w:lang w:eastAsia="zh-CN"/>
        </w:rPr>
        <w:t>5 </w:t>
      </w:r>
      <w:proofErr w:type="spellStart"/>
      <w:r w:rsidRPr="00FA3392">
        <w:rPr>
          <w:rFonts w:ascii="Book Antiqua" w:eastAsia="SimSun" w:hAnsi="Book Antiqua" w:cs="SimSun"/>
          <w:b/>
          <w:bCs/>
          <w:color w:val="000000"/>
          <w:sz w:val="24"/>
          <w:szCs w:val="24"/>
          <w:lang w:eastAsia="zh-CN"/>
        </w:rPr>
        <w:t>Berzigotti</w:t>
      </w:r>
      <w:proofErr w:type="spellEnd"/>
      <w:r w:rsidRPr="00FA3392">
        <w:rPr>
          <w:rFonts w:ascii="Book Antiqua" w:eastAsia="SimSun" w:hAnsi="Book Antiqua" w:cs="SimSun"/>
          <w:b/>
          <w:bCs/>
          <w:color w:val="000000"/>
          <w:sz w:val="24"/>
          <w:szCs w:val="24"/>
          <w:lang w:eastAsia="zh-CN"/>
        </w:rPr>
        <w:t xml:space="preserve"> A</w:t>
      </w:r>
      <w:r w:rsidRPr="00FA3392">
        <w:rPr>
          <w:rFonts w:ascii="Book Antiqua" w:eastAsia="SimSun" w:hAnsi="Book Antiqua" w:cs="SimSun"/>
          <w:color w:val="000000"/>
          <w:sz w:val="24"/>
          <w:szCs w:val="24"/>
          <w:lang w:eastAsia="zh-CN"/>
        </w:rPr>
        <w:t xml:space="preserve">, Ashkenazi E, </w:t>
      </w:r>
      <w:proofErr w:type="spellStart"/>
      <w:r w:rsidRPr="00FA3392">
        <w:rPr>
          <w:rFonts w:ascii="Book Antiqua" w:eastAsia="SimSun" w:hAnsi="Book Antiqua" w:cs="SimSun"/>
          <w:color w:val="000000"/>
          <w:sz w:val="24"/>
          <w:szCs w:val="24"/>
          <w:lang w:eastAsia="zh-CN"/>
        </w:rPr>
        <w:t>Reverter</w:t>
      </w:r>
      <w:proofErr w:type="spellEnd"/>
      <w:r w:rsidRPr="00FA3392">
        <w:rPr>
          <w:rFonts w:ascii="Book Antiqua" w:eastAsia="SimSun" w:hAnsi="Book Antiqua" w:cs="SimSun"/>
          <w:color w:val="000000"/>
          <w:sz w:val="24"/>
          <w:szCs w:val="24"/>
          <w:lang w:eastAsia="zh-CN"/>
        </w:rPr>
        <w:t xml:space="preserve"> E, </w:t>
      </w:r>
      <w:proofErr w:type="spellStart"/>
      <w:r w:rsidRPr="00FA3392">
        <w:rPr>
          <w:rFonts w:ascii="Book Antiqua" w:eastAsia="SimSun" w:hAnsi="Book Antiqua" w:cs="SimSun"/>
          <w:color w:val="000000"/>
          <w:sz w:val="24"/>
          <w:szCs w:val="24"/>
          <w:lang w:eastAsia="zh-CN"/>
        </w:rPr>
        <w:t>Abraldes</w:t>
      </w:r>
      <w:proofErr w:type="spellEnd"/>
      <w:r w:rsidRPr="00FA3392">
        <w:rPr>
          <w:rFonts w:ascii="Book Antiqua" w:eastAsia="SimSun" w:hAnsi="Book Antiqua" w:cs="SimSun"/>
          <w:color w:val="000000"/>
          <w:sz w:val="24"/>
          <w:szCs w:val="24"/>
          <w:lang w:eastAsia="zh-CN"/>
        </w:rPr>
        <w:t xml:space="preserve"> JG, Bosch J. Non-invasive diagnostic and prognostic evaluation of liver cirrhosis and portal hypertension. </w:t>
      </w:r>
      <w:r w:rsidRPr="00FA3392">
        <w:rPr>
          <w:rFonts w:ascii="Book Antiqua" w:eastAsia="SimSun" w:hAnsi="Book Antiqua" w:cs="SimSun"/>
          <w:i/>
          <w:iCs/>
          <w:color w:val="000000"/>
          <w:sz w:val="24"/>
          <w:szCs w:val="24"/>
          <w:lang w:eastAsia="zh-CN"/>
        </w:rPr>
        <w:t>Dis Markers</w:t>
      </w:r>
      <w:r w:rsidRPr="00FA3392">
        <w:rPr>
          <w:rFonts w:ascii="Book Antiqua" w:eastAsia="SimSun" w:hAnsi="Book Antiqua" w:cs="SimSun"/>
          <w:color w:val="000000"/>
          <w:sz w:val="24"/>
          <w:szCs w:val="24"/>
          <w:lang w:eastAsia="zh-CN"/>
        </w:rPr>
        <w:t> 2011; </w:t>
      </w:r>
      <w:r w:rsidRPr="00FA3392">
        <w:rPr>
          <w:rFonts w:ascii="Book Antiqua" w:eastAsia="SimSun" w:hAnsi="Book Antiqua" w:cs="SimSun"/>
          <w:b/>
          <w:bCs/>
          <w:color w:val="000000"/>
          <w:sz w:val="24"/>
          <w:szCs w:val="24"/>
          <w:lang w:eastAsia="zh-CN"/>
        </w:rPr>
        <w:t>31</w:t>
      </w:r>
      <w:r w:rsidRPr="00FA3392">
        <w:rPr>
          <w:rFonts w:ascii="Book Antiqua" w:eastAsia="SimSun" w:hAnsi="Book Antiqua" w:cs="SimSun"/>
          <w:color w:val="000000"/>
          <w:sz w:val="24"/>
          <w:szCs w:val="24"/>
          <w:lang w:eastAsia="zh-CN"/>
        </w:rPr>
        <w:t>: 129-138 [PMID: 22045398 DOI: 10.1155/2011/954812]</w:t>
      </w:r>
    </w:p>
    <w:p w:rsidR="00FA3392" w:rsidRPr="00FA3392" w:rsidRDefault="00FA3392" w:rsidP="00FA3392">
      <w:pPr>
        <w:spacing w:after="0" w:line="360" w:lineRule="auto"/>
        <w:jc w:val="both"/>
        <w:rPr>
          <w:rFonts w:ascii="Book Antiqua" w:eastAsia="SimSun" w:hAnsi="Book Antiqua" w:cs="SimSun"/>
          <w:color w:val="000000"/>
          <w:sz w:val="24"/>
          <w:szCs w:val="24"/>
          <w:lang w:eastAsia="zh-CN"/>
        </w:rPr>
      </w:pPr>
      <w:r w:rsidRPr="00FA3392">
        <w:rPr>
          <w:rFonts w:ascii="Book Antiqua" w:eastAsia="SimSun" w:hAnsi="Book Antiqua" w:cs="SimSun"/>
          <w:color w:val="000000"/>
          <w:sz w:val="24"/>
          <w:szCs w:val="24"/>
          <w:lang w:eastAsia="zh-CN"/>
        </w:rPr>
        <w:t>6 </w:t>
      </w:r>
      <w:r w:rsidRPr="00FA3392">
        <w:rPr>
          <w:rFonts w:ascii="Book Antiqua" w:eastAsia="SimSun" w:hAnsi="Book Antiqua" w:cs="SimSun"/>
          <w:b/>
          <w:bCs/>
          <w:color w:val="000000"/>
          <w:sz w:val="24"/>
          <w:szCs w:val="24"/>
          <w:lang w:eastAsia="zh-CN"/>
        </w:rPr>
        <w:t>Crespo G</w:t>
      </w:r>
      <w:r w:rsidRPr="00FA3392">
        <w:rPr>
          <w:rFonts w:ascii="Book Antiqua" w:eastAsia="SimSun" w:hAnsi="Book Antiqua" w:cs="SimSun"/>
          <w:color w:val="000000"/>
          <w:sz w:val="24"/>
          <w:szCs w:val="24"/>
          <w:lang w:eastAsia="zh-CN"/>
        </w:rPr>
        <w:t xml:space="preserve">, </w:t>
      </w:r>
      <w:proofErr w:type="spellStart"/>
      <w:r w:rsidRPr="00FA3392">
        <w:rPr>
          <w:rFonts w:ascii="Book Antiqua" w:eastAsia="SimSun" w:hAnsi="Book Antiqua" w:cs="SimSun"/>
          <w:color w:val="000000"/>
          <w:sz w:val="24"/>
          <w:szCs w:val="24"/>
          <w:lang w:eastAsia="zh-CN"/>
        </w:rPr>
        <w:t>Fernández</w:t>
      </w:r>
      <w:proofErr w:type="spellEnd"/>
      <w:r w:rsidRPr="00FA3392">
        <w:rPr>
          <w:rFonts w:ascii="Book Antiqua" w:eastAsia="SimSun" w:hAnsi="Book Antiqua" w:cs="SimSun"/>
          <w:color w:val="000000"/>
          <w:sz w:val="24"/>
          <w:szCs w:val="24"/>
          <w:lang w:eastAsia="zh-CN"/>
        </w:rPr>
        <w:t xml:space="preserve">-Varo G, </w:t>
      </w:r>
      <w:proofErr w:type="spellStart"/>
      <w:r w:rsidRPr="00FA3392">
        <w:rPr>
          <w:rFonts w:ascii="Book Antiqua" w:eastAsia="SimSun" w:hAnsi="Book Antiqua" w:cs="SimSun"/>
          <w:color w:val="000000"/>
          <w:sz w:val="24"/>
          <w:szCs w:val="24"/>
          <w:lang w:eastAsia="zh-CN"/>
        </w:rPr>
        <w:t>Mariño</w:t>
      </w:r>
      <w:proofErr w:type="spellEnd"/>
      <w:r w:rsidRPr="00FA3392">
        <w:rPr>
          <w:rFonts w:ascii="Book Antiqua" w:eastAsia="SimSun" w:hAnsi="Book Antiqua" w:cs="SimSun"/>
          <w:color w:val="000000"/>
          <w:sz w:val="24"/>
          <w:szCs w:val="24"/>
          <w:lang w:eastAsia="zh-CN"/>
        </w:rPr>
        <w:t xml:space="preserve"> Z, Casals G, Miquel R, </w:t>
      </w:r>
      <w:proofErr w:type="spellStart"/>
      <w:r w:rsidRPr="00FA3392">
        <w:rPr>
          <w:rFonts w:ascii="Book Antiqua" w:eastAsia="SimSun" w:hAnsi="Book Antiqua" w:cs="SimSun"/>
          <w:color w:val="000000"/>
          <w:sz w:val="24"/>
          <w:szCs w:val="24"/>
          <w:lang w:eastAsia="zh-CN"/>
        </w:rPr>
        <w:t>Martínez</w:t>
      </w:r>
      <w:proofErr w:type="spellEnd"/>
      <w:r w:rsidRPr="00FA3392">
        <w:rPr>
          <w:rFonts w:ascii="Book Antiqua" w:eastAsia="SimSun" w:hAnsi="Book Antiqua" w:cs="SimSun"/>
          <w:color w:val="000000"/>
          <w:sz w:val="24"/>
          <w:szCs w:val="24"/>
          <w:lang w:eastAsia="zh-CN"/>
        </w:rPr>
        <w:t xml:space="preserve"> SM, </w:t>
      </w:r>
      <w:proofErr w:type="spellStart"/>
      <w:r w:rsidRPr="00FA3392">
        <w:rPr>
          <w:rFonts w:ascii="Book Antiqua" w:eastAsia="SimSun" w:hAnsi="Book Antiqua" w:cs="SimSun"/>
          <w:color w:val="000000"/>
          <w:sz w:val="24"/>
          <w:szCs w:val="24"/>
          <w:lang w:eastAsia="zh-CN"/>
        </w:rPr>
        <w:t>Gilabert</w:t>
      </w:r>
      <w:proofErr w:type="spellEnd"/>
      <w:r w:rsidRPr="00FA3392">
        <w:rPr>
          <w:rFonts w:ascii="Book Antiqua" w:eastAsia="SimSun" w:hAnsi="Book Antiqua" w:cs="SimSun"/>
          <w:color w:val="000000"/>
          <w:sz w:val="24"/>
          <w:szCs w:val="24"/>
          <w:lang w:eastAsia="zh-CN"/>
        </w:rPr>
        <w:t xml:space="preserve"> R, </w:t>
      </w:r>
      <w:proofErr w:type="spellStart"/>
      <w:r w:rsidRPr="00FA3392">
        <w:rPr>
          <w:rFonts w:ascii="Book Antiqua" w:eastAsia="SimSun" w:hAnsi="Book Antiqua" w:cs="SimSun"/>
          <w:color w:val="000000"/>
          <w:sz w:val="24"/>
          <w:szCs w:val="24"/>
          <w:lang w:eastAsia="zh-CN"/>
        </w:rPr>
        <w:t>Forns</w:t>
      </w:r>
      <w:proofErr w:type="spellEnd"/>
      <w:r w:rsidRPr="00FA3392">
        <w:rPr>
          <w:rFonts w:ascii="Book Antiqua" w:eastAsia="SimSun" w:hAnsi="Book Antiqua" w:cs="SimSun"/>
          <w:color w:val="000000"/>
          <w:sz w:val="24"/>
          <w:szCs w:val="24"/>
          <w:lang w:eastAsia="zh-CN"/>
        </w:rPr>
        <w:t xml:space="preserve"> X, Jiménez W, </w:t>
      </w:r>
      <w:proofErr w:type="spellStart"/>
      <w:r w:rsidRPr="00FA3392">
        <w:rPr>
          <w:rFonts w:ascii="Book Antiqua" w:eastAsia="SimSun" w:hAnsi="Book Antiqua" w:cs="SimSun"/>
          <w:color w:val="000000"/>
          <w:sz w:val="24"/>
          <w:szCs w:val="24"/>
          <w:lang w:eastAsia="zh-CN"/>
        </w:rPr>
        <w:t>Navasa</w:t>
      </w:r>
      <w:proofErr w:type="spellEnd"/>
      <w:r w:rsidRPr="00FA3392">
        <w:rPr>
          <w:rFonts w:ascii="Book Antiqua" w:eastAsia="SimSun" w:hAnsi="Book Antiqua" w:cs="SimSun"/>
          <w:color w:val="000000"/>
          <w:sz w:val="24"/>
          <w:szCs w:val="24"/>
          <w:lang w:eastAsia="zh-CN"/>
        </w:rPr>
        <w:t xml:space="preserve"> M. ARFI, </w:t>
      </w:r>
      <w:proofErr w:type="spellStart"/>
      <w:r w:rsidRPr="00FA3392">
        <w:rPr>
          <w:rFonts w:ascii="Book Antiqua" w:eastAsia="SimSun" w:hAnsi="Book Antiqua" w:cs="SimSun"/>
          <w:color w:val="000000"/>
          <w:sz w:val="24"/>
          <w:szCs w:val="24"/>
          <w:lang w:eastAsia="zh-CN"/>
        </w:rPr>
        <w:t>FibroScan</w:t>
      </w:r>
      <w:proofErr w:type="spellEnd"/>
      <w:r w:rsidRPr="00FA3392">
        <w:rPr>
          <w:rFonts w:ascii="Book Antiqua" w:eastAsia="SimSun" w:hAnsi="Book Antiqua" w:cs="SimSun"/>
          <w:color w:val="000000"/>
          <w:sz w:val="24"/>
          <w:szCs w:val="24"/>
          <w:lang w:eastAsia="zh-CN"/>
        </w:rPr>
        <w:t>, ELF, and their combinations in the assessment of liver fibrosis: a prospective study. </w:t>
      </w:r>
      <w:r w:rsidRPr="00FA3392">
        <w:rPr>
          <w:rFonts w:ascii="Book Antiqua" w:eastAsia="SimSun" w:hAnsi="Book Antiqua" w:cs="SimSun"/>
          <w:i/>
          <w:iCs/>
          <w:color w:val="000000"/>
          <w:sz w:val="24"/>
          <w:szCs w:val="24"/>
          <w:lang w:eastAsia="zh-CN"/>
        </w:rPr>
        <w:t xml:space="preserve">J </w:t>
      </w:r>
      <w:proofErr w:type="spellStart"/>
      <w:r w:rsidRPr="00FA3392">
        <w:rPr>
          <w:rFonts w:ascii="Book Antiqua" w:eastAsia="SimSun" w:hAnsi="Book Antiqua" w:cs="SimSun"/>
          <w:i/>
          <w:iCs/>
          <w:color w:val="000000"/>
          <w:sz w:val="24"/>
          <w:szCs w:val="24"/>
          <w:lang w:eastAsia="zh-CN"/>
        </w:rPr>
        <w:t>Hepatol</w:t>
      </w:r>
      <w:proofErr w:type="spellEnd"/>
      <w:r w:rsidRPr="00FA3392">
        <w:rPr>
          <w:rFonts w:ascii="Book Antiqua" w:eastAsia="SimSun" w:hAnsi="Book Antiqua" w:cs="SimSun"/>
          <w:color w:val="000000"/>
          <w:sz w:val="24"/>
          <w:szCs w:val="24"/>
          <w:lang w:eastAsia="zh-CN"/>
        </w:rPr>
        <w:t> 2012; </w:t>
      </w:r>
      <w:r w:rsidRPr="00FA3392">
        <w:rPr>
          <w:rFonts w:ascii="Book Antiqua" w:eastAsia="SimSun" w:hAnsi="Book Antiqua" w:cs="SimSun"/>
          <w:b/>
          <w:bCs/>
          <w:color w:val="000000"/>
          <w:sz w:val="24"/>
          <w:szCs w:val="24"/>
          <w:lang w:eastAsia="zh-CN"/>
        </w:rPr>
        <w:t>57</w:t>
      </w:r>
      <w:r w:rsidRPr="00FA3392">
        <w:rPr>
          <w:rFonts w:ascii="Book Antiqua" w:eastAsia="SimSun" w:hAnsi="Book Antiqua" w:cs="SimSun"/>
          <w:color w:val="000000"/>
          <w:sz w:val="24"/>
          <w:szCs w:val="24"/>
          <w:lang w:eastAsia="zh-CN"/>
        </w:rPr>
        <w:t>: 281-287 [PMID: 22521355 DOI: 10.1016/j.jhep.2012.03.016]</w:t>
      </w:r>
    </w:p>
    <w:p w:rsidR="00FA3392" w:rsidRPr="00FA3392" w:rsidRDefault="00FA3392" w:rsidP="00FA3392">
      <w:pPr>
        <w:spacing w:after="0" w:line="360" w:lineRule="auto"/>
        <w:jc w:val="both"/>
        <w:rPr>
          <w:rFonts w:ascii="Book Antiqua" w:eastAsia="SimSun" w:hAnsi="Book Antiqua" w:cs="SimSun"/>
          <w:color w:val="000000"/>
          <w:sz w:val="24"/>
          <w:szCs w:val="24"/>
          <w:lang w:eastAsia="zh-CN"/>
        </w:rPr>
      </w:pPr>
      <w:r w:rsidRPr="00FA3392">
        <w:rPr>
          <w:rFonts w:ascii="Book Antiqua" w:eastAsia="SimSun" w:hAnsi="Book Antiqua" w:cs="SimSun"/>
          <w:color w:val="000000"/>
          <w:sz w:val="24"/>
          <w:szCs w:val="24"/>
          <w:lang w:eastAsia="zh-CN"/>
        </w:rPr>
        <w:t xml:space="preserve">7 </w:t>
      </w:r>
      <w:r w:rsidRPr="00FA3392">
        <w:rPr>
          <w:rFonts w:ascii="Book Antiqua" w:eastAsia="SimSun" w:hAnsi="Book Antiqua" w:cs="SimSun"/>
          <w:b/>
          <w:color w:val="000000"/>
          <w:sz w:val="24"/>
          <w:szCs w:val="24"/>
          <w:lang w:eastAsia="zh-CN"/>
        </w:rPr>
        <w:t>Weinstein MC</w:t>
      </w:r>
      <w:r w:rsidRPr="00FA3392">
        <w:rPr>
          <w:rFonts w:ascii="Book Antiqua" w:eastAsia="SimSun" w:hAnsi="Book Antiqua" w:cs="SimSun"/>
          <w:color w:val="000000"/>
          <w:sz w:val="24"/>
          <w:szCs w:val="24"/>
          <w:lang w:eastAsia="zh-CN"/>
        </w:rPr>
        <w:t>, Torrance GW, McGuire A. QALYs: The basics. In: Value in Health. 2009</w:t>
      </w:r>
    </w:p>
    <w:p w:rsidR="00FA3392" w:rsidRPr="00FA3392" w:rsidRDefault="00FA3392" w:rsidP="00FA3392">
      <w:pPr>
        <w:spacing w:after="0" w:line="360" w:lineRule="auto"/>
        <w:jc w:val="both"/>
        <w:rPr>
          <w:rFonts w:ascii="Book Antiqua" w:eastAsia="SimSun" w:hAnsi="Book Antiqua" w:cs="SimSun"/>
          <w:color w:val="000000"/>
          <w:sz w:val="24"/>
          <w:szCs w:val="24"/>
          <w:lang w:eastAsia="zh-CN"/>
        </w:rPr>
      </w:pPr>
      <w:r w:rsidRPr="00FA3392">
        <w:rPr>
          <w:rFonts w:ascii="Book Antiqua" w:eastAsia="SimSun" w:hAnsi="Book Antiqua" w:cs="SimSun"/>
          <w:color w:val="000000"/>
          <w:sz w:val="24"/>
          <w:szCs w:val="24"/>
          <w:lang w:eastAsia="zh-CN"/>
        </w:rPr>
        <w:t xml:space="preserve">8 </w:t>
      </w:r>
      <w:r w:rsidRPr="00FA3392">
        <w:rPr>
          <w:rFonts w:ascii="Book Antiqua" w:eastAsia="SimSun" w:hAnsi="Book Antiqua" w:cs="SimSun"/>
          <w:b/>
          <w:color w:val="000000"/>
          <w:sz w:val="24"/>
          <w:szCs w:val="24"/>
          <w:lang w:eastAsia="zh-CN"/>
        </w:rPr>
        <w:t>Drummond MF</w:t>
      </w:r>
      <w:r w:rsidRPr="00FA3392">
        <w:rPr>
          <w:rFonts w:ascii="Book Antiqua" w:eastAsia="SimSun" w:hAnsi="Book Antiqua" w:cs="SimSun"/>
          <w:color w:val="000000"/>
          <w:sz w:val="24"/>
          <w:szCs w:val="24"/>
          <w:lang w:eastAsia="zh-CN"/>
        </w:rPr>
        <w:t xml:space="preserve">, </w:t>
      </w:r>
      <w:proofErr w:type="spellStart"/>
      <w:r w:rsidRPr="00FA3392">
        <w:rPr>
          <w:rFonts w:ascii="Book Antiqua" w:eastAsia="SimSun" w:hAnsi="Book Antiqua" w:cs="SimSun"/>
          <w:color w:val="000000"/>
          <w:sz w:val="24"/>
          <w:szCs w:val="24"/>
          <w:lang w:eastAsia="zh-CN"/>
        </w:rPr>
        <w:t>Sculpher</w:t>
      </w:r>
      <w:proofErr w:type="spellEnd"/>
      <w:r w:rsidRPr="00FA3392">
        <w:rPr>
          <w:rFonts w:ascii="Book Antiqua" w:eastAsia="SimSun" w:hAnsi="Book Antiqua" w:cs="SimSun"/>
          <w:color w:val="000000"/>
          <w:sz w:val="24"/>
          <w:szCs w:val="24"/>
          <w:lang w:eastAsia="zh-CN"/>
        </w:rPr>
        <w:t xml:space="preserve"> MJ, Torrance GW, O'Brien BJ, </w:t>
      </w:r>
      <w:proofErr w:type="spellStart"/>
      <w:r w:rsidRPr="00FA3392">
        <w:rPr>
          <w:rFonts w:ascii="Book Antiqua" w:eastAsia="SimSun" w:hAnsi="Book Antiqua" w:cs="SimSun"/>
          <w:color w:val="000000"/>
          <w:sz w:val="24"/>
          <w:szCs w:val="24"/>
          <w:lang w:eastAsia="zh-CN"/>
        </w:rPr>
        <w:t>Stoddart</w:t>
      </w:r>
      <w:proofErr w:type="spellEnd"/>
      <w:r w:rsidRPr="00FA3392">
        <w:rPr>
          <w:rFonts w:ascii="Book Antiqua" w:eastAsia="SimSun" w:hAnsi="Book Antiqua" w:cs="SimSun"/>
          <w:color w:val="000000"/>
          <w:sz w:val="24"/>
          <w:szCs w:val="24"/>
          <w:lang w:eastAsia="zh-CN"/>
        </w:rPr>
        <w:t xml:space="preserve"> GL. Methods for the economic evaluation of health care </w:t>
      </w:r>
      <w:proofErr w:type="spellStart"/>
      <w:r w:rsidRPr="00FA3392">
        <w:rPr>
          <w:rFonts w:ascii="Book Antiqua" w:eastAsia="SimSun" w:hAnsi="Book Antiqua" w:cs="SimSun"/>
          <w:color w:val="000000"/>
          <w:sz w:val="24"/>
          <w:szCs w:val="24"/>
          <w:lang w:eastAsia="zh-CN"/>
        </w:rPr>
        <w:t>programmes</w:t>
      </w:r>
      <w:proofErr w:type="spellEnd"/>
      <w:r w:rsidRPr="00FA3392">
        <w:rPr>
          <w:rFonts w:ascii="Book Antiqua" w:eastAsia="SimSun" w:hAnsi="Book Antiqua" w:cs="SimSun"/>
          <w:color w:val="000000"/>
          <w:sz w:val="24"/>
          <w:szCs w:val="24"/>
          <w:lang w:eastAsia="zh-CN"/>
        </w:rPr>
        <w:t>. 3rd ed. Oxford: Oxford University Press</w:t>
      </w:r>
      <w:r w:rsidRPr="00FA3392">
        <w:rPr>
          <w:rFonts w:ascii="Book Antiqua" w:eastAsia="SimSun" w:hAnsi="Book Antiqua" w:cs="SimSun" w:hint="eastAsia"/>
          <w:color w:val="000000"/>
          <w:sz w:val="24"/>
          <w:szCs w:val="24"/>
          <w:lang w:eastAsia="zh-CN"/>
        </w:rPr>
        <w:t>,</w:t>
      </w:r>
      <w:r w:rsidRPr="00FA3392">
        <w:rPr>
          <w:rFonts w:ascii="Book Antiqua" w:eastAsia="SimSun" w:hAnsi="Book Antiqua" w:cs="SimSun"/>
          <w:color w:val="000000"/>
          <w:sz w:val="24"/>
          <w:szCs w:val="24"/>
          <w:lang w:eastAsia="zh-CN"/>
        </w:rPr>
        <w:t xml:space="preserve"> 2005</w:t>
      </w:r>
    </w:p>
    <w:p w:rsidR="00FA3392" w:rsidRPr="00FA3392" w:rsidRDefault="00FA3392" w:rsidP="00FA3392">
      <w:pPr>
        <w:spacing w:after="0" w:line="360" w:lineRule="auto"/>
        <w:jc w:val="both"/>
        <w:rPr>
          <w:rFonts w:ascii="Book Antiqua" w:eastAsia="SimSun" w:hAnsi="Book Antiqua" w:cs="SimSun"/>
          <w:color w:val="000000"/>
          <w:sz w:val="24"/>
          <w:szCs w:val="24"/>
          <w:lang w:eastAsia="zh-CN"/>
        </w:rPr>
      </w:pPr>
      <w:r w:rsidRPr="00FA3392">
        <w:rPr>
          <w:rFonts w:ascii="Book Antiqua" w:eastAsia="SimSun" w:hAnsi="Book Antiqua" w:cs="SimSun"/>
          <w:color w:val="000000"/>
          <w:sz w:val="24"/>
          <w:szCs w:val="24"/>
          <w:lang w:eastAsia="zh-CN"/>
        </w:rPr>
        <w:t xml:space="preserve">9 </w:t>
      </w:r>
      <w:r w:rsidRPr="00FA3392">
        <w:rPr>
          <w:rFonts w:ascii="Book Antiqua" w:eastAsia="SimSun" w:hAnsi="Book Antiqua" w:cs="SimSun"/>
          <w:b/>
          <w:color w:val="000000"/>
          <w:sz w:val="24"/>
          <w:szCs w:val="24"/>
          <w:lang w:eastAsia="zh-CN"/>
        </w:rPr>
        <w:t>Gold MR</w:t>
      </w:r>
      <w:r w:rsidRPr="00FA3392">
        <w:rPr>
          <w:rFonts w:ascii="Book Antiqua" w:eastAsia="SimSun" w:hAnsi="Book Antiqua" w:cs="SimSun"/>
          <w:color w:val="000000"/>
          <w:sz w:val="24"/>
          <w:szCs w:val="24"/>
          <w:lang w:eastAsia="zh-CN"/>
        </w:rPr>
        <w:t>, Siegel JE, Russell LB, Weinstein MC. Cost-effectiveness in health and medicine.</w:t>
      </w:r>
      <w:bookmarkStart w:id="390" w:name="OLE_LINK4121"/>
      <w:bookmarkStart w:id="391" w:name="OLE_LINK4122"/>
      <w:r w:rsidRPr="00FA3392">
        <w:rPr>
          <w:rFonts w:ascii="Book Antiqua" w:eastAsia="SimSun" w:hAnsi="Book Antiqua" w:cs="SimSun"/>
          <w:i/>
          <w:color w:val="000000"/>
          <w:sz w:val="24"/>
          <w:szCs w:val="24"/>
          <w:lang w:eastAsia="zh-CN"/>
        </w:rPr>
        <w:t xml:space="preserve"> J </w:t>
      </w:r>
      <w:proofErr w:type="spellStart"/>
      <w:r w:rsidRPr="00FA3392">
        <w:rPr>
          <w:rFonts w:ascii="Book Antiqua" w:eastAsia="SimSun" w:hAnsi="Book Antiqua" w:cs="SimSun"/>
          <w:i/>
          <w:color w:val="000000"/>
          <w:sz w:val="24"/>
          <w:szCs w:val="24"/>
          <w:lang w:eastAsia="zh-CN"/>
        </w:rPr>
        <w:t>Ment</w:t>
      </w:r>
      <w:proofErr w:type="spellEnd"/>
      <w:r w:rsidRPr="00FA3392">
        <w:rPr>
          <w:rFonts w:ascii="Book Antiqua" w:eastAsia="SimSun" w:hAnsi="Book Antiqua" w:cs="SimSun"/>
          <w:i/>
          <w:color w:val="000000"/>
          <w:sz w:val="24"/>
          <w:szCs w:val="24"/>
          <w:lang w:eastAsia="zh-CN"/>
        </w:rPr>
        <w:t xml:space="preserve"> Health Policy Econ </w:t>
      </w:r>
      <w:r w:rsidRPr="00FA3392">
        <w:rPr>
          <w:rFonts w:ascii="Book Antiqua" w:eastAsia="SimSun" w:hAnsi="Book Antiqua" w:cs="SimSun"/>
          <w:color w:val="000000"/>
          <w:sz w:val="24"/>
          <w:szCs w:val="24"/>
          <w:lang w:eastAsia="zh-CN"/>
        </w:rPr>
        <w:t xml:space="preserve">1996; </w:t>
      </w:r>
      <w:r w:rsidRPr="00FA3392">
        <w:rPr>
          <w:rFonts w:ascii="Book Antiqua" w:eastAsia="SimSun" w:hAnsi="Book Antiqua" w:cs="SimSun"/>
          <w:b/>
          <w:color w:val="000000"/>
          <w:sz w:val="24"/>
          <w:szCs w:val="24"/>
          <w:lang w:eastAsia="zh-CN"/>
        </w:rPr>
        <w:t>2</w:t>
      </w:r>
      <w:r w:rsidRPr="00FA3392">
        <w:rPr>
          <w:rFonts w:ascii="Book Antiqua" w:eastAsia="SimSun" w:hAnsi="Book Antiqua" w:cs="SimSun"/>
          <w:color w:val="000000"/>
          <w:sz w:val="24"/>
          <w:szCs w:val="24"/>
          <w:lang w:eastAsia="zh-CN"/>
        </w:rPr>
        <w:t>: 425</w:t>
      </w:r>
      <w:bookmarkEnd w:id="390"/>
      <w:bookmarkEnd w:id="391"/>
    </w:p>
    <w:p w:rsidR="00FA3392" w:rsidRPr="00FA3392" w:rsidRDefault="00FA3392" w:rsidP="00FA3392">
      <w:pPr>
        <w:spacing w:after="0" w:line="360" w:lineRule="auto"/>
        <w:jc w:val="both"/>
        <w:rPr>
          <w:rFonts w:ascii="Book Antiqua" w:eastAsia="SimSun" w:hAnsi="Book Antiqua" w:cs="SimSun"/>
          <w:color w:val="000000"/>
          <w:sz w:val="24"/>
          <w:szCs w:val="24"/>
          <w:lang w:val="es-ES_tradnl" w:eastAsia="zh-CN"/>
        </w:rPr>
      </w:pPr>
      <w:r w:rsidRPr="00FA3392">
        <w:rPr>
          <w:rFonts w:ascii="Book Antiqua" w:eastAsia="SimSun" w:hAnsi="Book Antiqua" w:cs="SimSun"/>
          <w:color w:val="000000"/>
          <w:sz w:val="24"/>
          <w:szCs w:val="24"/>
          <w:lang w:eastAsia="zh-CN"/>
        </w:rPr>
        <w:t xml:space="preserve">10 National Institute for Health and Care Excellence. Guide to the Methods of Technology Appraisal. </w:t>
      </w:r>
      <w:r w:rsidRPr="00FA3392">
        <w:rPr>
          <w:rFonts w:ascii="Book Antiqua" w:eastAsia="SimSun" w:hAnsi="Book Antiqua" w:cs="SimSun"/>
          <w:color w:val="000000"/>
          <w:sz w:val="24"/>
          <w:szCs w:val="24"/>
          <w:lang w:val="es-ES_tradnl" w:eastAsia="zh-CN"/>
        </w:rPr>
        <w:t>London: NICE</w:t>
      </w:r>
      <w:r w:rsidRPr="00FA3392">
        <w:rPr>
          <w:rFonts w:ascii="Book Antiqua" w:eastAsia="SimSun" w:hAnsi="Book Antiqua" w:cs="SimSun" w:hint="eastAsia"/>
          <w:color w:val="000000"/>
          <w:sz w:val="24"/>
          <w:szCs w:val="24"/>
          <w:lang w:val="es-ES_tradnl" w:eastAsia="zh-CN"/>
        </w:rPr>
        <w:t xml:space="preserve">, </w:t>
      </w:r>
      <w:r w:rsidRPr="00FA3392">
        <w:rPr>
          <w:rFonts w:ascii="Book Antiqua" w:eastAsia="SimSun" w:hAnsi="Book Antiqua" w:cs="SimSun"/>
          <w:color w:val="000000"/>
          <w:sz w:val="24"/>
          <w:szCs w:val="24"/>
          <w:lang w:val="es-ES_tradnl" w:eastAsia="zh-CN"/>
        </w:rPr>
        <w:t>2013</w:t>
      </w:r>
    </w:p>
    <w:p w:rsidR="00FA3392" w:rsidRPr="00FA3392" w:rsidRDefault="00FA3392" w:rsidP="00FA3392">
      <w:pPr>
        <w:spacing w:after="0" w:line="360" w:lineRule="auto"/>
        <w:jc w:val="both"/>
        <w:rPr>
          <w:rFonts w:ascii="Book Antiqua" w:eastAsia="SimSun" w:hAnsi="Book Antiqua" w:cs="SimSun"/>
          <w:color w:val="000000"/>
          <w:sz w:val="24"/>
          <w:szCs w:val="24"/>
          <w:lang w:eastAsia="zh-CN"/>
        </w:rPr>
      </w:pPr>
      <w:r w:rsidRPr="00FA3392">
        <w:rPr>
          <w:rFonts w:ascii="Book Antiqua" w:eastAsia="SimSun" w:hAnsi="Book Antiqua" w:cs="SimSun"/>
          <w:color w:val="000000"/>
          <w:sz w:val="24"/>
          <w:szCs w:val="24"/>
          <w:lang w:val="es-ES_tradnl" w:eastAsia="zh-CN"/>
        </w:rPr>
        <w:lastRenderedPageBreak/>
        <w:t xml:space="preserve">11 </w:t>
      </w:r>
      <w:r w:rsidRPr="00FA3392">
        <w:rPr>
          <w:rFonts w:ascii="Book Antiqua" w:eastAsia="SimSun" w:hAnsi="Book Antiqua" w:cs="Arial"/>
          <w:b/>
          <w:color w:val="000000"/>
          <w:sz w:val="24"/>
          <w:szCs w:val="24"/>
          <w:lang w:val="es-ES_tradnl" w:eastAsia="zh-CN"/>
        </w:rPr>
        <w:t>Puig J</w:t>
      </w:r>
      <w:r w:rsidRPr="00FA3392">
        <w:rPr>
          <w:rFonts w:ascii="Book Antiqua" w:eastAsia="SimSun" w:hAnsi="Book Antiqua" w:cs="Arial"/>
          <w:color w:val="000000"/>
          <w:sz w:val="24"/>
          <w:szCs w:val="24"/>
          <w:lang w:val="es-ES_tradnl" w:eastAsia="zh-CN"/>
        </w:rPr>
        <w:t xml:space="preserve">, Oliva J, Trapero M, Perpi-án JM, Brosa M. Guía y recomendaciones para la realización y presentación de evaluaciones económicas y análisis de impacto presupuestario de medicamentos en el ámbito de CatSalut. </w:t>
      </w:r>
      <w:r w:rsidRPr="00FA3392">
        <w:rPr>
          <w:rFonts w:ascii="Book Antiqua" w:eastAsia="SimSun" w:hAnsi="Book Antiqua" w:cs="Arial"/>
          <w:color w:val="000000"/>
          <w:sz w:val="24"/>
          <w:szCs w:val="24"/>
          <w:lang w:eastAsia="zh-CN"/>
        </w:rPr>
        <w:t>2014</w:t>
      </w:r>
    </w:p>
    <w:p w:rsidR="00FA3392" w:rsidRPr="00FA3392" w:rsidRDefault="00FA3392" w:rsidP="00FA3392">
      <w:pPr>
        <w:spacing w:after="0" w:line="360" w:lineRule="auto"/>
        <w:jc w:val="both"/>
        <w:rPr>
          <w:rFonts w:ascii="Book Antiqua" w:eastAsia="SimSun" w:hAnsi="Book Antiqua" w:cs="SimSun"/>
          <w:color w:val="000000"/>
          <w:sz w:val="24"/>
          <w:szCs w:val="24"/>
          <w:lang w:eastAsia="zh-CN"/>
        </w:rPr>
      </w:pPr>
      <w:r w:rsidRPr="00FA3392">
        <w:rPr>
          <w:rFonts w:ascii="Book Antiqua" w:eastAsia="SimSun" w:hAnsi="Book Antiqua" w:cs="SimSun"/>
          <w:color w:val="000000"/>
          <w:sz w:val="24"/>
          <w:szCs w:val="24"/>
          <w:lang w:eastAsia="zh-CN"/>
        </w:rPr>
        <w:t>12 </w:t>
      </w:r>
      <w:r w:rsidRPr="00FA3392">
        <w:rPr>
          <w:rFonts w:ascii="Book Antiqua" w:eastAsia="SimSun" w:hAnsi="Book Antiqua" w:cs="SimSun"/>
          <w:b/>
          <w:bCs/>
          <w:color w:val="000000"/>
          <w:sz w:val="24"/>
          <w:szCs w:val="24"/>
          <w:lang w:eastAsia="zh-CN"/>
        </w:rPr>
        <w:t>Townsend R</w:t>
      </w:r>
      <w:r w:rsidRPr="00FA3392">
        <w:rPr>
          <w:rFonts w:ascii="Book Antiqua" w:eastAsia="SimSun" w:hAnsi="Book Antiqua" w:cs="SimSun"/>
          <w:color w:val="000000"/>
          <w:sz w:val="24"/>
          <w:szCs w:val="24"/>
          <w:lang w:eastAsia="zh-CN"/>
        </w:rPr>
        <w:t>, McEwan P, Kim R, Yuan Y. Structural frameworks and key model parameters in cost-effectiveness analyses for current and future treatments of chronic hepatitis C. </w:t>
      </w:r>
      <w:r w:rsidRPr="00FA3392">
        <w:rPr>
          <w:rFonts w:ascii="Book Antiqua" w:eastAsia="SimSun" w:hAnsi="Book Antiqua" w:cs="SimSun"/>
          <w:i/>
          <w:iCs/>
          <w:color w:val="000000"/>
          <w:sz w:val="24"/>
          <w:szCs w:val="24"/>
          <w:lang w:eastAsia="zh-CN"/>
        </w:rPr>
        <w:t>Value Health</w:t>
      </w:r>
      <w:r w:rsidRPr="00FA3392">
        <w:rPr>
          <w:rFonts w:ascii="Book Antiqua" w:eastAsia="SimSun" w:hAnsi="Book Antiqua" w:cs="SimSun"/>
          <w:color w:val="000000"/>
          <w:sz w:val="24"/>
          <w:szCs w:val="24"/>
          <w:lang w:eastAsia="zh-CN"/>
        </w:rPr>
        <w:t> 2011; </w:t>
      </w:r>
      <w:r w:rsidRPr="00FA3392">
        <w:rPr>
          <w:rFonts w:ascii="Book Antiqua" w:eastAsia="SimSun" w:hAnsi="Book Antiqua" w:cs="SimSun"/>
          <w:b/>
          <w:bCs/>
          <w:color w:val="000000"/>
          <w:sz w:val="24"/>
          <w:szCs w:val="24"/>
          <w:lang w:eastAsia="zh-CN"/>
        </w:rPr>
        <w:t>14</w:t>
      </w:r>
      <w:r w:rsidRPr="00FA3392">
        <w:rPr>
          <w:rFonts w:ascii="Book Antiqua" w:eastAsia="SimSun" w:hAnsi="Book Antiqua" w:cs="SimSun"/>
          <w:color w:val="000000"/>
          <w:sz w:val="24"/>
          <w:szCs w:val="24"/>
          <w:lang w:eastAsia="zh-CN"/>
        </w:rPr>
        <w:t>: 1068-1077 [PMID: 22152176 DOI: 10.1016/j.jval.2011.06.006]</w:t>
      </w:r>
    </w:p>
    <w:p w:rsidR="00FA3392" w:rsidRPr="00FA3392" w:rsidRDefault="00FA3392" w:rsidP="00FA3392">
      <w:pPr>
        <w:spacing w:after="0" w:line="360" w:lineRule="auto"/>
        <w:jc w:val="both"/>
        <w:rPr>
          <w:rFonts w:ascii="Book Antiqua" w:eastAsia="SimSun" w:hAnsi="Book Antiqua" w:cs="SimSun"/>
          <w:color w:val="000000"/>
          <w:sz w:val="24"/>
          <w:szCs w:val="24"/>
          <w:lang w:eastAsia="zh-CN"/>
        </w:rPr>
      </w:pPr>
      <w:r w:rsidRPr="00FA3392">
        <w:rPr>
          <w:rFonts w:ascii="Book Antiqua" w:eastAsia="SimSun" w:hAnsi="Book Antiqua" w:cs="SimSun"/>
          <w:color w:val="000000"/>
          <w:sz w:val="24"/>
          <w:szCs w:val="24"/>
          <w:lang w:eastAsia="zh-CN"/>
        </w:rPr>
        <w:t>13 </w:t>
      </w:r>
      <w:r w:rsidRPr="00FA3392">
        <w:rPr>
          <w:rFonts w:ascii="Book Antiqua" w:eastAsia="SimSun" w:hAnsi="Book Antiqua" w:cs="SimSun"/>
          <w:b/>
          <w:bCs/>
          <w:color w:val="000000"/>
          <w:sz w:val="24"/>
          <w:szCs w:val="24"/>
          <w:lang w:eastAsia="zh-CN"/>
        </w:rPr>
        <w:t>Canavan C</w:t>
      </w:r>
      <w:r w:rsidRPr="00FA3392">
        <w:rPr>
          <w:rFonts w:ascii="Book Antiqua" w:eastAsia="SimSun" w:hAnsi="Book Antiqua" w:cs="SimSun"/>
          <w:color w:val="000000"/>
          <w:sz w:val="24"/>
          <w:szCs w:val="24"/>
          <w:lang w:eastAsia="zh-CN"/>
        </w:rPr>
        <w:t xml:space="preserve">, </w:t>
      </w:r>
      <w:proofErr w:type="spellStart"/>
      <w:r w:rsidRPr="00FA3392">
        <w:rPr>
          <w:rFonts w:ascii="Book Antiqua" w:eastAsia="SimSun" w:hAnsi="Book Antiqua" w:cs="SimSun"/>
          <w:color w:val="000000"/>
          <w:sz w:val="24"/>
          <w:szCs w:val="24"/>
          <w:lang w:eastAsia="zh-CN"/>
        </w:rPr>
        <w:t>Eisenburg</w:t>
      </w:r>
      <w:proofErr w:type="spellEnd"/>
      <w:r w:rsidRPr="00FA3392">
        <w:rPr>
          <w:rFonts w:ascii="Book Antiqua" w:eastAsia="SimSun" w:hAnsi="Book Antiqua" w:cs="SimSun"/>
          <w:color w:val="000000"/>
          <w:sz w:val="24"/>
          <w:szCs w:val="24"/>
          <w:lang w:eastAsia="zh-CN"/>
        </w:rPr>
        <w:t xml:space="preserve"> J, </w:t>
      </w:r>
      <w:proofErr w:type="spellStart"/>
      <w:r w:rsidRPr="00FA3392">
        <w:rPr>
          <w:rFonts w:ascii="Book Antiqua" w:eastAsia="SimSun" w:hAnsi="Book Antiqua" w:cs="SimSun"/>
          <w:color w:val="000000"/>
          <w:sz w:val="24"/>
          <w:szCs w:val="24"/>
          <w:lang w:eastAsia="zh-CN"/>
        </w:rPr>
        <w:t>Meng</w:t>
      </w:r>
      <w:proofErr w:type="spellEnd"/>
      <w:r w:rsidRPr="00FA3392">
        <w:rPr>
          <w:rFonts w:ascii="Book Antiqua" w:eastAsia="SimSun" w:hAnsi="Book Antiqua" w:cs="SimSun"/>
          <w:color w:val="000000"/>
          <w:sz w:val="24"/>
          <w:szCs w:val="24"/>
          <w:lang w:eastAsia="zh-CN"/>
        </w:rPr>
        <w:t xml:space="preserve"> L, Corey K, </w:t>
      </w:r>
      <w:proofErr w:type="spellStart"/>
      <w:r w:rsidRPr="00FA3392">
        <w:rPr>
          <w:rFonts w:ascii="Book Antiqua" w:eastAsia="SimSun" w:hAnsi="Book Antiqua" w:cs="SimSun"/>
          <w:color w:val="000000"/>
          <w:sz w:val="24"/>
          <w:szCs w:val="24"/>
          <w:lang w:eastAsia="zh-CN"/>
        </w:rPr>
        <w:t>Hur</w:t>
      </w:r>
      <w:proofErr w:type="spellEnd"/>
      <w:r w:rsidRPr="00FA3392">
        <w:rPr>
          <w:rFonts w:ascii="Book Antiqua" w:eastAsia="SimSun" w:hAnsi="Book Antiqua" w:cs="SimSun"/>
          <w:color w:val="000000"/>
          <w:sz w:val="24"/>
          <w:szCs w:val="24"/>
          <w:lang w:eastAsia="zh-CN"/>
        </w:rPr>
        <w:t xml:space="preserve"> C. Ultrasound </w:t>
      </w:r>
      <w:proofErr w:type="spellStart"/>
      <w:r w:rsidRPr="00FA3392">
        <w:rPr>
          <w:rFonts w:ascii="Book Antiqua" w:eastAsia="SimSun" w:hAnsi="Book Antiqua" w:cs="SimSun"/>
          <w:color w:val="000000"/>
          <w:sz w:val="24"/>
          <w:szCs w:val="24"/>
          <w:lang w:eastAsia="zh-CN"/>
        </w:rPr>
        <w:t>elastography</w:t>
      </w:r>
      <w:proofErr w:type="spellEnd"/>
      <w:r w:rsidRPr="00FA3392">
        <w:rPr>
          <w:rFonts w:ascii="Book Antiqua" w:eastAsia="SimSun" w:hAnsi="Book Antiqua" w:cs="SimSun"/>
          <w:color w:val="000000"/>
          <w:sz w:val="24"/>
          <w:szCs w:val="24"/>
          <w:lang w:eastAsia="zh-CN"/>
        </w:rPr>
        <w:t xml:space="preserve"> for fibrosis surveillance is cost effective in patients with chronic hepatitis C virus in the UK. </w:t>
      </w:r>
      <w:r w:rsidRPr="00FA3392">
        <w:rPr>
          <w:rFonts w:ascii="Book Antiqua" w:eastAsia="SimSun" w:hAnsi="Book Antiqua" w:cs="SimSun"/>
          <w:i/>
          <w:iCs/>
          <w:color w:val="000000"/>
          <w:sz w:val="24"/>
          <w:szCs w:val="24"/>
          <w:lang w:eastAsia="zh-CN"/>
        </w:rPr>
        <w:t xml:space="preserve">Dig Dis </w:t>
      </w:r>
      <w:proofErr w:type="spellStart"/>
      <w:r w:rsidRPr="00FA3392">
        <w:rPr>
          <w:rFonts w:ascii="Book Antiqua" w:eastAsia="SimSun" w:hAnsi="Book Antiqua" w:cs="SimSun"/>
          <w:i/>
          <w:iCs/>
          <w:color w:val="000000"/>
          <w:sz w:val="24"/>
          <w:szCs w:val="24"/>
          <w:lang w:eastAsia="zh-CN"/>
        </w:rPr>
        <w:t>Sci</w:t>
      </w:r>
      <w:proofErr w:type="spellEnd"/>
      <w:r w:rsidRPr="00FA3392">
        <w:rPr>
          <w:rFonts w:ascii="Book Antiqua" w:eastAsia="SimSun" w:hAnsi="Book Antiqua" w:cs="SimSun"/>
          <w:color w:val="000000"/>
          <w:sz w:val="24"/>
          <w:szCs w:val="24"/>
          <w:lang w:eastAsia="zh-CN"/>
        </w:rPr>
        <w:t> 2013; </w:t>
      </w:r>
      <w:r w:rsidRPr="00FA3392">
        <w:rPr>
          <w:rFonts w:ascii="Book Antiqua" w:eastAsia="SimSun" w:hAnsi="Book Antiqua" w:cs="SimSun"/>
          <w:b/>
          <w:bCs/>
          <w:color w:val="000000"/>
          <w:sz w:val="24"/>
          <w:szCs w:val="24"/>
          <w:lang w:eastAsia="zh-CN"/>
        </w:rPr>
        <w:t>58</w:t>
      </w:r>
      <w:r w:rsidRPr="00FA3392">
        <w:rPr>
          <w:rFonts w:ascii="Book Antiqua" w:eastAsia="SimSun" w:hAnsi="Book Antiqua" w:cs="SimSun"/>
          <w:color w:val="000000"/>
          <w:sz w:val="24"/>
          <w:szCs w:val="24"/>
          <w:lang w:eastAsia="zh-CN"/>
        </w:rPr>
        <w:t>: 2691-2704 [PMID: 23720196 DOI: 10.1007/s10620-013-2705-y]</w:t>
      </w:r>
    </w:p>
    <w:p w:rsidR="00FA3392" w:rsidRPr="00FA3392" w:rsidRDefault="00FA3392" w:rsidP="00FA3392">
      <w:pPr>
        <w:spacing w:after="0" w:line="360" w:lineRule="auto"/>
        <w:jc w:val="both"/>
        <w:rPr>
          <w:rFonts w:ascii="Book Antiqua" w:eastAsia="SimSun" w:hAnsi="Book Antiqua" w:cs="SimSun"/>
          <w:color w:val="000000"/>
          <w:sz w:val="24"/>
          <w:szCs w:val="24"/>
          <w:lang w:eastAsia="zh-CN"/>
        </w:rPr>
      </w:pPr>
      <w:r w:rsidRPr="00FA3392">
        <w:rPr>
          <w:rFonts w:ascii="Book Antiqua" w:eastAsia="SimSun" w:hAnsi="Book Antiqua" w:cs="SimSun"/>
          <w:color w:val="000000"/>
          <w:sz w:val="24"/>
          <w:szCs w:val="24"/>
          <w:lang w:eastAsia="zh-CN"/>
        </w:rPr>
        <w:t>14 </w:t>
      </w:r>
      <w:r w:rsidRPr="00FA3392">
        <w:rPr>
          <w:rFonts w:ascii="Book Antiqua" w:eastAsia="SimSun" w:hAnsi="Book Antiqua" w:cs="SimSun"/>
          <w:b/>
          <w:bCs/>
          <w:color w:val="000000"/>
          <w:sz w:val="24"/>
          <w:szCs w:val="24"/>
          <w:lang w:eastAsia="zh-CN"/>
        </w:rPr>
        <w:t>San Miguel R</w:t>
      </w:r>
      <w:r w:rsidRPr="00FA3392">
        <w:rPr>
          <w:rFonts w:ascii="Book Antiqua" w:eastAsia="SimSun" w:hAnsi="Book Antiqua" w:cs="SimSun"/>
          <w:color w:val="000000"/>
          <w:sz w:val="24"/>
          <w:szCs w:val="24"/>
          <w:lang w:eastAsia="zh-CN"/>
        </w:rPr>
        <w:t xml:space="preserve">, </w:t>
      </w:r>
      <w:proofErr w:type="spellStart"/>
      <w:r w:rsidRPr="00FA3392">
        <w:rPr>
          <w:rFonts w:ascii="Book Antiqua" w:eastAsia="SimSun" w:hAnsi="Book Antiqua" w:cs="SimSun"/>
          <w:color w:val="000000"/>
          <w:sz w:val="24"/>
          <w:szCs w:val="24"/>
          <w:lang w:eastAsia="zh-CN"/>
        </w:rPr>
        <w:t>Gimeno-Ballester</w:t>
      </w:r>
      <w:proofErr w:type="spellEnd"/>
      <w:r w:rsidRPr="00FA3392">
        <w:rPr>
          <w:rFonts w:ascii="Book Antiqua" w:eastAsia="SimSun" w:hAnsi="Book Antiqua" w:cs="SimSun"/>
          <w:color w:val="000000"/>
          <w:sz w:val="24"/>
          <w:szCs w:val="24"/>
          <w:lang w:eastAsia="zh-CN"/>
        </w:rPr>
        <w:t xml:space="preserve"> V, </w:t>
      </w:r>
      <w:proofErr w:type="spellStart"/>
      <w:r w:rsidRPr="00FA3392">
        <w:rPr>
          <w:rFonts w:ascii="Book Antiqua" w:eastAsia="SimSun" w:hAnsi="Book Antiqua" w:cs="SimSun"/>
          <w:color w:val="000000"/>
          <w:sz w:val="24"/>
          <w:szCs w:val="24"/>
          <w:lang w:eastAsia="zh-CN"/>
        </w:rPr>
        <w:t>Blázquez</w:t>
      </w:r>
      <w:proofErr w:type="spellEnd"/>
      <w:r w:rsidRPr="00FA3392">
        <w:rPr>
          <w:rFonts w:ascii="Book Antiqua" w:eastAsia="SimSun" w:hAnsi="Book Antiqua" w:cs="SimSun"/>
          <w:color w:val="000000"/>
          <w:sz w:val="24"/>
          <w:szCs w:val="24"/>
          <w:lang w:eastAsia="zh-CN"/>
        </w:rPr>
        <w:t xml:space="preserve"> A, Mar J. Cost-effectiveness analysis of </w:t>
      </w:r>
      <w:proofErr w:type="spellStart"/>
      <w:r w:rsidRPr="00FA3392">
        <w:rPr>
          <w:rFonts w:ascii="Book Antiqua" w:eastAsia="SimSun" w:hAnsi="Book Antiqua" w:cs="SimSun"/>
          <w:color w:val="000000"/>
          <w:sz w:val="24"/>
          <w:szCs w:val="24"/>
          <w:lang w:eastAsia="zh-CN"/>
        </w:rPr>
        <w:t>sofosbuvir</w:t>
      </w:r>
      <w:proofErr w:type="spellEnd"/>
      <w:r w:rsidRPr="00FA3392">
        <w:rPr>
          <w:rFonts w:ascii="Book Antiqua" w:eastAsia="SimSun" w:hAnsi="Book Antiqua" w:cs="SimSun"/>
          <w:color w:val="000000"/>
          <w:sz w:val="24"/>
          <w:szCs w:val="24"/>
          <w:lang w:eastAsia="zh-CN"/>
        </w:rPr>
        <w:t>-based regimens for chronic hepatitis C. </w:t>
      </w:r>
      <w:r w:rsidRPr="00FA3392">
        <w:rPr>
          <w:rFonts w:ascii="Book Antiqua" w:eastAsia="SimSun" w:hAnsi="Book Antiqua" w:cs="SimSun"/>
          <w:i/>
          <w:iCs/>
          <w:color w:val="000000"/>
          <w:sz w:val="24"/>
          <w:szCs w:val="24"/>
          <w:lang w:eastAsia="zh-CN"/>
        </w:rPr>
        <w:t>Gut</w:t>
      </w:r>
      <w:r w:rsidRPr="00FA3392">
        <w:rPr>
          <w:rFonts w:ascii="Book Antiqua" w:eastAsia="SimSun" w:hAnsi="Book Antiqua" w:cs="SimSun"/>
          <w:color w:val="000000"/>
          <w:sz w:val="24"/>
          <w:szCs w:val="24"/>
          <w:lang w:eastAsia="zh-CN"/>
        </w:rPr>
        <w:t> 2015; </w:t>
      </w:r>
      <w:r w:rsidRPr="00FA3392">
        <w:rPr>
          <w:rFonts w:ascii="Book Antiqua" w:eastAsia="SimSun" w:hAnsi="Book Antiqua" w:cs="SimSun"/>
          <w:b/>
          <w:bCs/>
          <w:color w:val="000000"/>
          <w:sz w:val="24"/>
          <w:szCs w:val="24"/>
          <w:lang w:eastAsia="zh-CN"/>
        </w:rPr>
        <w:t>64</w:t>
      </w:r>
      <w:r w:rsidRPr="00FA3392">
        <w:rPr>
          <w:rFonts w:ascii="Book Antiqua" w:eastAsia="SimSun" w:hAnsi="Book Antiqua" w:cs="SimSun"/>
          <w:color w:val="000000"/>
          <w:sz w:val="24"/>
          <w:szCs w:val="24"/>
          <w:lang w:eastAsia="zh-CN"/>
        </w:rPr>
        <w:t>: 1277-1288 [PMID: 25311032 DOI: 10.1136/gutjnl-2014-307772]</w:t>
      </w:r>
    </w:p>
    <w:p w:rsidR="00FA3392" w:rsidRPr="00FA3392" w:rsidRDefault="00FA3392" w:rsidP="00FA3392">
      <w:pPr>
        <w:spacing w:after="0" w:line="360" w:lineRule="auto"/>
        <w:jc w:val="both"/>
        <w:rPr>
          <w:rFonts w:ascii="Book Antiqua" w:eastAsia="SimSun" w:hAnsi="Book Antiqua" w:cs="SimSun"/>
          <w:color w:val="000000"/>
          <w:sz w:val="24"/>
          <w:szCs w:val="24"/>
          <w:lang w:eastAsia="zh-CN"/>
        </w:rPr>
      </w:pPr>
      <w:r w:rsidRPr="00FA3392">
        <w:rPr>
          <w:rFonts w:ascii="Book Antiqua" w:eastAsia="SimSun" w:hAnsi="Book Antiqua" w:cs="SimSun"/>
          <w:color w:val="000000"/>
          <w:sz w:val="24"/>
          <w:szCs w:val="24"/>
          <w:lang w:eastAsia="zh-CN"/>
        </w:rPr>
        <w:t>15 </w:t>
      </w:r>
      <w:proofErr w:type="spellStart"/>
      <w:r w:rsidRPr="00FA3392">
        <w:rPr>
          <w:rFonts w:ascii="Book Antiqua" w:eastAsia="SimSun" w:hAnsi="Book Antiqua" w:cs="SimSun"/>
          <w:b/>
          <w:bCs/>
          <w:color w:val="000000"/>
          <w:sz w:val="24"/>
          <w:szCs w:val="24"/>
          <w:lang w:eastAsia="zh-CN"/>
        </w:rPr>
        <w:t>Crossan</w:t>
      </w:r>
      <w:proofErr w:type="spellEnd"/>
      <w:r w:rsidRPr="00FA3392">
        <w:rPr>
          <w:rFonts w:ascii="Book Antiqua" w:eastAsia="SimSun" w:hAnsi="Book Antiqua" w:cs="SimSun"/>
          <w:b/>
          <w:bCs/>
          <w:color w:val="000000"/>
          <w:sz w:val="24"/>
          <w:szCs w:val="24"/>
          <w:lang w:eastAsia="zh-CN"/>
        </w:rPr>
        <w:t xml:space="preserve"> C</w:t>
      </w:r>
      <w:r w:rsidRPr="00FA3392">
        <w:rPr>
          <w:rFonts w:ascii="Book Antiqua" w:eastAsia="SimSun" w:hAnsi="Book Antiqua" w:cs="SimSun"/>
          <w:color w:val="000000"/>
          <w:sz w:val="24"/>
          <w:szCs w:val="24"/>
          <w:lang w:eastAsia="zh-CN"/>
        </w:rPr>
        <w:t xml:space="preserve">, </w:t>
      </w:r>
      <w:proofErr w:type="spellStart"/>
      <w:r w:rsidRPr="00FA3392">
        <w:rPr>
          <w:rFonts w:ascii="Book Antiqua" w:eastAsia="SimSun" w:hAnsi="Book Antiqua" w:cs="SimSun"/>
          <w:color w:val="000000"/>
          <w:sz w:val="24"/>
          <w:szCs w:val="24"/>
          <w:lang w:eastAsia="zh-CN"/>
        </w:rPr>
        <w:t>Tsochatzis</w:t>
      </w:r>
      <w:proofErr w:type="spellEnd"/>
      <w:r w:rsidRPr="00FA3392">
        <w:rPr>
          <w:rFonts w:ascii="Book Antiqua" w:eastAsia="SimSun" w:hAnsi="Book Antiqua" w:cs="SimSun"/>
          <w:color w:val="000000"/>
          <w:sz w:val="24"/>
          <w:szCs w:val="24"/>
          <w:lang w:eastAsia="zh-CN"/>
        </w:rPr>
        <w:t xml:space="preserve"> EA, Longworth L, </w:t>
      </w:r>
      <w:proofErr w:type="spellStart"/>
      <w:r w:rsidRPr="00FA3392">
        <w:rPr>
          <w:rFonts w:ascii="Book Antiqua" w:eastAsia="SimSun" w:hAnsi="Book Antiqua" w:cs="SimSun"/>
          <w:color w:val="000000"/>
          <w:sz w:val="24"/>
          <w:szCs w:val="24"/>
          <w:lang w:eastAsia="zh-CN"/>
        </w:rPr>
        <w:t>Gurusamy</w:t>
      </w:r>
      <w:proofErr w:type="spellEnd"/>
      <w:r w:rsidRPr="00FA3392">
        <w:rPr>
          <w:rFonts w:ascii="Book Antiqua" w:eastAsia="SimSun" w:hAnsi="Book Antiqua" w:cs="SimSun"/>
          <w:color w:val="000000"/>
          <w:sz w:val="24"/>
          <w:szCs w:val="24"/>
          <w:lang w:eastAsia="zh-CN"/>
        </w:rPr>
        <w:t xml:space="preserve"> K, Davidson B, Rodríguez-</w:t>
      </w:r>
      <w:proofErr w:type="spellStart"/>
      <w:r w:rsidRPr="00FA3392">
        <w:rPr>
          <w:rFonts w:ascii="Book Antiqua" w:eastAsia="SimSun" w:hAnsi="Book Antiqua" w:cs="SimSun"/>
          <w:color w:val="000000"/>
          <w:sz w:val="24"/>
          <w:szCs w:val="24"/>
          <w:lang w:eastAsia="zh-CN"/>
        </w:rPr>
        <w:t>Perálvarez</w:t>
      </w:r>
      <w:proofErr w:type="spellEnd"/>
      <w:r w:rsidRPr="00FA3392">
        <w:rPr>
          <w:rFonts w:ascii="Book Antiqua" w:eastAsia="SimSun" w:hAnsi="Book Antiqua" w:cs="SimSun"/>
          <w:color w:val="000000"/>
          <w:sz w:val="24"/>
          <w:szCs w:val="24"/>
          <w:lang w:eastAsia="zh-CN"/>
        </w:rPr>
        <w:t xml:space="preserve"> M, </w:t>
      </w:r>
      <w:proofErr w:type="spellStart"/>
      <w:r w:rsidRPr="00FA3392">
        <w:rPr>
          <w:rFonts w:ascii="Book Antiqua" w:eastAsia="SimSun" w:hAnsi="Book Antiqua" w:cs="SimSun"/>
          <w:color w:val="000000"/>
          <w:sz w:val="24"/>
          <w:szCs w:val="24"/>
          <w:lang w:eastAsia="zh-CN"/>
        </w:rPr>
        <w:t>Mantzoukis</w:t>
      </w:r>
      <w:proofErr w:type="spellEnd"/>
      <w:r w:rsidRPr="00FA3392">
        <w:rPr>
          <w:rFonts w:ascii="Book Antiqua" w:eastAsia="SimSun" w:hAnsi="Book Antiqua" w:cs="SimSun"/>
          <w:color w:val="000000"/>
          <w:sz w:val="24"/>
          <w:szCs w:val="24"/>
          <w:lang w:eastAsia="zh-CN"/>
        </w:rPr>
        <w:t xml:space="preserve"> K, O'Brien J, </w:t>
      </w:r>
      <w:proofErr w:type="spellStart"/>
      <w:r w:rsidRPr="00FA3392">
        <w:rPr>
          <w:rFonts w:ascii="Book Antiqua" w:eastAsia="SimSun" w:hAnsi="Book Antiqua" w:cs="SimSun"/>
          <w:color w:val="000000"/>
          <w:sz w:val="24"/>
          <w:szCs w:val="24"/>
          <w:lang w:eastAsia="zh-CN"/>
        </w:rPr>
        <w:t>Thalassinos</w:t>
      </w:r>
      <w:proofErr w:type="spellEnd"/>
      <w:r w:rsidRPr="00FA3392">
        <w:rPr>
          <w:rFonts w:ascii="Book Antiqua" w:eastAsia="SimSun" w:hAnsi="Book Antiqua" w:cs="SimSun"/>
          <w:color w:val="000000"/>
          <w:sz w:val="24"/>
          <w:szCs w:val="24"/>
          <w:lang w:eastAsia="zh-CN"/>
        </w:rPr>
        <w:t xml:space="preserve"> E, </w:t>
      </w:r>
      <w:proofErr w:type="spellStart"/>
      <w:r w:rsidRPr="00FA3392">
        <w:rPr>
          <w:rFonts w:ascii="Book Antiqua" w:eastAsia="SimSun" w:hAnsi="Book Antiqua" w:cs="SimSun"/>
          <w:color w:val="000000"/>
          <w:sz w:val="24"/>
          <w:szCs w:val="24"/>
          <w:lang w:eastAsia="zh-CN"/>
        </w:rPr>
        <w:t>Papastergiou</w:t>
      </w:r>
      <w:proofErr w:type="spellEnd"/>
      <w:r w:rsidRPr="00FA3392">
        <w:rPr>
          <w:rFonts w:ascii="Book Antiqua" w:eastAsia="SimSun" w:hAnsi="Book Antiqua" w:cs="SimSun"/>
          <w:color w:val="000000"/>
          <w:sz w:val="24"/>
          <w:szCs w:val="24"/>
          <w:lang w:eastAsia="zh-CN"/>
        </w:rPr>
        <w:t xml:space="preserve"> V, Burroughs A. Cost-effectiveness of non-invasive methods for assessment and monitoring of liver fibrosis and cirrhosis in patients with chronic liver disease: systematic review and economic evaluation. </w:t>
      </w:r>
      <w:r w:rsidRPr="00FA3392">
        <w:rPr>
          <w:rFonts w:ascii="Book Antiqua" w:eastAsia="SimSun" w:hAnsi="Book Antiqua" w:cs="SimSun"/>
          <w:i/>
          <w:iCs/>
          <w:color w:val="000000"/>
          <w:sz w:val="24"/>
          <w:szCs w:val="24"/>
          <w:lang w:eastAsia="zh-CN"/>
        </w:rPr>
        <w:t xml:space="preserve">Health </w:t>
      </w:r>
      <w:proofErr w:type="spellStart"/>
      <w:r w:rsidRPr="00FA3392">
        <w:rPr>
          <w:rFonts w:ascii="Book Antiqua" w:eastAsia="SimSun" w:hAnsi="Book Antiqua" w:cs="SimSun"/>
          <w:i/>
          <w:iCs/>
          <w:color w:val="000000"/>
          <w:sz w:val="24"/>
          <w:szCs w:val="24"/>
          <w:lang w:eastAsia="zh-CN"/>
        </w:rPr>
        <w:t>Technol</w:t>
      </w:r>
      <w:proofErr w:type="spellEnd"/>
      <w:r w:rsidRPr="00FA3392">
        <w:rPr>
          <w:rFonts w:ascii="Book Antiqua" w:eastAsia="SimSun" w:hAnsi="Book Antiqua" w:cs="SimSun"/>
          <w:i/>
          <w:iCs/>
          <w:color w:val="000000"/>
          <w:sz w:val="24"/>
          <w:szCs w:val="24"/>
          <w:lang w:eastAsia="zh-CN"/>
        </w:rPr>
        <w:t xml:space="preserve"> Assess</w:t>
      </w:r>
      <w:r w:rsidRPr="00FA3392">
        <w:rPr>
          <w:rFonts w:ascii="Book Antiqua" w:eastAsia="SimSun" w:hAnsi="Book Antiqua" w:cs="SimSun"/>
          <w:color w:val="000000"/>
          <w:sz w:val="24"/>
          <w:szCs w:val="24"/>
          <w:lang w:eastAsia="zh-CN"/>
        </w:rPr>
        <w:t> 2015; </w:t>
      </w:r>
      <w:r w:rsidRPr="00FA3392">
        <w:rPr>
          <w:rFonts w:ascii="Book Antiqua" w:eastAsia="SimSun" w:hAnsi="Book Antiqua" w:cs="SimSun"/>
          <w:b/>
          <w:bCs/>
          <w:color w:val="000000"/>
          <w:sz w:val="24"/>
          <w:szCs w:val="24"/>
          <w:lang w:eastAsia="zh-CN"/>
        </w:rPr>
        <w:t>19</w:t>
      </w:r>
      <w:r w:rsidRPr="00FA3392">
        <w:rPr>
          <w:rFonts w:ascii="Book Antiqua" w:eastAsia="SimSun" w:hAnsi="Book Antiqua" w:cs="SimSun"/>
          <w:color w:val="000000"/>
          <w:sz w:val="24"/>
          <w:szCs w:val="24"/>
          <w:lang w:eastAsia="zh-CN"/>
        </w:rPr>
        <w:t>: 1-409, v-vi [PMID: 25633908 DOI: 10.3310/hta19090]</w:t>
      </w:r>
    </w:p>
    <w:p w:rsidR="00FA3392" w:rsidRPr="00FA3392" w:rsidRDefault="00FA3392" w:rsidP="00FA3392">
      <w:pPr>
        <w:spacing w:after="0" w:line="360" w:lineRule="auto"/>
        <w:jc w:val="both"/>
        <w:rPr>
          <w:rFonts w:ascii="Book Antiqua" w:eastAsia="SimSun" w:hAnsi="Book Antiqua" w:cs="SimSun"/>
          <w:color w:val="000000"/>
          <w:sz w:val="24"/>
          <w:szCs w:val="24"/>
          <w:lang w:eastAsia="zh-CN"/>
        </w:rPr>
      </w:pPr>
      <w:r w:rsidRPr="00FA3392">
        <w:rPr>
          <w:rFonts w:ascii="Book Antiqua" w:eastAsia="SimSun" w:hAnsi="Book Antiqua" w:cs="SimSun"/>
          <w:color w:val="000000"/>
          <w:sz w:val="24"/>
          <w:szCs w:val="24"/>
          <w:lang w:eastAsia="zh-CN"/>
        </w:rPr>
        <w:t>16 </w:t>
      </w:r>
      <w:r w:rsidRPr="00FA3392">
        <w:rPr>
          <w:rFonts w:ascii="Book Antiqua" w:eastAsia="SimSun" w:hAnsi="Book Antiqua" w:cs="SimSun"/>
          <w:b/>
          <w:bCs/>
          <w:color w:val="000000"/>
          <w:sz w:val="24"/>
          <w:szCs w:val="24"/>
          <w:lang w:eastAsia="zh-CN"/>
        </w:rPr>
        <w:t>Lee YA</w:t>
      </w:r>
      <w:r w:rsidRPr="00FA3392">
        <w:rPr>
          <w:rFonts w:ascii="Book Antiqua" w:eastAsia="SimSun" w:hAnsi="Book Antiqua" w:cs="SimSun"/>
          <w:color w:val="000000"/>
          <w:sz w:val="24"/>
          <w:szCs w:val="24"/>
          <w:lang w:eastAsia="zh-CN"/>
        </w:rPr>
        <w:t xml:space="preserve">, Friedman SL. Reversal, maintenance or progression: what happens to the liver after a </w:t>
      </w:r>
      <w:proofErr w:type="spellStart"/>
      <w:r w:rsidRPr="00FA3392">
        <w:rPr>
          <w:rFonts w:ascii="Book Antiqua" w:eastAsia="SimSun" w:hAnsi="Book Antiqua" w:cs="SimSun"/>
          <w:color w:val="000000"/>
          <w:sz w:val="24"/>
          <w:szCs w:val="24"/>
          <w:lang w:eastAsia="zh-CN"/>
        </w:rPr>
        <w:t>virologic</w:t>
      </w:r>
      <w:proofErr w:type="spellEnd"/>
      <w:r w:rsidRPr="00FA3392">
        <w:rPr>
          <w:rFonts w:ascii="Book Antiqua" w:eastAsia="SimSun" w:hAnsi="Book Antiqua" w:cs="SimSun"/>
          <w:color w:val="000000"/>
          <w:sz w:val="24"/>
          <w:szCs w:val="24"/>
          <w:lang w:eastAsia="zh-CN"/>
        </w:rPr>
        <w:t xml:space="preserve"> cure of hepatitis C? </w:t>
      </w:r>
      <w:r w:rsidRPr="00FA3392">
        <w:rPr>
          <w:rFonts w:ascii="Book Antiqua" w:eastAsia="SimSun" w:hAnsi="Book Antiqua" w:cs="SimSun"/>
          <w:i/>
          <w:iCs/>
          <w:color w:val="000000"/>
          <w:sz w:val="24"/>
          <w:szCs w:val="24"/>
          <w:lang w:eastAsia="zh-CN"/>
        </w:rPr>
        <w:t>Antiviral Res</w:t>
      </w:r>
      <w:r w:rsidRPr="00FA3392">
        <w:rPr>
          <w:rFonts w:ascii="Book Antiqua" w:eastAsia="SimSun" w:hAnsi="Book Antiqua" w:cs="SimSun"/>
          <w:color w:val="000000"/>
          <w:sz w:val="24"/>
          <w:szCs w:val="24"/>
          <w:lang w:eastAsia="zh-CN"/>
        </w:rPr>
        <w:t> 2014; </w:t>
      </w:r>
      <w:r w:rsidRPr="00FA3392">
        <w:rPr>
          <w:rFonts w:ascii="Book Antiqua" w:eastAsia="SimSun" w:hAnsi="Book Antiqua" w:cs="SimSun"/>
          <w:b/>
          <w:bCs/>
          <w:color w:val="000000"/>
          <w:sz w:val="24"/>
          <w:szCs w:val="24"/>
          <w:lang w:eastAsia="zh-CN"/>
        </w:rPr>
        <w:t>107</w:t>
      </w:r>
      <w:r w:rsidRPr="00FA3392">
        <w:rPr>
          <w:rFonts w:ascii="Book Antiqua" w:eastAsia="SimSun" w:hAnsi="Book Antiqua" w:cs="SimSun"/>
          <w:color w:val="000000"/>
          <w:sz w:val="24"/>
          <w:szCs w:val="24"/>
          <w:lang w:eastAsia="zh-CN"/>
        </w:rPr>
        <w:t>: 23-30 [PMID: 24726738 DOI: 10.1016/j.antiviral.2014.03.012]</w:t>
      </w:r>
    </w:p>
    <w:p w:rsidR="00FA3392" w:rsidRPr="00FA3392" w:rsidRDefault="00FA3392" w:rsidP="00FA3392">
      <w:pPr>
        <w:spacing w:after="0" w:line="360" w:lineRule="auto"/>
        <w:jc w:val="both"/>
        <w:rPr>
          <w:rFonts w:ascii="Book Antiqua" w:eastAsia="SimSun" w:hAnsi="Book Antiqua" w:cs="SimSun"/>
          <w:color w:val="000000"/>
          <w:sz w:val="24"/>
          <w:szCs w:val="24"/>
          <w:lang w:eastAsia="zh-CN"/>
        </w:rPr>
      </w:pPr>
      <w:r w:rsidRPr="00FA3392">
        <w:rPr>
          <w:rFonts w:ascii="Book Antiqua" w:eastAsia="SimSun" w:hAnsi="Book Antiqua" w:cs="SimSun"/>
          <w:color w:val="000000"/>
          <w:sz w:val="24"/>
          <w:szCs w:val="24"/>
          <w:lang w:eastAsia="zh-CN"/>
        </w:rPr>
        <w:t>17 </w:t>
      </w:r>
      <w:proofErr w:type="spellStart"/>
      <w:r w:rsidRPr="00FA3392">
        <w:rPr>
          <w:rFonts w:ascii="Book Antiqua" w:eastAsia="SimSun" w:hAnsi="Book Antiqua" w:cs="SimSun"/>
          <w:b/>
          <w:bCs/>
          <w:color w:val="000000"/>
          <w:sz w:val="24"/>
          <w:szCs w:val="24"/>
          <w:lang w:eastAsia="zh-CN"/>
        </w:rPr>
        <w:t>Afdhal</w:t>
      </w:r>
      <w:proofErr w:type="spellEnd"/>
      <w:r w:rsidRPr="00FA3392">
        <w:rPr>
          <w:rFonts w:ascii="Book Antiqua" w:eastAsia="SimSun" w:hAnsi="Book Antiqua" w:cs="SimSun"/>
          <w:b/>
          <w:bCs/>
          <w:color w:val="000000"/>
          <w:sz w:val="24"/>
          <w:szCs w:val="24"/>
          <w:lang w:eastAsia="zh-CN"/>
        </w:rPr>
        <w:t xml:space="preserve"> N</w:t>
      </w:r>
      <w:r w:rsidRPr="00FA3392">
        <w:rPr>
          <w:rFonts w:ascii="Book Antiqua" w:eastAsia="SimSun" w:hAnsi="Book Antiqua" w:cs="SimSun"/>
          <w:color w:val="000000"/>
          <w:sz w:val="24"/>
          <w:szCs w:val="24"/>
          <w:lang w:eastAsia="zh-CN"/>
        </w:rPr>
        <w:t xml:space="preserve">, </w:t>
      </w:r>
      <w:proofErr w:type="spellStart"/>
      <w:r w:rsidRPr="00FA3392">
        <w:rPr>
          <w:rFonts w:ascii="Book Antiqua" w:eastAsia="SimSun" w:hAnsi="Book Antiqua" w:cs="SimSun"/>
          <w:color w:val="000000"/>
          <w:sz w:val="24"/>
          <w:szCs w:val="24"/>
          <w:lang w:eastAsia="zh-CN"/>
        </w:rPr>
        <w:t>Zeuzem</w:t>
      </w:r>
      <w:proofErr w:type="spellEnd"/>
      <w:r w:rsidRPr="00FA3392">
        <w:rPr>
          <w:rFonts w:ascii="Book Antiqua" w:eastAsia="SimSun" w:hAnsi="Book Antiqua" w:cs="SimSun"/>
          <w:color w:val="000000"/>
          <w:sz w:val="24"/>
          <w:szCs w:val="24"/>
          <w:lang w:eastAsia="zh-CN"/>
        </w:rPr>
        <w:t xml:space="preserve"> S, </w:t>
      </w:r>
      <w:proofErr w:type="spellStart"/>
      <w:r w:rsidRPr="00FA3392">
        <w:rPr>
          <w:rFonts w:ascii="Book Antiqua" w:eastAsia="SimSun" w:hAnsi="Book Antiqua" w:cs="SimSun"/>
          <w:color w:val="000000"/>
          <w:sz w:val="24"/>
          <w:szCs w:val="24"/>
          <w:lang w:eastAsia="zh-CN"/>
        </w:rPr>
        <w:t>Kwo</w:t>
      </w:r>
      <w:proofErr w:type="spellEnd"/>
      <w:r w:rsidRPr="00FA3392">
        <w:rPr>
          <w:rFonts w:ascii="Book Antiqua" w:eastAsia="SimSun" w:hAnsi="Book Antiqua" w:cs="SimSun"/>
          <w:color w:val="000000"/>
          <w:sz w:val="24"/>
          <w:szCs w:val="24"/>
          <w:lang w:eastAsia="zh-CN"/>
        </w:rPr>
        <w:t xml:space="preserve"> P, </w:t>
      </w:r>
      <w:proofErr w:type="spellStart"/>
      <w:r w:rsidRPr="00FA3392">
        <w:rPr>
          <w:rFonts w:ascii="Book Antiqua" w:eastAsia="SimSun" w:hAnsi="Book Antiqua" w:cs="SimSun"/>
          <w:color w:val="000000"/>
          <w:sz w:val="24"/>
          <w:szCs w:val="24"/>
          <w:lang w:eastAsia="zh-CN"/>
        </w:rPr>
        <w:t>Chojkier</w:t>
      </w:r>
      <w:proofErr w:type="spellEnd"/>
      <w:r w:rsidRPr="00FA3392">
        <w:rPr>
          <w:rFonts w:ascii="Book Antiqua" w:eastAsia="SimSun" w:hAnsi="Book Antiqua" w:cs="SimSun"/>
          <w:color w:val="000000"/>
          <w:sz w:val="24"/>
          <w:szCs w:val="24"/>
          <w:lang w:eastAsia="zh-CN"/>
        </w:rPr>
        <w:t xml:space="preserve"> M, </w:t>
      </w:r>
      <w:proofErr w:type="spellStart"/>
      <w:r w:rsidRPr="00FA3392">
        <w:rPr>
          <w:rFonts w:ascii="Book Antiqua" w:eastAsia="SimSun" w:hAnsi="Book Antiqua" w:cs="SimSun"/>
          <w:color w:val="000000"/>
          <w:sz w:val="24"/>
          <w:szCs w:val="24"/>
          <w:lang w:eastAsia="zh-CN"/>
        </w:rPr>
        <w:t>Gitlin</w:t>
      </w:r>
      <w:proofErr w:type="spellEnd"/>
      <w:r w:rsidRPr="00FA3392">
        <w:rPr>
          <w:rFonts w:ascii="Book Antiqua" w:eastAsia="SimSun" w:hAnsi="Book Antiqua" w:cs="SimSun"/>
          <w:color w:val="000000"/>
          <w:sz w:val="24"/>
          <w:szCs w:val="24"/>
          <w:lang w:eastAsia="zh-CN"/>
        </w:rPr>
        <w:t xml:space="preserve"> N, </w:t>
      </w:r>
      <w:proofErr w:type="spellStart"/>
      <w:r w:rsidRPr="00FA3392">
        <w:rPr>
          <w:rFonts w:ascii="Book Antiqua" w:eastAsia="SimSun" w:hAnsi="Book Antiqua" w:cs="SimSun"/>
          <w:color w:val="000000"/>
          <w:sz w:val="24"/>
          <w:szCs w:val="24"/>
          <w:lang w:eastAsia="zh-CN"/>
        </w:rPr>
        <w:t>Puoti</w:t>
      </w:r>
      <w:proofErr w:type="spellEnd"/>
      <w:r w:rsidRPr="00FA3392">
        <w:rPr>
          <w:rFonts w:ascii="Book Antiqua" w:eastAsia="SimSun" w:hAnsi="Book Antiqua" w:cs="SimSun"/>
          <w:color w:val="000000"/>
          <w:sz w:val="24"/>
          <w:szCs w:val="24"/>
          <w:lang w:eastAsia="zh-CN"/>
        </w:rPr>
        <w:t xml:space="preserve"> M, Romero-Gomez M, </w:t>
      </w:r>
      <w:proofErr w:type="spellStart"/>
      <w:r w:rsidRPr="00FA3392">
        <w:rPr>
          <w:rFonts w:ascii="Book Antiqua" w:eastAsia="SimSun" w:hAnsi="Book Antiqua" w:cs="SimSun"/>
          <w:color w:val="000000"/>
          <w:sz w:val="24"/>
          <w:szCs w:val="24"/>
          <w:lang w:eastAsia="zh-CN"/>
        </w:rPr>
        <w:t>Zarski</w:t>
      </w:r>
      <w:proofErr w:type="spellEnd"/>
      <w:r w:rsidRPr="00FA3392">
        <w:rPr>
          <w:rFonts w:ascii="Book Antiqua" w:eastAsia="SimSun" w:hAnsi="Book Antiqua" w:cs="SimSun"/>
          <w:color w:val="000000"/>
          <w:sz w:val="24"/>
          <w:szCs w:val="24"/>
          <w:lang w:eastAsia="zh-CN"/>
        </w:rPr>
        <w:t xml:space="preserve"> JP, Agarwal K, </w:t>
      </w:r>
      <w:proofErr w:type="spellStart"/>
      <w:r w:rsidRPr="00FA3392">
        <w:rPr>
          <w:rFonts w:ascii="Book Antiqua" w:eastAsia="SimSun" w:hAnsi="Book Antiqua" w:cs="SimSun"/>
          <w:color w:val="000000"/>
          <w:sz w:val="24"/>
          <w:szCs w:val="24"/>
          <w:lang w:eastAsia="zh-CN"/>
        </w:rPr>
        <w:t>Buggisch</w:t>
      </w:r>
      <w:proofErr w:type="spellEnd"/>
      <w:r w:rsidRPr="00FA3392">
        <w:rPr>
          <w:rFonts w:ascii="Book Antiqua" w:eastAsia="SimSun" w:hAnsi="Book Antiqua" w:cs="SimSun"/>
          <w:color w:val="000000"/>
          <w:sz w:val="24"/>
          <w:szCs w:val="24"/>
          <w:lang w:eastAsia="zh-CN"/>
        </w:rPr>
        <w:t xml:space="preserve"> P, Foster GR, </w:t>
      </w:r>
      <w:proofErr w:type="spellStart"/>
      <w:r w:rsidRPr="00FA3392">
        <w:rPr>
          <w:rFonts w:ascii="Book Antiqua" w:eastAsia="SimSun" w:hAnsi="Book Antiqua" w:cs="SimSun"/>
          <w:color w:val="000000"/>
          <w:sz w:val="24"/>
          <w:szCs w:val="24"/>
          <w:lang w:eastAsia="zh-CN"/>
        </w:rPr>
        <w:t>Bräu</w:t>
      </w:r>
      <w:proofErr w:type="spellEnd"/>
      <w:r w:rsidRPr="00FA3392">
        <w:rPr>
          <w:rFonts w:ascii="Book Antiqua" w:eastAsia="SimSun" w:hAnsi="Book Antiqua" w:cs="SimSun"/>
          <w:color w:val="000000"/>
          <w:sz w:val="24"/>
          <w:szCs w:val="24"/>
          <w:lang w:eastAsia="zh-CN"/>
        </w:rPr>
        <w:t xml:space="preserve"> N, </w:t>
      </w:r>
      <w:proofErr w:type="spellStart"/>
      <w:r w:rsidRPr="00FA3392">
        <w:rPr>
          <w:rFonts w:ascii="Book Antiqua" w:eastAsia="SimSun" w:hAnsi="Book Antiqua" w:cs="SimSun"/>
          <w:color w:val="000000"/>
          <w:sz w:val="24"/>
          <w:szCs w:val="24"/>
          <w:lang w:eastAsia="zh-CN"/>
        </w:rPr>
        <w:t>Buti</w:t>
      </w:r>
      <w:proofErr w:type="spellEnd"/>
      <w:r w:rsidRPr="00FA3392">
        <w:rPr>
          <w:rFonts w:ascii="Book Antiqua" w:eastAsia="SimSun" w:hAnsi="Book Antiqua" w:cs="SimSun"/>
          <w:color w:val="000000"/>
          <w:sz w:val="24"/>
          <w:szCs w:val="24"/>
          <w:lang w:eastAsia="zh-CN"/>
        </w:rPr>
        <w:t xml:space="preserve"> M, Jacobson IM, Subramanian GM, Ding X, Mo H, Yang JC, Pang PS, Symonds WT, </w:t>
      </w:r>
      <w:proofErr w:type="spellStart"/>
      <w:r w:rsidRPr="00FA3392">
        <w:rPr>
          <w:rFonts w:ascii="Book Antiqua" w:eastAsia="SimSun" w:hAnsi="Book Antiqua" w:cs="SimSun"/>
          <w:color w:val="000000"/>
          <w:sz w:val="24"/>
          <w:szCs w:val="24"/>
          <w:lang w:eastAsia="zh-CN"/>
        </w:rPr>
        <w:t>McHutchison</w:t>
      </w:r>
      <w:proofErr w:type="spellEnd"/>
      <w:r w:rsidRPr="00FA3392">
        <w:rPr>
          <w:rFonts w:ascii="Book Antiqua" w:eastAsia="SimSun" w:hAnsi="Book Antiqua" w:cs="SimSun"/>
          <w:color w:val="000000"/>
          <w:sz w:val="24"/>
          <w:szCs w:val="24"/>
          <w:lang w:eastAsia="zh-CN"/>
        </w:rPr>
        <w:t xml:space="preserve"> JG, Muir AJ, </w:t>
      </w:r>
      <w:proofErr w:type="spellStart"/>
      <w:r w:rsidRPr="00FA3392">
        <w:rPr>
          <w:rFonts w:ascii="Book Antiqua" w:eastAsia="SimSun" w:hAnsi="Book Antiqua" w:cs="SimSun"/>
          <w:color w:val="000000"/>
          <w:sz w:val="24"/>
          <w:szCs w:val="24"/>
          <w:lang w:eastAsia="zh-CN"/>
        </w:rPr>
        <w:t>Mangia</w:t>
      </w:r>
      <w:proofErr w:type="spellEnd"/>
      <w:r w:rsidRPr="00FA3392">
        <w:rPr>
          <w:rFonts w:ascii="Book Antiqua" w:eastAsia="SimSun" w:hAnsi="Book Antiqua" w:cs="SimSun"/>
          <w:color w:val="000000"/>
          <w:sz w:val="24"/>
          <w:szCs w:val="24"/>
          <w:lang w:eastAsia="zh-CN"/>
        </w:rPr>
        <w:t xml:space="preserve"> A, Marcellin P. </w:t>
      </w:r>
      <w:proofErr w:type="spellStart"/>
      <w:r w:rsidRPr="00FA3392">
        <w:rPr>
          <w:rFonts w:ascii="Book Antiqua" w:eastAsia="SimSun" w:hAnsi="Book Antiqua" w:cs="SimSun"/>
          <w:color w:val="000000"/>
          <w:sz w:val="24"/>
          <w:szCs w:val="24"/>
          <w:lang w:eastAsia="zh-CN"/>
        </w:rPr>
        <w:t>Ledipasvir</w:t>
      </w:r>
      <w:proofErr w:type="spellEnd"/>
      <w:r w:rsidRPr="00FA3392">
        <w:rPr>
          <w:rFonts w:ascii="Book Antiqua" w:eastAsia="SimSun" w:hAnsi="Book Antiqua" w:cs="SimSun"/>
          <w:color w:val="000000"/>
          <w:sz w:val="24"/>
          <w:szCs w:val="24"/>
          <w:lang w:eastAsia="zh-CN"/>
        </w:rPr>
        <w:t xml:space="preserve"> and </w:t>
      </w:r>
      <w:proofErr w:type="spellStart"/>
      <w:r w:rsidRPr="00FA3392">
        <w:rPr>
          <w:rFonts w:ascii="Book Antiqua" w:eastAsia="SimSun" w:hAnsi="Book Antiqua" w:cs="SimSun"/>
          <w:color w:val="000000"/>
          <w:sz w:val="24"/>
          <w:szCs w:val="24"/>
          <w:lang w:eastAsia="zh-CN"/>
        </w:rPr>
        <w:t>sofosbuvir</w:t>
      </w:r>
      <w:proofErr w:type="spellEnd"/>
      <w:r w:rsidRPr="00FA3392">
        <w:rPr>
          <w:rFonts w:ascii="Book Antiqua" w:eastAsia="SimSun" w:hAnsi="Book Antiqua" w:cs="SimSun"/>
          <w:color w:val="000000"/>
          <w:sz w:val="24"/>
          <w:szCs w:val="24"/>
          <w:lang w:eastAsia="zh-CN"/>
        </w:rPr>
        <w:t xml:space="preserve"> for untreated HCV genotype 1 infection. </w:t>
      </w:r>
      <w:r w:rsidRPr="00FA3392">
        <w:rPr>
          <w:rFonts w:ascii="Book Antiqua" w:eastAsia="SimSun" w:hAnsi="Book Antiqua" w:cs="SimSun"/>
          <w:i/>
          <w:iCs/>
          <w:color w:val="000000"/>
          <w:sz w:val="24"/>
          <w:szCs w:val="24"/>
          <w:lang w:eastAsia="zh-CN"/>
        </w:rPr>
        <w:t xml:space="preserve">N </w:t>
      </w:r>
      <w:proofErr w:type="spellStart"/>
      <w:r w:rsidRPr="00FA3392">
        <w:rPr>
          <w:rFonts w:ascii="Book Antiqua" w:eastAsia="SimSun" w:hAnsi="Book Antiqua" w:cs="SimSun"/>
          <w:i/>
          <w:iCs/>
          <w:color w:val="000000"/>
          <w:sz w:val="24"/>
          <w:szCs w:val="24"/>
          <w:lang w:eastAsia="zh-CN"/>
        </w:rPr>
        <w:t>Engl</w:t>
      </w:r>
      <w:proofErr w:type="spellEnd"/>
      <w:r w:rsidRPr="00FA3392">
        <w:rPr>
          <w:rFonts w:ascii="Book Antiqua" w:eastAsia="SimSun" w:hAnsi="Book Antiqua" w:cs="SimSun"/>
          <w:i/>
          <w:iCs/>
          <w:color w:val="000000"/>
          <w:sz w:val="24"/>
          <w:szCs w:val="24"/>
          <w:lang w:eastAsia="zh-CN"/>
        </w:rPr>
        <w:t xml:space="preserve"> J Med</w:t>
      </w:r>
      <w:r w:rsidRPr="00FA3392">
        <w:rPr>
          <w:rFonts w:ascii="Book Antiqua" w:eastAsia="SimSun" w:hAnsi="Book Antiqua" w:cs="SimSun"/>
          <w:color w:val="000000"/>
          <w:sz w:val="24"/>
          <w:szCs w:val="24"/>
          <w:lang w:eastAsia="zh-CN"/>
        </w:rPr>
        <w:t> 2014; </w:t>
      </w:r>
      <w:r w:rsidRPr="00FA3392">
        <w:rPr>
          <w:rFonts w:ascii="Book Antiqua" w:eastAsia="SimSun" w:hAnsi="Book Antiqua" w:cs="SimSun"/>
          <w:b/>
          <w:bCs/>
          <w:color w:val="000000"/>
          <w:sz w:val="24"/>
          <w:szCs w:val="24"/>
          <w:lang w:eastAsia="zh-CN"/>
        </w:rPr>
        <w:t>370</w:t>
      </w:r>
      <w:r w:rsidRPr="00FA3392">
        <w:rPr>
          <w:rFonts w:ascii="Book Antiqua" w:eastAsia="SimSun" w:hAnsi="Book Antiqua" w:cs="SimSun"/>
          <w:color w:val="000000"/>
          <w:sz w:val="24"/>
          <w:szCs w:val="24"/>
          <w:lang w:eastAsia="zh-CN"/>
        </w:rPr>
        <w:t>: 1889-1898 [PMID: 24725239 DOI: 10.1056/NEJMoa1402454]</w:t>
      </w:r>
    </w:p>
    <w:p w:rsidR="00FA3392" w:rsidRPr="00FA3392" w:rsidRDefault="00FA3392" w:rsidP="00FA3392">
      <w:pPr>
        <w:spacing w:after="0" w:line="360" w:lineRule="auto"/>
        <w:jc w:val="both"/>
        <w:rPr>
          <w:rFonts w:ascii="Book Antiqua" w:eastAsia="SimSun" w:hAnsi="Book Antiqua" w:cs="SimSun"/>
          <w:color w:val="000000"/>
          <w:sz w:val="24"/>
          <w:szCs w:val="24"/>
          <w:lang w:eastAsia="zh-CN"/>
        </w:rPr>
      </w:pPr>
      <w:r w:rsidRPr="00FA3392">
        <w:rPr>
          <w:rFonts w:ascii="Book Antiqua" w:eastAsia="SimSun" w:hAnsi="Book Antiqua" w:cs="SimSun"/>
          <w:color w:val="000000"/>
          <w:sz w:val="24"/>
          <w:szCs w:val="24"/>
          <w:lang w:eastAsia="zh-CN"/>
        </w:rPr>
        <w:lastRenderedPageBreak/>
        <w:t>18 </w:t>
      </w:r>
      <w:proofErr w:type="spellStart"/>
      <w:r w:rsidRPr="00FA3392">
        <w:rPr>
          <w:rFonts w:ascii="Book Antiqua" w:eastAsia="SimSun" w:hAnsi="Book Antiqua" w:cs="SimSun"/>
          <w:b/>
          <w:bCs/>
          <w:color w:val="000000"/>
          <w:sz w:val="24"/>
          <w:szCs w:val="24"/>
          <w:lang w:eastAsia="zh-CN"/>
        </w:rPr>
        <w:t>Afdhal</w:t>
      </w:r>
      <w:proofErr w:type="spellEnd"/>
      <w:r w:rsidRPr="00FA3392">
        <w:rPr>
          <w:rFonts w:ascii="Book Antiqua" w:eastAsia="SimSun" w:hAnsi="Book Antiqua" w:cs="SimSun"/>
          <w:b/>
          <w:bCs/>
          <w:color w:val="000000"/>
          <w:sz w:val="24"/>
          <w:szCs w:val="24"/>
          <w:lang w:eastAsia="zh-CN"/>
        </w:rPr>
        <w:t xml:space="preserve"> N</w:t>
      </w:r>
      <w:r w:rsidRPr="00FA3392">
        <w:rPr>
          <w:rFonts w:ascii="Book Antiqua" w:eastAsia="SimSun" w:hAnsi="Book Antiqua" w:cs="SimSun"/>
          <w:color w:val="000000"/>
          <w:sz w:val="24"/>
          <w:szCs w:val="24"/>
          <w:lang w:eastAsia="zh-CN"/>
        </w:rPr>
        <w:t xml:space="preserve">, Reddy KR, Nelson DR, </w:t>
      </w:r>
      <w:proofErr w:type="spellStart"/>
      <w:r w:rsidRPr="00FA3392">
        <w:rPr>
          <w:rFonts w:ascii="Book Antiqua" w:eastAsia="SimSun" w:hAnsi="Book Antiqua" w:cs="SimSun"/>
          <w:color w:val="000000"/>
          <w:sz w:val="24"/>
          <w:szCs w:val="24"/>
          <w:lang w:eastAsia="zh-CN"/>
        </w:rPr>
        <w:t>Lawitz</w:t>
      </w:r>
      <w:proofErr w:type="spellEnd"/>
      <w:r w:rsidRPr="00FA3392">
        <w:rPr>
          <w:rFonts w:ascii="Book Antiqua" w:eastAsia="SimSun" w:hAnsi="Book Antiqua" w:cs="SimSun"/>
          <w:color w:val="000000"/>
          <w:sz w:val="24"/>
          <w:szCs w:val="24"/>
          <w:lang w:eastAsia="zh-CN"/>
        </w:rPr>
        <w:t xml:space="preserve"> E, Gordon SC, Schiff E, Nahass R, </w:t>
      </w:r>
      <w:proofErr w:type="spellStart"/>
      <w:r w:rsidRPr="00FA3392">
        <w:rPr>
          <w:rFonts w:ascii="Book Antiqua" w:eastAsia="SimSun" w:hAnsi="Book Antiqua" w:cs="SimSun"/>
          <w:color w:val="000000"/>
          <w:sz w:val="24"/>
          <w:szCs w:val="24"/>
          <w:lang w:eastAsia="zh-CN"/>
        </w:rPr>
        <w:t>Ghalib</w:t>
      </w:r>
      <w:proofErr w:type="spellEnd"/>
      <w:r w:rsidRPr="00FA3392">
        <w:rPr>
          <w:rFonts w:ascii="Book Antiqua" w:eastAsia="SimSun" w:hAnsi="Book Antiqua" w:cs="SimSun"/>
          <w:color w:val="000000"/>
          <w:sz w:val="24"/>
          <w:szCs w:val="24"/>
          <w:lang w:eastAsia="zh-CN"/>
        </w:rPr>
        <w:t xml:space="preserve"> R, </w:t>
      </w:r>
      <w:proofErr w:type="spellStart"/>
      <w:r w:rsidRPr="00FA3392">
        <w:rPr>
          <w:rFonts w:ascii="Book Antiqua" w:eastAsia="SimSun" w:hAnsi="Book Antiqua" w:cs="SimSun"/>
          <w:color w:val="000000"/>
          <w:sz w:val="24"/>
          <w:szCs w:val="24"/>
          <w:lang w:eastAsia="zh-CN"/>
        </w:rPr>
        <w:t>Gitlin</w:t>
      </w:r>
      <w:proofErr w:type="spellEnd"/>
      <w:r w:rsidRPr="00FA3392">
        <w:rPr>
          <w:rFonts w:ascii="Book Antiqua" w:eastAsia="SimSun" w:hAnsi="Book Antiqua" w:cs="SimSun"/>
          <w:color w:val="000000"/>
          <w:sz w:val="24"/>
          <w:szCs w:val="24"/>
          <w:lang w:eastAsia="zh-CN"/>
        </w:rPr>
        <w:t xml:space="preserve"> N, Herring R, </w:t>
      </w:r>
      <w:proofErr w:type="spellStart"/>
      <w:r w:rsidRPr="00FA3392">
        <w:rPr>
          <w:rFonts w:ascii="Book Antiqua" w:eastAsia="SimSun" w:hAnsi="Book Antiqua" w:cs="SimSun"/>
          <w:color w:val="000000"/>
          <w:sz w:val="24"/>
          <w:szCs w:val="24"/>
          <w:lang w:eastAsia="zh-CN"/>
        </w:rPr>
        <w:t>Lalezari</w:t>
      </w:r>
      <w:proofErr w:type="spellEnd"/>
      <w:r w:rsidRPr="00FA3392">
        <w:rPr>
          <w:rFonts w:ascii="Book Antiqua" w:eastAsia="SimSun" w:hAnsi="Book Antiqua" w:cs="SimSun"/>
          <w:color w:val="000000"/>
          <w:sz w:val="24"/>
          <w:szCs w:val="24"/>
          <w:lang w:eastAsia="zh-CN"/>
        </w:rPr>
        <w:t xml:space="preserve"> J, </w:t>
      </w:r>
      <w:proofErr w:type="spellStart"/>
      <w:r w:rsidRPr="00FA3392">
        <w:rPr>
          <w:rFonts w:ascii="Book Antiqua" w:eastAsia="SimSun" w:hAnsi="Book Antiqua" w:cs="SimSun"/>
          <w:color w:val="000000"/>
          <w:sz w:val="24"/>
          <w:szCs w:val="24"/>
          <w:lang w:eastAsia="zh-CN"/>
        </w:rPr>
        <w:t>Younes</w:t>
      </w:r>
      <w:proofErr w:type="spellEnd"/>
      <w:r w:rsidRPr="00FA3392">
        <w:rPr>
          <w:rFonts w:ascii="Book Antiqua" w:eastAsia="SimSun" w:hAnsi="Book Antiqua" w:cs="SimSun"/>
          <w:color w:val="000000"/>
          <w:sz w:val="24"/>
          <w:szCs w:val="24"/>
          <w:lang w:eastAsia="zh-CN"/>
        </w:rPr>
        <w:t xml:space="preserve"> ZH, </w:t>
      </w:r>
      <w:proofErr w:type="spellStart"/>
      <w:r w:rsidRPr="00FA3392">
        <w:rPr>
          <w:rFonts w:ascii="Book Antiqua" w:eastAsia="SimSun" w:hAnsi="Book Antiqua" w:cs="SimSun"/>
          <w:color w:val="000000"/>
          <w:sz w:val="24"/>
          <w:szCs w:val="24"/>
          <w:lang w:eastAsia="zh-CN"/>
        </w:rPr>
        <w:t>Pockros</w:t>
      </w:r>
      <w:proofErr w:type="spellEnd"/>
      <w:r w:rsidRPr="00FA3392">
        <w:rPr>
          <w:rFonts w:ascii="Book Antiqua" w:eastAsia="SimSun" w:hAnsi="Book Antiqua" w:cs="SimSun"/>
          <w:color w:val="000000"/>
          <w:sz w:val="24"/>
          <w:szCs w:val="24"/>
          <w:lang w:eastAsia="zh-CN"/>
        </w:rPr>
        <w:t xml:space="preserve"> PJ, Di </w:t>
      </w:r>
      <w:proofErr w:type="spellStart"/>
      <w:r w:rsidRPr="00FA3392">
        <w:rPr>
          <w:rFonts w:ascii="Book Antiqua" w:eastAsia="SimSun" w:hAnsi="Book Antiqua" w:cs="SimSun"/>
          <w:color w:val="000000"/>
          <w:sz w:val="24"/>
          <w:szCs w:val="24"/>
          <w:lang w:eastAsia="zh-CN"/>
        </w:rPr>
        <w:t>Bisceglie</w:t>
      </w:r>
      <w:proofErr w:type="spellEnd"/>
      <w:r w:rsidRPr="00FA3392">
        <w:rPr>
          <w:rFonts w:ascii="Book Antiqua" w:eastAsia="SimSun" w:hAnsi="Book Antiqua" w:cs="SimSun"/>
          <w:color w:val="000000"/>
          <w:sz w:val="24"/>
          <w:szCs w:val="24"/>
          <w:lang w:eastAsia="zh-CN"/>
        </w:rPr>
        <w:t xml:space="preserve"> AM, Arora S, Subramanian GM, Zhu Y, </w:t>
      </w:r>
      <w:proofErr w:type="spellStart"/>
      <w:r w:rsidRPr="00FA3392">
        <w:rPr>
          <w:rFonts w:ascii="Book Antiqua" w:eastAsia="SimSun" w:hAnsi="Book Antiqua" w:cs="SimSun"/>
          <w:color w:val="000000"/>
          <w:sz w:val="24"/>
          <w:szCs w:val="24"/>
          <w:lang w:eastAsia="zh-CN"/>
        </w:rPr>
        <w:t>Dvory-Sobol</w:t>
      </w:r>
      <w:proofErr w:type="spellEnd"/>
      <w:r w:rsidRPr="00FA3392">
        <w:rPr>
          <w:rFonts w:ascii="Book Antiqua" w:eastAsia="SimSun" w:hAnsi="Book Antiqua" w:cs="SimSun"/>
          <w:color w:val="000000"/>
          <w:sz w:val="24"/>
          <w:szCs w:val="24"/>
          <w:lang w:eastAsia="zh-CN"/>
        </w:rPr>
        <w:t xml:space="preserve"> H, Yang JC, Pang PS, Symonds WT, </w:t>
      </w:r>
      <w:proofErr w:type="spellStart"/>
      <w:r w:rsidRPr="00FA3392">
        <w:rPr>
          <w:rFonts w:ascii="Book Antiqua" w:eastAsia="SimSun" w:hAnsi="Book Antiqua" w:cs="SimSun"/>
          <w:color w:val="000000"/>
          <w:sz w:val="24"/>
          <w:szCs w:val="24"/>
          <w:lang w:eastAsia="zh-CN"/>
        </w:rPr>
        <w:t>McHutchison</w:t>
      </w:r>
      <w:proofErr w:type="spellEnd"/>
      <w:r w:rsidRPr="00FA3392">
        <w:rPr>
          <w:rFonts w:ascii="Book Antiqua" w:eastAsia="SimSun" w:hAnsi="Book Antiqua" w:cs="SimSun"/>
          <w:color w:val="000000"/>
          <w:sz w:val="24"/>
          <w:szCs w:val="24"/>
          <w:lang w:eastAsia="zh-CN"/>
        </w:rPr>
        <w:t xml:space="preserve"> JG, Muir AJ, </w:t>
      </w:r>
      <w:proofErr w:type="spellStart"/>
      <w:r w:rsidRPr="00FA3392">
        <w:rPr>
          <w:rFonts w:ascii="Book Antiqua" w:eastAsia="SimSun" w:hAnsi="Book Antiqua" w:cs="SimSun"/>
          <w:color w:val="000000"/>
          <w:sz w:val="24"/>
          <w:szCs w:val="24"/>
          <w:lang w:eastAsia="zh-CN"/>
        </w:rPr>
        <w:t>Sulkowski</w:t>
      </w:r>
      <w:proofErr w:type="spellEnd"/>
      <w:r w:rsidRPr="00FA3392">
        <w:rPr>
          <w:rFonts w:ascii="Book Antiqua" w:eastAsia="SimSun" w:hAnsi="Book Antiqua" w:cs="SimSun"/>
          <w:color w:val="000000"/>
          <w:sz w:val="24"/>
          <w:szCs w:val="24"/>
          <w:lang w:eastAsia="zh-CN"/>
        </w:rPr>
        <w:t xml:space="preserve"> M, </w:t>
      </w:r>
      <w:proofErr w:type="spellStart"/>
      <w:r w:rsidRPr="00FA3392">
        <w:rPr>
          <w:rFonts w:ascii="Book Antiqua" w:eastAsia="SimSun" w:hAnsi="Book Antiqua" w:cs="SimSun"/>
          <w:color w:val="000000"/>
          <w:sz w:val="24"/>
          <w:szCs w:val="24"/>
          <w:lang w:eastAsia="zh-CN"/>
        </w:rPr>
        <w:t>Kwo</w:t>
      </w:r>
      <w:proofErr w:type="spellEnd"/>
      <w:r w:rsidRPr="00FA3392">
        <w:rPr>
          <w:rFonts w:ascii="Book Antiqua" w:eastAsia="SimSun" w:hAnsi="Book Antiqua" w:cs="SimSun"/>
          <w:color w:val="000000"/>
          <w:sz w:val="24"/>
          <w:szCs w:val="24"/>
          <w:lang w:eastAsia="zh-CN"/>
        </w:rPr>
        <w:t xml:space="preserve"> P. </w:t>
      </w:r>
      <w:proofErr w:type="spellStart"/>
      <w:r w:rsidRPr="00FA3392">
        <w:rPr>
          <w:rFonts w:ascii="Book Antiqua" w:eastAsia="SimSun" w:hAnsi="Book Antiqua" w:cs="SimSun"/>
          <w:color w:val="000000"/>
          <w:sz w:val="24"/>
          <w:szCs w:val="24"/>
          <w:lang w:eastAsia="zh-CN"/>
        </w:rPr>
        <w:t>Ledipasvir</w:t>
      </w:r>
      <w:proofErr w:type="spellEnd"/>
      <w:r w:rsidRPr="00FA3392">
        <w:rPr>
          <w:rFonts w:ascii="Book Antiqua" w:eastAsia="SimSun" w:hAnsi="Book Antiqua" w:cs="SimSun"/>
          <w:color w:val="000000"/>
          <w:sz w:val="24"/>
          <w:szCs w:val="24"/>
          <w:lang w:eastAsia="zh-CN"/>
        </w:rPr>
        <w:t xml:space="preserve"> and </w:t>
      </w:r>
      <w:proofErr w:type="spellStart"/>
      <w:r w:rsidRPr="00FA3392">
        <w:rPr>
          <w:rFonts w:ascii="Book Antiqua" w:eastAsia="SimSun" w:hAnsi="Book Antiqua" w:cs="SimSun"/>
          <w:color w:val="000000"/>
          <w:sz w:val="24"/>
          <w:szCs w:val="24"/>
          <w:lang w:eastAsia="zh-CN"/>
        </w:rPr>
        <w:t>sofosbuvir</w:t>
      </w:r>
      <w:proofErr w:type="spellEnd"/>
      <w:r w:rsidRPr="00FA3392">
        <w:rPr>
          <w:rFonts w:ascii="Book Antiqua" w:eastAsia="SimSun" w:hAnsi="Book Antiqua" w:cs="SimSun"/>
          <w:color w:val="000000"/>
          <w:sz w:val="24"/>
          <w:szCs w:val="24"/>
          <w:lang w:eastAsia="zh-CN"/>
        </w:rPr>
        <w:t xml:space="preserve"> for previously treated HCV genotype 1 infection. </w:t>
      </w:r>
      <w:r w:rsidRPr="00FA3392">
        <w:rPr>
          <w:rFonts w:ascii="Book Antiqua" w:eastAsia="SimSun" w:hAnsi="Book Antiqua" w:cs="SimSun"/>
          <w:i/>
          <w:iCs/>
          <w:color w:val="000000"/>
          <w:sz w:val="24"/>
          <w:szCs w:val="24"/>
          <w:lang w:eastAsia="zh-CN"/>
        </w:rPr>
        <w:t xml:space="preserve">N </w:t>
      </w:r>
      <w:proofErr w:type="spellStart"/>
      <w:r w:rsidRPr="00FA3392">
        <w:rPr>
          <w:rFonts w:ascii="Book Antiqua" w:eastAsia="SimSun" w:hAnsi="Book Antiqua" w:cs="SimSun"/>
          <w:i/>
          <w:iCs/>
          <w:color w:val="000000"/>
          <w:sz w:val="24"/>
          <w:szCs w:val="24"/>
          <w:lang w:eastAsia="zh-CN"/>
        </w:rPr>
        <w:t>Engl</w:t>
      </w:r>
      <w:proofErr w:type="spellEnd"/>
      <w:r w:rsidRPr="00FA3392">
        <w:rPr>
          <w:rFonts w:ascii="Book Antiqua" w:eastAsia="SimSun" w:hAnsi="Book Antiqua" w:cs="SimSun"/>
          <w:i/>
          <w:iCs/>
          <w:color w:val="000000"/>
          <w:sz w:val="24"/>
          <w:szCs w:val="24"/>
          <w:lang w:eastAsia="zh-CN"/>
        </w:rPr>
        <w:t xml:space="preserve"> J Med</w:t>
      </w:r>
      <w:r w:rsidRPr="00FA3392">
        <w:rPr>
          <w:rFonts w:ascii="Book Antiqua" w:eastAsia="SimSun" w:hAnsi="Book Antiqua" w:cs="SimSun"/>
          <w:color w:val="000000"/>
          <w:sz w:val="24"/>
          <w:szCs w:val="24"/>
          <w:lang w:eastAsia="zh-CN"/>
        </w:rPr>
        <w:t> 2014; </w:t>
      </w:r>
      <w:r w:rsidRPr="00FA3392">
        <w:rPr>
          <w:rFonts w:ascii="Book Antiqua" w:eastAsia="SimSun" w:hAnsi="Book Antiqua" w:cs="SimSun"/>
          <w:b/>
          <w:bCs/>
          <w:color w:val="000000"/>
          <w:sz w:val="24"/>
          <w:szCs w:val="24"/>
          <w:lang w:eastAsia="zh-CN"/>
        </w:rPr>
        <w:t>370</w:t>
      </w:r>
      <w:r w:rsidRPr="00FA3392">
        <w:rPr>
          <w:rFonts w:ascii="Book Antiqua" w:eastAsia="SimSun" w:hAnsi="Book Antiqua" w:cs="SimSun"/>
          <w:color w:val="000000"/>
          <w:sz w:val="24"/>
          <w:szCs w:val="24"/>
          <w:lang w:eastAsia="zh-CN"/>
        </w:rPr>
        <w:t>: 1483-1493 [PMID: 24725238 DOI: 10.1056/NEJMoa1316366]</w:t>
      </w:r>
    </w:p>
    <w:p w:rsidR="00FA3392" w:rsidRPr="00FA3392" w:rsidRDefault="00FA3392" w:rsidP="00FA3392">
      <w:pPr>
        <w:spacing w:after="0" w:line="360" w:lineRule="auto"/>
        <w:jc w:val="both"/>
        <w:rPr>
          <w:rFonts w:ascii="Book Antiqua" w:eastAsia="SimSun" w:hAnsi="Book Antiqua" w:cs="SimSun"/>
          <w:color w:val="000000"/>
          <w:sz w:val="24"/>
          <w:szCs w:val="24"/>
          <w:lang w:eastAsia="zh-CN"/>
        </w:rPr>
      </w:pPr>
      <w:r w:rsidRPr="00FA3392">
        <w:rPr>
          <w:rFonts w:ascii="Book Antiqua" w:eastAsia="SimSun" w:hAnsi="Book Antiqua" w:cs="SimSun"/>
          <w:color w:val="000000"/>
          <w:sz w:val="24"/>
          <w:szCs w:val="24"/>
          <w:lang w:eastAsia="zh-CN"/>
        </w:rPr>
        <w:t>19 </w:t>
      </w:r>
      <w:proofErr w:type="spellStart"/>
      <w:r w:rsidRPr="00FA3392">
        <w:rPr>
          <w:rFonts w:ascii="Book Antiqua" w:eastAsia="SimSun" w:hAnsi="Book Antiqua" w:cs="SimSun"/>
          <w:b/>
          <w:bCs/>
          <w:color w:val="000000"/>
          <w:sz w:val="24"/>
          <w:szCs w:val="24"/>
          <w:lang w:eastAsia="zh-CN"/>
        </w:rPr>
        <w:t>Kowdley</w:t>
      </w:r>
      <w:proofErr w:type="spellEnd"/>
      <w:r w:rsidRPr="00FA3392">
        <w:rPr>
          <w:rFonts w:ascii="Book Antiqua" w:eastAsia="SimSun" w:hAnsi="Book Antiqua" w:cs="SimSun"/>
          <w:b/>
          <w:bCs/>
          <w:color w:val="000000"/>
          <w:sz w:val="24"/>
          <w:szCs w:val="24"/>
          <w:lang w:eastAsia="zh-CN"/>
        </w:rPr>
        <w:t xml:space="preserve"> KV</w:t>
      </w:r>
      <w:r w:rsidRPr="00FA3392">
        <w:rPr>
          <w:rFonts w:ascii="Book Antiqua" w:eastAsia="SimSun" w:hAnsi="Book Antiqua" w:cs="SimSun"/>
          <w:color w:val="000000"/>
          <w:sz w:val="24"/>
          <w:szCs w:val="24"/>
          <w:lang w:eastAsia="zh-CN"/>
        </w:rPr>
        <w:t xml:space="preserve">, Gordon SC, Reddy KR, </w:t>
      </w:r>
      <w:proofErr w:type="spellStart"/>
      <w:r w:rsidRPr="00FA3392">
        <w:rPr>
          <w:rFonts w:ascii="Book Antiqua" w:eastAsia="SimSun" w:hAnsi="Book Antiqua" w:cs="SimSun"/>
          <w:color w:val="000000"/>
          <w:sz w:val="24"/>
          <w:szCs w:val="24"/>
          <w:lang w:eastAsia="zh-CN"/>
        </w:rPr>
        <w:t>Rossaro</w:t>
      </w:r>
      <w:proofErr w:type="spellEnd"/>
      <w:r w:rsidRPr="00FA3392">
        <w:rPr>
          <w:rFonts w:ascii="Book Antiqua" w:eastAsia="SimSun" w:hAnsi="Book Antiqua" w:cs="SimSun"/>
          <w:color w:val="000000"/>
          <w:sz w:val="24"/>
          <w:szCs w:val="24"/>
          <w:lang w:eastAsia="zh-CN"/>
        </w:rPr>
        <w:t xml:space="preserve"> L, Bernstein DE, </w:t>
      </w:r>
      <w:proofErr w:type="spellStart"/>
      <w:r w:rsidRPr="00FA3392">
        <w:rPr>
          <w:rFonts w:ascii="Book Antiqua" w:eastAsia="SimSun" w:hAnsi="Book Antiqua" w:cs="SimSun"/>
          <w:color w:val="000000"/>
          <w:sz w:val="24"/>
          <w:szCs w:val="24"/>
          <w:lang w:eastAsia="zh-CN"/>
        </w:rPr>
        <w:t>Lawitz</w:t>
      </w:r>
      <w:proofErr w:type="spellEnd"/>
      <w:r w:rsidRPr="00FA3392">
        <w:rPr>
          <w:rFonts w:ascii="Book Antiqua" w:eastAsia="SimSun" w:hAnsi="Book Antiqua" w:cs="SimSun"/>
          <w:color w:val="000000"/>
          <w:sz w:val="24"/>
          <w:szCs w:val="24"/>
          <w:lang w:eastAsia="zh-CN"/>
        </w:rPr>
        <w:t xml:space="preserve"> E, </w:t>
      </w:r>
      <w:proofErr w:type="spellStart"/>
      <w:r w:rsidRPr="00FA3392">
        <w:rPr>
          <w:rFonts w:ascii="Book Antiqua" w:eastAsia="SimSun" w:hAnsi="Book Antiqua" w:cs="SimSun"/>
          <w:color w:val="000000"/>
          <w:sz w:val="24"/>
          <w:szCs w:val="24"/>
          <w:lang w:eastAsia="zh-CN"/>
        </w:rPr>
        <w:t>Shiffman</w:t>
      </w:r>
      <w:proofErr w:type="spellEnd"/>
      <w:r w:rsidRPr="00FA3392">
        <w:rPr>
          <w:rFonts w:ascii="Book Antiqua" w:eastAsia="SimSun" w:hAnsi="Book Antiqua" w:cs="SimSun"/>
          <w:color w:val="000000"/>
          <w:sz w:val="24"/>
          <w:szCs w:val="24"/>
          <w:lang w:eastAsia="zh-CN"/>
        </w:rPr>
        <w:t xml:space="preserve"> ML, Schiff E, </w:t>
      </w:r>
      <w:proofErr w:type="spellStart"/>
      <w:r w:rsidRPr="00FA3392">
        <w:rPr>
          <w:rFonts w:ascii="Book Antiqua" w:eastAsia="SimSun" w:hAnsi="Book Antiqua" w:cs="SimSun"/>
          <w:color w:val="000000"/>
          <w:sz w:val="24"/>
          <w:szCs w:val="24"/>
          <w:lang w:eastAsia="zh-CN"/>
        </w:rPr>
        <w:t>Ghalib</w:t>
      </w:r>
      <w:proofErr w:type="spellEnd"/>
      <w:r w:rsidRPr="00FA3392">
        <w:rPr>
          <w:rFonts w:ascii="Book Antiqua" w:eastAsia="SimSun" w:hAnsi="Book Antiqua" w:cs="SimSun"/>
          <w:color w:val="000000"/>
          <w:sz w:val="24"/>
          <w:szCs w:val="24"/>
          <w:lang w:eastAsia="zh-CN"/>
        </w:rPr>
        <w:t xml:space="preserve"> R, Ryan M, </w:t>
      </w:r>
      <w:proofErr w:type="spellStart"/>
      <w:r w:rsidRPr="00FA3392">
        <w:rPr>
          <w:rFonts w:ascii="Book Antiqua" w:eastAsia="SimSun" w:hAnsi="Book Antiqua" w:cs="SimSun"/>
          <w:color w:val="000000"/>
          <w:sz w:val="24"/>
          <w:szCs w:val="24"/>
          <w:lang w:eastAsia="zh-CN"/>
        </w:rPr>
        <w:t>Rustgi</w:t>
      </w:r>
      <w:proofErr w:type="spellEnd"/>
      <w:r w:rsidRPr="00FA3392">
        <w:rPr>
          <w:rFonts w:ascii="Book Antiqua" w:eastAsia="SimSun" w:hAnsi="Book Antiqua" w:cs="SimSun"/>
          <w:color w:val="000000"/>
          <w:sz w:val="24"/>
          <w:szCs w:val="24"/>
          <w:lang w:eastAsia="zh-CN"/>
        </w:rPr>
        <w:t xml:space="preserve"> V, </w:t>
      </w:r>
      <w:proofErr w:type="spellStart"/>
      <w:r w:rsidRPr="00FA3392">
        <w:rPr>
          <w:rFonts w:ascii="Book Antiqua" w:eastAsia="SimSun" w:hAnsi="Book Antiqua" w:cs="SimSun"/>
          <w:color w:val="000000"/>
          <w:sz w:val="24"/>
          <w:szCs w:val="24"/>
          <w:lang w:eastAsia="zh-CN"/>
        </w:rPr>
        <w:t>Chojkier</w:t>
      </w:r>
      <w:proofErr w:type="spellEnd"/>
      <w:r w:rsidRPr="00FA3392">
        <w:rPr>
          <w:rFonts w:ascii="Book Antiqua" w:eastAsia="SimSun" w:hAnsi="Book Antiqua" w:cs="SimSun"/>
          <w:color w:val="000000"/>
          <w:sz w:val="24"/>
          <w:szCs w:val="24"/>
          <w:lang w:eastAsia="zh-CN"/>
        </w:rPr>
        <w:t xml:space="preserve"> M, Herring R, Di </w:t>
      </w:r>
      <w:proofErr w:type="spellStart"/>
      <w:r w:rsidRPr="00FA3392">
        <w:rPr>
          <w:rFonts w:ascii="Book Antiqua" w:eastAsia="SimSun" w:hAnsi="Book Antiqua" w:cs="SimSun"/>
          <w:color w:val="000000"/>
          <w:sz w:val="24"/>
          <w:szCs w:val="24"/>
          <w:lang w:eastAsia="zh-CN"/>
        </w:rPr>
        <w:t>Bisceglie</w:t>
      </w:r>
      <w:proofErr w:type="spellEnd"/>
      <w:r w:rsidRPr="00FA3392">
        <w:rPr>
          <w:rFonts w:ascii="Book Antiqua" w:eastAsia="SimSun" w:hAnsi="Book Antiqua" w:cs="SimSun"/>
          <w:color w:val="000000"/>
          <w:sz w:val="24"/>
          <w:szCs w:val="24"/>
          <w:lang w:eastAsia="zh-CN"/>
        </w:rPr>
        <w:t xml:space="preserve"> AM, </w:t>
      </w:r>
      <w:proofErr w:type="spellStart"/>
      <w:r w:rsidRPr="00FA3392">
        <w:rPr>
          <w:rFonts w:ascii="Book Antiqua" w:eastAsia="SimSun" w:hAnsi="Book Antiqua" w:cs="SimSun"/>
          <w:color w:val="000000"/>
          <w:sz w:val="24"/>
          <w:szCs w:val="24"/>
          <w:lang w:eastAsia="zh-CN"/>
        </w:rPr>
        <w:t>Pockros</w:t>
      </w:r>
      <w:proofErr w:type="spellEnd"/>
      <w:r w:rsidRPr="00FA3392">
        <w:rPr>
          <w:rFonts w:ascii="Book Antiqua" w:eastAsia="SimSun" w:hAnsi="Book Antiqua" w:cs="SimSun"/>
          <w:color w:val="000000"/>
          <w:sz w:val="24"/>
          <w:szCs w:val="24"/>
          <w:lang w:eastAsia="zh-CN"/>
        </w:rPr>
        <w:t xml:space="preserve"> PJ, Subramanian GM, An D, </w:t>
      </w:r>
      <w:proofErr w:type="spellStart"/>
      <w:r w:rsidRPr="00FA3392">
        <w:rPr>
          <w:rFonts w:ascii="Book Antiqua" w:eastAsia="SimSun" w:hAnsi="Book Antiqua" w:cs="SimSun"/>
          <w:color w:val="000000"/>
          <w:sz w:val="24"/>
          <w:szCs w:val="24"/>
          <w:lang w:eastAsia="zh-CN"/>
        </w:rPr>
        <w:t>Svarovskaia</w:t>
      </w:r>
      <w:proofErr w:type="spellEnd"/>
      <w:r w:rsidRPr="00FA3392">
        <w:rPr>
          <w:rFonts w:ascii="Book Antiqua" w:eastAsia="SimSun" w:hAnsi="Book Antiqua" w:cs="SimSun"/>
          <w:color w:val="000000"/>
          <w:sz w:val="24"/>
          <w:szCs w:val="24"/>
          <w:lang w:eastAsia="zh-CN"/>
        </w:rPr>
        <w:t xml:space="preserve"> E, Hyland RH, Pang PS, Symonds WT, </w:t>
      </w:r>
      <w:proofErr w:type="spellStart"/>
      <w:r w:rsidRPr="00FA3392">
        <w:rPr>
          <w:rFonts w:ascii="Book Antiqua" w:eastAsia="SimSun" w:hAnsi="Book Antiqua" w:cs="SimSun"/>
          <w:color w:val="000000"/>
          <w:sz w:val="24"/>
          <w:szCs w:val="24"/>
          <w:lang w:eastAsia="zh-CN"/>
        </w:rPr>
        <w:t>McHutchison</w:t>
      </w:r>
      <w:proofErr w:type="spellEnd"/>
      <w:r w:rsidRPr="00FA3392">
        <w:rPr>
          <w:rFonts w:ascii="Book Antiqua" w:eastAsia="SimSun" w:hAnsi="Book Antiqua" w:cs="SimSun"/>
          <w:color w:val="000000"/>
          <w:sz w:val="24"/>
          <w:szCs w:val="24"/>
          <w:lang w:eastAsia="zh-CN"/>
        </w:rPr>
        <w:t xml:space="preserve"> JG, Muir AJ, Pound D, Fried MW. </w:t>
      </w:r>
      <w:proofErr w:type="spellStart"/>
      <w:r w:rsidRPr="00FA3392">
        <w:rPr>
          <w:rFonts w:ascii="Book Antiqua" w:eastAsia="SimSun" w:hAnsi="Book Antiqua" w:cs="SimSun"/>
          <w:color w:val="000000"/>
          <w:sz w:val="24"/>
          <w:szCs w:val="24"/>
          <w:lang w:eastAsia="zh-CN"/>
        </w:rPr>
        <w:t>Ledipasvir</w:t>
      </w:r>
      <w:proofErr w:type="spellEnd"/>
      <w:r w:rsidRPr="00FA3392">
        <w:rPr>
          <w:rFonts w:ascii="Book Antiqua" w:eastAsia="SimSun" w:hAnsi="Book Antiqua" w:cs="SimSun"/>
          <w:color w:val="000000"/>
          <w:sz w:val="24"/>
          <w:szCs w:val="24"/>
          <w:lang w:eastAsia="zh-CN"/>
        </w:rPr>
        <w:t xml:space="preserve"> and </w:t>
      </w:r>
      <w:proofErr w:type="spellStart"/>
      <w:r w:rsidRPr="00FA3392">
        <w:rPr>
          <w:rFonts w:ascii="Book Antiqua" w:eastAsia="SimSun" w:hAnsi="Book Antiqua" w:cs="SimSun"/>
          <w:color w:val="000000"/>
          <w:sz w:val="24"/>
          <w:szCs w:val="24"/>
          <w:lang w:eastAsia="zh-CN"/>
        </w:rPr>
        <w:t>sofosbuvir</w:t>
      </w:r>
      <w:proofErr w:type="spellEnd"/>
      <w:r w:rsidRPr="00FA3392">
        <w:rPr>
          <w:rFonts w:ascii="Book Antiqua" w:eastAsia="SimSun" w:hAnsi="Book Antiqua" w:cs="SimSun"/>
          <w:color w:val="000000"/>
          <w:sz w:val="24"/>
          <w:szCs w:val="24"/>
          <w:lang w:eastAsia="zh-CN"/>
        </w:rPr>
        <w:t xml:space="preserve"> for 8 or 12 weeks for chronic HCV without cirrhosis. </w:t>
      </w:r>
      <w:r w:rsidRPr="00FA3392">
        <w:rPr>
          <w:rFonts w:ascii="Book Antiqua" w:eastAsia="SimSun" w:hAnsi="Book Antiqua" w:cs="SimSun"/>
          <w:i/>
          <w:iCs/>
          <w:color w:val="000000"/>
          <w:sz w:val="24"/>
          <w:szCs w:val="24"/>
          <w:lang w:eastAsia="zh-CN"/>
        </w:rPr>
        <w:t xml:space="preserve">N </w:t>
      </w:r>
      <w:proofErr w:type="spellStart"/>
      <w:r w:rsidRPr="00FA3392">
        <w:rPr>
          <w:rFonts w:ascii="Book Antiqua" w:eastAsia="SimSun" w:hAnsi="Book Antiqua" w:cs="SimSun"/>
          <w:i/>
          <w:iCs/>
          <w:color w:val="000000"/>
          <w:sz w:val="24"/>
          <w:szCs w:val="24"/>
          <w:lang w:eastAsia="zh-CN"/>
        </w:rPr>
        <w:t>Engl</w:t>
      </w:r>
      <w:proofErr w:type="spellEnd"/>
      <w:r w:rsidRPr="00FA3392">
        <w:rPr>
          <w:rFonts w:ascii="Book Antiqua" w:eastAsia="SimSun" w:hAnsi="Book Antiqua" w:cs="SimSun"/>
          <w:i/>
          <w:iCs/>
          <w:color w:val="000000"/>
          <w:sz w:val="24"/>
          <w:szCs w:val="24"/>
          <w:lang w:eastAsia="zh-CN"/>
        </w:rPr>
        <w:t xml:space="preserve"> J Med</w:t>
      </w:r>
      <w:r w:rsidRPr="00FA3392">
        <w:rPr>
          <w:rFonts w:ascii="Book Antiqua" w:eastAsia="SimSun" w:hAnsi="Book Antiqua" w:cs="SimSun"/>
          <w:color w:val="000000"/>
          <w:sz w:val="24"/>
          <w:szCs w:val="24"/>
          <w:lang w:eastAsia="zh-CN"/>
        </w:rPr>
        <w:t> 2014; </w:t>
      </w:r>
      <w:r w:rsidRPr="00FA3392">
        <w:rPr>
          <w:rFonts w:ascii="Book Antiqua" w:eastAsia="SimSun" w:hAnsi="Book Antiqua" w:cs="SimSun"/>
          <w:b/>
          <w:bCs/>
          <w:color w:val="000000"/>
          <w:sz w:val="24"/>
          <w:szCs w:val="24"/>
          <w:lang w:eastAsia="zh-CN"/>
        </w:rPr>
        <w:t>370</w:t>
      </w:r>
      <w:r w:rsidRPr="00FA3392">
        <w:rPr>
          <w:rFonts w:ascii="Book Antiqua" w:eastAsia="SimSun" w:hAnsi="Book Antiqua" w:cs="SimSun"/>
          <w:color w:val="000000"/>
          <w:sz w:val="24"/>
          <w:szCs w:val="24"/>
          <w:lang w:eastAsia="zh-CN"/>
        </w:rPr>
        <w:t>: 1879-1888 [PMID: 24720702 DOI: 10.1056/NEJMoa1402355]</w:t>
      </w:r>
    </w:p>
    <w:p w:rsidR="00FA3392" w:rsidRPr="00FA3392" w:rsidRDefault="00FA3392" w:rsidP="00FA3392">
      <w:pPr>
        <w:spacing w:after="0" w:line="360" w:lineRule="auto"/>
        <w:jc w:val="both"/>
        <w:rPr>
          <w:rFonts w:ascii="Book Antiqua" w:eastAsia="SimSun" w:hAnsi="Book Antiqua" w:cs="SimSun"/>
          <w:color w:val="000000"/>
          <w:sz w:val="24"/>
          <w:szCs w:val="24"/>
          <w:lang w:eastAsia="zh-CN"/>
        </w:rPr>
      </w:pPr>
      <w:r w:rsidRPr="00FA3392">
        <w:rPr>
          <w:rFonts w:ascii="Book Antiqua" w:eastAsia="SimSun" w:hAnsi="Book Antiqua" w:cs="SimSun"/>
          <w:color w:val="000000"/>
          <w:sz w:val="24"/>
          <w:szCs w:val="24"/>
          <w:lang w:eastAsia="zh-CN"/>
        </w:rPr>
        <w:t>20 </w:t>
      </w:r>
      <w:proofErr w:type="spellStart"/>
      <w:r w:rsidRPr="00FA3392">
        <w:rPr>
          <w:rFonts w:ascii="Book Antiqua" w:eastAsia="SimSun" w:hAnsi="Book Antiqua" w:cs="SimSun"/>
          <w:b/>
          <w:bCs/>
          <w:color w:val="000000"/>
          <w:sz w:val="24"/>
          <w:szCs w:val="24"/>
          <w:lang w:eastAsia="zh-CN"/>
        </w:rPr>
        <w:t>Chhatwal</w:t>
      </w:r>
      <w:proofErr w:type="spellEnd"/>
      <w:r w:rsidRPr="00FA3392">
        <w:rPr>
          <w:rFonts w:ascii="Book Antiqua" w:eastAsia="SimSun" w:hAnsi="Book Antiqua" w:cs="SimSun"/>
          <w:b/>
          <w:bCs/>
          <w:color w:val="000000"/>
          <w:sz w:val="24"/>
          <w:szCs w:val="24"/>
          <w:lang w:eastAsia="zh-CN"/>
        </w:rPr>
        <w:t xml:space="preserve"> J</w:t>
      </w:r>
      <w:r w:rsidRPr="00FA3392">
        <w:rPr>
          <w:rFonts w:ascii="Book Antiqua" w:eastAsia="SimSun" w:hAnsi="Book Antiqua" w:cs="SimSun"/>
          <w:color w:val="000000"/>
          <w:sz w:val="24"/>
          <w:szCs w:val="24"/>
          <w:lang w:eastAsia="zh-CN"/>
        </w:rPr>
        <w:t xml:space="preserve">, </w:t>
      </w:r>
      <w:proofErr w:type="spellStart"/>
      <w:r w:rsidRPr="00FA3392">
        <w:rPr>
          <w:rFonts w:ascii="Book Antiqua" w:eastAsia="SimSun" w:hAnsi="Book Antiqua" w:cs="SimSun"/>
          <w:color w:val="000000"/>
          <w:sz w:val="24"/>
          <w:szCs w:val="24"/>
          <w:lang w:eastAsia="zh-CN"/>
        </w:rPr>
        <w:t>Kanwal</w:t>
      </w:r>
      <w:proofErr w:type="spellEnd"/>
      <w:r w:rsidRPr="00FA3392">
        <w:rPr>
          <w:rFonts w:ascii="Book Antiqua" w:eastAsia="SimSun" w:hAnsi="Book Antiqua" w:cs="SimSun"/>
          <w:color w:val="000000"/>
          <w:sz w:val="24"/>
          <w:szCs w:val="24"/>
          <w:lang w:eastAsia="zh-CN"/>
        </w:rPr>
        <w:t xml:space="preserve"> F, Roberts MS, Dunn MA. Cost-effectiveness and budget impact of hepatitis C virus treatment with </w:t>
      </w:r>
      <w:proofErr w:type="spellStart"/>
      <w:r w:rsidRPr="00FA3392">
        <w:rPr>
          <w:rFonts w:ascii="Book Antiqua" w:eastAsia="SimSun" w:hAnsi="Book Antiqua" w:cs="SimSun"/>
          <w:color w:val="000000"/>
          <w:sz w:val="24"/>
          <w:szCs w:val="24"/>
          <w:lang w:eastAsia="zh-CN"/>
        </w:rPr>
        <w:t>sofosbuvir</w:t>
      </w:r>
      <w:proofErr w:type="spellEnd"/>
      <w:r w:rsidRPr="00FA3392">
        <w:rPr>
          <w:rFonts w:ascii="Book Antiqua" w:eastAsia="SimSun" w:hAnsi="Book Antiqua" w:cs="SimSun"/>
          <w:color w:val="000000"/>
          <w:sz w:val="24"/>
          <w:szCs w:val="24"/>
          <w:lang w:eastAsia="zh-CN"/>
        </w:rPr>
        <w:t xml:space="preserve"> and </w:t>
      </w:r>
      <w:proofErr w:type="spellStart"/>
      <w:r w:rsidRPr="00FA3392">
        <w:rPr>
          <w:rFonts w:ascii="Book Antiqua" w:eastAsia="SimSun" w:hAnsi="Book Antiqua" w:cs="SimSun"/>
          <w:color w:val="000000"/>
          <w:sz w:val="24"/>
          <w:szCs w:val="24"/>
          <w:lang w:eastAsia="zh-CN"/>
        </w:rPr>
        <w:t>ledipasvir</w:t>
      </w:r>
      <w:proofErr w:type="spellEnd"/>
      <w:r w:rsidRPr="00FA3392">
        <w:rPr>
          <w:rFonts w:ascii="Book Antiqua" w:eastAsia="SimSun" w:hAnsi="Book Antiqua" w:cs="SimSun"/>
          <w:color w:val="000000"/>
          <w:sz w:val="24"/>
          <w:szCs w:val="24"/>
          <w:lang w:eastAsia="zh-CN"/>
        </w:rPr>
        <w:t xml:space="preserve"> in the United States. </w:t>
      </w:r>
      <w:r w:rsidRPr="00FA3392">
        <w:rPr>
          <w:rFonts w:ascii="Book Antiqua" w:eastAsia="SimSun" w:hAnsi="Book Antiqua" w:cs="SimSun"/>
          <w:i/>
          <w:iCs/>
          <w:color w:val="000000"/>
          <w:sz w:val="24"/>
          <w:szCs w:val="24"/>
          <w:lang w:eastAsia="zh-CN"/>
        </w:rPr>
        <w:t>Ann Intern Med</w:t>
      </w:r>
      <w:r w:rsidRPr="00FA3392">
        <w:rPr>
          <w:rFonts w:ascii="Book Antiqua" w:eastAsia="SimSun" w:hAnsi="Book Antiqua" w:cs="SimSun"/>
          <w:color w:val="000000"/>
          <w:sz w:val="24"/>
          <w:szCs w:val="24"/>
          <w:lang w:eastAsia="zh-CN"/>
        </w:rPr>
        <w:t> 2015; </w:t>
      </w:r>
      <w:r w:rsidRPr="00FA3392">
        <w:rPr>
          <w:rFonts w:ascii="Book Antiqua" w:eastAsia="SimSun" w:hAnsi="Book Antiqua" w:cs="SimSun"/>
          <w:b/>
          <w:bCs/>
          <w:color w:val="000000"/>
          <w:sz w:val="24"/>
          <w:szCs w:val="24"/>
          <w:lang w:eastAsia="zh-CN"/>
        </w:rPr>
        <w:t>162</w:t>
      </w:r>
      <w:r w:rsidRPr="00FA3392">
        <w:rPr>
          <w:rFonts w:ascii="Book Antiqua" w:eastAsia="SimSun" w:hAnsi="Book Antiqua" w:cs="SimSun"/>
          <w:color w:val="000000"/>
          <w:sz w:val="24"/>
          <w:szCs w:val="24"/>
          <w:lang w:eastAsia="zh-CN"/>
        </w:rPr>
        <w:t>: 397-406 [PMID: 25775312 DOI: 10.7326/M14-1336]</w:t>
      </w:r>
    </w:p>
    <w:p w:rsidR="00FA3392" w:rsidRPr="00FA3392" w:rsidRDefault="00FA3392" w:rsidP="00FA3392">
      <w:pPr>
        <w:spacing w:after="0" w:line="360" w:lineRule="auto"/>
        <w:jc w:val="both"/>
        <w:rPr>
          <w:rFonts w:ascii="Book Antiqua" w:eastAsia="SimSun" w:hAnsi="Book Antiqua" w:cs="SimSun"/>
          <w:color w:val="000000"/>
          <w:sz w:val="24"/>
          <w:szCs w:val="24"/>
          <w:lang w:eastAsia="zh-CN"/>
        </w:rPr>
      </w:pPr>
      <w:r w:rsidRPr="00FA3392">
        <w:rPr>
          <w:rFonts w:ascii="Book Antiqua" w:eastAsia="SimSun" w:hAnsi="Book Antiqua" w:cs="SimSun"/>
          <w:color w:val="000000"/>
          <w:sz w:val="24"/>
          <w:szCs w:val="24"/>
          <w:lang w:eastAsia="zh-CN"/>
        </w:rPr>
        <w:t>21 </w:t>
      </w:r>
      <w:r w:rsidRPr="00FA3392">
        <w:rPr>
          <w:rFonts w:ascii="Book Antiqua" w:eastAsia="SimSun" w:hAnsi="Book Antiqua" w:cs="SimSun"/>
          <w:b/>
          <w:bCs/>
          <w:color w:val="000000"/>
          <w:sz w:val="24"/>
          <w:szCs w:val="24"/>
          <w:lang w:eastAsia="zh-CN"/>
        </w:rPr>
        <w:t>Mathurin P</w:t>
      </w:r>
      <w:r w:rsidRPr="00FA3392">
        <w:rPr>
          <w:rFonts w:ascii="Book Antiqua" w:eastAsia="SimSun" w:hAnsi="Book Antiqua" w:cs="SimSun"/>
          <w:color w:val="000000"/>
          <w:sz w:val="24"/>
          <w:szCs w:val="24"/>
          <w:lang w:eastAsia="zh-CN"/>
        </w:rPr>
        <w:t xml:space="preserve">, </w:t>
      </w:r>
      <w:proofErr w:type="spellStart"/>
      <w:r w:rsidRPr="00FA3392">
        <w:rPr>
          <w:rFonts w:ascii="Book Antiqua" w:eastAsia="SimSun" w:hAnsi="Book Antiqua" w:cs="SimSun"/>
          <w:color w:val="000000"/>
          <w:sz w:val="24"/>
          <w:szCs w:val="24"/>
          <w:lang w:eastAsia="zh-CN"/>
        </w:rPr>
        <w:t>Beuzin</w:t>
      </w:r>
      <w:proofErr w:type="spellEnd"/>
      <w:r w:rsidRPr="00FA3392">
        <w:rPr>
          <w:rFonts w:ascii="Book Antiqua" w:eastAsia="SimSun" w:hAnsi="Book Antiqua" w:cs="SimSun"/>
          <w:color w:val="000000"/>
          <w:sz w:val="24"/>
          <w:szCs w:val="24"/>
          <w:lang w:eastAsia="zh-CN"/>
        </w:rPr>
        <w:t xml:space="preserve"> F, </w:t>
      </w:r>
      <w:proofErr w:type="spellStart"/>
      <w:r w:rsidRPr="00FA3392">
        <w:rPr>
          <w:rFonts w:ascii="Book Antiqua" w:eastAsia="SimSun" w:hAnsi="Book Antiqua" w:cs="SimSun"/>
          <w:color w:val="000000"/>
          <w:sz w:val="24"/>
          <w:szCs w:val="24"/>
          <w:lang w:eastAsia="zh-CN"/>
        </w:rPr>
        <w:t>Louvet</w:t>
      </w:r>
      <w:proofErr w:type="spellEnd"/>
      <w:r w:rsidRPr="00FA3392">
        <w:rPr>
          <w:rFonts w:ascii="Book Antiqua" w:eastAsia="SimSun" w:hAnsi="Book Antiqua" w:cs="SimSun"/>
          <w:color w:val="000000"/>
          <w:sz w:val="24"/>
          <w:szCs w:val="24"/>
          <w:lang w:eastAsia="zh-CN"/>
        </w:rPr>
        <w:t xml:space="preserve"> A, </w:t>
      </w:r>
      <w:proofErr w:type="spellStart"/>
      <w:r w:rsidRPr="00FA3392">
        <w:rPr>
          <w:rFonts w:ascii="Book Antiqua" w:eastAsia="SimSun" w:hAnsi="Book Antiqua" w:cs="SimSun"/>
          <w:color w:val="000000"/>
          <w:sz w:val="24"/>
          <w:szCs w:val="24"/>
          <w:lang w:eastAsia="zh-CN"/>
        </w:rPr>
        <w:t>Carrié-Ganne</w:t>
      </w:r>
      <w:proofErr w:type="spellEnd"/>
      <w:r w:rsidRPr="00FA3392">
        <w:rPr>
          <w:rFonts w:ascii="Book Antiqua" w:eastAsia="SimSun" w:hAnsi="Book Antiqua" w:cs="SimSun"/>
          <w:color w:val="000000"/>
          <w:sz w:val="24"/>
          <w:szCs w:val="24"/>
          <w:lang w:eastAsia="zh-CN"/>
        </w:rPr>
        <w:t xml:space="preserve"> N, </w:t>
      </w:r>
      <w:proofErr w:type="spellStart"/>
      <w:r w:rsidRPr="00FA3392">
        <w:rPr>
          <w:rFonts w:ascii="Book Antiqua" w:eastAsia="SimSun" w:hAnsi="Book Antiqua" w:cs="SimSun"/>
          <w:color w:val="000000"/>
          <w:sz w:val="24"/>
          <w:szCs w:val="24"/>
          <w:lang w:eastAsia="zh-CN"/>
        </w:rPr>
        <w:t>Balian</w:t>
      </w:r>
      <w:proofErr w:type="spellEnd"/>
      <w:r w:rsidRPr="00FA3392">
        <w:rPr>
          <w:rFonts w:ascii="Book Antiqua" w:eastAsia="SimSun" w:hAnsi="Book Antiqua" w:cs="SimSun"/>
          <w:color w:val="000000"/>
          <w:sz w:val="24"/>
          <w:szCs w:val="24"/>
          <w:lang w:eastAsia="zh-CN"/>
        </w:rPr>
        <w:t xml:space="preserve"> A, </w:t>
      </w:r>
      <w:proofErr w:type="spellStart"/>
      <w:r w:rsidRPr="00FA3392">
        <w:rPr>
          <w:rFonts w:ascii="Book Antiqua" w:eastAsia="SimSun" w:hAnsi="Book Antiqua" w:cs="SimSun"/>
          <w:color w:val="000000"/>
          <w:sz w:val="24"/>
          <w:szCs w:val="24"/>
          <w:lang w:eastAsia="zh-CN"/>
        </w:rPr>
        <w:t>Trinchet</w:t>
      </w:r>
      <w:proofErr w:type="spellEnd"/>
      <w:r w:rsidRPr="00FA3392">
        <w:rPr>
          <w:rFonts w:ascii="Book Antiqua" w:eastAsia="SimSun" w:hAnsi="Book Antiqua" w:cs="SimSun"/>
          <w:color w:val="000000"/>
          <w:sz w:val="24"/>
          <w:szCs w:val="24"/>
          <w:lang w:eastAsia="zh-CN"/>
        </w:rPr>
        <w:t xml:space="preserve"> JC, </w:t>
      </w:r>
      <w:proofErr w:type="spellStart"/>
      <w:r w:rsidRPr="00FA3392">
        <w:rPr>
          <w:rFonts w:ascii="Book Antiqua" w:eastAsia="SimSun" w:hAnsi="Book Antiqua" w:cs="SimSun"/>
          <w:color w:val="000000"/>
          <w:sz w:val="24"/>
          <w:szCs w:val="24"/>
          <w:lang w:eastAsia="zh-CN"/>
        </w:rPr>
        <w:t>Dalsoglio</w:t>
      </w:r>
      <w:proofErr w:type="spellEnd"/>
      <w:r w:rsidRPr="00FA3392">
        <w:rPr>
          <w:rFonts w:ascii="Book Antiqua" w:eastAsia="SimSun" w:hAnsi="Book Antiqua" w:cs="SimSun"/>
          <w:color w:val="000000"/>
          <w:sz w:val="24"/>
          <w:szCs w:val="24"/>
          <w:lang w:eastAsia="zh-CN"/>
        </w:rPr>
        <w:t xml:space="preserve"> D, </w:t>
      </w:r>
      <w:proofErr w:type="spellStart"/>
      <w:r w:rsidRPr="00FA3392">
        <w:rPr>
          <w:rFonts w:ascii="Book Antiqua" w:eastAsia="SimSun" w:hAnsi="Book Antiqua" w:cs="SimSun"/>
          <w:color w:val="000000"/>
          <w:sz w:val="24"/>
          <w:szCs w:val="24"/>
          <w:lang w:eastAsia="zh-CN"/>
        </w:rPr>
        <w:t>Prevot</w:t>
      </w:r>
      <w:proofErr w:type="spellEnd"/>
      <w:r w:rsidRPr="00FA3392">
        <w:rPr>
          <w:rFonts w:ascii="Book Antiqua" w:eastAsia="SimSun" w:hAnsi="Book Antiqua" w:cs="SimSun"/>
          <w:color w:val="000000"/>
          <w:sz w:val="24"/>
          <w:szCs w:val="24"/>
          <w:lang w:eastAsia="zh-CN"/>
        </w:rPr>
        <w:t xml:space="preserve"> S, </w:t>
      </w:r>
      <w:proofErr w:type="spellStart"/>
      <w:r w:rsidRPr="00FA3392">
        <w:rPr>
          <w:rFonts w:ascii="Book Antiqua" w:eastAsia="SimSun" w:hAnsi="Book Antiqua" w:cs="SimSun"/>
          <w:color w:val="000000"/>
          <w:sz w:val="24"/>
          <w:szCs w:val="24"/>
          <w:lang w:eastAsia="zh-CN"/>
        </w:rPr>
        <w:t>Naveau</w:t>
      </w:r>
      <w:proofErr w:type="spellEnd"/>
      <w:r w:rsidRPr="00FA3392">
        <w:rPr>
          <w:rFonts w:ascii="Book Antiqua" w:eastAsia="SimSun" w:hAnsi="Book Antiqua" w:cs="SimSun"/>
          <w:color w:val="000000"/>
          <w:sz w:val="24"/>
          <w:szCs w:val="24"/>
          <w:lang w:eastAsia="zh-CN"/>
        </w:rPr>
        <w:t xml:space="preserve"> S. Fibrosis progression occurs in a subgroup of heavy drinkers with typical histological features. </w:t>
      </w:r>
      <w:r w:rsidRPr="00FA3392">
        <w:rPr>
          <w:rFonts w:ascii="Book Antiqua" w:eastAsia="SimSun" w:hAnsi="Book Antiqua" w:cs="SimSun"/>
          <w:i/>
          <w:iCs/>
          <w:color w:val="000000"/>
          <w:sz w:val="24"/>
          <w:szCs w:val="24"/>
          <w:lang w:eastAsia="zh-CN"/>
        </w:rPr>
        <w:t xml:space="preserve">Aliment </w:t>
      </w:r>
      <w:proofErr w:type="spellStart"/>
      <w:r w:rsidRPr="00FA3392">
        <w:rPr>
          <w:rFonts w:ascii="Book Antiqua" w:eastAsia="SimSun" w:hAnsi="Book Antiqua" w:cs="SimSun"/>
          <w:i/>
          <w:iCs/>
          <w:color w:val="000000"/>
          <w:sz w:val="24"/>
          <w:szCs w:val="24"/>
          <w:lang w:eastAsia="zh-CN"/>
        </w:rPr>
        <w:t>Pharmacol</w:t>
      </w:r>
      <w:proofErr w:type="spellEnd"/>
      <w:r w:rsidRPr="00FA3392">
        <w:rPr>
          <w:rFonts w:ascii="Book Antiqua" w:eastAsia="SimSun" w:hAnsi="Book Antiqua" w:cs="SimSun"/>
          <w:i/>
          <w:iCs/>
          <w:color w:val="000000"/>
          <w:sz w:val="24"/>
          <w:szCs w:val="24"/>
          <w:lang w:eastAsia="zh-CN"/>
        </w:rPr>
        <w:t xml:space="preserve"> </w:t>
      </w:r>
      <w:proofErr w:type="spellStart"/>
      <w:r w:rsidRPr="00FA3392">
        <w:rPr>
          <w:rFonts w:ascii="Book Antiqua" w:eastAsia="SimSun" w:hAnsi="Book Antiqua" w:cs="SimSun"/>
          <w:i/>
          <w:iCs/>
          <w:color w:val="000000"/>
          <w:sz w:val="24"/>
          <w:szCs w:val="24"/>
          <w:lang w:eastAsia="zh-CN"/>
        </w:rPr>
        <w:t>Ther</w:t>
      </w:r>
      <w:proofErr w:type="spellEnd"/>
      <w:r w:rsidRPr="00FA3392">
        <w:rPr>
          <w:rFonts w:ascii="Book Antiqua" w:eastAsia="SimSun" w:hAnsi="Book Antiqua" w:cs="SimSun"/>
          <w:color w:val="000000"/>
          <w:sz w:val="24"/>
          <w:szCs w:val="24"/>
          <w:lang w:eastAsia="zh-CN"/>
        </w:rPr>
        <w:t> 2007; </w:t>
      </w:r>
      <w:r w:rsidRPr="00FA3392">
        <w:rPr>
          <w:rFonts w:ascii="Book Antiqua" w:eastAsia="SimSun" w:hAnsi="Book Antiqua" w:cs="SimSun"/>
          <w:b/>
          <w:bCs/>
          <w:color w:val="000000"/>
          <w:sz w:val="24"/>
          <w:szCs w:val="24"/>
          <w:lang w:eastAsia="zh-CN"/>
        </w:rPr>
        <w:t>25</w:t>
      </w:r>
      <w:r w:rsidRPr="00FA3392">
        <w:rPr>
          <w:rFonts w:ascii="Book Antiqua" w:eastAsia="SimSun" w:hAnsi="Book Antiqua" w:cs="SimSun"/>
          <w:color w:val="000000"/>
          <w:sz w:val="24"/>
          <w:szCs w:val="24"/>
          <w:lang w:eastAsia="zh-CN"/>
        </w:rPr>
        <w:t>: 1047-1054 [PMID: 17439505 DOI: 10.1111/j.1365-2036.2007.03302.x]</w:t>
      </w:r>
    </w:p>
    <w:p w:rsidR="00FA3392" w:rsidRPr="00FA3392" w:rsidRDefault="00FA3392" w:rsidP="00FA3392">
      <w:pPr>
        <w:spacing w:after="0" w:line="360" w:lineRule="auto"/>
        <w:jc w:val="both"/>
        <w:rPr>
          <w:rFonts w:ascii="Book Antiqua" w:eastAsia="SimSun" w:hAnsi="Book Antiqua" w:cs="SimSun"/>
          <w:color w:val="000000"/>
          <w:sz w:val="24"/>
          <w:szCs w:val="24"/>
          <w:lang w:eastAsia="zh-CN"/>
        </w:rPr>
      </w:pPr>
      <w:r w:rsidRPr="00FA3392">
        <w:rPr>
          <w:rFonts w:ascii="Book Antiqua" w:eastAsia="SimSun" w:hAnsi="Book Antiqua" w:cs="SimSun"/>
          <w:color w:val="000000"/>
          <w:sz w:val="24"/>
          <w:szCs w:val="24"/>
          <w:lang w:eastAsia="zh-CN"/>
        </w:rPr>
        <w:t>22 </w:t>
      </w:r>
      <w:proofErr w:type="spellStart"/>
      <w:r w:rsidRPr="00FA3392">
        <w:rPr>
          <w:rFonts w:ascii="Book Antiqua" w:eastAsia="SimSun" w:hAnsi="Book Antiqua" w:cs="SimSun"/>
          <w:b/>
          <w:bCs/>
          <w:color w:val="000000"/>
          <w:sz w:val="24"/>
          <w:szCs w:val="24"/>
          <w:lang w:eastAsia="zh-CN"/>
        </w:rPr>
        <w:t>Teli</w:t>
      </w:r>
      <w:proofErr w:type="spellEnd"/>
      <w:r w:rsidRPr="00FA3392">
        <w:rPr>
          <w:rFonts w:ascii="Book Antiqua" w:eastAsia="SimSun" w:hAnsi="Book Antiqua" w:cs="SimSun"/>
          <w:b/>
          <w:bCs/>
          <w:color w:val="000000"/>
          <w:sz w:val="24"/>
          <w:szCs w:val="24"/>
          <w:lang w:eastAsia="zh-CN"/>
        </w:rPr>
        <w:t xml:space="preserve"> MR</w:t>
      </w:r>
      <w:r w:rsidRPr="00FA3392">
        <w:rPr>
          <w:rFonts w:ascii="Book Antiqua" w:eastAsia="SimSun" w:hAnsi="Book Antiqua" w:cs="SimSun"/>
          <w:color w:val="000000"/>
          <w:sz w:val="24"/>
          <w:szCs w:val="24"/>
          <w:lang w:eastAsia="zh-CN"/>
        </w:rPr>
        <w:t>, Day CP, Burt AD, Bennett MK, James OF. Determinants of progression to cirrhosis or fibrosis in pure alcoholic fatty liver. </w:t>
      </w:r>
      <w:r w:rsidRPr="00FA3392">
        <w:rPr>
          <w:rFonts w:ascii="Book Antiqua" w:eastAsia="SimSun" w:hAnsi="Book Antiqua" w:cs="SimSun"/>
          <w:i/>
          <w:iCs/>
          <w:color w:val="000000"/>
          <w:sz w:val="24"/>
          <w:szCs w:val="24"/>
          <w:lang w:eastAsia="zh-CN"/>
        </w:rPr>
        <w:t>Lancet</w:t>
      </w:r>
      <w:r w:rsidRPr="00FA3392">
        <w:rPr>
          <w:rFonts w:ascii="Book Antiqua" w:eastAsia="SimSun" w:hAnsi="Book Antiqua" w:cs="SimSun"/>
          <w:color w:val="000000"/>
          <w:sz w:val="24"/>
          <w:szCs w:val="24"/>
          <w:lang w:eastAsia="zh-CN"/>
        </w:rPr>
        <w:t> 1995; </w:t>
      </w:r>
      <w:r w:rsidRPr="00FA3392">
        <w:rPr>
          <w:rFonts w:ascii="Book Antiqua" w:eastAsia="SimSun" w:hAnsi="Book Antiqua" w:cs="SimSun"/>
          <w:b/>
          <w:bCs/>
          <w:color w:val="000000"/>
          <w:sz w:val="24"/>
          <w:szCs w:val="24"/>
          <w:lang w:eastAsia="zh-CN"/>
        </w:rPr>
        <w:t>346</w:t>
      </w:r>
      <w:r w:rsidRPr="00FA3392">
        <w:rPr>
          <w:rFonts w:ascii="Book Antiqua" w:eastAsia="SimSun" w:hAnsi="Book Antiqua" w:cs="SimSun"/>
          <w:color w:val="000000"/>
          <w:sz w:val="24"/>
          <w:szCs w:val="24"/>
          <w:lang w:eastAsia="zh-CN"/>
        </w:rPr>
        <w:t>: 987-990 [PMID: 7475591 DOI: 10.1016/S0140-6736(95)91685-7]</w:t>
      </w:r>
    </w:p>
    <w:p w:rsidR="00FA3392" w:rsidRPr="00FA3392" w:rsidRDefault="00FA3392" w:rsidP="00FA3392">
      <w:pPr>
        <w:spacing w:after="0" w:line="360" w:lineRule="auto"/>
        <w:jc w:val="both"/>
        <w:rPr>
          <w:rFonts w:ascii="Book Antiqua" w:eastAsia="SimSun" w:hAnsi="Book Antiqua" w:cs="SimSun"/>
          <w:color w:val="000000"/>
          <w:sz w:val="24"/>
          <w:szCs w:val="24"/>
          <w:lang w:eastAsia="zh-CN"/>
        </w:rPr>
      </w:pPr>
      <w:r w:rsidRPr="00FA3392">
        <w:rPr>
          <w:rFonts w:ascii="Book Antiqua" w:eastAsia="SimSun" w:hAnsi="Book Antiqua" w:cs="SimSun"/>
          <w:color w:val="000000"/>
          <w:sz w:val="24"/>
          <w:szCs w:val="24"/>
          <w:lang w:eastAsia="zh-CN"/>
        </w:rPr>
        <w:t>23 </w:t>
      </w:r>
      <w:r w:rsidRPr="00FA3392">
        <w:rPr>
          <w:rFonts w:ascii="Book Antiqua" w:eastAsia="SimSun" w:hAnsi="Book Antiqua" w:cs="SimSun"/>
          <w:b/>
          <w:bCs/>
          <w:color w:val="000000"/>
          <w:sz w:val="24"/>
          <w:szCs w:val="24"/>
          <w:lang w:eastAsia="zh-CN"/>
        </w:rPr>
        <w:t>Jepsen P</w:t>
      </w:r>
      <w:r w:rsidRPr="00FA3392">
        <w:rPr>
          <w:rFonts w:ascii="Book Antiqua" w:eastAsia="SimSun" w:hAnsi="Book Antiqua" w:cs="SimSun"/>
          <w:color w:val="000000"/>
          <w:sz w:val="24"/>
          <w:szCs w:val="24"/>
          <w:lang w:eastAsia="zh-CN"/>
        </w:rPr>
        <w:t xml:space="preserve">, </w:t>
      </w:r>
      <w:proofErr w:type="spellStart"/>
      <w:r w:rsidRPr="00FA3392">
        <w:rPr>
          <w:rFonts w:ascii="Book Antiqua" w:eastAsia="SimSun" w:hAnsi="Book Antiqua" w:cs="SimSun"/>
          <w:color w:val="000000"/>
          <w:sz w:val="24"/>
          <w:szCs w:val="24"/>
          <w:lang w:eastAsia="zh-CN"/>
        </w:rPr>
        <w:t>Ott</w:t>
      </w:r>
      <w:proofErr w:type="spellEnd"/>
      <w:r w:rsidRPr="00FA3392">
        <w:rPr>
          <w:rFonts w:ascii="Book Antiqua" w:eastAsia="SimSun" w:hAnsi="Book Antiqua" w:cs="SimSun"/>
          <w:color w:val="000000"/>
          <w:sz w:val="24"/>
          <w:szCs w:val="24"/>
          <w:lang w:eastAsia="zh-CN"/>
        </w:rPr>
        <w:t xml:space="preserve"> P, Andersen PK, </w:t>
      </w:r>
      <w:proofErr w:type="spellStart"/>
      <w:r w:rsidRPr="00FA3392">
        <w:rPr>
          <w:rFonts w:ascii="Book Antiqua" w:eastAsia="SimSun" w:hAnsi="Book Antiqua" w:cs="SimSun"/>
          <w:color w:val="000000"/>
          <w:sz w:val="24"/>
          <w:szCs w:val="24"/>
          <w:lang w:eastAsia="zh-CN"/>
        </w:rPr>
        <w:t>Sørensen</w:t>
      </w:r>
      <w:proofErr w:type="spellEnd"/>
      <w:r w:rsidRPr="00FA3392">
        <w:rPr>
          <w:rFonts w:ascii="Book Antiqua" w:eastAsia="SimSun" w:hAnsi="Book Antiqua" w:cs="SimSun"/>
          <w:color w:val="000000"/>
          <w:sz w:val="24"/>
          <w:szCs w:val="24"/>
          <w:lang w:eastAsia="zh-CN"/>
        </w:rPr>
        <w:t xml:space="preserve"> HT, </w:t>
      </w:r>
      <w:proofErr w:type="spellStart"/>
      <w:r w:rsidRPr="00FA3392">
        <w:rPr>
          <w:rFonts w:ascii="Book Antiqua" w:eastAsia="SimSun" w:hAnsi="Book Antiqua" w:cs="SimSun"/>
          <w:color w:val="000000"/>
          <w:sz w:val="24"/>
          <w:szCs w:val="24"/>
          <w:lang w:eastAsia="zh-CN"/>
        </w:rPr>
        <w:t>Vilstrup</w:t>
      </w:r>
      <w:proofErr w:type="spellEnd"/>
      <w:r w:rsidRPr="00FA3392">
        <w:rPr>
          <w:rFonts w:ascii="Book Antiqua" w:eastAsia="SimSun" w:hAnsi="Book Antiqua" w:cs="SimSun"/>
          <w:color w:val="000000"/>
          <w:sz w:val="24"/>
          <w:szCs w:val="24"/>
          <w:lang w:eastAsia="zh-CN"/>
        </w:rPr>
        <w:t xml:space="preserve"> H. Clinical course of alcoholic liver cirrhosis: a Danish population-based cohort study. </w:t>
      </w:r>
      <w:r w:rsidRPr="00FA3392">
        <w:rPr>
          <w:rFonts w:ascii="Book Antiqua" w:eastAsia="SimSun" w:hAnsi="Book Antiqua" w:cs="SimSun"/>
          <w:i/>
          <w:iCs/>
          <w:color w:val="000000"/>
          <w:sz w:val="24"/>
          <w:szCs w:val="24"/>
          <w:lang w:eastAsia="zh-CN"/>
        </w:rPr>
        <w:t>Hepatology</w:t>
      </w:r>
      <w:r w:rsidRPr="00FA3392">
        <w:rPr>
          <w:rFonts w:ascii="Book Antiqua" w:eastAsia="SimSun" w:hAnsi="Book Antiqua" w:cs="SimSun"/>
          <w:color w:val="000000"/>
          <w:sz w:val="24"/>
          <w:szCs w:val="24"/>
          <w:lang w:eastAsia="zh-CN"/>
        </w:rPr>
        <w:t> 2010; </w:t>
      </w:r>
      <w:r w:rsidRPr="00FA3392">
        <w:rPr>
          <w:rFonts w:ascii="Book Antiqua" w:eastAsia="SimSun" w:hAnsi="Book Antiqua" w:cs="SimSun"/>
          <w:b/>
          <w:bCs/>
          <w:color w:val="000000"/>
          <w:sz w:val="24"/>
          <w:szCs w:val="24"/>
          <w:lang w:eastAsia="zh-CN"/>
        </w:rPr>
        <w:t>51</w:t>
      </w:r>
      <w:r w:rsidRPr="00FA3392">
        <w:rPr>
          <w:rFonts w:ascii="Book Antiqua" w:eastAsia="SimSun" w:hAnsi="Book Antiqua" w:cs="SimSun"/>
          <w:color w:val="000000"/>
          <w:sz w:val="24"/>
          <w:szCs w:val="24"/>
          <w:lang w:eastAsia="zh-CN"/>
        </w:rPr>
        <w:t>: 1675-1682 [PMID: 20186844 DOI: 10.1002/hep.23500]</w:t>
      </w:r>
    </w:p>
    <w:p w:rsidR="00FA3392" w:rsidRPr="00FA3392" w:rsidRDefault="00FA3392" w:rsidP="00FA3392">
      <w:pPr>
        <w:spacing w:after="0" w:line="360" w:lineRule="auto"/>
        <w:jc w:val="both"/>
        <w:rPr>
          <w:rFonts w:ascii="Book Antiqua" w:eastAsia="SimSun" w:hAnsi="Book Antiqua" w:cs="SimSun"/>
          <w:color w:val="000000"/>
          <w:sz w:val="24"/>
          <w:szCs w:val="24"/>
          <w:lang w:eastAsia="zh-CN"/>
        </w:rPr>
      </w:pPr>
      <w:r w:rsidRPr="00FA3392">
        <w:rPr>
          <w:rFonts w:ascii="Book Antiqua" w:eastAsia="SimSun" w:hAnsi="Book Antiqua" w:cs="SimSun"/>
          <w:color w:val="000000"/>
          <w:sz w:val="24"/>
          <w:szCs w:val="24"/>
          <w:lang w:eastAsia="zh-CN"/>
        </w:rPr>
        <w:t>24 </w:t>
      </w:r>
      <w:r w:rsidRPr="00FA3392">
        <w:rPr>
          <w:rFonts w:ascii="Book Antiqua" w:eastAsia="SimSun" w:hAnsi="Book Antiqua" w:cs="SimSun"/>
          <w:b/>
          <w:bCs/>
          <w:color w:val="000000"/>
          <w:sz w:val="24"/>
          <w:szCs w:val="24"/>
          <w:lang w:eastAsia="zh-CN"/>
        </w:rPr>
        <w:t>Alvarez MA</w:t>
      </w:r>
      <w:r w:rsidRPr="00FA3392">
        <w:rPr>
          <w:rFonts w:ascii="Book Antiqua" w:eastAsia="SimSun" w:hAnsi="Book Antiqua" w:cs="SimSun"/>
          <w:color w:val="000000"/>
          <w:sz w:val="24"/>
          <w:szCs w:val="24"/>
          <w:lang w:eastAsia="zh-CN"/>
        </w:rPr>
        <w:t xml:space="preserve">, </w:t>
      </w:r>
      <w:proofErr w:type="spellStart"/>
      <w:r w:rsidRPr="00FA3392">
        <w:rPr>
          <w:rFonts w:ascii="Book Antiqua" w:eastAsia="SimSun" w:hAnsi="Book Antiqua" w:cs="SimSun"/>
          <w:color w:val="000000"/>
          <w:sz w:val="24"/>
          <w:szCs w:val="24"/>
          <w:lang w:eastAsia="zh-CN"/>
        </w:rPr>
        <w:t>Cirera</w:t>
      </w:r>
      <w:proofErr w:type="spellEnd"/>
      <w:r w:rsidRPr="00FA3392">
        <w:rPr>
          <w:rFonts w:ascii="Book Antiqua" w:eastAsia="SimSun" w:hAnsi="Book Antiqua" w:cs="SimSun"/>
          <w:color w:val="000000"/>
          <w:sz w:val="24"/>
          <w:szCs w:val="24"/>
          <w:lang w:eastAsia="zh-CN"/>
        </w:rPr>
        <w:t xml:space="preserve"> I, </w:t>
      </w:r>
      <w:proofErr w:type="spellStart"/>
      <w:r w:rsidRPr="00FA3392">
        <w:rPr>
          <w:rFonts w:ascii="Book Antiqua" w:eastAsia="SimSun" w:hAnsi="Book Antiqua" w:cs="SimSun"/>
          <w:color w:val="000000"/>
          <w:sz w:val="24"/>
          <w:szCs w:val="24"/>
          <w:lang w:eastAsia="zh-CN"/>
        </w:rPr>
        <w:t>Solà</w:t>
      </w:r>
      <w:proofErr w:type="spellEnd"/>
      <w:r w:rsidRPr="00FA3392">
        <w:rPr>
          <w:rFonts w:ascii="Book Antiqua" w:eastAsia="SimSun" w:hAnsi="Book Antiqua" w:cs="SimSun"/>
          <w:color w:val="000000"/>
          <w:sz w:val="24"/>
          <w:szCs w:val="24"/>
          <w:lang w:eastAsia="zh-CN"/>
        </w:rPr>
        <w:t xml:space="preserve"> R, </w:t>
      </w:r>
      <w:proofErr w:type="spellStart"/>
      <w:r w:rsidRPr="00FA3392">
        <w:rPr>
          <w:rFonts w:ascii="Book Antiqua" w:eastAsia="SimSun" w:hAnsi="Book Antiqua" w:cs="SimSun"/>
          <w:color w:val="000000"/>
          <w:sz w:val="24"/>
          <w:szCs w:val="24"/>
          <w:lang w:eastAsia="zh-CN"/>
        </w:rPr>
        <w:t>Bargalló</w:t>
      </w:r>
      <w:proofErr w:type="spellEnd"/>
      <w:r w:rsidRPr="00FA3392">
        <w:rPr>
          <w:rFonts w:ascii="Book Antiqua" w:eastAsia="SimSun" w:hAnsi="Book Antiqua" w:cs="SimSun"/>
          <w:color w:val="000000"/>
          <w:sz w:val="24"/>
          <w:szCs w:val="24"/>
          <w:lang w:eastAsia="zh-CN"/>
        </w:rPr>
        <w:t xml:space="preserve"> A, </w:t>
      </w:r>
      <w:proofErr w:type="spellStart"/>
      <w:r w:rsidRPr="00FA3392">
        <w:rPr>
          <w:rFonts w:ascii="Book Antiqua" w:eastAsia="SimSun" w:hAnsi="Book Antiqua" w:cs="SimSun"/>
          <w:color w:val="000000"/>
          <w:sz w:val="24"/>
          <w:szCs w:val="24"/>
          <w:lang w:eastAsia="zh-CN"/>
        </w:rPr>
        <w:t>Morillas</w:t>
      </w:r>
      <w:proofErr w:type="spellEnd"/>
      <w:r w:rsidRPr="00FA3392">
        <w:rPr>
          <w:rFonts w:ascii="Book Antiqua" w:eastAsia="SimSun" w:hAnsi="Book Antiqua" w:cs="SimSun"/>
          <w:color w:val="000000"/>
          <w:sz w:val="24"/>
          <w:szCs w:val="24"/>
          <w:lang w:eastAsia="zh-CN"/>
        </w:rPr>
        <w:t xml:space="preserve"> RM, </w:t>
      </w:r>
      <w:proofErr w:type="spellStart"/>
      <w:r w:rsidRPr="00FA3392">
        <w:rPr>
          <w:rFonts w:ascii="Book Antiqua" w:eastAsia="SimSun" w:hAnsi="Book Antiqua" w:cs="SimSun"/>
          <w:color w:val="000000"/>
          <w:sz w:val="24"/>
          <w:szCs w:val="24"/>
          <w:lang w:eastAsia="zh-CN"/>
        </w:rPr>
        <w:t>Planas</w:t>
      </w:r>
      <w:proofErr w:type="spellEnd"/>
      <w:r w:rsidRPr="00FA3392">
        <w:rPr>
          <w:rFonts w:ascii="Book Antiqua" w:eastAsia="SimSun" w:hAnsi="Book Antiqua" w:cs="SimSun"/>
          <w:color w:val="000000"/>
          <w:sz w:val="24"/>
          <w:szCs w:val="24"/>
          <w:lang w:eastAsia="zh-CN"/>
        </w:rPr>
        <w:t xml:space="preserve"> R. Long-term clinical course of decompensated alcoholic cirrhosis: a prospective study of 165 patients. </w:t>
      </w:r>
      <w:r w:rsidRPr="00FA3392">
        <w:rPr>
          <w:rFonts w:ascii="Book Antiqua" w:eastAsia="SimSun" w:hAnsi="Book Antiqua" w:cs="SimSun"/>
          <w:i/>
          <w:iCs/>
          <w:color w:val="000000"/>
          <w:sz w:val="24"/>
          <w:szCs w:val="24"/>
          <w:lang w:eastAsia="zh-CN"/>
        </w:rPr>
        <w:t xml:space="preserve">J </w:t>
      </w:r>
      <w:proofErr w:type="spellStart"/>
      <w:r w:rsidRPr="00FA3392">
        <w:rPr>
          <w:rFonts w:ascii="Book Antiqua" w:eastAsia="SimSun" w:hAnsi="Book Antiqua" w:cs="SimSun"/>
          <w:i/>
          <w:iCs/>
          <w:color w:val="000000"/>
          <w:sz w:val="24"/>
          <w:szCs w:val="24"/>
          <w:lang w:eastAsia="zh-CN"/>
        </w:rPr>
        <w:t>Clin</w:t>
      </w:r>
      <w:proofErr w:type="spellEnd"/>
      <w:r w:rsidRPr="00FA3392">
        <w:rPr>
          <w:rFonts w:ascii="Book Antiqua" w:eastAsia="SimSun" w:hAnsi="Book Antiqua" w:cs="SimSun"/>
          <w:i/>
          <w:iCs/>
          <w:color w:val="000000"/>
          <w:sz w:val="24"/>
          <w:szCs w:val="24"/>
          <w:lang w:eastAsia="zh-CN"/>
        </w:rPr>
        <w:t xml:space="preserve"> </w:t>
      </w:r>
      <w:proofErr w:type="spellStart"/>
      <w:r w:rsidRPr="00FA3392">
        <w:rPr>
          <w:rFonts w:ascii="Book Antiqua" w:eastAsia="SimSun" w:hAnsi="Book Antiqua" w:cs="SimSun"/>
          <w:i/>
          <w:iCs/>
          <w:color w:val="000000"/>
          <w:sz w:val="24"/>
          <w:szCs w:val="24"/>
          <w:lang w:eastAsia="zh-CN"/>
        </w:rPr>
        <w:t>Gastroenterol</w:t>
      </w:r>
      <w:proofErr w:type="spellEnd"/>
      <w:r w:rsidRPr="00FA3392">
        <w:rPr>
          <w:rFonts w:ascii="Book Antiqua" w:eastAsia="SimSun" w:hAnsi="Book Antiqua" w:cs="SimSun"/>
          <w:color w:val="000000"/>
          <w:sz w:val="24"/>
          <w:szCs w:val="24"/>
          <w:lang w:eastAsia="zh-CN"/>
        </w:rPr>
        <w:t> </w:t>
      </w:r>
      <w:r w:rsidRPr="00FA3392">
        <w:rPr>
          <w:rFonts w:ascii="Book Antiqua" w:eastAsia="SimSun" w:hAnsi="Book Antiqua" w:cs="SimSun" w:hint="eastAsia"/>
          <w:color w:val="000000"/>
          <w:sz w:val="24"/>
          <w:szCs w:val="24"/>
          <w:lang w:eastAsia="zh-CN"/>
        </w:rPr>
        <w:t>2011</w:t>
      </w:r>
      <w:r w:rsidRPr="00FA3392">
        <w:rPr>
          <w:rFonts w:ascii="Book Antiqua" w:eastAsia="SimSun" w:hAnsi="Book Antiqua" w:cs="SimSun"/>
          <w:color w:val="000000"/>
          <w:sz w:val="24"/>
          <w:szCs w:val="24"/>
          <w:lang w:eastAsia="zh-CN"/>
        </w:rPr>
        <w:t>; </w:t>
      </w:r>
      <w:r w:rsidRPr="00FA3392">
        <w:rPr>
          <w:rFonts w:ascii="Book Antiqua" w:eastAsia="SimSun" w:hAnsi="Book Antiqua" w:cs="SimSun"/>
          <w:b/>
          <w:bCs/>
          <w:color w:val="000000"/>
          <w:sz w:val="24"/>
          <w:szCs w:val="24"/>
          <w:lang w:eastAsia="zh-CN"/>
        </w:rPr>
        <w:t>45</w:t>
      </w:r>
      <w:r w:rsidRPr="00FA3392">
        <w:rPr>
          <w:rFonts w:ascii="Book Antiqua" w:eastAsia="SimSun" w:hAnsi="Book Antiqua" w:cs="SimSun"/>
          <w:color w:val="000000"/>
          <w:sz w:val="24"/>
          <w:szCs w:val="24"/>
          <w:lang w:eastAsia="zh-CN"/>
        </w:rPr>
        <w:t>: 906-911 [PMID: 21814145 DOI: 10.1097/MCG.0b013e3182284e13]</w:t>
      </w:r>
    </w:p>
    <w:p w:rsidR="00FA3392" w:rsidRPr="00FA3392" w:rsidRDefault="00FA3392" w:rsidP="00FA3392">
      <w:pPr>
        <w:spacing w:after="0" w:line="360" w:lineRule="auto"/>
        <w:jc w:val="both"/>
        <w:rPr>
          <w:rFonts w:ascii="Book Antiqua" w:eastAsia="SimSun" w:hAnsi="Book Antiqua" w:cs="SimSun"/>
          <w:color w:val="000000"/>
          <w:sz w:val="24"/>
          <w:szCs w:val="24"/>
          <w:lang w:eastAsia="zh-CN"/>
        </w:rPr>
      </w:pPr>
      <w:r w:rsidRPr="00FA3392">
        <w:rPr>
          <w:rFonts w:ascii="Book Antiqua" w:eastAsia="SimSun" w:hAnsi="Book Antiqua" w:cs="SimSun"/>
          <w:color w:val="000000"/>
          <w:sz w:val="24"/>
          <w:szCs w:val="24"/>
          <w:lang w:eastAsia="zh-CN"/>
        </w:rPr>
        <w:lastRenderedPageBreak/>
        <w:t>25 </w:t>
      </w:r>
      <w:r w:rsidRPr="00FA3392">
        <w:rPr>
          <w:rFonts w:ascii="Book Antiqua" w:eastAsia="SimSun" w:hAnsi="Book Antiqua" w:cs="SimSun"/>
          <w:b/>
          <w:bCs/>
          <w:color w:val="000000"/>
          <w:sz w:val="24"/>
          <w:szCs w:val="24"/>
          <w:lang w:eastAsia="zh-CN"/>
        </w:rPr>
        <w:t>Mehta SH</w:t>
      </w:r>
      <w:r w:rsidRPr="00FA3392">
        <w:rPr>
          <w:rFonts w:ascii="Book Antiqua" w:eastAsia="SimSun" w:hAnsi="Book Antiqua" w:cs="SimSun"/>
          <w:color w:val="000000"/>
          <w:sz w:val="24"/>
          <w:szCs w:val="24"/>
          <w:lang w:eastAsia="zh-CN"/>
        </w:rPr>
        <w:t xml:space="preserve">, Lau B, </w:t>
      </w:r>
      <w:proofErr w:type="spellStart"/>
      <w:r w:rsidRPr="00FA3392">
        <w:rPr>
          <w:rFonts w:ascii="Book Antiqua" w:eastAsia="SimSun" w:hAnsi="Book Antiqua" w:cs="SimSun"/>
          <w:color w:val="000000"/>
          <w:sz w:val="24"/>
          <w:szCs w:val="24"/>
          <w:lang w:eastAsia="zh-CN"/>
        </w:rPr>
        <w:t>Afdhal</w:t>
      </w:r>
      <w:proofErr w:type="spellEnd"/>
      <w:r w:rsidRPr="00FA3392">
        <w:rPr>
          <w:rFonts w:ascii="Book Antiqua" w:eastAsia="SimSun" w:hAnsi="Book Antiqua" w:cs="SimSun"/>
          <w:color w:val="000000"/>
          <w:sz w:val="24"/>
          <w:szCs w:val="24"/>
          <w:lang w:eastAsia="zh-CN"/>
        </w:rPr>
        <w:t xml:space="preserve"> NH, Thomas DL. Exceeding the limits of liver histology markers. </w:t>
      </w:r>
      <w:r w:rsidRPr="00FA3392">
        <w:rPr>
          <w:rFonts w:ascii="Book Antiqua" w:eastAsia="SimSun" w:hAnsi="Book Antiqua" w:cs="SimSun"/>
          <w:i/>
          <w:iCs/>
          <w:color w:val="000000"/>
          <w:sz w:val="24"/>
          <w:szCs w:val="24"/>
          <w:lang w:eastAsia="zh-CN"/>
        </w:rPr>
        <w:t xml:space="preserve">J </w:t>
      </w:r>
      <w:proofErr w:type="spellStart"/>
      <w:r w:rsidRPr="00FA3392">
        <w:rPr>
          <w:rFonts w:ascii="Book Antiqua" w:eastAsia="SimSun" w:hAnsi="Book Antiqua" w:cs="SimSun"/>
          <w:i/>
          <w:iCs/>
          <w:color w:val="000000"/>
          <w:sz w:val="24"/>
          <w:szCs w:val="24"/>
          <w:lang w:eastAsia="zh-CN"/>
        </w:rPr>
        <w:t>Hepatol</w:t>
      </w:r>
      <w:proofErr w:type="spellEnd"/>
      <w:r w:rsidRPr="00FA3392">
        <w:rPr>
          <w:rFonts w:ascii="Book Antiqua" w:eastAsia="SimSun" w:hAnsi="Book Antiqua" w:cs="SimSun"/>
          <w:color w:val="000000"/>
          <w:sz w:val="24"/>
          <w:szCs w:val="24"/>
          <w:lang w:eastAsia="zh-CN"/>
        </w:rPr>
        <w:t> 2009; </w:t>
      </w:r>
      <w:r w:rsidRPr="00FA3392">
        <w:rPr>
          <w:rFonts w:ascii="Book Antiqua" w:eastAsia="SimSun" w:hAnsi="Book Antiqua" w:cs="SimSun"/>
          <w:b/>
          <w:bCs/>
          <w:color w:val="000000"/>
          <w:sz w:val="24"/>
          <w:szCs w:val="24"/>
          <w:lang w:eastAsia="zh-CN"/>
        </w:rPr>
        <w:t>50</w:t>
      </w:r>
      <w:r w:rsidRPr="00FA3392">
        <w:rPr>
          <w:rFonts w:ascii="Book Antiqua" w:eastAsia="SimSun" w:hAnsi="Book Antiqua" w:cs="SimSun"/>
          <w:color w:val="000000"/>
          <w:sz w:val="24"/>
          <w:szCs w:val="24"/>
          <w:lang w:eastAsia="zh-CN"/>
        </w:rPr>
        <w:t>: 36-41 [PMID: 19012989 DOI: 10.1016/j.jhep.2008.07.039]</w:t>
      </w:r>
    </w:p>
    <w:p w:rsidR="00FA3392" w:rsidRPr="00FA3392" w:rsidRDefault="00FA3392" w:rsidP="00FA3392">
      <w:pPr>
        <w:spacing w:after="0" w:line="360" w:lineRule="auto"/>
        <w:jc w:val="both"/>
        <w:rPr>
          <w:rFonts w:ascii="Book Antiqua" w:eastAsia="SimSun" w:hAnsi="Book Antiqua" w:cs="SimSun"/>
          <w:color w:val="000000"/>
          <w:sz w:val="24"/>
          <w:szCs w:val="24"/>
          <w:lang w:eastAsia="zh-CN"/>
        </w:rPr>
      </w:pPr>
      <w:r w:rsidRPr="00FA3392">
        <w:rPr>
          <w:rFonts w:ascii="Book Antiqua" w:eastAsia="SimSun" w:hAnsi="Book Antiqua" w:cs="SimSun"/>
          <w:color w:val="000000"/>
          <w:sz w:val="24"/>
          <w:szCs w:val="24"/>
          <w:lang w:eastAsia="zh-CN"/>
        </w:rPr>
        <w:t>26 </w:t>
      </w:r>
      <w:r w:rsidRPr="00FA3392">
        <w:rPr>
          <w:rFonts w:ascii="Book Antiqua" w:eastAsia="SimSun" w:hAnsi="Book Antiqua" w:cs="SimSun"/>
          <w:b/>
          <w:bCs/>
          <w:color w:val="000000"/>
          <w:sz w:val="24"/>
          <w:szCs w:val="24"/>
          <w:lang w:eastAsia="zh-CN"/>
        </w:rPr>
        <w:t>Martinez SM</w:t>
      </w:r>
      <w:r w:rsidRPr="00FA3392">
        <w:rPr>
          <w:rFonts w:ascii="Book Antiqua" w:eastAsia="SimSun" w:hAnsi="Book Antiqua" w:cs="SimSun"/>
          <w:color w:val="000000"/>
          <w:sz w:val="24"/>
          <w:szCs w:val="24"/>
          <w:lang w:eastAsia="zh-CN"/>
        </w:rPr>
        <w:t xml:space="preserve">, </w:t>
      </w:r>
      <w:proofErr w:type="spellStart"/>
      <w:r w:rsidRPr="00FA3392">
        <w:rPr>
          <w:rFonts w:ascii="Book Antiqua" w:eastAsia="SimSun" w:hAnsi="Book Antiqua" w:cs="SimSun"/>
          <w:color w:val="000000"/>
          <w:sz w:val="24"/>
          <w:szCs w:val="24"/>
          <w:lang w:eastAsia="zh-CN"/>
        </w:rPr>
        <w:t>Fernández</w:t>
      </w:r>
      <w:proofErr w:type="spellEnd"/>
      <w:r w:rsidRPr="00FA3392">
        <w:rPr>
          <w:rFonts w:ascii="Book Antiqua" w:eastAsia="SimSun" w:hAnsi="Book Antiqua" w:cs="SimSun"/>
          <w:color w:val="000000"/>
          <w:sz w:val="24"/>
          <w:szCs w:val="24"/>
          <w:lang w:eastAsia="zh-CN"/>
        </w:rPr>
        <w:t xml:space="preserve">-Varo G, González P, Sampson E, </w:t>
      </w:r>
      <w:proofErr w:type="spellStart"/>
      <w:r w:rsidRPr="00FA3392">
        <w:rPr>
          <w:rFonts w:ascii="Book Antiqua" w:eastAsia="SimSun" w:hAnsi="Book Antiqua" w:cs="SimSun"/>
          <w:color w:val="000000"/>
          <w:sz w:val="24"/>
          <w:szCs w:val="24"/>
          <w:lang w:eastAsia="zh-CN"/>
        </w:rPr>
        <w:t>Bruguera</w:t>
      </w:r>
      <w:proofErr w:type="spellEnd"/>
      <w:r w:rsidRPr="00FA3392">
        <w:rPr>
          <w:rFonts w:ascii="Book Antiqua" w:eastAsia="SimSun" w:hAnsi="Book Antiqua" w:cs="SimSun"/>
          <w:color w:val="000000"/>
          <w:sz w:val="24"/>
          <w:szCs w:val="24"/>
          <w:lang w:eastAsia="zh-CN"/>
        </w:rPr>
        <w:t xml:space="preserve"> M, </w:t>
      </w:r>
      <w:proofErr w:type="spellStart"/>
      <w:r w:rsidRPr="00FA3392">
        <w:rPr>
          <w:rFonts w:ascii="Book Antiqua" w:eastAsia="SimSun" w:hAnsi="Book Antiqua" w:cs="SimSun"/>
          <w:color w:val="000000"/>
          <w:sz w:val="24"/>
          <w:szCs w:val="24"/>
          <w:lang w:eastAsia="zh-CN"/>
        </w:rPr>
        <w:t>Navasa</w:t>
      </w:r>
      <w:proofErr w:type="spellEnd"/>
      <w:r w:rsidRPr="00FA3392">
        <w:rPr>
          <w:rFonts w:ascii="Book Antiqua" w:eastAsia="SimSun" w:hAnsi="Book Antiqua" w:cs="SimSun"/>
          <w:color w:val="000000"/>
          <w:sz w:val="24"/>
          <w:szCs w:val="24"/>
          <w:lang w:eastAsia="zh-CN"/>
        </w:rPr>
        <w:t xml:space="preserve"> M, Jiménez W, Sánchez-</w:t>
      </w:r>
      <w:proofErr w:type="spellStart"/>
      <w:r w:rsidRPr="00FA3392">
        <w:rPr>
          <w:rFonts w:ascii="Book Antiqua" w:eastAsia="SimSun" w:hAnsi="Book Antiqua" w:cs="SimSun"/>
          <w:color w:val="000000"/>
          <w:sz w:val="24"/>
          <w:szCs w:val="24"/>
          <w:lang w:eastAsia="zh-CN"/>
        </w:rPr>
        <w:t>Tapias</w:t>
      </w:r>
      <w:proofErr w:type="spellEnd"/>
      <w:r w:rsidRPr="00FA3392">
        <w:rPr>
          <w:rFonts w:ascii="Book Antiqua" w:eastAsia="SimSun" w:hAnsi="Book Antiqua" w:cs="SimSun"/>
          <w:color w:val="000000"/>
          <w:sz w:val="24"/>
          <w:szCs w:val="24"/>
          <w:lang w:eastAsia="zh-CN"/>
        </w:rPr>
        <w:t xml:space="preserve"> JM, </w:t>
      </w:r>
      <w:proofErr w:type="spellStart"/>
      <w:r w:rsidRPr="00FA3392">
        <w:rPr>
          <w:rFonts w:ascii="Book Antiqua" w:eastAsia="SimSun" w:hAnsi="Book Antiqua" w:cs="SimSun"/>
          <w:color w:val="000000"/>
          <w:sz w:val="24"/>
          <w:szCs w:val="24"/>
          <w:lang w:eastAsia="zh-CN"/>
        </w:rPr>
        <w:t>Forns</w:t>
      </w:r>
      <w:proofErr w:type="spellEnd"/>
      <w:r w:rsidRPr="00FA3392">
        <w:rPr>
          <w:rFonts w:ascii="Book Antiqua" w:eastAsia="SimSun" w:hAnsi="Book Antiqua" w:cs="SimSun"/>
          <w:color w:val="000000"/>
          <w:sz w:val="24"/>
          <w:szCs w:val="24"/>
          <w:lang w:eastAsia="zh-CN"/>
        </w:rPr>
        <w:t xml:space="preserve"> X. Assessment of liver fibrosis before and after antiviral therapy by different serum marker panels in patients with chronic hepatitis C. </w:t>
      </w:r>
      <w:r w:rsidRPr="00FA3392">
        <w:rPr>
          <w:rFonts w:ascii="Book Antiqua" w:eastAsia="SimSun" w:hAnsi="Book Antiqua" w:cs="SimSun"/>
          <w:i/>
          <w:iCs/>
          <w:color w:val="000000"/>
          <w:sz w:val="24"/>
          <w:szCs w:val="24"/>
          <w:lang w:eastAsia="zh-CN"/>
        </w:rPr>
        <w:t xml:space="preserve">Aliment </w:t>
      </w:r>
      <w:proofErr w:type="spellStart"/>
      <w:r w:rsidRPr="00FA3392">
        <w:rPr>
          <w:rFonts w:ascii="Book Antiqua" w:eastAsia="SimSun" w:hAnsi="Book Antiqua" w:cs="SimSun"/>
          <w:i/>
          <w:iCs/>
          <w:color w:val="000000"/>
          <w:sz w:val="24"/>
          <w:szCs w:val="24"/>
          <w:lang w:eastAsia="zh-CN"/>
        </w:rPr>
        <w:t>Pharmacol</w:t>
      </w:r>
      <w:proofErr w:type="spellEnd"/>
      <w:r w:rsidRPr="00FA3392">
        <w:rPr>
          <w:rFonts w:ascii="Book Antiqua" w:eastAsia="SimSun" w:hAnsi="Book Antiqua" w:cs="SimSun"/>
          <w:i/>
          <w:iCs/>
          <w:color w:val="000000"/>
          <w:sz w:val="24"/>
          <w:szCs w:val="24"/>
          <w:lang w:eastAsia="zh-CN"/>
        </w:rPr>
        <w:t xml:space="preserve"> </w:t>
      </w:r>
      <w:proofErr w:type="spellStart"/>
      <w:r w:rsidRPr="00FA3392">
        <w:rPr>
          <w:rFonts w:ascii="Book Antiqua" w:eastAsia="SimSun" w:hAnsi="Book Antiqua" w:cs="SimSun"/>
          <w:i/>
          <w:iCs/>
          <w:color w:val="000000"/>
          <w:sz w:val="24"/>
          <w:szCs w:val="24"/>
          <w:lang w:eastAsia="zh-CN"/>
        </w:rPr>
        <w:t>Ther</w:t>
      </w:r>
      <w:proofErr w:type="spellEnd"/>
      <w:r w:rsidRPr="00FA3392">
        <w:rPr>
          <w:rFonts w:ascii="Book Antiqua" w:eastAsia="SimSun" w:hAnsi="Book Antiqua" w:cs="SimSun"/>
          <w:color w:val="000000"/>
          <w:sz w:val="24"/>
          <w:szCs w:val="24"/>
          <w:lang w:eastAsia="zh-CN"/>
        </w:rPr>
        <w:t> 2011; </w:t>
      </w:r>
      <w:r w:rsidRPr="00FA3392">
        <w:rPr>
          <w:rFonts w:ascii="Book Antiqua" w:eastAsia="SimSun" w:hAnsi="Book Antiqua" w:cs="SimSun"/>
          <w:b/>
          <w:bCs/>
          <w:color w:val="000000"/>
          <w:sz w:val="24"/>
          <w:szCs w:val="24"/>
          <w:lang w:eastAsia="zh-CN"/>
        </w:rPr>
        <w:t>33</w:t>
      </w:r>
      <w:r w:rsidRPr="00FA3392">
        <w:rPr>
          <w:rFonts w:ascii="Book Antiqua" w:eastAsia="SimSun" w:hAnsi="Book Antiqua" w:cs="SimSun"/>
          <w:color w:val="000000"/>
          <w:sz w:val="24"/>
          <w:szCs w:val="24"/>
          <w:lang w:eastAsia="zh-CN"/>
        </w:rPr>
        <w:t>: 138-148 [PMID: 21083589 DOI: 10.1111/j.1365-2036.2010.04500.x]</w:t>
      </w:r>
    </w:p>
    <w:p w:rsidR="00FA3392" w:rsidRPr="00FA3392" w:rsidRDefault="00FA3392" w:rsidP="00FA3392">
      <w:pPr>
        <w:spacing w:after="0" w:line="360" w:lineRule="auto"/>
        <w:jc w:val="both"/>
        <w:rPr>
          <w:rFonts w:ascii="Book Antiqua" w:eastAsia="SimSun" w:hAnsi="Book Antiqua" w:cs="SimSun"/>
          <w:color w:val="000000"/>
          <w:sz w:val="24"/>
          <w:szCs w:val="24"/>
          <w:lang w:eastAsia="zh-CN"/>
        </w:rPr>
      </w:pPr>
      <w:r w:rsidRPr="00FA3392">
        <w:rPr>
          <w:rFonts w:ascii="Book Antiqua" w:eastAsia="SimSun" w:hAnsi="Book Antiqua" w:cs="SimSun"/>
          <w:color w:val="000000"/>
          <w:sz w:val="24"/>
          <w:szCs w:val="24"/>
          <w:lang w:eastAsia="zh-CN"/>
        </w:rPr>
        <w:t xml:space="preserve">27 </w:t>
      </w:r>
      <w:r w:rsidRPr="00FA3392">
        <w:rPr>
          <w:rFonts w:ascii="Book Antiqua" w:eastAsia="SimSun" w:hAnsi="Book Antiqua" w:cs="SimSun"/>
          <w:b/>
          <w:color w:val="000000"/>
          <w:sz w:val="24"/>
          <w:szCs w:val="24"/>
          <w:lang w:eastAsia="zh-CN"/>
        </w:rPr>
        <w:t>Wright M</w:t>
      </w:r>
      <w:r w:rsidRPr="00FA3392">
        <w:rPr>
          <w:rFonts w:ascii="Book Antiqua" w:eastAsia="SimSun" w:hAnsi="Book Antiqua" w:cs="SimSun"/>
          <w:color w:val="000000"/>
          <w:sz w:val="24"/>
          <w:szCs w:val="24"/>
          <w:lang w:eastAsia="zh-CN"/>
        </w:rPr>
        <w:t xml:space="preserve">, Grieve R, Roberts J, Main J, Thomas HC, UK Mild Hepatitis C Trial Investigators. </w:t>
      </w:r>
      <w:bookmarkStart w:id="392" w:name="OLE_LINK4123"/>
      <w:bookmarkStart w:id="393" w:name="OLE_LINK4124"/>
      <w:r w:rsidRPr="00FA3392">
        <w:rPr>
          <w:rFonts w:ascii="Book Antiqua" w:eastAsia="SimSun" w:hAnsi="Book Antiqua" w:cs="SimSun"/>
          <w:color w:val="000000"/>
          <w:sz w:val="24"/>
          <w:szCs w:val="24"/>
          <w:lang w:eastAsia="zh-CN"/>
        </w:rPr>
        <w:t xml:space="preserve">Health benefits of antiviral therapy for mild chronic hepatitis C: </w:t>
      </w:r>
      <w:proofErr w:type="spellStart"/>
      <w:r w:rsidRPr="00FA3392">
        <w:rPr>
          <w:rFonts w:ascii="Book Antiqua" w:eastAsia="SimSun" w:hAnsi="Book Antiqua" w:cs="SimSun"/>
          <w:color w:val="000000"/>
          <w:sz w:val="24"/>
          <w:szCs w:val="24"/>
          <w:lang w:eastAsia="zh-CN"/>
        </w:rPr>
        <w:t>randomised</w:t>
      </w:r>
      <w:proofErr w:type="spellEnd"/>
      <w:r w:rsidRPr="00FA3392">
        <w:rPr>
          <w:rFonts w:ascii="Book Antiqua" w:eastAsia="SimSun" w:hAnsi="Book Antiqua" w:cs="SimSun"/>
          <w:color w:val="000000"/>
          <w:sz w:val="24"/>
          <w:szCs w:val="24"/>
          <w:lang w:eastAsia="zh-CN"/>
        </w:rPr>
        <w:t xml:space="preserve"> controlled trial and economic evaluation</w:t>
      </w:r>
      <w:bookmarkEnd w:id="392"/>
      <w:bookmarkEnd w:id="393"/>
      <w:r w:rsidRPr="00FA3392">
        <w:rPr>
          <w:rFonts w:ascii="Book Antiqua" w:eastAsia="SimSun" w:hAnsi="Book Antiqua" w:cs="SimSun"/>
          <w:color w:val="000000"/>
          <w:sz w:val="24"/>
          <w:szCs w:val="24"/>
          <w:lang w:eastAsia="zh-CN"/>
        </w:rPr>
        <w:t xml:space="preserve">. </w:t>
      </w:r>
      <w:bookmarkStart w:id="394" w:name="OLE_LINK4125"/>
      <w:bookmarkStart w:id="395" w:name="OLE_LINK4126"/>
      <w:r w:rsidRPr="00FA3392">
        <w:rPr>
          <w:rFonts w:ascii="Book Antiqua" w:eastAsia="SimSun" w:hAnsi="Book Antiqua" w:cs="SimSun"/>
          <w:i/>
          <w:color w:val="000000"/>
          <w:sz w:val="24"/>
          <w:szCs w:val="24"/>
          <w:lang w:eastAsia="zh-CN"/>
        </w:rPr>
        <w:t xml:space="preserve">Heal </w:t>
      </w:r>
      <w:proofErr w:type="spellStart"/>
      <w:r w:rsidRPr="00FA3392">
        <w:rPr>
          <w:rFonts w:ascii="Book Antiqua" w:eastAsia="SimSun" w:hAnsi="Book Antiqua" w:cs="SimSun"/>
          <w:i/>
          <w:color w:val="000000"/>
          <w:sz w:val="24"/>
          <w:szCs w:val="24"/>
          <w:lang w:eastAsia="zh-CN"/>
        </w:rPr>
        <w:t>Technol</w:t>
      </w:r>
      <w:proofErr w:type="spellEnd"/>
      <w:r w:rsidRPr="00FA3392">
        <w:rPr>
          <w:rFonts w:ascii="Book Antiqua" w:eastAsia="SimSun" w:hAnsi="Book Antiqua" w:cs="SimSun"/>
          <w:i/>
          <w:color w:val="000000"/>
          <w:sz w:val="24"/>
          <w:szCs w:val="24"/>
          <w:lang w:eastAsia="zh-CN"/>
        </w:rPr>
        <w:t xml:space="preserve"> Assess</w:t>
      </w:r>
      <w:r w:rsidRPr="00FA3392">
        <w:rPr>
          <w:rFonts w:ascii="Book Antiqua" w:eastAsia="SimSun" w:hAnsi="Book Antiqua" w:cs="SimSun"/>
          <w:color w:val="000000"/>
          <w:sz w:val="24"/>
          <w:szCs w:val="24"/>
          <w:lang w:eastAsia="zh-CN"/>
        </w:rPr>
        <w:t xml:space="preserve"> 2006; </w:t>
      </w:r>
      <w:r w:rsidRPr="00FA3392">
        <w:rPr>
          <w:rFonts w:ascii="Book Antiqua" w:eastAsia="SimSun" w:hAnsi="Book Antiqua" w:cs="SimSun"/>
          <w:b/>
          <w:color w:val="000000"/>
          <w:sz w:val="24"/>
          <w:szCs w:val="24"/>
          <w:lang w:eastAsia="zh-CN"/>
        </w:rPr>
        <w:t>10</w:t>
      </w:r>
      <w:r w:rsidRPr="00FA3392">
        <w:rPr>
          <w:rFonts w:ascii="Book Antiqua" w:eastAsia="SimSun" w:hAnsi="Book Antiqua" w:cs="SimSun" w:hint="eastAsia"/>
          <w:color w:val="000000"/>
          <w:sz w:val="24"/>
          <w:szCs w:val="24"/>
          <w:lang w:eastAsia="zh-CN"/>
        </w:rPr>
        <w:t xml:space="preserve">: 1-250; </w:t>
      </w:r>
      <w:r w:rsidRPr="00FA3392">
        <w:rPr>
          <w:rFonts w:ascii="Book Antiqua" w:eastAsia="SimSun" w:hAnsi="Book Antiqua" w:cs="SimSun"/>
          <w:color w:val="000000"/>
          <w:sz w:val="24"/>
          <w:szCs w:val="24"/>
          <w:lang w:eastAsia="zh-CN"/>
        </w:rPr>
        <w:t>iii-iv</w:t>
      </w:r>
      <w:r w:rsidRPr="00FA3392">
        <w:rPr>
          <w:rFonts w:ascii="Book Antiqua" w:eastAsia="SimSun" w:hAnsi="Book Antiqua" w:cs="SimSun" w:hint="eastAsia"/>
          <w:color w:val="000000"/>
          <w:sz w:val="24"/>
          <w:szCs w:val="24"/>
          <w:lang w:eastAsia="zh-CN"/>
        </w:rPr>
        <w:t xml:space="preserve"> [</w:t>
      </w:r>
      <w:r w:rsidRPr="00FA3392">
        <w:rPr>
          <w:rFonts w:ascii="Book Antiqua" w:eastAsia="SimSun" w:hAnsi="Book Antiqua" w:cs="SimSun"/>
          <w:color w:val="000000"/>
          <w:sz w:val="24"/>
          <w:szCs w:val="24"/>
          <w:lang w:eastAsia="zh-CN"/>
        </w:rPr>
        <w:t>PMID: 16487454</w:t>
      </w:r>
      <w:r w:rsidRPr="00FA3392">
        <w:rPr>
          <w:rFonts w:ascii="Book Antiqua" w:eastAsia="SimSun" w:hAnsi="Book Antiqua" w:cs="SimSun" w:hint="eastAsia"/>
          <w:color w:val="000000"/>
          <w:sz w:val="24"/>
          <w:szCs w:val="24"/>
          <w:lang w:eastAsia="zh-CN"/>
        </w:rPr>
        <w:t>]</w:t>
      </w:r>
    </w:p>
    <w:bookmarkEnd w:id="394"/>
    <w:bookmarkEnd w:id="395"/>
    <w:p w:rsidR="00FA3392" w:rsidRPr="00FA3392" w:rsidRDefault="00FA3392" w:rsidP="00FA3392">
      <w:pPr>
        <w:spacing w:after="0" w:line="360" w:lineRule="auto"/>
        <w:jc w:val="both"/>
        <w:rPr>
          <w:rFonts w:ascii="Book Antiqua" w:eastAsia="SimSun" w:hAnsi="Book Antiqua" w:cs="SimSun"/>
          <w:color w:val="000000"/>
          <w:sz w:val="24"/>
          <w:szCs w:val="24"/>
          <w:lang w:eastAsia="zh-CN"/>
        </w:rPr>
      </w:pPr>
      <w:r w:rsidRPr="00FA3392">
        <w:rPr>
          <w:rFonts w:ascii="Book Antiqua" w:eastAsia="SimSun" w:hAnsi="Book Antiqua" w:cs="SimSun"/>
          <w:color w:val="000000"/>
          <w:sz w:val="24"/>
          <w:szCs w:val="24"/>
          <w:lang w:eastAsia="zh-CN"/>
        </w:rPr>
        <w:t>28 </w:t>
      </w:r>
      <w:r w:rsidRPr="00FA3392">
        <w:rPr>
          <w:rFonts w:ascii="Book Antiqua" w:eastAsia="SimSun" w:hAnsi="Book Antiqua" w:cs="SimSun"/>
          <w:b/>
          <w:bCs/>
          <w:color w:val="000000"/>
          <w:sz w:val="24"/>
          <w:szCs w:val="24"/>
          <w:lang w:eastAsia="zh-CN"/>
        </w:rPr>
        <w:t>Stevenson M</w:t>
      </w:r>
      <w:r w:rsidRPr="00FA3392">
        <w:rPr>
          <w:rFonts w:ascii="Book Antiqua" w:eastAsia="SimSun" w:hAnsi="Book Antiqua" w:cs="SimSun"/>
          <w:color w:val="000000"/>
          <w:sz w:val="24"/>
          <w:szCs w:val="24"/>
          <w:lang w:eastAsia="zh-CN"/>
        </w:rPr>
        <w:t>, Lloyd-Jones M, Morgan MY, Wong R. Non-invasive diagnostic assessment tools for the detection of liver fibrosis in patients with suspected alcohol-related liver disease: a systematic review and economic evaluation. </w:t>
      </w:r>
      <w:r w:rsidRPr="00FA3392">
        <w:rPr>
          <w:rFonts w:ascii="Book Antiqua" w:eastAsia="SimSun" w:hAnsi="Book Antiqua" w:cs="SimSun"/>
          <w:i/>
          <w:iCs/>
          <w:color w:val="000000"/>
          <w:sz w:val="24"/>
          <w:szCs w:val="24"/>
          <w:lang w:eastAsia="zh-CN"/>
        </w:rPr>
        <w:t xml:space="preserve">Health </w:t>
      </w:r>
      <w:proofErr w:type="spellStart"/>
      <w:r w:rsidRPr="00FA3392">
        <w:rPr>
          <w:rFonts w:ascii="Book Antiqua" w:eastAsia="SimSun" w:hAnsi="Book Antiqua" w:cs="SimSun"/>
          <w:i/>
          <w:iCs/>
          <w:color w:val="000000"/>
          <w:sz w:val="24"/>
          <w:szCs w:val="24"/>
          <w:lang w:eastAsia="zh-CN"/>
        </w:rPr>
        <w:t>Technol</w:t>
      </w:r>
      <w:proofErr w:type="spellEnd"/>
      <w:r w:rsidRPr="00FA3392">
        <w:rPr>
          <w:rFonts w:ascii="Book Antiqua" w:eastAsia="SimSun" w:hAnsi="Book Antiqua" w:cs="SimSun"/>
          <w:i/>
          <w:iCs/>
          <w:color w:val="000000"/>
          <w:sz w:val="24"/>
          <w:szCs w:val="24"/>
          <w:lang w:eastAsia="zh-CN"/>
        </w:rPr>
        <w:t xml:space="preserve"> Assess</w:t>
      </w:r>
      <w:r w:rsidRPr="00FA3392">
        <w:rPr>
          <w:rFonts w:ascii="Book Antiqua" w:eastAsia="SimSun" w:hAnsi="Book Antiqua" w:cs="SimSun"/>
          <w:color w:val="000000"/>
          <w:sz w:val="24"/>
          <w:szCs w:val="24"/>
          <w:lang w:eastAsia="zh-CN"/>
        </w:rPr>
        <w:t> 2012; </w:t>
      </w:r>
      <w:r w:rsidRPr="00FA3392">
        <w:rPr>
          <w:rFonts w:ascii="Book Antiqua" w:eastAsia="SimSun" w:hAnsi="Book Antiqua" w:cs="SimSun"/>
          <w:b/>
          <w:bCs/>
          <w:color w:val="000000"/>
          <w:sz w:val="24"/>
          <w:szCs w:val="24"/>
          <w:lang w:eastAsia="zh-CN"/>
        </w:rPr>
        <w:t>16</w:t>
      </w:r>
      <w:r w:rsidRPr="00FA3392">
        <w:rPr>
          <w:rFonts w:ascii="Book Antiqua" w:eastAsia="SimSun" w:hAnsi="Book Antiqua" w:cs="SimSun"/>
          <w:color w:val="000000"/>
          <w:sz w:val="24"/>
          <w:szCs w:val="24"/>
          <w:lang w:eastAsia="zh-CN"/>
        </w:rPr>
        <w:t>: 1-174 [PMID: 22333291 DOI: 10.3310/hta16040]</w:t>
      </w:r>
    </w:p>
    <w:p w:rsidR="00FA3392" w:rsidRPr="00FA3392" w:rsidRDefault="00FA3392" w:rsidP="00FA3392">
      <w:pPr>
        <w:spacing w:after="0" w:line="360" w:lineRule="auto"/>
        <w:jc w:val="both"/>
        <w:rPr>
          <w:rFonts w:ascii="Book Antiqua" w:eastAsia="SimSun" w:hAnsi="Book Antiqua" w:cs="SimSun"/>
          <w:color w:val="000000"/>
          <w:sz w:val="24"/>
          <w:szCs w:val="24"/>
          <w:lang w:eastAsia="zh-CN"/>
        </w:rPr>
      </w:pPr>
      <w:r w:rsidRPr="00FA3392">
        <w:rPr>
          <w:rFonts w:ascii="Book Antiqua" w:eastAsia="SimSun" w:hAnsi="Book Antiqua" w:cs="SimSun"/>
          <w:color w:val="000000"/>
          <w:sz w:val="24"/>
          <w:szCs w:val="24"/>
          <w:lang w:eastAsia="zh-CN"/>
        </w:rPr>
        <w:t>29 </w:t>
      </w:r>
      <w:proofErr w:type="spellStart"/>
      <w:r w:rsidRPr="00FA3392">
        <w:rPr>
          <w:rFonts w:ascii="Book Antiqua" w:eastAsia="SimSun" w:hAnsi="Book Antiqua" w:cs="SimSun"/>
          <w:b/>
          <w:bCs/>
          <w:color w:val="000000"/>
          <w:sz w:val="24"/>
          <w:szCs w:val="24"/>
          <w:lang w:eastAsia="zh-CN"/>
        </w:rPr>
        <w:t>Fattovich</w:t>
      </w:r>
      <w:proofErr w:type="spellEnd"/>
      <w:r w:rsidRPr="00FA3392">
        <w:rPr>
          <w:rFonts w:ascii="Book Antiqua" w:eastAsia="SimSun" w:hAnsi="Book Antiqua" w:cs="SimSun"/>
          <w:b/>
          <w:bCs/>
          <w:color w:val="000000"/>
          <w:sz w:val="24"/>
          <w:szCs w:val="24"/>
          <w:lang w:eastAsia="zh-CN"/>
        </w:rPr>
        <w:t xml:space="preserve"> G</w:t>
      </w:r>
      <w:r w:rsidRPr="00FA3392">
        <w:rPr>
          <w:rFonts w:ascii="Book Antiqua" w:eastAsia="SimSun" w:hAnsi="Book Antiqua" w:cs="SimSun"/>
          <w:color w:val="000000"/>
          <w:sz w:val="24"/>
          <w:szCs w:val="24"/>
          <w:lang w:eastAsia="zh-CN"/>
        </w:rPr>
        <w:t xml:space="preserve">, </w:t>
      </w:r>
      <w:proofErr w:type="spellStart"/>
      <w:r w:rsidRPr="00FA3392">
        <w:rPr>
          <w:rFonts w:ascii="Book Antiqua" w:eastAsia="SimSun" w:hAnsi="Book Antiqua" w:cs="SimSun"/>
          <w:color w:val="000000"/>
          <w:sz w:val="24"/>
          <w:szCs w:val="24"/>
          <w:lang w:eastAsia="zh-CN"/>
        </w:rPr>
        <w:t>Giustina</w:t>
      </w:r>
      <w:proofErr w:type="spellEnd"/>
      <w:r w:rsidRPr="00FA3392">
        <w:rPr>
          <w:rFonts w:ascii="Book Antiqua" w:eastAsia="SimSun" w:hAnsi="Book Antiqua" w:cs="SimSun"/>
          <w:color w:val="000000"/>
          <w:sz w:val="24"/>
          <w:szCs w:val="24"/>
          <w:lang w:eastAsia="zh-CN"/>
        </w:rPr>
        <w:t xml:space="preserve"> G, </w:t>
      </w:r>
      <w:proofErr w:type="spellStart"/>
      <w:r w:rsidRPr="00FA3392">
        <w:rPr>
          <w:rFonts w:ascii="Book Antiqua" w:eastAsia="SimSun" w:hAnsi="Book Antiqua" w:cs="SimSun"/>
          <w:color w:val="000000"/>
          <w:sz w:val="24"/>
          <w:szCs w:val="24"/>
          <w:lang w:eastAsia="zh-CN"/>
        </w:rPr>
        <w:t>Degos</w:t>
      </w:r>
      <w:proofErr w:type="spellEnd"/>
      <w:r w:rsidRPr="00FA3392">
        <w:rPr>
          <w:rFonts w:ascii="Book Antiqua" w:eastAsia="SimSun" w:hAnsi="Book Antiqua" w:cs="SimSun"/>
          <w:color w:val="000000"/>
          <w:sz w:val="24"/>
          <w:szCs w:val="24"/>
          <w:lang w:eastAsia="zh-CN"/>
        </w:rPr>
        <w:t xml:space="preserve"> F, </w:t>
      </w:r>
      <w:proofErr w:type="spellStart"/>
      <w:r w:rsidRPr="00FA3392">
        <w:rPr>
          <w:rFonts w:ascii="Book Antiqua" w:eastAsia="SimSun" w:hAnsi="Book Antiqua" w:cs="SimSun"/>
          <w:color w:val="000000"/>
          <w:sz w:val="24"/>
          <w:szCs w:val="24"/>
          <w:lang w:eastAsia="zh-CN"/>
        </w:rPr>
        <w:t>Tremolada</w:t>
      </w:r>
      <w:proofErr w:type="spellEnd"/>
      <w:r w:rsidRPr="00FA3392">
        <w:rPr>
          <w:rFonts w:ascii="Book Antiqua" w:eastAsia="SimSun" w:hAnsi="Book Antiqua" w:cs="SimSun"/>
          <w:color w:val="000000"/>
          <w:sz w:val="24"/>
          <w:szCs w:val="24"/>
          <w:lang w:eastAsia="zh-CN"/>
        </w:rPr>
        <w:t xml:space="preserve"> F, </w:t>
      </w:r>
      <w:proofErr w:type="spellStart"/>
      <w:r w:rsidRPr="00FA3392">
        <w:rPr>
          <w:rFonts w:ascii="Book Antiqua" w:eastAsia="SimSun" w:hAnsi="Book Antiqua" w:cs="SimSun"/>
          <w:color w:val="000000"/>
          <w:sz w:val="24"/>
          <w:szCs w:val="24"/>
          <w:lang w:eastAsia="zh-CN"/>
        </w:rPr>
        <w:t>Diodati</w:t>
      </w:r>
      <w:proofErr w:type="spellEnd"/>
      <w:r w:rsidRPr="00FA3392">
        <w:rPr>
          <w:rFonts w:ascii="Book Antiqua" w:eastAsia="SimSun" w:hAnsi="Book Antiqua" w:cs="SimSun"/>
          <w:color w:val="000000"/>
          <w:sz w:val="24"/>
          <w:szCs w:val="24"/>
          <w:lang w:eastAsia="zh-CN"/>
        </w:rPr>
        <w:t xml:space="preserve"> G, </w:t>
      </w:r>
      <w:proofErr w:type="spellStart"/>
      <w:r w:rsidRPr="00FA3392">
        <w:rPr>
          <w:rFonts w:ascii="Book Antiqua" w:eastAsia="SimSun" w:hAnsi="Book Antiqua" w:cs="SimSun"/>
          <w:color w:val="000000"/>
          <w:sz w:val="24"/>
          <w:szCs w:val="24"/>
          <w:lang w:eastAsia="zh-CN"/>
        </w:rPr>
        <w:t>Almasio</w:t>
      </w:r>
      <w:proofErr w:type="spellEnd"/>
      <w:r w:rsidRPr="00FA3392">
        <w:rPr>
          <w:rFonts w:ascii="Book Antiqua" w:eastAsia="SimSun" w:hAnsi="Book Antiqua" w:cs="SimSun"/>
          <w:color w:val="000000"/>
          <w:sz w:val="24"/>
          <w:szCs w:val="24"/>
          <w:lang w:eastAsia="zh-CN"/>
        </w:rPr>
        <w:t xml:space="preserve"> P, </w:t>
      </w:r>
      <w:proofErr w:type="spellStart"/>
      <w:r w:rsidRPr="00FA3392">
        <w:rPr>
          <w:rFonts w:ascii="Book Antiqua" w:eastAsia="SimSun" w:hAnsi="Book Antiqua" w:cs="SimSun"/>
          <w:color w:val="000000"/>
          <w:sz w:val="24"/>
          <w:szCs w:val="24"/>
          <w:lang w:eastAsia="zh-CN"/>
        </w:rPr>
        <w:t>Nevens</w:t>
      </w:r>
      <w:proofErr w:type="spellEnd"/>
      <w:r w:rsidRPr="00FA3392">
        <w:rPr>
          <w:rFonts w:ascii="Book Antiqua" w:eastAsia="SimSun" w:hAnsi="Book Antiqua" w:cs="SimSun"/>
          <w:color w:val="000000"/>
          <w:sz w:val="24"/>
          <w:szCs w:val="24"/>
          <w:lang w:eastAsia="zh-CN"/>
        </w:rPr>
        <w:t xml:space="preserve"> F, </w:t>
      </w:r>
      <w:proofErr w:type="spellStart"/>
      <w:r w:rsidRPr="00FA3392">
        <w:rPr>
          <w:rFonts w:ascii="Book Antiqua" w:eastAsia="SimSun" w:hAnsi="Book Antiqua" w:cs="SimSun"/>
          <w:color w:val="000000"/>
          <w:sz w:val="24"/>
          <w:szCs w:val="24"/>
          <w:lang w:eastAsia="zh-CN"/>
        </w:rPr>
        <w:t>Solinas</w:t>
      </w:r>
      <w:proofErr w:type="spellEnd"/>
      <w:r w:rsidRPr="00FA3392">
        <w:rPr>
          <w:rFonts w:ascii="Book Antiqua" w:eastAsia="SimSun" w:hAnsi="Book Antiqua" w:cs="SimSun"/>
          <w:color w:val="000000"/>
          <w:sz w:val="24"/>
          <w:szCs w:val="24"/>
          <w:lang w:eastAsia="zh-CN"/>
        </w:rPr>
        <w:t xml:space="preserve"> A, Mura D, </w:t>
      </w:r>
      <w:proofErr w:type="spellStart"/>
      <w:r w:rsidRPr="00FA3392">
        <w:rPr>
          <w:rFonts w:ascii="Book Antiqua" w:eastAsia="SimSun" w:hAnsi="Book Antiqua" w:cs="SimSun"/>
          <w:color w:val="000000"/>
          <w:sz w:val="24"/>
          <w:szCs w:val="24"/>
          <w:lang w:eastAsia="zh-CN"/>
        </w:rPr>
        <w:t>Brouwer</w:t>
      </w:r>
      <w:proofErr w:type="spellEnd"/>
      <w:r w:rsidRPr="00FA3392">
        <w:rPr>
          <w:rFonts w:ascii="Book Antiqua" w:eastAsia="SimSun" w:hAnsi="Book Antiqua" w:cs="SimSun"/>
          <w:color w:val="000000"/>
          <w:sz w:val="24"/>
          <w:szCs w:val="24"/>
          <w:lang w:eastAsia="zh-CN"/>
        </w:rPr>
        <w:t xml:space="preserve"> JT, Thomas H, </w:t>
      </w:r>
      <w:proofErr w:type="spellStart"/>
      <w:r w:rsidRPr="00FA3392">
        <w:rPr>
          <w:rFonts w:ascii="Book Antiqua" w:eastAsia="SimSun" w:hAnsi="Book Antiqua" w:cs="SimSun"/>
          <w:color w:val="000000"/>
          <w:sz w:val="24"/>
          <w:szCs w:val="24"/>
          <w:lang w:eastAsia="zh-CN"/>
        </w:rPr>
        <w:t>Njapoum</w:t>
      </w:r>
      <w:proofErr w:type="spellEnd"/>
      <w:r w:rsidRPr="00FA3392">
        <w:rPr>
          <w:rFonts w:ascii="Book Antiqua" w:eastAsia="SimSun" w:hAnsi="Book Antiqua" w:cs="SimSun"/>
          <w:color w:val="000000"/>
          <w:sz w:val="24"/>
          <w:szCs w:val="24"/>
          <w:lang w:eastAsia="zh-CN"/>
        </w:rPr>
        <w:t xml:space="preserve"> C, </w:t>
      </w:r>
      <w:proofErr w:type="spellStart"/>
      <w:r w:rsidRPr="00FA3392">
        <w:rPr>
          <w:rFonts w:ascii="Book Antiqua" w:eastAsia="SimSun" w:hAnsi="Book Antiqua" w:cs="SimSun"/>
          <w:color w:val="000000"/>
          <w:sz w:val="24"/>
          <w:szCs w:val="24"/>
          <w:lang w:eastAsia="zh-CN"/>
        </w:rPr>
        <w:t>Casarin</w:t>
      </w:r>
      <w:proofErr w:type="spellEnd"/>
      <w:r w:rsidRPr="00FA3392">
        <w:rPr>
          <w:rFonts w:ascii="Book Antiqua" w:eastAsia="SimSun" w:hAnsi="Book Antiqua" w:cs="SimSun"/>
          <w:color w:val="000000"/>
          <w:sz w:val="24"/>
          <w:szCs w:val="24"/>
          <w:lang w:eastAsia="zh-CN"/>
        </w:rPr>
        <w:t xml:space="preserve"> C, </w:t>
      </w:r>
      <w:proofErr w:type="spellStart"/>
      <w:r w:rsidRPr="00FA3392">
        <w:rPr>
          <w:rFonts w:ascii="Book Antiqua" w:eastAsia="SimSun" w:hAnsi="Book Antiqua" w:cs="SimSun"/>
          <w:color w:val="000000"/>
          <w:sz w:val="24"/>
          <w:szCs w:val="24"/>
          <w:lang w:eastAsia="zh-CN"/>
        </w:rPr>
        <w:t>Bonetti</w:t>
      </w:r>
      <w:proofErr w:type="spellEnd"/>
      <w:r w:rsidRPr="00FA3392">
        <w:rPr>
          <w:rFonts w:ascii="Book Antiqua" w:eastAsia="SimSun" w:hAnsi="Book Antiqua" w:cs="SimSun"/>
          <w:color w:val="000000"/>
          <w:sz w:val="24"/>
          <w:szCs w:val="24"/>
          <w:lang w:eastAsia="zh-CN"/>
        </w:rPr>
        <w:t xml:space="preserve"> P, </w:t>
      </w:r>
      <w:proofErr w:type="spellStart"/>
      <w:r w:rsidRPr="00FA3392">
        <w:rPr>
          <w:rFonts w:ascii="Book Antiqua" w:eastAsia="SimSun" w:hAnsi="Book Antiqua" w:cs="SimSun"/>
          <w:color w:val="000000"/>
          <w:sz w:val="24"/>
          <w:szCs w:val="24"/>
          <w:lang w:eastAsia="zh-CN"/>
        </w:rPr>
        <w:t>Fuschi</w:t>
      </w:r>
      <w:proofErr w:type="spellEnd"/>
      <w:r w:rsidRPr="00FA3392">
        <w:rPr>
          <w:rFonts w:ascii="Book Antiqua" w:eastAsia="SimSun" w:hAnsi="Book Antiqua" w:cs="SimSun"/>
          <w:color w:val="000000"/>
          <w:sz w:val="24"/>
          <w:szCs w:val="24"/>
          <w:lang w:eastAsia="zh-CN"/>
        </w:rPr>
        <w:t xml:space="preserve"> P, Basho J, </w:t>
      </w:r>
      <w:proofErr w:type="spellStart"/>
      <w:r w:rsidRPr="00FA3392">
        <w:rPr>
          <w:rFonts w:ascii="Book Antiqua" w:eastAsia="SimSun" w:hAnsi="Book Antiqua" w:cs="SimSun"/>
          <w:color w:val="000000"/>
          <w:sz w:val="24"/>
          <w:szCs w:val="24"/>
          <w:lang w:eastAsia="zh-CN"/>
        </w:rPr>
        <w:t>Tocco</w:t>
      </w:r>
      <w:proofErr w:type="spellEnd"/>
      <w:r w:rsidRPr="00FA3392">
        <w:rPr>
          <w:rFonts w:ascii="Book Antiqua" w:eastAsia="SimSun" w:hAnsi="Book Antiqua" w:cs="SimSun"/>
          <w:color w:val="000000"/>
          <w:sz w:val="24"/>
          <w:szCs w:val="24"/>
          <w:lang w:eastAsia="zh-CN"/>
        </w:rPr>
        <w:t xml:space="preserve"> A, </w:t>
      </w:r>
      <w:proofErr w:type="spellStart"/>
      <w:r w:rsidRPr="00FA3392">
        <w:rPr>
          <w:rFonts w:ascii="Book Antiqua" w:eastAsia="SimSun" w:hAnsi="Book Antiqua" w:cs="SimSun"/>
          <w:color w:val="000000"/>
          <w:sz w:val="24"/>
          <w:szCs w:val="24"/>
          <w:lang w:eastAsia="zh-CN"/>
        </w:rPr>
        <w:t>Bhalla</w:t>
      </w:r>
      <w:proofErr w:type="spellEnd"/>
      <w:r w:rsidRPr="00FA3392">
        <w:rPr>
          <w:rFonts w:ascii="Book Antiqua" w:eastAsia="SimSun" w:hAnsi="Book Antiqua" w:cs="SimSun"/>
          <w:color w:val="000000"/>
          <w:sz w:val="24"/>
          <w:szCs w:val="24"/>
          <w:lang w:eastAsia="zh-CN"/>
        </w:rPr>
        <w:t xml:space="preserve"> A, </w:t>
      </w:r>
      <w:proofErr w:type="spellStart"/>
      <w:r w:rsidRPr="00FA3392">
        <w:rPr>
          <w:rFonts w:ascii="Book Antiqua" w:eastAsia="SimSun" w:hAnsi="Book Antiqua" w:cs="SimSun"/>
          <w:color w:val="000000"/>
          <w:sz w:val="24"/>
          <w:szCs w:val="24"/>
          <w:lang w:eastAsia="zh-CN"/>
        </w:rPr>
        <w:t>Galassini</w:t>
      </w:r>
      <w:proofErr w:type="spellEnd"/>
      <w:r w:rsidRPr="00FA3392">
        <w:rPr>
          <w:rFonts w:ascii="Book Antiqua" w:eastAsia="SimSun" w:hAnsi="Book Antiqua" w:cs="SimSun"/>
          <w:color w:val="000000"/>
          <w:sz w:val="24"/>
          <w:szCs w:val="24"/>
          <w:lang w:eastAsia="zh-CN"/>
        </w:rPr>
        <w:t xml:space="preserve"> R, </w:t>
      </w:r>
      <w:proofErr w:type="spellStart"/>
      <w:r w:rsidRPr="00FA3392">
        <w:rPr>
          <w:rFonts w:ascii="Book Antiqua" w:eastAsia="SimSun" w:hAnsi="Book Antiqua" w:cs="SimSun"/>
          <w:color w:val="000000"/>
          <w:sz w:val="24"/>
          <w:szCs w:val="24"/>
          <w:lang w:eastAsia="zh-CN"/>
        </w:rPr>
        <w:t>Noventa</w:t>
      </w:r>
      <w:proofErr w:type="spellEnd"/>
      <w:r w:rsidRPr="00FA3392">
        <w:rPr>
          <w:rFonts w:ascii="Book Antiqua" w:eastAsia="SimSun" w:hAnsi="Book Antiqua" w:cs="SimSun"/>
          <w:color w:val="000000"/>
          <w:sz w:val="24"/>
          <w:szCs w:val="24"/>
          <w:lang w:eastAsia="zh-CN"/>
        </w:rPr>
        <w:t xml:space="preserve"> F, </w:t>
      </w:r>
      <w:proofErr w:type="spellStart"/>
      <w:r w:rsidRPr="00FA3392">
        <w:rPr>
          <w:rFonts w:ascii="Book Antiqua" w:eastAsia="SimSun" w:hAnsi="Book Antiqua" w:cs="SimSun"/>
          <w:color w:val="000000"/>
          <w:sz w:val="24"/>
          <w:szCs w:val="24"/>
          <w:lang w:eastAsia="zh-CN"/>
        </w:rPr>
        <w:t>Schalm</w:t>
      </w:r>
      <w:proofErr w:type="spellEnd"/>
      <w:r w:rsidRPr="00FA3392">
        <w:rPr>
          <w:rFonts w:ascii="Book Antiqua" w:eastAsia="SimSun" w:hAnsi="Book Antiqua" w:cs="SimSun"/>
          <w:color w:val="000000"/>
          <w:sz w:val="24"/>
          <w:szCs w:val="24"/>
          <w:lang w:eastAsia="zh-CN"/>
        </w:rPr>
        <w:t xml:space="preserve"> SW, </w:t>
      </w:r>
      <w:proofErr w:type="spellStart"/>
      <w:r w:rsidRPr="00FA3392">
        <w:rPr>
          <w:rFonts w:ascii="Book Antiqua" w:eastAsia="SimSun" w:hAnsi="Book Antiqua" w:cs="SimSun"/>
          <w:color w:val="000000"/>
          <w:sz w:val="24"/>
          <w:szCs w:val="24"/>
          <w:lang w:eastAsia="zh-CN"/>
        </w:rPr>
        <w:t>Realdi</w:t>
      </w:r>
      <w:proofErr w:type="spellEnd"/>
      <w:r w:rsidRPr="00FA3392">
        <w:rPr>
          <w:rFonts w:ascii="Book Antiqua" w:eastAsia="SimSun" w:hAnsi="Book Antiqua" w:cs="SimSun"/>
          <w:color w:val="000000"/>
          <w:sz w:val="24"/>
          <w:szCs w:val="24"/>
          <w:lang w:eastAsia="zh-CN"/>
        </w:rPr>
        <w:t xml:space="preserve"> G. Morbidity and mortality in compensated cirrhosis type C: a retrospective follow-up study of 384 patients. </w:t>
      </w:r>
      <w:r w:rsidRPr="00FA3392">
        <w:rPr>
          <w:rFonts w:ascii="Book Antiqua" w:eastAsia="SimSun" w:hAnsi="Book Antiqua" w:cs="SimSun"/>
          <w:i/>
          <w:iCs/>
          <w:color w:val="000000"/>
          <w:sz w:val="24"/>
          <w:szCs w:val="24"/>
          <w:lang w:eastAsia="zh-CN"/>
        </w:rPr>
        <w:t>Gastroenterology</w:t>
      </w:r>
      <w:r w:rsidRPr="00FA3392">
        <w:rPr>
          <w:rFonts w:ascii="Book Antiqua" w:eastAsia="SimSun" w:hAnsi="Book Antiqua" w:cs="SimSun"/>
          <w:color w:val="000000"/>
          <w:sz w:val="24"/>
          <w:szCs w:val="24"/>
          <w:lang w:eastAsia="zh-CN"/>
        </w:rPr>
        <w:t> 1997; </w:t>
      </w:r>
      <w:r w:rsidRPr="00FA3392">
        <w:rPr>
          <w:rFonts w:ascii="Book Antiqua" w:eastAsia="SimSun" w:hAnsi="Book Antiqua" w:cs="SimSun"/>
          <w:b/>
          <w:bCs/>
          <w:color w:val="000000"/>
          <w:sz w:val="24"/>
          <w:szCs w:val="24"/>
          <w:lang w:eastAsia="zh-CN"/>
        </w:rPr>
        <w:t>112</w:t>
      </w:r>
      <w:r w:rsidRPr="00FA3392">
        <w:rPr>
          <w:rFonts w:ascii="Book Antiqua" w:eastAsia="SimSun" w:hAnsi="Book Antiqua" w:cs="SimSun"/>
          <w:color w:val="000000"/>
          <w:sz w:val="24"/>
          <w:szCs w:val="24"/>
          <w:lang w:eastAsia="zh-CN"/>
        </w:rPr>
        <w:t>: 463-472 [PMID: 9024300 DOI: 10.1053/gast.1997.v112.pm9024300]</w:t>
      </w:r>
    </w:p>
    <w:p w:rsidR="00FA3392" w:rsidRPr="00FA3392" w:rsidRDefault="00FA3392" w:rsidP="00FA3392">
      <w:pPr>
        <w:spacing w:after="0" w:line="360" w:lineRule="auto"/>
        <w:jc w:val="both"/>
        <w:rPr>
          <w:rFonts w:ascii="Book Antiqua" w:eastAsia="SimSun" w:hAnsi="Book Antiqua" w:cs="SimSun"/>
          <w:color w:val="000000"/>
          <w:sz w:val="24"/>
          <w:szCs w:val="24"/>
          <w:lang w:eastAsia="zh-CN"/>
        </w:rPr>
      </w:pPr>
      <w:r w:rsidRPr="00FA3392">
        <w:rPr>
          <w:rFonts w:ascii="Book Antiqua" w:eastAsia="SimSun" w:hAnsi="Book Antiqua" w:cs="SimSun"/>
          <w:color w:val="000000"/>
          <w:sz w:val="24"/>
          <w:szCs w:val="24"/>
          <w:lang w:eastAsia="zh-CN"/>
        </w:rPr>
        <w:t>30</w:t>
      </w:r>
      <w:r w:rsidRPr="00FA3392">
        <w:rPr>
          <w:rFonts w:ascii="Book Antiqua" w:eastAsia="SimSun" w:hAnsi="Book Antiqua" w:cs="SimSun"/>
          <w:b/>
          <w:color w:val="000000"/>
          <w:sz w:val="24"/>
          <w:szCs w:val="24"/>
          <w:lang w:eastAsia="zh-CN"/>
        </w:rPr>
        <w:t xml:space="preserve"> </w:t>
      </w:r>
      <w:proofErr w:type="spellStart"/>
      <w:r w:rsidRPr="00FA3392">
        <w:rPr>
          <w:rFonts w:ascii="Book Antiqua" w:eastAsia="SimSun" w:hAnsi="Book Antiqua" w:cs="SimSun"/>
          <w:b/>
          <w:color w:val="000000"/>
          <w:sz w:val="24"/>
          <w:szCs w:val="24"/>
          <w:lang w:eastAsia="zh-CN"/>
        </w:rPr>
        <w:t>Fattovich</w:t>
      </w:r>
      <w:proofErr w:type="spellEnd"/>
      <w:r w:rsidRPr="00FA3392">
        <w:rPr>
          <w:rFonts w:ascii="Book Antiqua" w:eastAsia="SimSun" w:hAnsi="Book Antiqua" w:cs="SimSun"/>
          <w:b/>
          <w:color w:val="000000"/>
          <w:sz w:val="24"/>
          <w:szCs w:val="24"/>
          <w:lang w:eastAsia="zh-CN"/>
        </w:rPr>
        <w:t xml:space="preserve"> G</w:t>
      </w:r>
      <w:r w:rsidRPr="00FA3392">
        <w:rPr>
          <w:rFonts w:ascii="Book Antiqua" w:eastAsia="SimSun" w:hAnsi="Book Antiqua" w:cs="SimSun"/>
          <w:color w:val="000000"/>
          <w:sz w:val="24"/>
          <w:szCs w:val="24"/>
          <w:lang w:eastAsia="zh-CN"/>
        </w:rPr>
        <w:t xml:space="preserve">, </w:t>
      </w:r>
      <w:proofErr w:type="spellStart"/>
      <w:r w:rsidRPr="00FA3392">
        <w:rPr>
          <w:rFonts w:ascii="Book Antiqua" w:eastAsia="SimSun" w:hAnsi="Book Antiqua" w:cs="SimSun"/>
          <w:color w:val="000000"/>
          <w:sz w:val="24"/>
          <w:szCs w:val="24"/>
          <w:lang w:eastAsia="zh-CN"/>
        </w:rPr>
        <w:t>Stroffolini</w:t>
      </w:r>
      <w:proofErr w:type="spellEnd"/>
      <w:r w:rsidRPr="00FA3392">
        <w:rPr>
          <w:rFonts w:ascii="Book Antiqua" w:eastAsia="SimSun" w:hAnsi="Book Antiqua" w:cs="SimSun"/>
          <w:color w:val="000000"/>
          <w:sz w:val="24"/>
          <w:szCs w:val="24"/>
          <w:lang w:eastAsia="zh-CN"/>
        </w:rPr>
        <w:t xml:space="preserve"> T, </w:t>
      </w:r>
      <w:proofErr w:type="spellStart"/>
      <w:r w:rsidRPr="00FA3392">
        <w:rPr>
          <w:rFonts w:ascii="Book Antiqua" w:eastAsia="SimSun" w:hAnsi="Book Antiqua" w:cs="SimSun"/>
          <w:color w:val="000000"/>
          <w:sz w:val="24"/>
          <w:szCs w:val="24"/>
          <w:lang w:eastAsia="zh-CN"/>
        </w:rPr>
        <w:t>Zagni</w:t>
      </w:r>
      <w:proofErr w:type="spellEnd"/>
      <w:r w:rsidRPr="00FA3392">
        <w:rPr>
          <w:rFonts w:ascii="Book Antiqua" w:eastAsia="SimSun" w:hAnsi="Book Antiqua" w:cs="SimSun"/>
          <w:color w:val="000000"/>
          <w:sz w:val="24"/>
          <w:szCs w:val="24"/>
          <w:lang w:eastAsia="zh-CN"/>
        </w:rPr>
        <w:t xml:space="preserve"> I, Donato F. Hepatocellular Carcinoma in Cirrhosis: Incidence and Risk Factors. </w:t>
      </w:r>
      <w:r w:rsidRPr="00FA3392">
        <w:rPr>
          <w:rFonts w:ascii="Book Antiqua" w:eastAsia="SimSun" w:hAnsi="Book Antiqua" w:cs="SimSun"/>
          <w:i/>
          <w:color w:val="000000"/>
          <w:sz w:val="24"/>
          <w:szCs w:val="24"/>
          <w:lang w:eastAsia="zh-CN"/>
        </w:rPr>
        <w:t>Gastroenterology 2004</w:t>
      </w:r>
      <w:r w:rsidRPr="00FA3392">
        <w:rPr>
          <w:rFonts w:ascii="Book Antiqua" w:eastAsia="SimSun" w:hAnsi="Book Antiqua" w:cs="SimSun"/>
          <w:color w:val="000000"/>
          <w:sz w:val="24"/>
          <w:szCs w:val="24"/>
          <w:lang w:eastAsia="zh-CN"/>
        </w:rPr>
        <w:t xml:space="preserve">, </w:t>
      </w:r>
      <w:r w:rsidRPr="00FA3392">
        <w:rPr>
          <w:rFonts w:ascii="Book Antiqua" w:eastAsia="SimSun" w:hAnsi="Book Antiqua" w:cs="SimSun"/>
          <w:b/>
          <w:color w:val="000000"/>
          <w:sz w:val="24"/>
          <w:szCs w:val="24"/>
          <w:lang w:eastAsia="zh-CN"/>
        </w:rPr>
        <w:t>127</w:t>
      </w:r>
      <w:r w:rsidRPr="00FA3392">
        <w:rPr>
          <w:rFonts w:ascii="Book Antiqua" w:eastAsia="SimSun" w:hAnsi="Book Antiqua" w:cs="SimSun"/>
          <w:color w:val="000000"/>
          <w:sz w:val="24"/>
          <w:szCs w:val="24"/>
          <w:lang w:eastAsia="zh-CN"/>
        </w:rPr>
        <w:t>: S35-S50</w:t>
      </w:r>
    </w:p>
    <w:p w:rsidR="00FA3392" w:rsidRPr="00FA3392" w:rsidRDefault="00FA3392" w:rsidP="00FA3392">
      <w:pPr>
        <w:spacing w:after="0" w:line="360" w:lineRule="auto"/>
        <w:jc w:val="both"/>
        <w:rPr>
          <w:rFonts w:ascii="Book Antiqua" w:eastAsia="SimSun" w:hAnsi="Book Antiqua" w:cs="SimSun"/>
          <w:color w:val="000000"/>
          <w:sz w:val="24"/>
          <w:szCs w:val="24"/>
          <w:lang w:eastAsia="zh-CN"/>
        </w:rPr>
      </w:pPr>
      <w:r w:rsidRPr="00FA3392">
        <w:rPr>
          <w:rFonts w:ascii="Book Antiqua" w:eastAsia="SimSun" w:hAnsi="Book Antiqua" w:cs="SimSun"/>
          <w:color w:val="000000"/>
          <w:sz w:val="24"/>
          <w:szCs w:val="24"/>
          <w:lang w:eastAsia="zh-CN"/>
        </w:rPr>
        <w:t>31 </w:t>
      </w:r>
      <w:proofErr w:type="spellStart"/>
      <w:r w:rsidRPr="00FA3392">
        <w:rPr>
          <w:rFonts w:ascii="Book Antiqua" w:eastAsia="SimSun" w:hAnsi="Book Antiqua" w:cs="SimSun"/>
          <w:b/>
          <w:bCs/>
          <w:color w:val="000000"/>
          <w:sz w:val="24"/>
          <w:szCs w:val="24"/>
          <w:lang w:eastAsia="zh-CN"/>
        </w:rPr>
        <w:t>Planas</w:t>
      </w:r>
      <w:proofErr w:type="spellEnd"/>
      <w:r w:rsidRPr="00FA3392">
        <w:rPr>
          <w:rFonts w:ascii="Book Antiqua" w:eastAsia="SimSun" w:hAnsi="Book Antiqua" w:cs="SimSun"/>
          <w:b/>
          <w:bCs/>
          <w:color w:val="000000"/>
          <w:sz w:val="24"/>
          <w:szCs w:val="24"/>
          <w:lang w:eastAsia="zh-CN"/>
        </w:rPr>
        <w:t xml:space="preserve"> R</w:t>
      </w:r>
      <w:r w:rsidRPr="00FA3392">
        <w:rPr>
          <w:rFonts w:ascii="Book Antiqua" w:eastAsia="SimSun" w:hAnsi="Book Antiqua" w:cs="SimSun"/>
          <w:color w:val="000000"/>
          <w:sz w:val="24"/>
          <w:szCs w:val="24"/>
          <w:lang w:eastAsia="zh-CN"/>
        </w:rPr>
        <w:t xml:space="preserve">, </w:t>
      </w:r>
      <w:proofErr w:type="spellStart"/>
      <w:r w:rsidRPr="00FA3392">
        <w:rPr>
          <w:rFonts w:ascii="Book Antiqua" w:eastAsia="SimSun" w:hAnsi="Book Antiqua" w:cs="SimSun"/>
          <w:color w:val="000000"/>
          <w:sz w:val="24"/>
          <w:szCs w:val="24"/>
          <w:lang w:eastAsia="zh-CN"/>
        </w:rPr>
        <w:t>Ballesté</w:t>
      </w:r>
      <w:proofErr w:type="spellEnd"/>
      <w:r w:rsidRPr="00FA3392">
        <w:rPr>
          <w:rFonts w:ascii="Book Antiqua" w:eastAsia="SimSun" w:hAnsi="Book Antiqua" w:cs="SimSun"/>
          <w:color w:val="000000"/>
          <w:sz w:val="24"/>
          <w:szCs w:val="24"/>
          <w:lang w:eastAsia="zh-CN"/>
        </w:rPr>
        <w:t xml:space="preserve"> B, Alvarez MA, Rivera M, </w:t>
      </w:r>
      <w:proofErr w:type="spellStart"/>
      <w:r w:rsidRPr="00FA3392">
        <w:rPr>
          <w:rFonts w:ascii="Book Antiqua" w:eastAsia="SimSun" w:hAnsi="Book Antiqua" w:cs="SimSun"/>
          <w:color w:val="000000"/>
          <w:sz w:val="24"/>
          <w:szCs w:val="24"/>
          <w:lang w:eastAsia="zh-CN"/>
        </w:rPr>
        <w:t>Montoliu</w:t>
      </w:r>
      <w:proofErr w:type="spellEnd"/>
      <w:r w:rsidRPr="00FA3392">
        <w:rPr>
          <w:rFonts w:ascii="Book Antiqua" w:eastAsia="SimSun" w:hAnsi="Book Antiqua" w:cs="SimSun"/>
          <w:color w:val="000000"/>
          <w:sz w:val="24"/>
          <w:szCs w:val="24"/>
          <w:lang w:eastAsia="zh-CN"/>
        </w:rPr>
        <w:t xml:space="preserve"> S, </w:t>
      </w:r>
      <w:proofErr w:type="spellStart"/>
      <w:r w:rsidRPr="00FA3392">
        <w:rPr>
          <w:rFonts w:ascii="Book Antiqua" w:eastAsia="SimSun" w:hAnsi="Book Antiqua" w:cs="SimSun"/>
          <w:color w:val="000000"/>
          <w:sz w:val="24"/>
          <w:szCs w:val="24"/>
          <w:lang w:eastAsia="zh-CN"/>
        </w:rPr>
        <w:t>Galeras</w:t>
      </w:r>
      <w:proofErr w:type="spellEnd"/>
      <w:r w:rsidRPr="00FA3392">
        <w:rPr>
          <w:rFonts w:ascii="Book Antiqua" w:eastAsia="SimSun" w:hAnsi="Book Antiqua" w:cs="SimSun"/>
          <w:color w:val="000000"/>
          <w:sz w:val="24"/>
          <w:szCs w:val="24"/>
          <w:lang w:eastAsia="zh-CN"/>
        </w:rPr>
        <w:t xml:space="preserve"> JA, Santos J, </w:t>
      </w:r>
      <w:proofErr w:type="spellStart"/>
      <w:r w:rsidRPr="00FA3392">
        <w:rPr>
          <w:rFonts w:ascii="Book Antiqua" w:eastAsia="SimSun" w:hAnsi="Book Antiqua" w:cs="SimSun"/>
          <w:color w:val="000000"/>
          <w:sz w:val="24"/>
          <w:szCs w:val="24"/>
          <w:lang w:eastAsia="zh-CN"/>
        </w:rPr>
        <w:t>Coll</w:t>
      </w:r>
      <w:proofErr w:type="spellEnd"/>
      <w:r w:rsidRPr="00FA3392">
        <w:rPr>
          <w:rFonts w:ascii="Book Antiqua" w:eastAsia="SimSun" w:hAnsi="Book Antiqua" w:cs="SimSun"/>
          <w:color w:val="000000"/>
          <w:sz w:val="24"/>
          <w:szCs w:val="24"/>
          <w:lang w:eastAsia="zh-CN"/>
        </w:rPr>
        <w:t xml:space="preserve"> S, </w:t>
      </w:r>
      <w:proofErr w:type="spellStart"/>
      <w:r w:rsidRPr="00FA3392">
        <w:rPr>
          <w:rFonts w:ascii="Book Antiqua" w:eastAsia="SimSun" w:hAnsi="Book Antiqua" w:cs="SimSun"/>
          <w:color w:val="000000"/>
          <w:sz w:val="24"/>
          <w:szCs w:val="24"/>
          <w:lang w:eastAsia="zh-CN"/>
        </w:rPr>
        <w:t>Morillas</w:t>
      </w:r>
      <w:proofErr w:type="spellEnd"/>
      <w:r w:rsidRPr="00FA3392">
        <w:rPr>
          <w:rFonts w:ascii="Book Antiqua" w:eastAsia="SimSun" w:hAnsi="Book Antiqua" w:cs="SimSun"/>
          <w:color w:val="000000"/>
          <w:sz w:val="24"/>
          <w:szCs w:val="24"/>
          <w:lang w:eastAsia="zh-CN"/>
        </w:rPr>
        <w:t xml:space="preserve"> RM, </w:t>
      </w:r>
      <w:proofErr w:type="spellStart"/>
      <w:r w:rsidRPr="00FA3392">
        <w:rPr>
          <w:rFonts w:ascii="Book Antiqua" w:eastAsia="SimSun" w:hAnsi="Book Antiqua" w:cs="SimSun"/>
          <w:color w:val="000000"/>
          <w:sz w:val="24"/>
          <w:szCs w:val="24"/>
          <w:lang w:eastAsia="zh-CN"/>
        </w:rPr>
        <w:t>Solà</w:t>
      </w:r>
      <w:proofErr w:type="spellEnd"/>
      <w:r w:rsidRPr="00FA3392">
        <w:rPr>
          <w:rFonts w:ascii="Book Antiqua" w:eastAsia="SimSun" w:hAnsi="Book Antiqua" w:cs="SimSun"/>
          <w:color w:val="000000"/>
          <w:sz w:val="24"/>
          <w:szCs w:val="24"/>
          <w:lang w:eastAsia="zh-CN"/>
        </w:rPr>
        <w:t xml:space="preserve"> R. Natural history of decompensated hepatitis C virus-related cirrhosis. A study of 200 patients. </w:t>
      </w:r>
      <w:r w:rsidRPr="00FA3392">
        <w:rPr>
          <w:rFonts w:ascii="Book Antiqua" w:eastAsia="SimSun" w:hAnsi="Book Antiqua" w:cs="SimSun"/>
          <w:i/>
          <w:iCs/>
          <w:color w:val="000000"/>
          <w:sz w:val="24"/>
          <w:szCs w:val="24"/>
          <w:lang w:eastAsia="zh-CN"/>
        </w:rPr>
        <w:t xml:space="preserve">J </w:t>
      </w:r>
      <w:proofErr w:type="spellStart"/>
      <w:r w:rsidRPr="00FA3392">
        <w:rPr>
          <w:rFonts w:ascii="Book Antiqua" w:eastAsia="SimSun" w:hAnsi="Book Antiqua" w:cs="SimSun"/>
          <w:i/>
          <w:iCs/>
          <w:color w:val="000000"/>
          <w:sz w:val="24"/>
          <w:szCs w:val="24"/>
          <w:lang w:eastAsia="zh-CN"/>
        </w:rPr>
        <w:t>Hepatol</w:t>
      </w:r>
      <w:proofErr w:type="spellEnd"/>
      <w:r w:rsidRPr="00FA3392">
        <w:rPr>
          <w:rFonts w:ascii="Book Antiqua" w:eastAsia="SimSun" w:hAnsi="Book Antiqua" w:cs="SimSun"/>
          <w:color w:val="000000"/>
          <w:sz w:val="24"/>
          <w:szCs w:val="24"/>
          <w:lang w:eastAsia="zh-CN"/>
        </w:rPr>
        <w:t> 2004; </w:t>
      </w:r>
      <w:r w:rsidRPr="00FA3392">
        <w:rPr>
          <w:rFonts w:ascii="Book Antiqua" w:eastAsia="SimSun" w:hAnsi="Book Antiqua" w:cs="SimSun"/>
          <w:b/>
          <w:bCs/>
          <w:color w:val="000000"/>
          <w:sz w:val="24"/>
          <w:szCs w:val="24"/>
          <w:lang w:eastAsia="zh-CN"/>
        </w:rPr>
        <w:t>40</w:t>
      </w:r>
      <w:r w:rsidRPr="00FA3392">
        <w:rPr>
          <w:rFonts w:ascii="Book Antiqua" w:eastAsia="SimSun" w:hAnsi="Book Antiqua" w:cs="SimSun"/>
          <w:color w:val="000000"/>
          <w:sz w:val="24"/>
          <w:szCs w:val="24"/>
          <w:lang w:eastAsia="zh-CN"/>
        </w:rPr>
        <w:t>: 823-830 [PMID: 15094231 DOI: 10.1016/j.jhep.2004.01.005]</w:t>
      </w:r>
    </w:p>
    <w:p w:rsidR="00FA3392" w:rsidRPr="00FA3392" w:rsidRDefault="00FA3392" w:rsidP="00FA3392">
      <w:pPr>
        <w:spacing w:after="0" w:line="360" w:lineRule="auto"/>
        <w:jc w:val="both"/>
        <w:rPr>
          <w:rFonts w:ascii="Book Antiqua" w:eastAsia="SimSun" w:hAnsi="Book Antiqua" w:cs="SimSun"/>
          <w:color w:val="000000"/>
          <w:sz w:val="24"/>
          <w:szCs w:val="24"/>
          <w:lang w:eastAsia="zh-CN"/>
        </w:rPr>
      </w:pPr>
      <w:r w:rsidRPr="00FA3392">
        <w:rPr>
          <w:rFonts w:ascii="Book Antiqua" w:eastAsia="SimSun" w:hAnsi="Book Antiqua" w:cs="SimSun"/>
          <w:color w:val="000000"/>
          <w:sz w:val="24"/>
          <w:szCs w:val="24"/>
          <w:lang w:eastAsia="zh-CN"/>
        </w:rPr>
        <w:lastRenderedPageBreak/>
        <w:t>32 </w:t>
      </w:r>
      <w:r w:rsidRPr="00FA3392">
        <w:rPr>
          <w:rFonts w:ascii="Book Antiqua" w:eastAsia="SimSun" w:hAnsi="Book Antiqua" w:cs="SimSun"/>
          <w:b/>
          <w:bCs/>
          <w:color w:val="000000"/>
          <w:sz w:val="24"/>
          <w:szCs w:val="24"/>
          <w:lang w:eastAsia="zh-CN"/>
        </w:rPr>
        <w:t>Siebert U</w:t>
      </w:r>
      <w:r w:rsidRPr="00FA3392">
        <w:rPr>
          <w:rFonts w:ascii="Book Antiqua" w:eastAsia="SimSun" w:hAnsi="Book Antiqua" w:cs="SimSun"/>
          <w:color w:val="000000"/>
          <w:sz w:val="24"/>
          <w:szCs w:val="24"/>
          <w:lang w:eastAsia="zh-CN"/>
        </w:rPr>
        <w:t xml:space="preserve">, </w:t>
      </w:r>
      <w:proofErr w:type="spellStart"/>
      <w:r w:rsidRPr="00FA3392">
        <w:rPr>
          <w:rFonts w:ascii="Book Antiqua" w:eastAsia="SimSun" w:hAnsi="Book Antiqua" w:cs="SimSun"/>
          <w:color w:val="000000"/>
          <w:sz w:val="24"/>
          <w:szCs w:val="24"/>
          <w:lang w:eastAsia="zh-CN"/>
        </w:rPr>
        <w:t>Sroczynski</w:t>
      </w:r>
      <w:proofErr w:type="spellEnd"/>
      <w:r w:rsidRPr="00FA3392">
        <w:rPr>
          <w:rFonts w:ascii="Book Antiqua" w:eastAsia="SimSun" w:hAnsi="Book Antiqua" w:cs="SimSun"/>
          <w:color w:val="000000"/>
          <w:sz w:val="24"/>
          <w:szCs w:val="24"/>
          <w:lang w:eastAsia="zh-CN"/>
        </w:rPr>
        <w:t xml:space="preserve"> G, </w:t>
      </w:r>
      <w:proofErr w:type="spellStart"/>
      <w:r w:rsidRPr="00FA3392">
        <w:rPr>
          <w:rFonts w:ascii="Book Antiqua" w:eastAsia="SimSun" w:hAnsi="Book Antiqua" w:cs="SimSun"/>
          <w:color w:val="000000"/>
          <w:sz w:val="24"/>
          <w:szCs w:val="24"/>
          <w:lang w:eastAsia="zh-CN"/>
        </w:rPr>
        <w:t>Rossol</w:t>
      </w:r>
      <w:proofErr w:type="spellEnd"/>
      <w:r w:rsidRPr="00FA3392">
        <w:rPr>
          <w:rFonts w:ascii="Book Antiqua" w:eastAsia="SimSun" w:hAnsi="Book Antiqua" w:cs="SimSun"/>
          <w:color w:val="000000"/>
          <w:sz w:val="24"/>
          <w:szCs w:val="24"/>
          <w:lang w:eastAsia="zh-CN"/>
        </w:rPr>
        <w:t xml:space="preserve"> S, </w:t>
      </w:r>
      <w:proofErr w:type="spellStart"/>
      <w:r w:rsidRPr="00FA3392">
        <w:rPr>
          <w:rFonts w:ascii="Book Antiqua" w:eastAsia="SimSun" w:hAnsi="Book Antiqua" w:cs="SimSun"/>
          <w:color w:val="000000"/>
          <w:sz w:val="24"/>
          <w:szCs w:val="24"/>
          <w:lang w:eastAsia="zh-CN"/>
        </w:rPr>
        <w:t>Wasem</w:t>
      </w:r>
      <w:proofErr w:type="spellEnd"/>
      <w:r w:rsidRPr="00FA3392">
        <w:rPr>
          <w:rFonts w:ascii="Book Antiqua" w:eastAsia="SimSun" w:hAnsi="Book Antiqua" w:cs="SimSun"/>
          <w:color w:val="000000"/>
          <w:sz w:val="24"/>
          <w:szCs w:val="24"/>
          <w:lang w:eastAsia="zh-CN"/>
        </w:rPr>
        <w:t xml:space="preserve"> J, Ravens-</w:t>
      </w:r>
      <w:proofErr w:type="spellStart"/>
      <w:r w:rsidRPr="00FA3392">
        <w:rPr>
          <w:rFonts w:ascii="Book Antiqua" w:eastAsia="SimSun" w:hAnsi="Book Antiqua" w:cs="SimSun"/>
          <w:color w:val="000000"/>
          <w:sz w:val="24"/>
          <w:szCs w:val="24"/>
          <w:lang w:eastAsia="zh-CN"/>
        </w:rPr>
        <w:t>Sieberer</w:t>
      </w:r>
      <w:proofErr w:type="spellEnd"/>
      <w:r w:rsidRPr="00FA3392">
        <w:rPr>
          <w:rFonts w:ascii="Book Antiqua" w:eastAsia="SimSun" w:hAnsi="Book Antiqua" w:cs="SimSun"/>
          <w:color w:val="000000"/>
          <w:sz w:val="24"/>
          <w:szCs w:val="24"/>
          <w:lang w:eastAsia="zh-CN"/>
        </w:rPr>
        <w:t xml:space="preserve"> U, </w:t>
      </w:r>
      <w:proofErr w:type="spellStart"/>
      <w:r w:rsidRPr="00FA3392">
        <w:rPr>
          <w:rFonts w:ascii="Book Antiqua" w:eastAsia="SimSun" w:hAnsi="Book Antiqua" w:cs="SimSun"/>
          <w:color w:val="000000"/>
          <w:sz w:val="24"/>
          <w:szCs w:val="24"/>
          <w:lang w:eastAsia="zh-CN"/>
        </w:rPr>
        <w:t>Kurth</w:t>
      </w:r>
      <w:proofErr w:type="spellEnd"/>
      <w:r w:rsidRPr="00FA3392">
        <w:rPr>
          <w:rFonts w:ascii="Book Antiqua" w:eastAsia="SimSun" w:hAnsi="Book Antiqua" w:cs="SimSun"/>
          <w:color w:val="000000"/>
          <w:sz w:val="24"/>
          <w:szCs w:val="24"/>
          <w:lang w:eastAsia="zh-CN"/>
        </w:rPr>
        <w:t xml:space="preserve"> BM, </w:t>
      </w:r>
      <w:proofErr w:type="spellStart"/>
      <w:r w:rsidRPr="00FA3392">
        <w:rPr>
          <w:rFonts w:ascii="Book Antiqua" w:eastAsia="SimSun" w:hAnsi="Book Antiqua" w:cs="SimSun"/>
          <w:color w:val="000000"/>
          <w:sz w:val="24"/>
          <w:szCs w:val="24"/>
          <w:lang w:eastAsia="zh-CN"/>
        </w:rPr>
        <w:t>Manns</w:t>
      </w:r>
      <w:proofErr w:type="spellEnd"/>
      <w:r w:rsidRPr="00FA3392">
        <w:rPr>
          <w:rFonts w:ascii="Book Antiqua" w:eastAsia="SimSun" w:hAnsi="Book Antiqua" w:cs="SimSun"/>
          <w:color w:val="000000"/>
          <w:sz w:val="24"/>
          <w:szCs w:val="24"/>
          <w:lang w:eastAsia="zh-CN"/>
        </w:rPr>
        <w:t xml:space="preserve"> MP, </w:t>
      </w:r>
      <w:proofErr w:type="spellStart"/>
      <w:r w:rsidRPr="00FA3392">
        <w:rPr>
          <w:rFonts w:ascii="Book Antiqua" w:eastAsia="SimSun" w:hAnsi="Book Antiqua" w:cs="SimSun"/>
          <w:color w:val="000000"/>
          <w:sz w:val="24"/>
          <w:szCs w:val="24"/>
          <w:lang w:eastAsia="zh-CN"/>
        </w:rPr>
        <w:t>McHutchison</w:t>
      </w:r>
      <w:proofErr w:type="spellEnd"/>
      <w:r w:rsidRPr="00FA3392">
        <w:rPr>
          <w:rFonts w:ascii="Book Antiqua" w:eastAsia="SimSun" w:hAnsi="Book Antiqua" w:cs="SimSun"/>
          <w:color w:val="000000"/>
          <w:sz w:val="24"/>
          <w:szCs w:val="24"/>
          <w:lang w:eastAsia="zh-CN"/>
        </w:rPr>
        <w:t xml:space="preserve"> JG, Wong JB. Cost effectiveness of </w:t>
      </w:r>
      <w:proofErr w:type="spellStart"/>
      <w:r w:rsidRPr="00FA3392">
        <w:rPr>
          <w:rFonts w:ascii="Book Antiqua" w:eastAsia="SimSun" w:hAnsi="Book Antiqua" w:cs="SimSun"/>
          <w:color w:val="000000"/>
          <w:sz w:val="24"/>
          <w:szCs w:val="24"/>
          <w:lang w:eastAsia="zh-CN"/>
        </w:rPr>
        <w:t>peginterferon</w:t>
      </w:r>
      <w:proofErr w:type="spellEnd"/>
      <w:r w:rsidRPr="00FA3392">
        <w:rPr>
          <w:rFonts w:ascii="Book Antiqua" w:eastAsia="SimSun" w:hAnsi="Book Antiqua" w:cs="SimSun"/>
          <w:color w:val="000000"/>
          <w:sz w:val="24"/>
          <w:szCs w:val="24"/>
          <w:lang w:eastAsia="zh-CN"/>
        </w:rPr>
        <w:t xml:space="preserve"> alpha-2b plus ribavirin versus interferon alpha-2b plus ribavirin for initial treatment of chronic hepatitis C. </w:t>
      </w:r>
      <w:r w:rsidRPr="00FA3392">
        <w:rPr>
          <w:rFonts w:ascii="Book Antiqua" w:eastAsia="SimSun" w:hAnsi="Book Antiqua" w:cs="SimSun"/>
          <w:i/>
          <w:iCs/>
          <w:color w:val="000000"/>
          <w:sz w:val="24"/>
          <w:szCs w:val="24"/>
          <w:lang w:eastAsia="zh-CN"/>
        </w:rPr>
        <w:t>Gut</w:t>
      </w:r>
      <w:r w:rsidRPr="00FA3392">
        <w:rPr>
          <w:rFonts w:ascii="Book Antiqua" w:eastAsia="SimSun" w:hAnsi="Book Antiqua" w:cs="SimSun"/>
          <w:color w:val="000000"/>
          <w:sz w:val="24"/>
          <w:szCs w:val="24"/>
          <w:lang w:eastAsia="zh-CN"/>
        </w:rPr>
        <w:t> 2003; </w:t>
      </w:r>
      <w:r w:rsidRPr="00FA3392">
        <w:rPr>
          <w:rFonts w:ascii="Book Antiqua" w:eastAsia="SimSun" w:hAnsi="Book Antiqua" w:cs="SimSun"/>
          <w:b/>
          <w:bCs/>
          <w:color w:val="000000"/>
          <w:sz w:val="24"/>
          <w:szCs w:val="24"/>
          <w:lang w:eastAsia="zh-CN"/>
        </w:rPr>
        <w:t>52</w:t>
      </w:r>
      <w:r w:rsidRPr="00FA3392">
        <w:rPr>
          <w:rFonts w:ascii="Book Antiqua" w:eastAsia="SimSun" w:hAnsi="Book Antiqua" w:cs="SimSun"/>
          <w:color w:val="000000"/>
          <w:sz w:val="24"/>
          <w:szCs w:val="24"/>
          <w:lang w:eastAsia="zh-CN"/>
        </w:rPr>
        <w:t>: 425-432 [PMID: 12584228 DOI: 10.1136/gut.52.3.425]</w:t>
      </w:r>
    </w:p>
    <w:p w:rsidR="00FA3392" w:rsidRPr="00FA3392" w:rsidRDefault="00FA3392" w:rsidP="00FA3392">
      <w:pPr>
        <w:spacing w:after="0" w:line="360" w:lineRule="auto"/>
        <w:jc w:val="both"/>
        <w:rPr>
          <w:rFonts w:ascii="Book Antiqua" w:eastAsia="SimSun" w:hAnsi="Book Antiqua" w:cs="SimSun"/>
          <w:color w:val="000000"/>
          <w:sz w:val="24"/>
          <w:szCs w:val="24"/>
          <w:lang w:eastAsia="zh-CN"/>
        </w:rPr>
      </w:pPr>
      <w:r w:rsidRPr="00FA3392">
        <w:rPr>
          <w:rFonts w:ascii="Book Antiqua" w:eastAsia="SimSun" w:hAnsi="Book Antiqua" w:cs="SimSun"/>
          <w:color w:val="000000"/>
          <w:sz w:val="24"/>
          <w:szCs w:val="24"/>
          <w:lang w:eastAsia="zh-CN"/>
        </w:rPr>
        <w:t>33 </w:t>
      </w:r>
      <w:r w:rsidRPr="00FA3392">
        <w:rPr>
          <w:rFonts w:ascii="Book Antiqua" w:eastAsia="SimSun" w:hAnsi="Book Antiqua" w:cs="SimSun"/>
          <w:b/>
          <w:bCs/>
          <w:color w:val="000000"/>
          <w:sz w:val="24"/>
          <w:szCs w:val="24"/>
          <w:lang w:eastAsia="zh-CN"/>
        </w:rPr>
        <w:t>Adam R</w:t>
      </w:r>
      <w:r w:rsidRPr="00FA3392">
        <w:rPr>
          <w:rFonts w:ascii="Book Antiqua" w:eastAsia="SimSun" w:hAnsi="Book Antiqua" w:cs="SimSun"/>
          <w:color w:val="000000"/>
          <w:sz w:val="24"/>
          <w:szCs w:val="24"/>
          <w:lang w:eastAsia="zh-CN"/>
        </w:rPr>
        <w:t xml:space="preserve">, McMaster P, O'Grady JG, </w:t>
      </w:r>
      <w:proofErr w:type="spellStart"/>
      <w:r w:rsidRPr="00FA3392">
        <w:rPr>
          <w:rFonts w:ascii="Book Antiqua" w:eastAsia="SimSun" w:hAnsi="Book Antiqua" w:cs="SimSun"/>
          <w:color w:val="000000"/>
          <w:sz w:val="24"/>
          <w:szCs w:val="24"/>
          <w:lang w:eastAsia="zh-CN"/>
        </w:rPr>
        <w:t>Castaing</w:t>
      </w:r>
      <w:proofErr w:type="spellEnd"/>
      <w:r w:rsidRPr="00FA3392">
        <w:rPr>
          <w:rFonts w:ascii="Book Antiqua" w:eastAsia="SimSun" w:hAnsi="Book Antiqua" w:cs="SimSun"/>
          <w:color w:val="000000"/>
          <w:sz w:val="24"/>
          <w:szCs w:val="24"/>
          <w:lang w:eastAsia="zh-CN"/>
        </w:rPr>
        <w:t xml:space="preserve"> D, </w:t>
      </w:r>
      <w:proofErr w:type="spellStart"/>
      <w:r w:rsidRPr="00FA3392">
        <w:rPr>
          <w:rFonts w:ascii="Book Antiqua" w:eastAsia="SimSun" w:hAnsi="Book Antiqua" w:cs="SimSun"/>
          <w:color w:val="000000"/>
          <w:sz w:val="24"/>
          <w:szCs w:val="24"/>
          <w:lang w:eastAsia="zh-CN"/>
        </w:rPr>
        <w:t>Klempnauer</w:t>
      </w:r>
      <w:proofErr w:type="spellEnd"/>
      <w:r w:rsidRPr="00FA3392">
        <w:rPr>
          <w:rFonts w:ascii="Book Antiqua" w:eastAsia="SimSun" w:hAnsi="Book Antiqua" w:cs="SimSun"/>
          <w:color w:val="000000"/>
          <w:sz w:val="24"/>
          <w:szCs w:val="24"/>
          <w:lang w:eastAsia="zh-CN"/>
        </w:rPr>
        <w:t xml:space="preserve"> JL, Jamieson N, </w:t>
      </w:r>
      <w:proofErr w:type="spellStart"/>
      <w:r w:rsidRPr="00FA3392">
        <w:rPr>
          <w:rFonts w:ascii="Book Antiqua" w:eastAsia="SimSun" w:hAnsi="Book Antiqua" w:cs="SimSun"/>
          <w:color w:val="000000"/>
          <w:sz w:val="24"/>
          <w:szCs w:val="24"/>
          <w:lang w:eastAsia="zh-CN"/>
        </w:rPr>
        <w:t>Neuhaus</w:t>
      </w:r>
      <w:proofErr w:type="spellEnd"/>
      <w:r w:rsidRPr="00FA3392">
        <w:rPr>
          <w:rFonts w:ascii="Book Antiqua" w:eastAsia="SimSun" w:hAnsi="Book Antiqua" w:cs="SimSun"/>
          <w:color w:val="000000"/>
          <w:sz w:val="24"/>
          <w:szCs w:val="24"/>
          <w:lang w:eastAsia="zh-CN"/>
        </w:rPr>
        <w:t xml:space="preserve"> P, </w:t>
      </w:r>
      <w:proofErr w:type="spellStart"/>
      <w:r w:rsidRPr="00FA3392">
        <w:rPr>
          <w:rFonts w:ascii="Book Antiqua" w:eastAsia="SimSun" w:hAnsi="Book Antiqua" w:cs="SimSun"/>
          <w:color w:val="000000"/>
          <w:sz w:val="24"/>
          <w:szCs w:val="24"/>
          <w:lang w:eastAsia="zh-CN"/>
        </w:rPr>
        <w:t>Lerut</w:t>
      </w:r>
      <w:proofErr w:type="spellEnd"/>
      <w:r w:rsidRPr="00FA3392">
        <w:rPr>
          <w:rFonts w:ascii="Book Antiqua" w:eastAsia="SimSun" w:hAnsi="Book Antiqua" w:cs="SimSun"/>
          <w:color w:val="000000"/>
          <w:sz w:val="24"/>
          <w:szCs w:val="24"/>
          <w:lang w:eastAsia="zh-CN"/>
        </w:rPr>
        <w:t xml:space="preserve"> J, </w:t>
      </w:r>
      <w:proofErr w:type="spellStart"/>
      <w:r w:rsidRPr="00FA3392">
        <w:rPr>
          <w:rFonts w:ascii="Book Antiqua" w:eastAsia="SimSun" w:hAnsi="Book Antiqua" w:cs="SimSun"/>
          <w:color w:val="000000"/>
          <w:sz w:val="24"/>
          <w:szCs w:val="24"/>
          <w:lang w:eastAsia="zh-CN"/>
        </w:rPr>
        <w:t>Salizzoni</w:t>
      </w:r>
      <w:proofErr w:type="spellEnd"/>
      <w:r w:rsidRPr="00FA3392">
        <w:rPr>
          <w:rFonts w:ascii="Book Antiqua" w:eastAsia="SimSun" w:hAnsi="Book Antiqua" w:cs="SimSun"/>
          <w:color w:val="000000"/>
          <w:sz w:val="24"/>
          <w:szCs w:val="24"/>
          <w:lang w:eastAsia="zh-CN"/>
        </w:rPr>
        <w:t xml:space="preserve"> M, Pollard S, </w:t>
      </w:r>
      <w:proofErr w:type="spellStart"/>
      <w:r w:rsidRPr="00FA3392">
        <w:rPr>
          <w:rFonts w:ascii="Book Antiqua" w:eastAsia="SimSun" w:hAnsi="Book Antiqua" w:cs="SimSun"/>
          <w:color w:val="000000"/>
          <w:sz w:val="24"/>
          <w:szCs w:val="24"/>
          <w:lang w:eastAsia="zh-CN"/>
        </w:rPr>
        <w:t>Muhlbacher</w:t>
      </w:r>
      <w:proofErr w:type="spellEnd"/>
      <w:r w:rsidRPr="00FA3392">
        <w:rPr>
          <w:rFonts w:ascii="Book Antiqua" w:eastAsia="SimSun" w:hAnsi="Book Antiqua" w:cs="SimSun"/>
          <w:color w:val="000000"/>
          <w:sz w:val="24"/>
          <w:szCs w:val="24"/>
          <w:lang w:eastAsia="zh-CN"/>
        </w:rPr>
        <w:t xml:space="preserve"> F, </w:t>
      </w:r>
      <w:proofErr w:type="spellStart"/>
      <w:r w:rsidRPr="00FA3392">
        <w:rPr>
          <w:rFonts w:ascii="Book Antiqua" w:eastAsia="SimSun" w:hAnsi="Book Antiqua" w:cs="SimSun"/>
          <w:color w:val="000000"/>
          <w:sz w:val="24"/>
          <w:szCs w:val="24"/>
          <w:lang w:eastAsia="zh-CN"/>
        </w:rPr>
        <w:t>Rogiers</w:t>
      </w:r>
      <w:proofErr w:type="spellEnd"/>
      <w:r w:rsidRPr="00FA3392">
        <w:rPr>
          <w:rFonts w:ascii="Book Antiqua" w:eastAsia="SimSun" w:hAnsi="Book Antiqua" w:cs="SimSun"/>
          <w:color w:val="000000"/>
          <w:sz w:val="24"/>
          <w:szCs w:val="24"/>
          <w:lang w:eastAsia="zh-CN"/>
        </w:rPr>
        <w:t xml:space="preserve"> X, Garcia </w:t>
      </w:r>
      <w:proofErr w:type="spellStart"/>
      <w:r w:rsidRPr="00FA3392">
        <w:rPr>
          <w:rFonts w:ascii="Book Antiqua" w:eastAsia="SimSun" w:hAnsi="Book Antiqua" w:cs="SimSun"/>
          <w:color w:val="000000"/>
          <w:sz w:val="24"/>
          <w:szCs w:val="24"/>
          <w:lang w:eastAsia="zh-CN"/>
        </w:rPr>
        <w:t>Valdecasas</w:t>
      </w:r>
      <w:proofErr w:type="spellEnd"/>
      <w:r w:rsidRPr="00FA3392">
        <w:rPr>
          <w:rFonts w:ascii="Book Antiqua" w:eastAsia="SimSun" w:hAnsi="Book Antiqua" w:cs="SimSun"/>
          <w:color w:val="000000"/>
          <w:sz w:val="24"/>
          <w:szCs w:val="24"/>
          <w:lang w:eastAsia="zh-CN"/>
        </w:rPr>
        <w:t xml:space="preserve"> JC, </w:t>
      </w:r>
      <w:proofErr w:type="spellStart"/>
      <w:r w:rsidRPr="00FA3392">
        <w:rPr>
          <w:rFonts w:ascii="Book Antiqua" w:eastAsia="SimSun" w:hAnsi="Book Antiqua" w:cs="SimSun"/>
          <w:color w:val="000000"/>
          <w:sz w:val="24"/>
          <w:szCs w:val="24"/>
          <w:lang w:eastAsia="zh-CN"/>
        </w:rPr>
        <w:t>Berenguer</w:t>
      </w:r>
      <w:proofErr w:type="spellEnd"/>
      <w:r w:rsidRPr="00FA3392">
        <w:rPr>
          <w:rFonts w:ascii="Book Antiqua" w:eastAsia="SimSun" w:hAnsi="Book Antiqua" w:cs="SimSun"/>
          <w:color w:val="000000"/>
          <w:sz w:val="24"/>
          <w:szCs w:val="24"/>
          <w:lang w:eastAsia="zh-CN"/>
        </w:rPr>
        <w:t xml:space="preserve"> J, </w:t>
      </w:r>
      <w:proofErr w:type="spellStart"/>
      <w:r w:rsidRPr="00FA3392">
        <w:rPr>
          <w:rFonts w:ascii="Book Antiqua" w:eastAsia="SimSun" w:hAnsi="Book Antiqua" w:cs="SimSun"/>
          <w:color w:val="000000"/>
          <w:sz w:val="24"/>
          <w:szCs w:val="24"/>
          <w:lang w:eastAsia="zh-CN"/>
        </w:rPr>
        <w:t>Jaeck</w:t>
      </w:r>
      <w:proofErr w:type="spellEnd"/>
      <w:r w:rsidRPr="00FA3392">
        <w:rPr>
          <w:rFonts w:ascii="Book Antiqua" w:eastAsia="SimSun" w:hAnsi="Book Antiqua" w:cs="SimSun"/>
          <w:color w:val="000000"/>
          <w:sz w:val="24"/>
          <w:szCs w:val="24"/>
          <w:lang w:eastAsia="zh-CN"/>
        </w:rPr>
        <w:t xml:space="preserve"> D, Moreno Gonzalez E. Evolution of liver transplantation in Europe: report of the European Liver Transplant Registry. </w:t>
      </w:r>
      <w:r w:rsidRPr="00FA3392">
        <w:rPr>
          <w:rFonts w:ascii="Book Antiqua" w:eastAsia="SimSun" w:hAnsi="Book Antiqua" w:cs="SimSun"/>
          <w:i/>
          <w:iCs/>
          <w:color w:val="000000"/>
          <w:sz w:val="24"/>
          <w:szCs w:val="24"/>
          <w:lang w:eastAsia="zh-CN"/>
        </w:rPr>
        <w:t xml:space="preserve">Liver </w:t>
      </w:r>
      <w:proofErr w:type="spellStart"/>
      <w:r w:rsidRPr="00FA3392">
        <w:rPr>
          <w:rFonts w:ascii="Book Antiqua" w:eastAsia="SimSun" w:hAnsi="Book Antiqua" w:cs="SimSun"/>
          <w:i/>
          <w:iCs/>
          <w:color w:val="000000"/>
          <w:sz w:val="24"/>
          <w:szCs w:val="24"/>
          <w:lang w:eastAsia="zh-CN"/>
        </w:rPr>
        <w:t>Transpl</w:t>
      </w:r>
      <w:proofErr w:type="spellEnd"/>
      <w:r w:rsidRPr="00FA3392">
        <w:rPr>
          <w:rFonts w:ascii="Book Antiqua" w:eastAsia="SimSun" w:hAnsi="Book Antiqua" w:cs="SimSun"/>
          <w:color w:val="000000"/>
          <w:sz w:val="24"/>
          <w:szCs w:val="24"/>
          <w:lang w:eastAsia="zh-CN"/>
        </w:rPr>
        <w:t> 2003; </w:t>
      </w:r>
      <w:r w:rsidRPr="00FA3392">
        <w:rPr>
          <w:rFonts w:ascii="Book Antiqua" w:eastAsia="SimSun" w:hAnsi="Book Antiqua" w:cs="SimSun"/>
          <w:b/>
          <w:bCs/>
          <w:color w:val="000000"/>
          <w:sz w:val="24"/>
          <w:szCs w:val="24"/>
          <w:lang w:eastAsia="zh-CN"/>
        </w:rPr>
        <w:t>9</w:t>
      </w:r>
      <w:r w:rsidRPr="00FA3392">
        <w:rPr>
          <w:rFonts w:ascii="Book Antiqua" w:eastAsia="SimSun" w:hAnsi="Book Antiqua" w:cs="SimSun"/>
          <w:color w:val="000000"/>
          <w:sz w:val="24"/>
          <w:szCs w:val="24"/>
          <w:lang w:eastAsia="zh-CN"/>
        </w:rPr>
        <w:t>: 1231-1243 [PMID: 14625822 DOI: 10.1016/j.lts.2003.09.018]</w:t>
      </w:r>
    </w:p>
    <w:p w:rsidR="00FA3392" w:rsidRPr="00FA3392" w:rsidRDefault="00FA3392" w:rsidP="00FA3392">
      <w:pPr>
        <w:spacing w:after="0" w:line="360" w:lineRule="auto"/>
        <w:jc w:val="both"/>
        <w:rPr>
          <w:rFonts w:ascii="Book Antiqua" w:eastAsia="SimSun" w:hAnsi="Book Antiqua" w:cs="SimSun"/>
          <w:color w:val="000000"/>
          <w:sz w:val="24"/>
          <w:szCs w:val="24"/>
          <w:lang w:eastAsia="zh-CN"/>
        </w:rPr>
      </w:pPr>
      <w:r w:rsidRPr="00FA3392">
        <w:rPr>
          <w:rFonts w:ascii="Book Antiqua" w:eastAsia="SimSun" w:hAnsi="Book Antiqua" w:cs="SimSun"/>
          <w:color w:val="000000"/>
          <w:sz w:val="24"/>
          <w:szCs w:val="24"/>
          <w:lang w:eastAsia="zh-CN"/>
        </w:rPr>
        <w:t>34 </w:t>
      </w:r>
      <w:r w:rsidRPr="00FA3392">
        <w:rPr>
          <w:rFonts w:ascii="Book Antiqua" w:eastAsia="SimSun" w:hAnsi="Book Antiqua" w:cs="SimSun"/>
          <w:b/>
          <w:bCs/>
          <w:color w:val="000000"/>
          <w:sz w:val="24"/>
          <w:szCs w:val="24"/>
          <w:lang w:eastAsia="zh-CN"/>
        </w:rPr>
        <w:t>Kim MY</w:t>
      </w:r>
      <w:r w:rsidRPr="00FA3392">
        <w:rPr>
          <w:rFonts w:ascii="Book Antiqua" w:eastAsia="SimSun" w:hAnsi="Book Antiqua" w:cs="SimSun"/>
          <w:color w:val="000000"/>
          <w:sz w:val="24"/>
          <w:szCs w:val="24"/>
          <w:lang w:eastAsia="zh-CN"/>
        </w:rPr>
        <w:t xml:space="preserve">, Cho MY, </w:t>
      </w:r>
      <w:proofErr w:type="spellStart"/>
      <w:r w:rsidRPr="00FA3392">
        <w:rPr>
          <w:rFonts w:ascii="Book Antiqua" w:eastAsia="SimSun" w:hAnsi="Book Antiqua" w:cs="SimSun"/>
          <w:color w:val="000000"/>
          <w:sz w:val="24"/>
          <w:szCs w:val="24"/>
          <w:lang w:eastAsia="zh-CN"/>
        </w:rPr>
        <w:t>Baik</w:t>
      </w:r>
      <w:proofErr w:type="spellEnd"/>
      <w:r w:rsidRPr="00FA3392">
        <w:rPr>
          <w:rFonts w:ascii="Book Antiqua" w:eastAsia="SimSun" w:hAnsi="Book Antiqua" w:cs="SimSun"/>
          <w:color w:val="000000"/>
          <w:sz w:val="24"/>
          <w:szCs w:val="24"/>
          <w:lang w:eastAsia="zh-CN"/>
        </w:rPr>
        <w:t xml:space="preserve"> SK, </w:t>
      </w:r>
      <w:proofErr w:type="spellStart"/>
      <w:r w:rsidRPr="00FA3392">
        <w:rPr>
          <w:rFonts w:ascii="Book Antiqua" w:eastAsia="SimSun" w:hAnsi="Book Antiqua" w:cs="SimSun"/>
          <w:color w:val="000000"/>
          <w:sz w:val="24"/>
          <w:szCs w:val="24"/>
          <w:lang w:eastAsia="zh-CN"/>
        </w:rPr>
        <w:t>Jeong</w:t>
      </w:r>
      <w:proofErr w:type="spellEnd"/>
      <w:r w:rsidRPr="00FA3392">
        <w:rPr>
          <w:rFonts w:ascii="Book Antiqua" w:eastAsia="SimSun" w:hAnsi="Book Antiqua" w:cs="SimSun"/>
          <w:color w:val="000000"/>
          <w:sz w:val="24"/>
          <w:szCs w:val="24"/>
          <w:lang w:eastAsia="zh-CN"/>
        </w:rPr>
        <w:t xml:space="preserve"> PH, Suk KT, Jang YO, Yea CJ, Kim JW, Kim HS, Kwon SO, </w:t>
      </w:r>
      <w:proofErr w:type="spellStart"/>
      <w:r w:rsidRPr="00FA3392">
        <w:rPr>
          <w:rFonts w:ascii="Book Antiqua" w:eastAsia="SimSun" w:hAnsi="Book Antiqua" w:cs="SimSun"/>
          <w:color w:val="000000"/>
          <w:sz w:val="24"/>
          <w:szCs w:val="24"/>
          <w:lang w:eastAsia="zh-CN"/>
        </w:rPr>
        <w:t>Yoo</w:t>
      </w:r>
      <w:proofErr w:type="spellEnd"/>
      <w:r w:rsidRPr="00FA3392">
        <w:rPr>
          <w:rFonts w:ascii="Book Antiqua" w:eastAsia="SimSun" w:hAnsi="Book Antiqua" w:cs="SimSun"/>
          <w:color w:val="000000"/>
          <w:sz w:val="24"/>
          <w:szCs w:val="24"/>
          <w:lang w:eastAsia="zh-CN"/>
        </w:rPr>
        <w:t xml:space="preserve"> BS, Kim JY, </w:t>
      </w:r>
      <w:proofErr w:type="spellStart"/>
      <w:r w:rsidRPr="00FA3392">
        <w:rPr>
          <w:rFonts w:ascii="Book Antiqua" w:eastAsia="SimSun" w:hAnsi="Book Antiqua" w:cs="SimSun"/>
          <w:color w:val="000000"/>
          <w:sz w:val="24"/>
          <w:szCs w:val="24"/>
          <w:lang w:eastAsia="zh-CN"/>
        </w:rPr>
        <w:t>Eom</w:t>
      </w:r>
      <w:proofErr w:type="spellEnd"/>
      <w:r w:rsidRPr="00FA3392">
        <w:rPr>
          <w:rFonts w:ascii="Book Antiqua" w:eastAsia="SimSun" w:hAnsi="Book Antiqua" w:cs="SimSun"/>
          <w:color w:val="000000"/>
          <w:sz w:val="24"/>
          <w:szCs w:val="24"/>
          <w:lang w:eastAsia="zh-CN"/>
        </w:rPr>
        <w:t xml:space="preserve"> MS, Cha SH, Chang SJ. Beneficial effects of candesartan, an angiotensin-blocking agent, on compensated alcoholic liver fibrosis - a randomized open-label controlled study. </w:t>
      </w:r>
      <w:r w:rsidRPr="00FA3392">
        <w:rPr>
          <w:rFonts w:ascii="Book Antiqua" w:eastAsia="SimSun" w:hAnsi="Book Antiqua" w:cs="SimSun"/>
          <w:i/>
          <w:iCs/>
          <w:color w:val="000000"/>
          <w:sz w:val="24"/>
          <w:szCs w:val="24"/>
          <w:lang w:eastAsia="zh-CN"/>
        </w:rPr>
        <w:t xml:space="preserve">Liver </w:t>
      </w:r>
      <w:proofErr w:type="spellStart"/>
      <w:r w:rsidRPr="00FA3392">
        <w:rPr>
          <w:rFonts w:ascii="Book Antiqua" w:eastAsia="SimSun" w:hAnsi="Book Antiqua" w:cs="SimSun"/>
          <w:i/>
          <w:iCs/>
          <w:color w:val="000000"/>
          <w:sz w:val="24"/>
          <w:szCs w:val="24"/>
          <w:lang w:eastAsia="zh-CN"/>
        </w:rPr>
        <w:t>Int</w:t>
      </w:r>
      <w:proofErr w:type="spellEnd"/>
      <w:r w:rsidRPr="00FA3392">
        <w:rPr>
          <w:rFonts w:ascii="Book Antiqua" w:eastAsia="SimSun" w:hAnsi="Book Antiqua" w:cs="SimSun"/>
          <w:color w:val="000000"/>
          <w:sz w:val="24"/>
          <w:szCs w:val="24"/>
          <w:lang w:eastAsia="zh-CN"/>
        </w:rPr>
        <w:t> 2012; </w:t>
      </w:r>
      <w:r w:rsidRPr="00FA3392">
        <w:rPr>
          <w:rFonts w:ascii="Book Antiqua" w:eastAsia="SimSun" w:hAnsi="Book Antiqua" w:cs="SimSun"/>
          <w:b/>
          <w:bCs/>
          <w:color w:val="000000"/>
          <w:sz w:val="24"/>
          <w:szCs w:val="24"/>
          <w:lang w:eastAsia="zh-CN"/>
        </w:rPr>
        <w:t>32</w:t>
      </w:r>
      <w:r w:rsidRPr="00FA3392">
        <w:rPr>
          <w:rFonts w:ascii="Book Antiqua" w:eastAsia="SimSun" w:hAnsi="Book Antiqua" w:cs="SimSun"/>
          <w:color w:val="000000"/>
          <w:sz w:val="24"/>
          <w:szCs w:val="24"/>
          <w:lang w:eastAsia="zh-CN"/>
        </w:rPr>
        <w:t>: 977-987 [PMID: 22364262 DOI: 10.1111/j.1478-3231.2012.02774.x]</w:t>
      </w:r>
    </w:p>
    <w:p w:rsidR="00FA3392" w:rsidRPr="00FA3392" w:rsidRDefault="00FA3392" w:rsidP="00FA3392">
      <w:pPr>
        <w:spacing w:after="0" w:line="360" w:lineRule="auto"/>
        <w:jc w:val="both"/>
        <w:rPr>
          <w:rFonts w:ascii="Book Antiqua" w:eastAsia="SimSun" w:hAnsi="Book Antiqua" w:cs="SimSun"/>
          <w:color w:val="000000"/>
          <w:sz w:val="24"/>
          <w:szCs w:val="24"/>
          <w:lang w:eastAsia="zh-CN"/>
        </w:rPr>
      </w:pPr>
      <w:r w:rsidRPr="00FA3392">
        <w:rPr>
          <w:rFonts w:ascii="Book Antiqua" w:eastAsia="SimSun" w:hAnsi="Book Antiqua" w:cs="SimSun"/>
          <w:color w:val="000000"/>
          <w:sz w:val="24"/>
          <w:szCs w:val="24"/>
          <w:lang w:eastAsia="zh-CN"/>
        </w:rPr>
        <w:t>35 </w:t>
      </w:r>
      <w:proofErr w:type="spellStart"/>
      <w:r w:rsidRPr="00FA3392">
        <w:rPr>
          <w:rFonts w:ascii="Book Antiqua" w:eastAsia="SimSun" w:hAnsi="Book Antiqua" w:cs="SimSun"/>
          <w:b/>
          <w:bCs/>
          <w:color w:val="000000"/>
          <w:sz w:val="24"/>
          <w:szCs w:val="24"/>
          <w:lang w:eastAsia="zh-CN"/>
        </w:rPr>
        <w:t>Trabut</w:t>
      </w:r>
      <w:proofErr w:type="spellEnd"/>
      <w:r w:rsidRPr="00FA3392">
        <w:rPr>
          <w:rFonts w:ascii="Book Antiqua" w:eastAsia="SimSun" w:hAnsi="Book Antiqua" w:cs="SimSun"/>
          <w:b/>
          <w:bCs/>
          <w:color w:val="000000"/>
          <w:sz w:val="24"/>
          <w:szCs w:val="24"/>
          <w:lang w:eastAsia="zh-CN"/>
        </w:rPr>
        <w:t xml:space="preserve"> JB</w:t>
      </w:r>
      <w:r w:rsidRPr="00FA3392">
        <w:rPr>
          <w:rFonts w:ascii="Book Antiqua" w:eastAsia="SimSun" w:hAnsi="Book Antiqua" w:cs="SimSun"/>
          <w:color w:val="000000"/>
          <w:sz w:val="24"/>
          <w:szCs w:val="24"/>
          <w:lang w:eastAsia="zh-CN"/>
        </w:rPr>
        <w:t xml:space="preserve">, Plat </w:t>
      </w:r>
      <w:proofErr w:type="gramStart"/>
      <w:r w:rsidRPr="00FA3392">
        <w:rPr>
          <w:rFonts w:ascii="Book Antiqua" w:eastAsia="SimSun" w:hAnsi="Book Antiqua" w:cs="SimSun"/>
          <w:color w:val="000000"/>
          <w:sz w:val="24"/>
          <w:szCs w:val="24"/>
          <w:lang w:eastAsia="zh-CN"/>
        </w:rPr>
        <w:t>A</w:t>
      </w:r>
      <w:proofErr w:type="gramEnd"/>
      <w:r w:rsidRPr="00FA3392">
        <w:rPr>
          <w:rFonts w:ascii="Book Antiqua" w:eastAsia="SimSun" w:hAnsi="Book Antiqua" w:cs="SimSun"/>
          <w:color w:val="000000"/>
          <w:sz w:val="24"/>
          <w:szCs w:val="24"/>
          <w:lang w:eastAsia="zh-CN"/>
        </w:rPr>
        <w:t xml:space="preserve">, </w:t>
      </w:r>
      <w:proofErr w:type="spellStart"/>
      <w:r w:rsidRPr="00FA3392">
        <w:rPr>
          <w:rFonts w:ascii="Book Antiqua" w:eastAsia="SimSun" w:hAnsi="Book Antiqua" w:cs="SimSun"/>
          <w:color w:val="000000"/>
          <w:sz w:val="24"/>
          <w:szCs w:val="24"/>
          <w:lang w:eastAsia="zh-CN"/>
        </w:rPr>
        <w:t>Thepot</w:t>
      </w:r>
      <w:proofErr w:type="spellEnd"/>
      <w:r w:rsidRPr="00FA3392">
        <w:rPr>
          <w:rFonts w:ascii="Book Antiqua" w:eastAsia="SimSun" w:hAnsi="Book Antiqua" w:cs="SimSun"/>
          <w:color w:val="000000"/>
          <w:sz w:val="24"/>
          <w:szCs w:val="24"/>
          <w:lang w:eastAsia="zh-CN"/>
        </w:rPr>
        <w:t xml:space="preserve"> V, Fontaine H, </w:t>
      </w:r>
      <w:proofErr w:type="spellStart"/>
      <w:r w:rsidRPr="00FA3392">
        <w:rPr>
          <w:rFonts w:ascii="Book Antiqua" w:eastAsia="SimSun" w:hAnsi="Book Antiqua" w:cs="SimSun"/>
          <w:color w:val="000000"/>
          <w:sz w:val="24"/>
          <w:szCs w:val="24"/>
          <w:lang w:eastAsia="zh-CN"/>
        </w:rPr>
        <w:t>Vallet-Pichard</w:t>
      </w:r>
      <w:proofErr w:type="spellEnd"/>
      <w:r w:rsidRPr="00FA3392">
        <w:rPr>
          <w:rFonts w:ascii="Book Antiqua" w:eastAsia="SimSun" w:hAnsi="Book Antiqua" w:cs="SimSun"/>
          <w:color w:val="000000"/>
          <w:sz w:val="24"/>
          <w:szCs w:val="24"/>
          <w:lang w:eastAsia="zh-CN"/>
        </w:rPr>
        <w:t xml:space="preserve"> A, </w:t>
      </w:r>
      <w:proofErr w:type="spellStart"/>
      <w:r w:rsidRPr="00FA3392">
        <w:rPr>
          <w:rFonts w:ascii="Book Antiqua" w:eastAsia="SimSun" w:hAnsi="Book Antiqua" w:cs="SimSun"/>
          <w:color w:val="000000"/>
          <w:sz w:val="24"/>
          <w:szCs w:val="24"/>
          <w:lang w:eastAsia="zh-CN"/>
        </w:rPr>
        <w:t>Nalpas</w:t>
      </w:r>
      <w:proofErr w:type="spellEnd"/>
      <w:r w:rsidRPr="00FA3392">
        <w:rPr>
          <w:rFonts w:ascii="Book Antiqua" w:eastAsia="SimSun" w:hAnsi="Book Antiqua" w:cs="SimSun"/>
          <w:color w:val="000000"/>
          <w:sz w:val="24"/>
          <w:szCs w:val="24"/>
          <w:lang w:eastAsia="zh-CN"/>
        </w:rPr>
        <w:t xml:space="preserve"> B, Pol S. Influence of liver biopsy on abstinence in alcohol-dependent patients. </w:t>
      </w:r>
      <w:r w:rsidRPr="00FA3392">
        <w:rPr>
          <w:rFonts w:ascii="Book Antiqua" w:eastAsia="SimSun" w:hAnsi="Book Antiqua" w:cs="SimSun"/>
          <w:i/>
          <w:iCs/>
          <w:color w:val="000000"/>
          <w:sz w:val="24"/>
          <w:szCs w:val="24"/>
          <w:lang w:eastAsia="zh-CN"/>
        </w:rPr>
        <w:t xml:space="preserve">Alcohol </w:t>
      </w:r>
      <w:proofErr w:type="spellStart"/>
      <w:r w:rsidRPr="00FA3392">
        <w:rPr>
          <w:rFonts w:ascii="Book Antiqua" w:eastAsia="SimSun" w:hAnsi="Book Antiqua" w:cs="SimSun"/>
          <w:i/>
          <w:iCs/>
          <w:color w:val="000000"/>
          <w:sz w:val="24"/>
          <w:szCs w:val="24"/>
          <w:lang w:eastAsia="zh-CN"/>
        </w:rPr>
        <w:t>Alcohol</w:t>
      </w:r>
      <w:proofErr w:type="spellEnd"/>
      <w:r w:rsidRPr="00FA3392">
        <w:rPr>
          <w:rFonts w:ascii="Book Antiqua" w:eastAsia="SimSun" w:hAnsi="Book Antiqua" w:cs="SimSun"/>
          <w:color w:val="000000"/>
          <w:sz w:val="24"/>
          <w:szCs w:val="24"/>
          <w:lang w:eastAsia="zh-CN"/>
        </w:rPr>
        <w:t> </w:t>
      </w:r>
      <w:r w:rsidRPr="00FA3392">
        <w:rPr>
          <w:rFonts w:ascii="Book Antiqua" w:eastAsia="SimSun" w:hAnsi="Book Antiqua" w:cs="SimSun" w:hint="eastAsia"/>
          <w:color w:val="000000"/>
          <w:sz w:val="24"/>
          <w:szCs w:val="24"/>
          <w:lang w:eastAsia="zh-CN"/>
        </w:rPr>
        <w:t>2008</w:t>
      </w:r>
      <w:r w:rsidRPr="00FA3392">
        <w:rPr>
          <w:rFonts w:ascii="Book Antiqua" w:eastAsia="SimSun" w:hAnsi="Book Antiqua" w:cs="SimSun"/>
          <w:color w:val="000000"/>
          <w:sz w:val="24"/>
          <w:szCs w:val="24"/>
          <w:lang w:eastAsia="zh-CN"/>
        </w:rPr>
        <w:t>; </w:t>
      </w:r>
      <w:r w:rsidRPr="00FA3392">
        <w:rPr>
          <w:rFonts w:ascii="Book Antiqua" w:eastAsia="SimSun" w:hAnsi="Book Antiqua" w:cs="SimSun"/>
          <w:b/>
          <w:bCs/>
          <w:color w:val="000000"/>
          <w:sz w:val="24"/>
          <w:szCs w:val="24"/>
          <w:lang w:eastAsia="zh-CN"/>
        </w:rPr>
        <w:t>43</w:t>
      </w:r>
      <w:r w:rsidRPr="00FA3392">
        <w:rPr>
          <w:rFonts w:ascii="Book Antiqua" w:eastAsia="SimSun" w:hAnsi="Book Antiqua" w:cs="SimSun"/>
          <w:color w:val="000000"/>
          <w:sz w:val="24"/>
          <w:szCs w:val="24"/>
          <w:lang w:eastAsia="zh-CN"/>
        </w:rPr>
        <w:t>: 559-563 [PMID: 18621800 DOI: 10.1093/</w:t>
      </w:r>
      <w:proofErr w:type="spellStart"/>
      <w:r w:rsidRPr="00FA3392">
        <w:rPr>
          <w:rFonts w:ascii="Book Antiqua" w:eastAsia="SimSun" w:hAnsi="Book Antiqua" w:cs="SimSun"/>
          <w:color w:val="000000"/>
          <w:sz w:val="24"/>
          <w:szCs w:val="24"/>
          <w:lang w:eastAsia="zh-CN"/>
        </w:rPr>
        <w:t>alcalc</w:t>
      </w:r>
      <w:proofErr w:type="spellEnd"/>
      <w:r w:rsidRPr="00FA3392">
        <w:rPr>
          <w:rFonts w:ascii="Book Antiqua" w:eastAsia="SimSun" w:hAnsi="Book Antiqua" w:cs="SimSun"/>
          <w:color w:val="000000"/>
          <w:sz w:val="24"/>
          <w:szCs w:val="24"/>
          <w:lang w:eastAsia="zh-CN"/>
        </w:rPr>
        <w:t>/agn046]</w:t>
      </w:r>
    </w:p>
    <w:p w:rsidR="00FA3392" w:rsidRPr="00FA3392" w:rsidRDefault="00FA3392" w:rsidP="00FA3392">
      <w:pPr>
        <w:spacing w:after="0" w:line="360" w:lineRule="auto"/>
        <w:jc w:val="both"/>
        <w:rPr>
          <w:rFonts w:ascii="Book Antiqua" w:eastAsia="SimSun" w:hAnsi="Book Antiqua" w:cs="SimSun"/>
          <w:color w:val="000000"/>
          <w:sz w:val="24"/>
          <w:szCs w:val="24"/>
          <w:lang w:eastAsia="zh-CN"/>
        </w:rPr>
      </w:pPr>
      <w:r w:rsidRPr="00FA3392">
        <w:rPr>
          <w:rFonts w:ascii="Book Antiqua" w:eastAsia="SimSun" w:hAnsi="Book Antiqua" w:cs="SimSun"/>
          <w:color w:val="000000"/>
          <w:sz w:val="24"/>
          <w:szCs w:val="24"/>
          <w:lang w:eastAsia="zh-CN"/>
        </w:rPr>
        <w:t>36 </w:t>
      </w:r>
      <w:r w:rsidRPr="00FA3392">
        <w:rPr>
          <w:rFonts w:ascii="Book Antiqua" w:eastAsia="SimSun" w:hAnsi="Book Antiqua" w:cs="SimSun"/>
          <w:b/>
          <w:bCs/>
          <w:color w:val="000000"/>
          <w:sz w:val="24"/>
          <w:szCs w:val="24"/>
          <w:lang w:eastAsia="zh-CN"/>
        </w:rPr>
        <w:t>Tome S</w:t>
      </w:r>
      <w:r w:rsidRPr="00FA3392">
        <w:rPr>
          <w:rFonts w:ascii="Book Antiqua" w:eastAsia="SimSun" w:hAnsi="Book Antiqua" w:cs="SimSun"/>
          <w:color w:val="000000"/>
          <w:sz w:val="24"/>
          <w:szCs w:val="24"/>
          <w:lang w:eastAsia="zh-CN"/>
        </w:rPr>
        <w:t>, Lucey MR. Review article: current management of alcoholic liver disease. </w:t>
      </w:r>
      <w:r w:rsidRPr="00FA3392">
        <w:rPr>
          <w:rFonts w:ascii="Book Antiqua" w:eastAsia="SimSun" w:hAnsi="Book Antiqua" w:cs="SimSun"/>
          <w:i/>
          <w:iCs/>
          <w:color w:val="000000"/>
          <w:sz w:val="24"/>
          <w:szCs w:val="24"/>
          <w:lang w:eastAsia="zh-CN"/>
        </w:rPr>
        <w:t xml:space="preserve">Aliment </w:t>
      </w:r>
      <w:proofErr w:type="spellStart"/>
      <w:r w:rsidRPr="00FA3392">
        <w:rPr>
          <w:rFonts w:ascii="Book Antiqua" w:eastAsia="SimSun" w:hAnsi="Book Antiqua" w:cs="SimSun"/>
          <w:i/>
          <w:iCs/>
          <w:color w:val="000000"/>
          <w:sz w:val="24"/>
          <w:szCs w:val="24"/>
          <w:lang w:eastAsia="zh-CN"/>
        </w:rPr>
        <w:t>Pharmacol</w:t>
      </w:r>
      <w:proofErr w:type="spellEnd"/>
      <w:r w:rsidRPr="00FA3392">
        <w:rPr>
          <w:rFonts w:ascii="Book Antiqua" w:eastAsia="SimSun" w:hAnsi="Book Antiqua" w:cs="SimSun"/>
          <w:i/>
          <w:iCs/>
          <w:color w:val="000000"/>
          <w:sz w:val="24"/>
          <w:szCs w:val="24"/>
          <w:lang w:eastAsia="zh-CN"/>
        </w:rPr>
        <w:t xml:space="preserve"> </w:t>
      </w:r>
      <w:proofErr w:type="spellStart"/>
      <w:r w:rsidRPr="00FA3392">
        <w:rPr>
          <w:rFonts w:ascii="Book Antiqua" w:eastAsia="SimSun" w:hAnsi="Book Antiqua" w:cs="SimSun"/>
          <w:i/>
          <w:iCs/>
          <w:color w:val="000000"/>
          <w:sz w:val="24"/>
          <w:szCs w:val="24"/>
          <w:lang w:eastAsia="zh-CN"/>
        </w:rPr>
        <w:t>Ther</w:t>
      </w:r>
      <w:proofErr w:type="spellEnd"/>
      <w:r w:rsidRPr="00FA3392">
        <w:rPr>
          <w:rFonts w:ascii="Book Antiqua" w:eastAsia="SimSun" w:hAnsi="Book Antiqua" w:cs="SimSun"/>
          <w:color w:val="000000"/>
          <w:sz w:val="24"/>
          <w:szCs w:val="24"/>
          <w:lang w:eastAsia="zh-CN"/>
        </w:rPr>
        <w:t> 2004; </w:t>
      </w:r>
      <w:r w:rsidRPr="00FA3392">
        <w:rPr>
          <w:rFonts w:ascii="Book Antiqua" w:eastAsia="SimSun" w:hAnsi="Book Antiqua" w:cs="SimSun"/>
          <w:b/>
          <w:bCs/>
          <w:color w:val="000000"/>
          <w:sz w:val="24"/>
          <w:szCs w:val="24"/>
          <w:lang w:eastAsia="zh-CN"/>
        </w:rPr>
        <w:t>19</w:t>
      </w:r>
      <w:r w:rsidRPr="00FA3392">
        <w:rPr>
          <w:rFonts w:ascii="Book Antiqua" w:eastAsia="SimSun" w:hAnsi="Book Antiqua" w:cs="SimSun"/>
          <w:color w:val="000000"/>
          <w:sz w:val="24"/>
          <w:szCs w:val="24"/>
          <w:lang w:eastAsia="zh-CN"/>
        </w:rPr>
        <w:t>: 707-714 [PMID: 15043511 DOI: 10.1111/j.1365-2036.2004.01881.x]</w:t>
      </w:r>
    </w:p>
    <w:p w:rsidR="00FA3392" w:rsidRPr="00FA3392" w:rsidRDefault="00FA3392" w:rsidP="00FA3392">
      <w:pPr>
        <w:spacing w:after="0" w:line="360" w:lineRule="auto"/>
        <w:jc w:val="both"/>
        <w:rPr>
          <w:rFonts w:ascii="Book Antiqua" w:eastAsia="SimSun" w:hAnsi="Book Antiqua" w:cs="SimSun"/>
          <w:color w:val="000000"/>
          <w:sz w:val="24"/>
          <w:szCs w:val="24"/>
          <w:lang w:val="es-ES_tradnl" w:eastAsia="zh-CN"/>
        </w:rPr>
      </w:pPr>
      <w:r w:rsidRPr="00FA3392">
        <w:rPr>
          <w:rFonts w:ascii="Book Antiqua" w:eastAsia="SimSun" w:hAnsi="Book Antiqua" w:cs="SimSun"/>
          <w:color w:val="000000"/>
          <w:sz w:val="24"/>
          <w:szCs w:val="24"/>
          <w:lang w:eastAsia="zh-CN"/>
        </w:rPr>
        <w:t>37 </w:t>
      </w:r>
      <w:proofErr w:type="spellStart"/>
      <w:r w:rsidRPr="00FA3392">
        <w:rPr>
          <w:rFonts w:ascii="Book Antiqua" w:eastAsia="SimSun" w:hAnsi="Book Antiqua" w:cs="SimSun"/>
          <w:b/>
          <w:bCs/>
          <w:color w:val="000000"/>
          <w:sz w:val="24"/>
          <w:szCs w:val="24"/>
          <w:lang w:eastAsia="zh-CN"/>
        </w:rPr>
        <w:t>Regev</w:t>
      </w:r>
      <w:proofErr w:type="spellEnd"/>
      <w:r w:rsidRPr="00FA3392">
        <w:rPr>
          <w:rFonts w:ascii="Book Antiqua" w:eastAsia="SimSun" w:hAnsi="Book Antiqua" w:cs="SimSun"/>
          <w:b/>
          <w:bCs/>
          <w:color w:val="000000"/>
          <w:sz w:val="24"/>
          <w:szCs w:val="24"/>
          <w:lang w:eastAsia="zh-CN"/>
        </w:rPr>
        <w:t xml:space="preserve"> A</w:t>
      </w:r>
      <w:r w:rsidRPr="00FA3392">
        <w:rPr>
          <w:rFonts w:ascii="Book Antiqua" w:eastAsia="SimSun" w:hAnsi="Book Antiqua" w:cs="SimSun"/>
          <w:color w:val="000000"/>
          <w:sz w:val="24"/>
          <w:szCs w:val="24"/>
          <w:lang w:eastAsia="zh-CN"/>
        </w:rPr>
        <w:t xml:space="preserve">, </w:t>
      </w:r>
      <w:proofErr w:type="spellStart"/>
      <w:r w:rsidRPr="00FA3392">
        <w:rPr>
          <w:rFonts w:ascii="Book Antiqua" w:eastAsia="SimSun" w:hAnsi="Book Antiqua" w:cs="SimSun"/>
          <w:color w:val="000000"/>
          <w:sz w:val="24"/>
          <w:szCs w:val="24"/>
          <w:lang w:eastAsia="zh-CN"/>
        </w:rPr>
        <w:t>Berho</w:t>
      </w:r>
      <w:proofErr w:type="spellEnd"/>
      <w:r w:rsidRPr="00FA3392">
        <w:rPr>
          <w:rFonts w:ascii="Book Antiqua" w:eastAsia="SimSun" w:hAnsi="Book Antiqua" w:cs="SimSun"/>
          <w:color w:val="000000"/>
          <w:sz w:val="24"/>
          <w:szCs w:val="24"/>
          <w:lang w:eastAsia="zh-CN"/>
        </w:rPr>
        <w:t xml:space="preserve"> M, Jeffers LJ, </w:t>
      </w:r>
      <w:proofErr w:type="spellStart"/>
      <w:r w:rsidRPr="00FA3392">
        <w:rPr>
          <w:rFonts w:ascii="Book Antiqua" w:eastAsia="SimSun" w:hAnsi="Book Antiqua" w:cs="SimSun"/>
          <w:color w:val="000000"/>
          <w:sz w:val="24"/>
          <w:szCs w:val="24"/>
          <w:lang w:eastAsia="zh-CN"/>
        </w:rPr>
        <w:t>Milikowski</w:t>
      </w:r>
      <w:proofErr w:type="spellEnd"/>
      <w:r w:rsidRPr="00FA3392">
        <w:rPr>
          <w:rFonts w:ascii="Book Antiqua" w:eastAsia="SimSun" w:hAnsi="Book Antiqua" w:cs="SimSun"/>
          <w:color w:val="000000"/>
          <w:sz w:val="24"/>
          <w:szCs w:val="24"/>
          <w:lang w:eastAsia="zh-CN"/>
        </w:rPr>
        <w:t xml:space="preserve"> C, Molina EG, </w:t>
      </w:r>
      <w:proofErr w:type="spellStart"/>
      <w:r w:rsidRPr="00FA3392">
        <w:rPr>
          <w:rFonts w:ascii="Book Antiqua" w:eastAsia="SimSun" w:hAnsi="Book Antiqua" w:cs="SimSun"/>
          <w:color w:val="000000"/>
          <w:sz w:val="24"/>
          <w:szCs w:val="24"/>
          <w:lang w:eastAsia="zh-CN"/>
        </w:rPr>
        <w:t>Pyrsopoulos</w:t>
      </w:r>
      <w:proofErr w:type="spellEnd"/>
      <w:r w:rsidRPr="00FA3392">
        <w:rPr>
          <w:rFonts w:ascii="Book Antiqua" w:eastAsia="SimSun" w:hAnsi="Book Antiqua" w:cs="SimSun"/>
          <w:color w:val="000000"/>
          <w:sz w:val="24"/>
          <w:szCs w:val="24"/>
          <w:lang w:eastAsia="zh-CN"/>
        </w:rPr>
        <w:t xml:space="preserve"> NT, Feng ZZ, Reddy KR, Schiff ER. Sampling error and </w:t>
      </w:r>
      <w:proofErr w:type="spellStart"/>
      <w:r w:rsidRPr="00FA3392">
        <w:rPr>
          <w:rFonts w:ascii="Book Antiqua" w:eastAsia="SimSun" w:hAnsi="Book Antiqua" w:cs="SimSun"/>
          <w:color w:val="000000"/>
          <w:sz w:val="24"/>
          <w:szCs w:val="24"/>
          <w:lang w:eastAsia="zh-CN"/>
        </w:rPr>
        <w:t>intraobserver</w:t>
      </w:r>
      <w:proofErr w:type="spellEnd"/>
      <w:r w:rsidRPr="00FA3392">
        <w:rPr>
          <w:rFonts w:ascii="Book Antiqua" w:eastAsia="SimSun" w:hAnsi="Book Antiqua" w:cs="SimSun"/>
          <w:color w:val="000000"/>
          <w:sz w:val="24"/>
          <w:szCs w:val="24"/>
          <w:lang w:eastAsia="zh-CN"/>
        </w:rPr>
        <w:t xml:space="preserve"> variation in liver biopsy in patients with chronic HCV infection. </w:t>
      </w:r>
      <w:r w:rsidRPr="00FA3392">
        <w:rPr>
          <w:rFonts w:ascii="Book Antiqua" w:eastAsia="SimSun" w:hAnsi="Book Antiqua" w:cs="SimSun"/>
          <w:i/>
          <w:iCs/>
          <w:color w:val="000000"/>
          <w:sz w:val="24"/>
          <w:szCs w:val="24"/>
          <w:lang w:val="es-ES_tradnl" w:eastAsia="zh-CN"/>
        </w:rPr>
        <w:t>Am J Gastroenterol</w:t>
      </w:r>
      <w:r w:rsidRPr="00FA3392">
        <w:rPr>
          <w:rFonts w:ascii="Book Antiqua" w:eastAsia="SimSun" w:hAnsi="Book Antiqua" w:cs="SimSun"/>
          <w:color w:val="000000"/>
          <w:sz w:val="24"/>
          <w:szCs w:val="24"/>
          <w:lang w:val="es-ES_tradnl" w:eastAsia="zh-CN"/>
        </w:rPr>
        <w:t> 2002; </w:t>
      </w:r>
      <w:r w:rsidRPr="00FA3392">
        <w:rPr>
          <w:rFonts w:ascii="Book Antiqua" w:eastAsia="SimSun" w:hAnsi="Book Antiqua" w:cs="SimSun"/>
          <w:b/>
          <w:bCs/>
          <w:color w:val="000000"/>
          <w:sz w:val="24"/>
          <w:szCs w:val="24"/>
          <w:lang w:val="es-ES_tradnl" w:eastAsia="zh-CN"/>
        </w:rPr>
        <w:t>97</w:t>
      </w:r>
      <w:r w:rsidRPr="00FA3392">
        <w:rPr>
          <w:rFonts w:ascii="Book Antiqua" w:eastAsia="SimSun" w:hAnsi="Book Antiqua" w:cs="SimSun"/>
          <w:color w:val="000000"/>
          <w:sz w:val="24"/>
          <w:szCs w:val="24"/>
          <w:lang w:val="es-ES_tradnl" w:eastAsia="zh-CN"/>
        </w:rPr>
        <w:t>: 2614-2618 [PMID: 12385448 DOI: 10.1111/j.1572-0241.2002.06038.x]</w:t>
      </w:r>
    </w:p>
    <w:p w:rsidR="00FA3392" w:rsidRPr="00FA3392" w:rsidRDefault="00FA3392" w:rsidP="00FA3392">
      <w:pPr>
        <w:spacing w:after="0" w:line="360" w:lineRule="auto"/>
        <w:jc w:val="both"/>
        <w:rPr>
          <w:rFonts w:ascii="Book Antiqua" w:eastAsia="SimSun" w:hAnsi="Book Antiqua" w:cs="SimSun"/>
          <w:color w:val="000000"/>
          <w:sz w:val="24"/>
          <w:szCs w:val="24"/>
          <w:lang w:eastAsia="zh-CN"/>
        </w:rPr>
      </w:pPr>
      <w:r w:rsidRPr="00FA3392">
        <w:rPr>
          <w:rFonts w:ascii="Book Antiqua" w:eastAsia="SimSun" w:hAnsi="Book Antiqua" w:cs="SimSun"/>
          <w:color w:val="000000"/>
          <w:sz w:val="24"/>
          <w:szCs w:val="24"/>
          <w:lang w:val="es-ES_tradnl" w:eastAsia="zh-CN"/>
        </w:rPr>
        <w:t>38 Ministerio de Sanidad SS e I. Registro de Altas de los Hospitales Generales del Sistema Nacional de Salud</w:t>
      </w:r>
      <w:r w:rsidRPr="00FA3392">
        <w:rPr>
          <w:rFonts w:ascii="Book Antiqua" w:eastAsia="SimSun" w:hAnsi="Book Antiqua" w:cs="SimSun" w:hint="eastAsia"/>
          <w:color w:val="000000"/>
          <w:sz w:val="24"/>
          <w:szCs w:val="24"/>
          <w:lang w:val="es-ES_tradnl" w:eastAsia="zh-CN"/>
        </w:rPr>
        <w:t>,</w:t>
      </w:r>
      <w:r w:rsidRPr="00FA3392">
        <w:rPr>
          <w:rFonts w:ascii="Book Antiqua" w:eastAsia="SimSun" w:hAnsi="Book Antiqua" w:cs="SimSun"/>
          <w:color w:val="000000"/>
          <w:sz w:val="24"/>
          <w:szCs w:val="24"/>
          <w:lang w:val="es-ES_tradnl" w:eastAsia="zh-CN"/>
        </w:rPr>
        <w:t xml:space="preserve"> 2013</w:t>
      </w:r>
      <w:r w:rsidRPr="00FA3392">
        <w:rPr>
          <w:rFonts w:ascii="Book Antiqua" w:eastAsia="SimSun" w:hAnsi="Book Antiqua" w:cs="SimSun" w:hint="eastAsia"/>
          <w:color w:val="000000"/>
          <w:sz w:val="24"/>
          <w:szCs w:val="24"/>
          <w:lang w:val="es-ES_tradnl" w:eastAsia="zh-CN"/>
        </w:rPr>
        <w:t xml:space="preserve">. </w:t>
      </w:r>
      <w:r w:rsidRPr="00FA3392">
        <w:rPr>
          <w:rFonts w:ascii="Book Antiqua" w:eastAsia="SimSun" w:hAnsi="Book Antiqua" w:cs="SimSun" w:hint="eastAsia"/>
          <w:color w:val="000000"/>
          <w:sz w:val="24"/>
          <w:szCs w:val="24"/>
          <w:lang w:eastAsia="zh-CN"/>
        </w:rPr>
        <w:t>C</w:t>
      </w:r>
      <w:r w:rsidRPr="00FA3392">
        <w:rPr>
          <w:rFonts w:ascii="Book Antiqua" w:eastAsia="SimSun" w:hAnsi="Book Antiqua" w:cs="SimSun"/>
          <w:color w:val="000000"/>
          <w:sz w:val="24"/>
          <w:szCs w:val="24"/>
          <w:lang w:eastAsia="zh-CN"/>
        </w:rPr>
        <w:t>ited 2015</w:t>
      </w:r>
      <w:r w:rsidRPr="00FA3392">
        <w:rPr>
          <w:rFonts w:ascii="Book Antiqua" w:eastAsia="SimSun" w:hAnsi="Book Antiqua" w:cs="SimSun" w:hint="eastAsia"/>
          <w:color w:val="000000"/>
          <w:sz w:val="24"/>
          <w:szCs w:val="24"/>
          <w:lang w:eastAsia="zh-CN"/>
        </w:rPr>
        <w:t>-04-</w:t>
      </w:r>
      <w:r w:rsidRPr="00FA3392">
        <w:rPr>
          <w:rFonts w:ascii="Book Antiqua" w:eastAsia="SimSun" w:hAnsi="Book Antiqua" w:cs="SimSun"/>
          <w:color w:val="000000"/>
          <w:sz w:val="24"/>
          <w:szCs w:val="24"/>
          <w:lang w:eastAsia="zh-CN"/>
        </w:rPr>
        <w:t>21</w:t>
      </w:r>
      <w:r w:rsidRPr="00FA3392">
        <w:rPr>
          <w:rFonts w:ascii="Book Antiqua" w:eastAsia="SimSun" w:hAnsi="Book Antiqua" w:cs="SimSun" w:hint="eastAsia"/>
          <w:color w:val="000000"/>
          <w:sz w:val="24"/>
          <w:szCs w:val="24"/>
          <w:lang w:eastAsia="zh-CN"/>
        </w:rPr>
        <w:t>.</w:t>
      </w:r>
      <w:r w:rsidRPr="00FA3392">
        <w:rPr>
          <w:rFonts w:ascii="Book Antiqua" w:eastAsia="SimSun" w:hAnsi="Book Antiqua" w:cs="SimSun"/>
          <w:color w:val="000000"/>
          <w:sz w:val="24"/>
          <w:szCs w:val="24"/>
          <w:lang w:eastAsia="zh-CN"/>
        </w:rPr>
        <w:t xml:space="preserve"> </w:t>
      </w:r>
      <w:r w:rsidRPr="00FA3392">
        <w:rPr>
          <w:rFonts w:ascii="Book Antiqua" w:eastAsia="SimSun" w:hAnsi="Book Antiqua" w:cs="SimSun" w:hint="eastAsia"/>
          <w:color w:val="000000"/>
          <w:sz w:val="24"/>
          <w:szCs w:val="24"/>
          <w:lang w:eastAsia="zh-CN"/>
        </w:rPr>
        <w:t>Available from: URL:</w:t>
      </w:r>
      <w:r w:rsidRPr="00FA3392">
        <w:rPr>
          <w:rFonts w:ascii="Book Antiqua" w:eastAsia="SimSun" w:hAnsi="Book Antiqua" w:cs="SimSun" w:hint="eastAsia"/>
          <w:color w:val="000000"/>
          <w:sz w:val="24"/>
          <w:szCs w:val="24"/>
          <w:lang w:eastAsia="zh-CN"/>
        </w:rPr>
        <w:t xml:space="preserve">　　　　</w:t>
      </w:r>
      <w:r w:rsidRPr="00FA3392">
        <w:rPr>
          <w:rFonts w:ascii="Arial" w:eastAsia="SimSun" w:hAnsi="Arial" w:cs="Arial"/>
          <w:color w:val="000000"/>
          <w:sz w:val="21"/>
          <w:szCs w:val="21"/>
          <w:lang w:eastAsia="zh-CN"/>
        </w:rPr>
        <w:t xml:space="preserve"> </w:t>
      </w:r>
      <w:r w:rsidRPr="00FA3392">
        <w:rPr>
          <w:rFonts w:ascii="Book Antiqua" w:eastAsia="SimSun" w:hAnsi="Book Antiqua" w:cs="SimSun"/>
          <w:color w:val="000000"/>
          <w:sz w:val="24"/>
          <w:szCs w:val="24"/>
          <w:lang w:eastAsia="zh-CN"/>
        </w:rPr>
        <w:t>http://www.msssi.gob.es/estadEstudios/estadisticas/cmbd.htm</w:t>
      </w:r>
    </w:p>
    <w:p w:rsidR="00FA3392" w:rsidRPr="00FA3392" w:rsidRDefault="00FA3392" w:rsidP="00FA3392">
      <w:pPr>
        <w:spacing w:after="0" w:line="360" w:lineRule="auto"/>
        <w:jc w:val="both"/>
        <w:rPr>
          <w:rFonts w:ascii="Book Antiqua" w:eastAsia="SimSun" w:hAnsi="Book Antiqua" w:cs="SimSun"/>
          <w:color w:val="000000"/>
          <w:sz w:val="24"/>
          <w:szCs w:val="24"/>
          <w:lang w:eastAsia="zh-CN"/>
        </w:rPr>
      </w:pPr>
      <w:r w:rsidRPr="00FA3392">
        <w:rPr>
          <w:rFonts w:ascii="Book Antiqua" w:eastAsia="SimSun" w:hAnsi="Book Antiqua" w:cs="SimSun"/>
          <w:color w:val="000000"/>
          <w:sz w:val="24"/>
          <w:szCs w:val="24"/>
          <w:lang w:eastAsia="zh-CN"/>
        </w:rPr>
        <w:lastRenderedPageBreak/>
        <w:t xml:space="preserve">39 Vidal </w:t>
      </w:r>
      <w:proofErr w:type="spellStart"/>
      <w:r w:rsidRPr="00FA3392">
        <w:rPr>
          <w:rFonts w:ascii="Book Antiqua" w:eastAsia="SimSun" w:hAnsi="Book Antiqua" w:cs="SimSun"/>
          <w:color w:val="000000"/>
          <w:sz w:val="24"/>
          <w:szCs w:val="24"/>
          <w:lang w:eastAsia="zh-CN"/>
        </w:rPr>
        <w:t>Vademecum</w:t>
      </w:r>
      <w:proofErr w:type="spellEnd"/>
      <w:r w:rsidRPr="00FA3392">
        <w:rPr>
          <w:rFonts w:ascii="Book Antiqua" w:eastAsia="SimSun" w:hAnsi="Book Antiqua" w:cs="SimSun"/>
          <w:color w:val="000000"/>
          <w:sz w:val="24"/>
          <w:szCs w:val="24"/>
          <w:lang w:eastAsia="zh-CN"/>
        </w:rPr>
        <w:t xml:space="preserve"> Spain. VADEMECUM. </w:t>
      </w:r>
      <w:r w:rsidRPr="00FA3392">
        <w:rPr>
          <w:rFonts w:ascii="Book Antiqua" w:eastAsia="SimSun" w:hAnsi="Book Antiqua" w:cs="SimSun" w:hint="eastAsia"/>
          <w:color w:val="000000"/>
          <w:sz w:val="24"/>
          <w:szCs w:val="24"/>
          <w:lang w:eastAsia="zh-CN"/>
        </w:rPr>
        <w:t>Ci</w:t>
      </w:r>
      <w:r w:rsidRPr="00FA3392">
        <w:rPr>
          <w:rFonts w:ascii="Book Antiqua" w:eastAsia="SimSun" w:hAnsi="Book Antiqua" w:cs="SimSun"/>
          <w:color w:val="000000"/>
          <w:sz w:val="24"/>
          <w:szCs w:val="24"/>
          <w:lang w:eastAsia="zh-CN"/>
        </w:rPr>
        <w:t>ted 2015</w:t>
      </w:r>
      <w:r w:rsidRPr="00FA3392">
        <w:rPr>
          <w:rFonts w:ascii="Book Antiqua" w:eastAsia="SimSun" w:hAnsi="Book Antiqua" w:cs="SimSun" w:hint="eastAsia"/>
          <w:color w:val="000000"/>
          <w:sz w:val="24"/>
          <w:szCs w:val="24"/>
          <w:lang w:eastAsia="zh-CN"/>
        </w:rPr>
        <w:t>-05-0</w:t>
      </w:r>
      <w:r w:rsidRPr="00FA3392">
        <w:rPr>
          <w:rFonts w:ascii="Book Antiqua" w:eastAsia="SimSun" w:hAnsi="Book Antiqua" w:cs="SimSun"/>
          <w:color w:val="000000"/>
          <w:sz w:val="24"/>
          <w:szCs w:val="24"/>
          <w:lang w:eastAsia="zh-CN"/>
        </w:rPr>
        <w:t>5</w:t>
      </w:r>
      <w:r w:rsidRPr="00FA3392">
        <w:rPr>
          <w:rFonts w:ascii="Book Antiqua" w:eastAsia="SimSun" w:hAnsi="Book Antiqua" w:cs="SimSun" w:hint="eastAsia"/>
          <w:color w:val="000000"/>
          <w:sz w:val="24"/>
          <w:szCs w:val="24"/>
          <w:lang w:eastAsia="zh-CN"/>
        </w:rPr>
        <w:t>.</w:t>
      </w:r>
      <w:r w:rsidRPr="00FA3392">
        <w:rPr>
          <w:rFonts w:ascii="Book Antiqua" w:eastAsia="SimSun" w:hAnsi="Book Antiqua" w:cs="SimSun"/>
          <w:color w:val="000000"/>
          <w:sz w:val="24"/>
          <w:szCs w:val="24"/>
          <w:lang w:eastAsia="zh-CN"/>
        </w:rPr>
        <w:t xml:space="preserve"> </w:t>
      </w:r>
      <w:r w:rsidRPr="00FA3392">
        <w:rPr>
          <w:rFonts w:ascii="Book Antiqua" w:eastAsia="SimSun" w:hAnsi="Book Antiqua" w:cs="SimSun" w:hint="eastAsia"/>
          <w:color w:val="000000"/>
          <w:sz w:val="24"/>
          <w:szCs w:val="24"/>
          <w:lang w:eastAsia="zh-CN"/>
        </w:rPr>
        <w:t>Available from: URL:</w:t>
      </w:r>
      <w:r w:rsidRPr="00FA3392">
        <w:rPr>
          <w:rFonts w:ascii="Book Antiqua" w:eastAsia="SimSun" w:hAnsi="Book Antiqua" w:cs="SimSun" w:hint="eastAsia"/>
          <w:color w:val="000000"/>
          <w:sz w:val="24"/>
          <w:szCs w:val="24"/>
          <w:lang w:eastAsia="zh-CN"/>
        </w:rPr>
        <w:t xml:space="preserve">　</w:t>
      </w:r>
      <w:r w:rsidRPr="00FA3392">
        <w:rPr>
          <w:rFonts w:ascii="Book Antiqua" w:eastAsia="SimSun" w:hAnsi="Book Antiqua" w:cs="Times New Roman"/>
          <w:noProof/>
          <w:kern w:val="2"/>
          <w:sz w:val="24"/>
          <w:szCs w:val="24"/>
          <w:lang w:eastAsia="zh-CN"/>
        </w:rPr>
        <w:t>http://www.vademecum.es/</w:t>
      </w:r>
    </w:p>
    <w:p w:rsidR="00FA3392" w:rsidRPr="00FA3392" w:rsidRDefault="00FA3392" w:rsidP="00FA3392">
      <w:pPr>
        <w:spacing w:after="0" w:line="360" w:lineRule="auto"/>
        <w:jc w:val="both"/>
        <w:rPr>
          <w:rFonts w:ascii="Book Antiqua" w:eastAsia="SimSun" w:hAnsi="Book Antiqua" w:cs="SimSun"/>
          <w:color w:val="000000"/>
          <w:sz w:val="24"/>
          <w:szCs w:val="24"/>
          <w:lang w:val="es-ES_tradnl" w:eastAsia="zh-CN"/>
        </w:rPr>
      </w:pPr>
      <w:r w:rsidRPr="00FA3392">
        <w:rPr>
          <w:rFonts w:ascii="Book Antiqua" w:eastAsia="SimSun" w:hAnsi="Book Antiqua" w:cs="SimSun"/>
          <w:color w:val="000000"/>
          <w:sz w:val="24"/>
          <w:szCs w:val="24"/>
          <w:lang w:eastAsia="zh-CN"/>
        </w:rPr>
        <w:t>40 </w:t>
      </w:r>
      <w:r w:rsidRPr="00FA3392">
        <w:rPr>
          <w:rFonts w:ascii="Book Antiqua" w:eastAsia="SimSun" w:hAnsi="Book Antiqua" w:cs="SimSun"/>
          <w:b/>
          <w:bCs/>
          <w:color w:val="000000"/>
          <w:sz w:val="24"/>
          <w:szCs w:val="24"/>
          <w:lang w:eastAsia="zh-CN"/>
        </w:rPr>
        <w:t>Fenwick E</w:t>
      </w:r>
      <w:r w:rsidRPr="00FA3392">
        <w:rPr>
          <w:rFonts w:ascii="Book Antiqua" w:eastAsia="SimSun" w:hAnsi="Book Antiqua" w:cs="SimSun"/>
          <w:color w:val="000000"/>
          <w:sz w:val="24"/>
          <w:szCs w:val="24"/>
          <w:lang w:eastAsia="zh-CN"/>
        </w:rPr>
        <w:t>, O'Brien BJ, Briggs A. Cost-effectiveness acceptability curves--facts, fallacies and frequently asked questions. </w:t>
      </w:r>
      <w:r w:rsidRPr="00FA3392">
        <w:rPr>
          <w:rFonts w:ascii="Book Antiqua" w:eastAsia="SimSun" w:hAnsi="Book Antiqua" w:cs="SimSun"/>
          <w:i/>
          <w:iCs/>
          <w:color w:val="000000"/>
          <w:sz w:val="24"/>
          <w:szCs w:val="24"/>
          <w:lang w:val="es-ES_tradnl" w:eastAsia="zh-CN"/>
        </w:rPr>
        <w:t>Health Econ</w:t>
      </w:r>
      <w:r w:rsidRPr="00FA3392">
        <w:rPr>
          <w:rFonts w:ascii="Book Antiqua" w:eastAsia="SimSun" w:hAnsi="Book Antiqua" w:cs="SimSun"/>
          <w:color w:val="000000"/>
          <w:sz w:val="24"/>
          <w:szCs w:val="24"/>
          <w:lang w:val="es-ES_tradnl" w:eastAsia="zh-CN"/>
        </w:rPr>
        <w:t> 2004; </w:t>
      </w:r>
      <w:r w:rsidRPr="00FA3392">
        <w:rPr>
          <w:rFonts w:ascii="Book Antiqua" w:eastAsia="SimSun" w:hAnsi="Book Antiqua" w:cs="SimSun"/>
          <w:b/>
          <w:bCs/>
          <w:color w:val="000000"/>
          <w:sz w:val="24"/>
          <w:szCs w:val="24"/>
          <w:lang w:val="es-ES_tradnl" w:eastAsia="zh-CN"/>
        </w:rPr>
        <w:t>13</w:t>
      </w:r>
      <w:r w:rsidRPr="00FA3392">
        <w:rPr>
          <w:rFonts w:ascii="Book Antiqua" w:eastAsia="SimSun" w:hAnsi="Book Antiqua" w:cs="SimSun"/>
          <w:color w:val="000000"/>
          <w:sz w:val="24"/>
          <w:szCs w:val="24"/>
          <w:lang w:val="es-ES_tradnl" w:eastAsia="zh-CN"/>
        </w:rPr>
        <w:t>: 405-415 [PMID: 15127421 DOI: 10.1002/hec.903]</w:t>
      </w:r>
    </w:p>
    <w:p w:rsidR="00FA3392" w:rsidRPr="00FA3392" w:rsidRDefault="00FA3392" w:rsidP="00FA3392">
      <w:pPr>
        <w:spacing w:after="0" w:line="360" w:lineRule="auto"/>
        <w:jc w:val="both"/>
        <w:rPr>
          <w:rFonts w:ascii="Book Antiqua" w:eastAsia="SimSun" w:hAnsi="Book Antiqua" w:cs="SimSun"/>
          <w:color w:val="000000"/>
          <w:sz w:val="24"/>
          <w:szCs w:val="24"/>
          <w:lang w:eastAsia="zh-CN"/>
        </w:rPr>
      </w:pPr>
      <w:r w:rsidRPr="00FA3392">
        <w:rPr>
          <w:rFonts w:ascii="Book Antiqua" w:eastAsia="SimSun" w:hAnsi="Book Antiqua" w:cs="SimSun"/>
          <w:color w:val="000000"/>
          <w:sz w:val="24"/>
          <w:szCs w:val="24"/>
          <w:lang w:val="es-ES_tradnl" w:eastAsia="zh-CN"/>
        </w:rPr>
        <w:t>41 </w:t>
      </w:r>
      <w:r w:rsidRPr="00FA3392">
        <w:rPr>
          <w:rFonts w:ascii="Book Antiqua" w:eastAsia="SimSun" w:hAnsi="Book Antiqua" w:cs="SimSun"/>
          <w:b/>
          <w:bCs/>
          <w:color w:val="000000"/>
          <w:sz w:val="24"/>
          <w:szCs w:val="24"/>
          <w:lang w:val="es-ES_tradnl" w:eastAsia="zh-CN"/>
        </w:rPr>
        <w:t>Sacristán JA</w:t>
      </w:r>
      <w:r w:rsidRPr="00FA3392">
        <w:rPr>
          <w:rFonts w:ascii="Book Antiqua" w:eastAsia="SimSun" w:hAnsi="Book Antiqua" w:cs="SimSun"/>
          <w:color w:val="000000"/>
          <w:sz w:val="24"/>
          <w:szCs w:val="24"/>
          <w:lang w:val="es-ES_tradnl" w:eastAsia="zh-CN"/>
        </w:rPr>
        <w:t xml:space="preserve">, Oliva J, Del Llano J, Prieto L, Pinto JL. </w:t>
      </w:r>
      <w:r w:rsidRPr="00FA3392">
        <w:rPr>
          <w:rFonts w:ascii="Book Antiqua" w:eastAsia="SimSun" w:hAnsi="Book Antiqua" w:cs="SimSun"/>
          <w:color w:val="000000"/>
          <w:sz w:val="24"/>
          <w:szCs w:val="24"/>
          <w:lang w:eastAsia="zh-CN"/>
        </w:rPr>
        <w:t>What is an efficient health technology in Spain? </w:t>
      </w:r>
      <w:proofErr w:type="spellStart"/>
      <w:r w:rsidRPr="00FA3392">
        <w:rPr>
          <w:rFonts w:ascii="Book Antiqua" w:eastAsia="SimSun" w:hAnsi="Book Antiqua" w:cs="SimSun"/>
          <w:i/>
          <w:iCs/>
          <w:color w:val="000000"/>
          <w:sz w:val="24"/>
          <w:szCs w:val="24"/>
          <w:lang w:eastAsia="zh-CN"/>
        </w:rPr>
        <w:t>Gac</w:t>
      </w:r>
      <w:proofErr w:type="spellEnd"/>
      <w:r w:rsidRPr="00FA3392">
        <w:rPr>
          <w:rFonts w:ascii="Book Antiqua" w:eastAsia="SimSun" w:hAnsi="Book Antiqua" w:cs="SimSun"/>
          <w:i/>
          <w:iCs/>
          <w:color w:val="000000"/>
          <w:sz w:val="24"/>
          <w:szCs w:val="24"/>
          <w:lang w:eastAsia="zh-CN"/>
        </w:rPr>
        <w:t xml:space="preserve"> </w:t>
      </w:r>
      <w:proofErr w:type="spellStart"/>
      <w:r w:rsidRPr="00FA3392">
        <w:rPr>
          <w:rFonts w:ascii="Book Antiqua" w:eastAsia="SimSun" w:hAnsi="Book Antiqua" w:cs="SimSun"/>
          <w:i/>
          <w:iCs/>
          <w:color w:val="000000"/>
          <w:sz w:val="24"/>
          <w:szCs w:val="24"/>
          <w:lang w:eastAsia="zh-CN"/>
        </w:rPr>
        <w:t>Sanit</w:t>
      </w:r>
      <w:proofErr w:type="spellEnd"/>
      <w:r w:rsidRPr="00FA3392">
        <w:rPr>
          <w:rFonts w:ascii="Book Antiqua" w:eastAsia="SimSun" w:hAnsi="Book Antiqua" w:cs="SimSun"/>
          <w:color w:val="000000"/>
          <w:sz w:val="24"/>
          <w:szCs w:val="24"/>
          <w:lang w:eastAsia="zh-CN"/>
        </w:rPr>
        <w:t> </w:t>
      </w:r>
      <w:r w:rsidRPr="00FA3392">
        <w:rPr>
          <w:rFonts w:ascii="Book Antiqua" w:eastAsia="SimSun" w:hAnsi="Book Antiqua" w:cs="SimSun" w:hint="eastAsia"/>
          <w:color w:val="000000"/>
          <w:sz w:val="24"/>
          <w:szCs w:val="24"/>
          <w:lang w:eastAsia="zh-CN"/>
        </w:rPr>
        <w:t>2002</w:t>
      </w:r>
      <w:r w:rsidRPr="00FA3392">
        <w:rPr>
          <w:rFonts w:ascii="Book Antiqua" w:eastAsia="SimSun" w:hAnsi="Book Antiqua" w:cs="SimSun"/>
          <w:color w:val="000000"/>
          <w:sz w:val="24"/>
          <w:szCs w:val="24"/>
          <w:lang w:eastAsia="zh-CN"/>
        </w:rPr>
        <w:t>; </w:t>
      </w:r>
      <w:r w:rsidRPr="00FA3392">
        <w:rPr>
          <w:rFonts w:ascii="Book Antiqua" w:eastAsia="SimSun" w:hAnsi="Book Antiqua" w:cs="SimSun"/>
          <w:b/>
          <w:bCs/>
          <w:color w:val="000000"/>
          <w:sz w:val="24"/>
          <w:szCs w:val="24"/>
          <w:lang w:eastAsia="zh-CN"/>
        </w:rPr>
        <w:t>16</w:t>
      </w:r>
      <w:r w:rsidRPr="00FA3392">
        <w:rPr>
          <w:rFonts w:ascii="Book Antiqua" w:eastAsia="SimSun" w:hAnsi="Book Antiqua" w:cs="SimSun"/>
          <w:color w:val="000000"/>
          <w:sz w:val="24"/>
          <w:szCs w:val="24"/>
          <w:lang w:eastAsia="zh-CN"/>
        </w:rPr>
        <w:t>: 334-343 [PMID: 12113733 DOI: 10.1016/S0213-9111(02)71933-X]</w:t>
      </w:r>
    </w:p>
    <w:p w:rsidR="00FA3392" w:rsidRPr="00FA3392" w:rsidRDefault="00FA3392" w:rsidP="00FA3392">
      <w:pPr>
        <w:spacing w:after="0" w:line="360" w:lineRule="auto"/>
        <w:jc w:val="both"/>
        <w:rPr>
          <w:rFonts w:ascii="Book Antiqua" w:eastAsia="SimSun" w:hAnsi="Book Antiqua" w:cs="SimSun"/>
          <w:color w:val="000000"/>
          <w:sz w:val="24"/>
          <w:szCs w:val="24"/>
          <w:lang w:eastAsia="zh-CN"/>
        </w:rPr>
      </w:pPr>
      <w:r w:rsidRPr="00FA3392">
        <w:rPr>
          <w:rFonts w:ascii="Book Antiqua" w:eastAsia="SimSun" w:hAnsi="Book Antiqua" w:cs="SimSun"/>
          <w:color w:val="000000"/>
          <w:sz w:val="24"/>
          <w:szCs w:val="24"/>
          <w:lang w:eastAsia="zh-CN"/>
        </w:rPr>
        <w:t>42 </w:t>
      </w:r>
      <w:proofErr w:type="spellStart"/>
      <w:r w:rsidRPr="00FA3392">
        <w:rPr>
          <w:rFonts w:ascii="Book Antiqua" w:eastAsia="SimSun" w:hAnsi="Book Antiqua" w:cs="SimSun"/>
          <w:b/>
          <w:bCs/>
          <w:color w:val="000000"/>
          <w:sz w:val="24"/>
          <w:szCs w:val="24"/>
          <w:lang w:eastAsia="zh-CN"/>
        </w:rPr>
        <w:t>Zethraeus</w:t>
      </w:r>
      <w:proofErr w:type="spellEnd"/>
      <w:r w:rsidRPr="00FA3392">
        <w:rPr>
          <w:rFonts w:ascii="Book Antiqua" w:eastAsia="SimSun" w:hAnsi="Book Antiqua" w:cs="SimSun"/>
          <w:b/>
          <w:bCs/>
          <w:color w:val="000000"/>
          <w:sz w:val="24"/>
          <w:szCs w:val="24"/>
          <w:lang w:eastAsia="zh-CN"/>
        </w:rPr>
        <w:t xml:space="preserve"> N</w:t>
      </w:r>
      <w:r w:rsidRPr="00FA3392">
        <w:rPr>
          <w:rFonts w:ascii="Book Antiqua" w:eastAsia="SimSun" w:hAnsi="Book Antiqua" w:cs="SimSun"/>
          <w:color w:val="000000"/>
          <w:sz w:val="24"/>
          <w:szCs w:val="24"/>
          <w:lang w:eastAsia="zh-CN"/>
        </w:rPr>
        <w:t xml:space="preserve">, </w:t>
      </w:r>
      <w:proofErr w:type="spellStart"/>
      <w:r w:rsidRPr="00FA3392">
        <w:rPr>
          <w:rFonts w:ascii="Book Antiqua" w:eastAsia="SimSun" w:hAnsi="Book Antiqua" w:cs="SimSun"/>
          <w:color w:val="000000"/>
          <w:sz w:val="24"/>
          <w:szCs w:val="24"/>
          <w:lang w:eastAsia="zh-CN"/>
        </w:rPr>
        <w:t>Johannesson</w:t>
      </w:r>
      <w:proofErr w:type="spellEnd"/>
      <w:r w:rsidRPr="00FA3392">
        <w:rPr>
          <w:rFonts w:ascii="Book Antiqua" w:eastAsia="SimSun" w:hAnsi="Book Antiqua" w:cs="SimSun"/>
          <w:color w:val="000000"/>
          <w:sz w:val="24"/>
          <w:szCs w:val="24"/>
          <w:lang w:eastAsia="zh-CN"/>
        </w:rPr>
        <w:t xml:space="preserve"> M, </w:t>
      </w:r>
      <w:proofErr w:type="spellStart"/>
      <w:r w:rsidRPr="00FA3392">
        <w:rPr>
          <w:rFonts w:ascii="Book Antiqua" w:eastAsia="SimSun" w:hAnsi="Book Antiqua" w:cs="SimSun"/>
          <w:color w:val="000000"/>
          <w:sz w:val="24"/>
          <w:szCs w:val="24"/>
          <w:lang w:eastAsia="zh-CN"/>
        </w:rPr>
        <w:t>Jönsson</w:t>
      </w:r>
      <w:proofErr w:type="spellEnd"/>
      <w:r w:rsidRPr="00FA3392">
        <w:rPr>
          <w:rFonts w:ascii="Book Antiqua" w:eastAsia="SimSun" w:hAnsi="Book Antiqua" w:cs="SimSun"/>
          <w:color w:val="000000"/>
          <w:sz w:val="24"/>
          <w:szCs w:val="24"/>
          <w:lang w:eastAsia="zh-CN"/>
        </w:rPr>
        <w:t xml:space="preserve"> B, </w:t>
      </w:r>
      <w:proofErr w:type="spellStart"/>
      <w:r w:rsidRPr="00FA3392">
        <w:rPr>
          <w:rFonts w:ascii="Book Antiqua" w:eastAsia="SimSun" w:hAnsi="Book Antiqua" w:cs="SimSun"/>
          <w:color w:val="000000"/>
          <w:sz w:val="24"/>
          <w:szCs w:val="24"/>
          <w:lang w:eastAsia="zh-CN"/>
        </w:rPr>
        <w:t>Löthgren</w:t>
      </w:r>
      <w:proofErr w:type="spellEnd"/>
      <w:r w:rsidRPr="00FA3392">
        <w:rPr>
          <w:rFonts w:ascii="Book Antiqua" w:eastAsia="SimSun" w:hAnsi="Book Antiqua" w:cs="SimSun"/>
          <w:color w:val="000000"/>
          <w:sz w:val="24"/>
          <w:szCs w:val="24"/>
          <w:lang w:eastAsia="zh-CN"/>
        </w:rPr>
        <w:t xml:space="preserve"> M, Tambour M. Advantages of using the net-benefit approach for </w:t>
      </w:r>
      <w:proofErr w:type="spellStart"/>
      <w:r w:rsidRPr="00FA3392">
        <w:rPr>
          <w:rFonts w:ascii="Book Antiqua" w:eastAsia="SimSun" w:hAnsi="Book Antiqua" w:cs="SimSun"/>
          <w:color w:val="000000"/>
          <w:sz w:val="24"/>
          <w:szCs w:val="24"/>
          <w:lang w:eastAsia="zh-CN"/>
        </w:rPr>
        <w:t>analysing</w:t>
      </w:r>
      <w:proofErr w:type="spellEnd"/>
      <w:r w:rsidRPr="00FA3392">
        <w:rPr>
          <w:rFonts w:ascii="Book Antiqua" w:eastAsia="SimSun" w:hAnsi="Book Antiqua" w:cs="SimSun"/>
          <w:color w:val="000000"/>
          <w:sz w:val="24"/>
          <w:szCs w:val="24"/>
          <w:lang w:eastAsia="zh-CN"/>
        </w:rPr>
        <w:t xml:space="preserve"> uncertainty in economic evaluation studies. </w:t>
      </w:r>
      <w:proofErr w:type="spellStart"/>
      <w:r w:rsidRPr="00FA3392">
        <w:rPr>
          <w:rFonts w:ascii="Book Antiqua" w:eastAsia="SimSun" w:hAnsi="Book Antiqua" w:cs="SimSun"/>
          <w:i/>
          <w:iCs/>
          <w:color w:val="000000"/>
          <w:sz w:val="24"/>
          <w:szCs w:val="24"/>
          <w:lang w:eastAsia="zh-CN"/>
        </w:rPr>
        <w:t>Pharmacoeconomics</w:t>
      </w:r>
      <w:proofErr w:type="spellEnd"/>
      <w:r w:rsidRPr="00FA3392">
        <w:rPr>
          <w:rFonts w:ascii="Book Antiqua" w:eastAsia="SimSun" w:hAnsi="Book Antiqua" w:cs="SimSun"/>
          <w:color w:val="000000"/>
          <w:sz w:val="24"/>
          <w:szCs w:val="24"/>
          <w:lang w:eastAsia="zh-CN"/>
        </w:rPr>
        <w:t> 2003; </w:t>
      </w:r>
      <w:r w:rsidRPr="00FA3392">
        <w:rPr>
          <w:rFonts w:ascii="Book Antiqua" w:eastAsia="SimSun" w:hAnsi="Book Antiqua" w:cs="SimSun"/>
          <w:b/>
          <w:bCs/>
          <w:color w:val="000000"/>
          <w:sz w:val="24"/>
          <w:szCs w:val="24"/>
          <w:lang w:eastAsia="zh-CN"/>
        </w:rPr>
        <w:t>21</w:t>
      </w:r>
      <w:r w:rsidRPr="00FA3392">
        <w:rPr>
          <w:rFonts w:ascii="Book Antiqua" w:eastAsia="SimSun" w:hAnsi="Book Antiqua" w:cs="SimSun"/>
          <w:color w:val="000000"/>
          <w:sz w:val="24"/>
          <w:szCs w:val="24"/>
          <w:lang w:eastAsia="zh-CN"/>
        </w:rPr>
        <w:t>: 39-48 [PMID: 12484802 DOI: 10.2165/00019053-200321010-00003]</w:t>
      </w:r>
    </w:p>
    <w:p w:rsidR="00294646" w:rsidRPr="009E3692" w:rsidRDefault="00294646" w:rsidP="00294646">
      <w:pPr>
        <w:wordWrap w:val="0"/>
        <w:spacing w:line="360" w:lineRule="auto"/>
        <w:ind w:left="360" w:hangingChars="150" w:hanging="360"/>
        <w:jc w:val="right"/>
        <w:rPr>
          <w:rFonts w:ascii="Book Antiqua" w:hAnsi="Book Antiqua"/>
          <w:sz w:val="24"/>
        </w:rPr>
      </w:pPr>
      <w:bookmarkStart w:id="396" w:name="OLE_LINK51"/>
      <w:bookmarkStart w:id="397" w:name="OLE_LINK120"/>
      <w:bookmarkStart w:id="398" w:name="OLE_LINK148"/>
      <w:bookmarkStart w:id="399" w:name="OLE_LINK320"/>
      <w:bookmarkStart w:id="400" w:name="OLE_LINK387"/>
      <w:bookmarkStart w:id="401" w:name="OLE_LINK183"/>
      <w:bookmarkStart w:id="402" w:name="OLE_LINK254"/>
      <w:bookmarkStart w:id="403" w:name="OLE_LINK149"/>
      <w:bookmarkStart w:id="404" w:name="OLE_LINK225"/>
      <w:bookmarkStart w:id="405" w:name="OLE_LINK226"/>
      <w:bookmarkStart w:id="406" w:name="OLE_LINK212"/>
      <w:bookmarkStart w:id="407" w:name="OLE_LINK250"/>
      <w:bookmarkStart w:id="408" w:name="OLE_LINK281"/>
      <w:bookmarkStart w:id="409" w:name="OLE_LINK240"/>
      <w:bookmarkStart w:id="410" w:name="OLE_LINK282"/>
      <w:bookmarkStart w:id="411" w:name="OLE_LINK313"/>
      <w:bookmarkStart w:id="412" w:name="OLE_LINK304"/>
      <w:bookmarkStart w:id="413" w:name="OLE_LINK321"/>
      <w:bookmarkStart w:id="414" w:name="OLE_LINK385"/>
      <w:bookmarkStart w:id="415" w:name="OLE_LINK400"/>
      <w:bookmarkStart w:id="416" w:name="OLE_LINK346"/>
      <w:bookmarkStart w:id="417" w:name="OLE_LINK371"/>
      <w:bookmarkStart w:id="418" w:name="OLE_LINK334"/>
      <w:bookmarkStart w:id="419" w:name="OLE_LINK1830"/>
      <w:bookmarkStart w:id="420" w:name="OLE_LINK457"/>
      <w:bookmarkStart w:id="421" w:name="OLE_LINK288"/>
      <w:bookmarkStart w:id="422" w:name="OLE_LINK384"/>
      <w:bookmarkStart w:id="423" w:name="OLE_LINK379"/>
      <w:bookmarkStart w:id="424" w:name="OLE_LINK303"/>
      <w:bookmarkStart w:id="425" w:name="OLE_LINK450"/>
      <w:bookmarkStart w:id="426" w:name="OLE_LINK489"/>
      <w:bookmarkStart w:id="427" w:name="OLE_LINK535"/>
      <w:bookmarkStart w:id="428" w:name="OLE_LINK648"/>
      <w:bookmarkStart w:id="429" w:name="OLE_LINK686"/>
      <w:bookmarkStart w:id="430" w:name="OLE_LINK430"/>
      <w:bookmarkStart w:id="431" w:name="OLE_LINK471"/>
      <w:bookmarkStart w:id="432" w:name="OLE_LINK462"/>
      <w:bookmarkStart w:id="433" w:name="OLE_LINK519"/>
      <w:bookmarkStart w:id="434" w:name="OLE_LINK575"/>
      <w:bookmarkStart w:id="435" w:name="OLE_LINK491"/>
      <w:bookmarkStart w:id="436" w:name="OLE_LINK532"/>
      <w:bookmarkStart w:id="437" w:name="OLE_LINK572"/>
      <w:bookmarkStart w:id="438" w:name="OLE_LINK574"/>
      <w:bookmarkStart w:id="439" w:name="OLE_LINK480"/>
      <w:bookmarkStart w:id="440" w:name="OLE_LINK567"/>
      <w:bookmarkStart w:id="441" w:name="OLE_LINK2700"/>
      <w:bookmarkStart w:id="442" w:name="OLE_LINK581"/>
      <w:bookmarkStart w:id="443" w:name="OLE_LINK639"/>
      <w:bookmarkStart w:id="444" w:name="OLE_LINK688"/>
      <w:bookmarkStart w:id="445" w:name="OLE_LINK722"/>
      <w:bookmarkStart w:id="446" w:name="OLE_LINK542"/>
      <w:bookmarkStart w:id="447" w:name="OLE_LINK589"/>
      <w:bookmarkStart w:id="448" w:name="OLE_LINK582"/>
      <w:bookmarkStart w:id="449" w:name="OLE_LINK640"/>
      <w:bookmarkStart w:id="450" w:name="OLE_LINK714"/>
      <w:bookmarkStart w:id="451" w:name="OLE_LINK593"/>
      <w:bookmarkStart w:id="452" w:name="OLE_LINK716"/>
      <w:bookmarkStart w:id="453" w:name="OLE_LINK770"/>
      <w:bookmarkStart w:id="454" w:name="OLE_LINK801"/>
      <w:bookmarkStart w:id="455" w:name="OLE_LINK660"/>
      <w:bookmarkStart w:id="456" w:name="OLE_LINK739"/>
      <w:bookmarkStart w:id="457" w:name="OLE_LINK781"/>
      <w:bookmarkStart w:id="458" w:name="OLE_LINK833"/>
      <w:bookmarkStart w:id="459" w:name="OLE_LINK642"/>
      <w:bookmarkStart w:id="460" w:name="OLE_LINK700"/>
      <w:bookmarkStart w:id="461" w:name="OLE_LINK792"/>
      <w:bookmarkStart w:id="462" w:name="OLE_LINK2882"/>
      <w:bookmarkStart w:id="463" w:name="OLE_LINK836"/>
      <w:bookmarkStart w:id="464" w:name="OLE_LINK889"/>
      <w:bookmarkStart w:id="465" w:name="OLE_LINK782"/>
      <w:bookmarkStart w:id="466" w:name="OLE_LINK826"/>
      <w:bookmarkStart w:id="467" w:name="OLE_LINK865"/>
      <w:bookmarkStart w:id="468" w:name="OLE_LINK2898"/>
      <w:bookmarkStart w:id="469" w:name="OLE_LINK856"/>
      <w:bookmarkStart w:id="470" w:name="OLE_LINK908"/>
      <w:bookmarkStart w:id="471" w:name="OLE_LINK980"/>
      <w:bookmarkStart w:id="472" w:name="OLE_LINK1018"/>
      <w:bookmarkStart w:id="473" w:name="OLE_LINK1049"/>
      <w:bookmarkStart w:id="474" w:name="OLE_LINK1076"/>
      <w:bookmarkStart w:id="475" w:name="OLE_LINK1106"/>
      <w:bookmarkStart w:id="476" w:name="OLE_LINK891"/>
      <w:bookmarkStart w:id="477" w:name="OLE_LINK943"/>
      <w:bookmarkStart w:id="478" w:name="OLE_LINK981"/>
      <w:bookmarkStart w:id="479" w:name="OLE_LINK1030"/>
      <w:bookmarkStart w:id="480" w:name="OLE_LINK847"/>
      <w:bookmarkStart w:id="481" w:name="OLE_LINK909"/>
      <w:bookmarkStart w:id="482" w:name="OLE_LINK898"/>
      <w:bookmarkStart w:id="483" w:name="OLE_LINK906"/>
      <w:bookmarkStart w:id="484" w:name="OLE_LINK992"/>
      <w:bookmarkStart w:id="485" w:name="OLE_LINK993"/>
      <w:bookmarkStart w:id="486" w:name="OLE_LINK1052"/>
      <w:bookmarkStart w:id="487" w:name="OLE_LINK946"/>
      <w:bookmarkStart w:id="488" w:name="OLE_LINK911"/>
      <w:bookmarkStart w:id="489" w:name="OLE_LINK930"/>
      <w:bookmarkStart w:id="490" w:name="OLE_LINK1059"/>
      <w:bookmarkStart w:id="491" w:name="OLE_LINK1137"/>
      <w:bookmarkStart w:id="492" w:name="OLE_LINK1167"/>
      <w:bookmarkStart w:id="493" w:name="OLE_LINK1200"/>
      <w:bookmarkStart w:id="494" w:name="OLE_LINK1241"/>
      <w:bookmarkStart w:id="495" w:name="OLE_LINK1288"/>
      <w:bookmarkStart w:id="496" w:name="OLE_LINK1056"/>
      <w:bookmarkStart w:id="497" w:name="OLE_LINK1158"/>
      <w:bookmarkStart w:id="498" w:name="OLE_LINK1175"/>
      <w:bookmarkStart w:id="499" w:name="OLE_LINK1074"/>
      <w:bookmarkStart w:id="500" w:name="OLE_LINK1169"/>
      <w:bookmarkStart w:id="501" w:name="OLE_LINK1060"/>
      <w:bookmarkStart w:id="502" w:name="OLE_LINK1185"/>
      <w:bookmarkStart w:id="503" w:name="OLE_LINK1172"/>
      <w:bookmarkStart w:id="504" w:name="OLE_LINK1176"/>
      <w:bookmarkStart w:id="505" w:name="OLE_LINK1373"/>
      <w:bookmarkStart w:id="506" w:name="OLE_LINK1410"/>
      <w:bookmarkStart w:id="507" w:name="OLE_LINK1448"/>
      <w:bookmarkStart w:id="508" w:name="OLE_LINK1492"/>
      <w:bookmarkStart w:id="509" w:name="OLE_LINK1530"/>
      <w:bookmarkStart w:id="510" w:name="OLE_LINK1585"/>
      <w:bookmarkStart w:id="511" w:name="OLE_LINK1622"/>
      <w:bookmarkStart w:id="512" w:name="OLE_LINK1661"/>
      <w:bookmarkStart w:id="513" w:name="OLE_LINK1691"/>
      <w:bookmarkStart w:id="514" w:name="OLE_LINK1349"/>
      <w:bookmarkStart w:id="515" w:name="OLE_LINK1343"/>
      <w:bookmarkStart w:id="516" w:name="OLE_LINK1462"/>
      <w:bookmarkStart w:id="517" w:name="OLE_LINK1531"/>
      <w:bookmarkStart w:id="518" w:name="OLE_LINK1344"/>
      <w:bookmarkStart w:id="519" w:name="OLE_LINK1384"/>
      <w:bookmarkStart w:id="520" w:name="OLE_LINK1457"/>
      <w:bookmarkStart w:id="521" w:name="OLE_LINK1500"/>
      <w:bookmarkStart w:id="522" w:name="OLE_LINK1591"/>
      <w:bookmarkStart w:id="523" w:name="OLE_LINK1370"/>
      <w:bookmarkStart w:id="524" w:name="OLE_LINK1443"/>
      <w:bookmarkStart w:id="525" w:name="OLE_LINK1472"/>
      <w:bookmarkStart w:id="526" w:name="OLE_LINK1503"/>
      <w:bookmarkStart w:id="527" w:name="OLE_LINK1390"/>
      <w:bookmarkStart w:id="528" w:name="OLE_LINK1490"/>
      <w:bookmarkStart w:id="529" w:name="OLE_LINK1576"/>
      <w:bookmarkStart w:id="530" w:name="OLE_LINK1618"/>
      <w:bookmarkStart w:id="531" w:name="OLE_LINK1650"/>
      <w:bookmarkStart w:id="532" w:name="OLE_LINK1721"/>
      <w:bookmarkStart w:id="533" w:name="OLE_LINK1565"/>
      <w:bookmarkStart w:id="534" w:name="OLE_LINK1619"/>
      <w:bookmarkStart w:id="535" w:name="OLE_LINK1671"/>
      <w:bookmarkStart w:id="536" w:name="OLE_LINK1716"/>
      <w:bookmarkStart w:id="537" w:name="OLE_LINK1761"/>
      <w:bookmarkStart w:id="538" w:name="OLE_LINK1586"/>
      <w:bookmarkStart w:id="539" w:name="OLE_LINK1593"/>
      <w:bookmarkStart w:id="540" w:name="OLE_LINK1630"/>
      <w:bookmarkStart w:id="541" w:name="OLE_LINK1699"/>
      <w:bookmarkStart w:id="542" w:name="OLE_LINK1736"/>
      <w:bookmarkStart w:id="543" w:name="OLE_LINK1792"/>
      <w:bookmarkStart w:id="544" w:name="OLE_LINK1825"/>
      <w:bookmarkStart w:id="545" w:name="OLE_LINK1865"/>
      <w:bookmarkStart w:id="546" w:name="OLE_LINK1692"/>
      <w:bookmarkStart w:id="547" w:name="OLE_LINK1808"/>
      <w:bookmarkStart w:id="548" w:name="OLE_LINK1862"/>
      <w:bookmarkStart w:id="549" w:name="OLE_LINK1859"/>
      <w:bookmarkStart w:id="550" w:name="OLE_LINK1901"/>
      <w:bookmarkStart w:id="551" w:name="OLE_LINK1939"/>
      <w:bookmarkStart w:id="552" w:name="OLE_LINK1977"/>
      <w:bookmarkStart w:id="553" w:name="OLE_LINK1841"/>
      <w:bookmarkStart w:id="554" w:name="OLE_LINK1879"/>
      <w:bookmarkStart w:id="555" w:name="OLE_LINK1916"/>
      <w:bookmarkStart w:id="556" w:name="OLE_LINK1960"/>
      <w:bookmarkStart w:id="557" w:name="OLE_LINK1834"/>
      <w:bookmarkStart w:id="558" w:name="OLE_LINK2027"/>
      <w:bookmarkStart w:id="559" w:name="OLE_LINK2056"/>
      <w:bookmarkStart w:id="560" w:name="OLE_LINK1870"/>
      <w:bookmarkStart w:id="561" w:name="OLE_LINK1883"/>
      <w:bookmarkStart w:id="562" w:name="OLE_LINK1890"/>
      <w:bookmarkStart w:id="563" w:name="OLE_LINK1922"/>
      <w:bookmarkStart w:id="564" w:name="OLE_LINK1943"/>
      <w:bookmarkStart w:id="565" w:name="OLE_LINK1970"/>
      <w:bookmarkStart w:id="566" w:name="OLE_LINK1983"/>
      <w:bookmarkStart w:id="567" w:name="OLE_LINK2031"/>
      <w:bookmarkStart w:id="568" w:name="OLE_LINK2066"/>
      <w:bookmarkStart w:id="569" w:name="OLE_LINK2094"/>
      <w:bookmarkStart w:id="570" w:name="OLE_LINK2136"/>
      <w:bookmarkStart w:id="571" w:name="OLE_LINK2192"/>
      <w:bookmarkStart w:id="572" w:name="OLE_LINK1984"/>
      <w:bookmarkStart w:id="573" w:name="OLE_LINK2040"/>
      <w:bookmarkStart w:id="574" w:name="OLE_LINK2087"/>
      <w:bookmarkStart w:id="575" w:name="OLE_LINK2131"/>
      <w:bookmarkStart w:id="576" w:name="OLE_LINK2167"/>
      <w:bookmarkStart w:id="577" w:name="OLE_LINK2211"/>
      <w:bookmarkStart w:id="578" w:name="OLE_LINK2265"/>
      <w:bookmarkStart w:id="579" w:name="OLE_LINK2274"/>
      <w:bookmarkStart w:id="580" w:name="OLE_LINK2071"/>
      <w:bookmarkStart w:id="581" w:name="OLE_LINK3320"/>
      <w:bookmarkStart w:id="582" w:name="OLE_LINK3374"/>
      <w:bookmarkStart w:id="583" w:name="OLE_LINK3410"/>
      <w:bookmarkStart w:id="584" w:name="OLE_LINK1997"/>
      <w:bookmarkStart w:id="585" w:name="OLE_LINK2043"/>
      <w:bookmarkStart w:id="586" w:name="OLE_LINK2041"/>
      <w:bookmarkStart w:id="587" w:name="OLE_LINK2133"/>
      <w:bookmarkStart w:id="588" w:name="OLE_LINK2181"/>
      <w:bookmarkStart w:id="589" w:name="OLE_LINK2101"/>
      <w:bookmarkStart w:id="590" w:name="OLE_LINK2128"/>
      <w:bookmarkStart w:id="591" w:name="OLE_LINK3357"/>
      <w:bookmarkStart w:id="592" w:name="OLE_LINK2139"/>
      <w:bookmarkStart w:id="593" w:name="OLE_LINK2219"/>
      <w:bookmarkStart w:id="594" w:name="OLE_LINK2248"/>
      <w:bookmarkStart w:id="595" w:name="OLE_LINK2281"/>
      <w:bookmarkStart w:id="596" w:name="OLE_LINK2294"/>
      <w:bookmarkStart w:id="597" w:name="OLE_LINK2395"/>
      <w:bookmarkStart w:id="598" w:name="OLE_LINK2148"/>
      <w:bookmarkStart w:id="599" w:name="OLE_LINK2236"/>
      <w:bookmarkStart w:id="600" w:name="OLE_LINK2354"/>
      <w:bookmarkStart w:id="601" w:name="OLE_LINK2273"/>
      <w:bookmarkStart w:id="602" w:name="OLE_LINK2314"/>
      <w:bookmarkStart w:id="603" w:name="OLE_LINK2240"/>
      <w:bookmarkStart w:id="604" w:name="OLE_LINK2290"/>
      <w:bookmarkStart w:id="605" w:name="OLE_LINK2330"/>
      <w:bookmarkStart w:id="606" w:name="OLE_LINK2402"/>
      <w:bookmarkStart w:id="607" w:name="OLE_LINK2432"/>
      <w:bookmarkStart w:id="608" w:name="OLE_LINK2336"/>
      <w:bookmarkStart w:id="609" w:name="OLE_LINK2369"/>
      <w:bookmarkStart w:id="610" w:name="OLE_LINK2427"/>
      <w:bookmarkStart w:id="611" w:name="OLE_LINK2370"/>
      <w:bookmarkStart w:id="612" w:name="OLE_LINK2474"/>
      <w:bookmarkStart w:id="613" w:name="OLE_LINK2382"/>
      <w:bookmarkStart w:id="614" w:name="OLE_LINK2476"/>
      <w:bookmarkStart w:id="615" w:name="OLE_LINK2532"/>
      <w:bookmarkStart w:id="616" w:name="OLE_LINK2471"/>
      <w:bookmarkStart w:id="617" w:name="OLE_LINK2483"/>
      <w:bookmarkStart w:id="618" w:name="OLE_LINK2511"/>
      <w:bookmarkStart w:id="619" w:name="OLE_LINK2583"/>
      <w:bookmarkStart w:id="620" w:name="OLE_LINK2615"/>
      <w:bookmarkStart w:id="621" w:name="OLE_LINK2554"/>
      <w:bookmarkStart w:id="622" w:name="OLE_LINK2528"/>
      <w:bookmarkStart w:id="623" w:name="OLE_LINK2555"/>
      <w:bookmarkStart w:id="624" w:name="OLE_LINK2537"/>
      <w:bookmarkStart w:id="625" w:name="OLE_LINK2550"/>
      <w:bookmarkStart w:id="626" w:name="OLE_LINK2594"/>
      <w:bookmarkStart w:id="627" w:name="OLE_LINK2589"/>
      <w:bookmarkStart w:id="628" w:name="OLE_LINK2648"/>
      <w:bookmarkStart w:id="629" w:name="OLE_LINK2669"/>
      <w:bookmarkStart w:id="630" w:name="OLE_LINK2567"/>
      <w:bookmarkStart w:id="631" w:name="OLE_LINK2593"/>
      <w:bookmarkStart w:id="632" w:name="OLE_LINK2629"/>
      <w:bookmarkStart w:id="633" w:name="OLE_LINK2678"/>
      <w:bookmarkStart w:id="634" w:name="OLE_LINK2703"/>
      <w:bookmarkStart w:id="635" w:name="OLE_LINK2739"/>
      <w:bookmarkStart w:id="636" w:name="OLE_LINK2757"/>
      <w:bookmarkStart w:id="637" w:name="OLE_LINK3464"/>
      <w:bookmarkStart w:id="638" w:name="OLE_LINK3508"/>
      <w:bookmarkStart w:id="639" w:name="OLE_LINK2779"/>
      <w:bookmarkStart w:id="640" w:name="OLE_LINK2724"/>
      <w:bookmarkStart w:id="641" w:name="OLE_LINK2733"/>
      <w:bookmarkStart w:id="642" w:name="OLE_LINK2744"/>
      <w:bookmarkStart w:id="643" w:name="OLE_LINK2777"/>
      <w:bookmarkStart w:id="644" w:name="OLE_LINK2858"/>
      <w:bookmarkStart w:id="645" w:name="OLE_LINK2834"/>
      <w:bookmarkStart w:id="646" w:name="OLE_LINK2864"/>
      <w:bookmarkStart w:id="647" w:name="OLE_LINK3467"/>
      <w:bookmarkStart w:id="648" w:name="OLE_LINK2846"/>
      <w:bookmarkStart w:id="649" w:name="OLE_LINK2893"/>
      <w:bookmarkStart w:id="650" w:name="OLE_LINK2837"/>
      <w:bookmarkStart w:id="651" w:name="OLE_LINK2853"/>
      <w:bookmarkStart w:id="652" w:name="OLE_LINK2889"/>
      <w:bookmarkStart w:id="653" w:name="OLE_LINK2915"/>
      <w:bookmarkStart w:id="654" w:name="OLE_LINK2938"/>
      <w:bookmarkStart w:id="655" w:name="OLE_LINK2920"/>
      <w:bookmarkStart w:id="656" w:name="OLE_LINK2954"/>
      <w:bookmarkStart w:id="657" w:name="OLE_LINK2986"/>
      <w:bookmarkStart w:id="658" w:name="OLE_LINK3031"/>
      <w:bookmarkStart w:id="659" w:name="OLE_LINK3506"/>
      <w:bookmarkStart w:id="660" w:name="OLE_LINK2953"/>
      <w:bookmarkStart w:id="661" w:name="OLE_LINK2972"/>
      <w:bookmarkStart w:id="662" w:name="OLE_LINK3020"/>
      <w:bookmarkStart w:id="663" w:name="OLE_LINK3067"/>
      <w:bookmarkStart w:id="664" w:name="OLE_LINK3108"/>
      <w:bookmarkStart w:id="665" w:name="OLE_LINK3135"/>
      <w:bookmarkStart w:id="666" w:name="OLE_LINK3015"/>
      <w:bookmarkStart w:id="667" w:name="OLE_LINK3032"/>
      <w:bookmarkStart w:id="668" w:name="OLE_LINK3039"/>
      <w:bookmarkStart w:id="669" w:name="OLE_LINK3059"/>
      <w:bookmarkStart w:id="670" w:name="OLE_LINK3065"/>
      <w:bookmarkStart w:id="671" w:name="OLE_LINK3071"/>
      <w:bookmarkStart w:id="672" w:name="OLE_LINK3089"/>
      <w:bookmarkStart w:id="673" w:name="OLE_LINK3114"/>
      <w:bookmarkStart w:id="674" w:name="OLE_LINK3142"/>
      <w:bookmarkStart w:id="675" w:name="OLE_LINK3118"/>
      <w:bookmarkStart w:id="676" w:name="OLE_LINK3160"/>
      <w:bookmarkStart w:id="677" w:name="OLE_LINK3192"/>
      <w:bookmarkStart w:id="678" w:name="OLE_LINK3186"/>
      <w:bookmarkStart w:id="679" w:name="OLE_LINK3184"/>
      <w:bookmarkStart w:id="680" w:name="OLE_LINK3218"/>
      <w:bookmarkStart w:id="681" w:name="OLE_LINK3167"/>
      <w:bookmarkStart w:id="682" w:name="OLE_LINK3219"/>
      <w:bookmarkStart w:id="683" w:name="OLE_LINK3248"/>
      <w:bookmarkStart w:id="684" w:name="OLE_LINK3380"/>
      <w:bookmarkStart w:id="685" w:name="OLE_LINK3187"/>
      <w:bookmarkStart w:id="686" w:name="OLE_LINK3245"/>
      <w:bookmarkStart w:id="687" w:name="OLE_LINK3254"/>
      <w:bookmarkStart w:id="688" w:name="OLE_LINK3249"/>
      <w:bookmarkStart w:id="689" w:name="OLE_LINK3263"/>
      <w:bookmarkStart w:id="690" w:name="OLE_LINK3281"/>
      <w:bookmarkStart w:id="691" w:name="OLE_LINK3318"/>
      <w:bookmarkStart w:id="692" w:name="OLE_LINK3378"/>
      <w:bookmarkStart w:id="693" w:name="OLE_LINK3412"/>
      <w:bookmarkStart w:id="694" w:name="OLE_LINK3324"/>
      <w:bookmarkStart w:id="695" w:name="OLE_LINK3372"/>
      <w:bookmarkStart w:id="696" w:name="OLE_LINK3435"/>
      <w:bookmarkStart w:id="697" w:name="OLE_LINK3640"/>
      <w:bookmarkStart w:id="698" w:name="OLE_LINK3755"/>
      <w:bookmarkStart w:id="699" w:name="OLE_LINK3796"/>
      <w:bookmarkStart w:id="700" w:name="OLE_LINK3549"/>
      <w:bookmarkStart w:id="701" w:name="OLE_LINK3554"/>
      <w:bookmarkStart w:id="702" w:name="OLE_LINK3565"/>
      <w:bookmarkStart w:id="703" w:name="OLE_LINK3573"/>
      <w:bookmarkStart w:id="704" w:name="OLE_LINK3705"/>
      <w:bookmarkStart w:id="705" w:name="OLE_LINK3750"/>
      <w:bookmarkStart w:id="706" w:name="OLE_LINK3604"/>
      <w:bookmarkStart w:id="707" w:name="OLE_LINK3638"/>
      <w:bookmarkStart w:id="708" w:name="OLE_LINK3662"/>
      <w:bookmarkStart w:id="709" w:name="OLE_LINK3692"/>
      <w:bookmarkStart w:id="710" w:name="OLE_LINK3694"/>
      <w:bookmarkStart w:id="711" w:name="OLE_LINK3693"/>
      <w:bookmarkStart w:id="712" w:name="OLE_LINK3709"/>
      <w:bookmarkStart w:id="713" w:name="OLE_LINK3833"/>
      <w:bookmarkStart w:id="714" w:name="OLE_LINK3871"/>
      <w:bookmarkStart w:id="715" w:name="OLE_LINK3889"/>
      <w:bookmarkStart w:id="716" w:name="OLE_LINK3862"/>
      <w:bookmarkStart w:id="717" w:name="OLE_LINK3898"/>
      <w:bookmarkStart w:id="718" w:name="OLE_LINK3920"/>
      <w:bookmarkStart w:id="719" w:name="OLE_LINK3939"/>
      <w:bookmarkStart w:id="720" w:name="OLE_LINK3961"/>
      <w:bookmarkStart w:id="721" w:name="OLE_LINK3867"/>
      <w:bookmarkStart w:id="722" w:name="OLE_LINK3880"/>
      <w:bookmarkStart w:id="723" w:name="OLE_LINK3983"/>
      <w:bookmarkStart w:id="724" w:name="OLE_LINK4018"/>
      <w:bookmarkStart w:id="725" w:name="OLE_LINK3899"/>
      <w:bookmarkStart w:id="726" w:name="OLE_LINK3985"/>
      <w:bookmarkStart w:id="727" w:name="OLE_LINK3948"/>
      <w:bookmarkStart w:id="728" w:name="OLE_LINK4039"/>
      <w:bookmarkStart w:id="729" w:name="OLE_LINK4041"/>
      <w:bookmarkStart w:id="730" w:name="OLE_LINK4061"/>
      <w:bookmarkStart w:id="731" w:name="OLE_LINK4102"/>
      <w:bookmarkStart w:id="732" w:name="OLE_LINK4037"/>
      <w:bookmarkStart w:id="733" w:name="OLE_LINK4063"/>
      <w:r w:rsidRPr="009E3692">
        <w:rPr>
          <w:rFonts w:ascii="Book Antiqua" w:hAnsi="Book Antiqua"/>
          <w:b/>
          <w:bCs/>
          <w:sz w:val="24"/>
        </w:rPr>
        <w:t>P-Reviewer</w:t>
      </w:r>
      <w:r>
        <w:rPr>
          <w:rFonts w:ascii="Book Antiqua" w:hAnsi="Book Antiqua"/>
          <w:b/>
          <w:bCs/>
          <w:sz w:val="24"/>
        </w:rPr>
        <w:t>:</w:t>
      </w:r>
      <w:r w:rsidRPr="00294646">
        <w:rPr>
          <w:rFonts w:ascii="Book Antiqua" w:hAnsi="Book Antiqua"/>
          <w:bCs/>
          <w:sz w:val="24"/>
        </w:rPr>
        <w:t xml:space="preserve"> Snell</w:t>
      </w:r>
      <w:r w:rsidRPr="00294646">
        <w:rPr>
          <w:rFonts w:ascii="Book Antiqua" w:hAnsi="Book Antiqua" w:hint="eastAsia"/>
          <w:bCs/>
          <w:sz w:val="24"/>
          <w:lang w:eastAsia="zh-CN"/>
        </w:rPr>
        <w:t xml:space="preserve"> </w:t>
      </w:r>
      <w:r w:rsidRPr="00294646">
        <w:rPr>
          <w:rFonts w:ascii="Book Antiqua" w:hAnsi="Book Antiqua"/>
          <w:bCs/>
          <w:sz w:val="24"/>
        </w:rPr>
        <w:t>C</w:t>
      </w:r>
      <w:r w:rsidRPr="00294646">
        <w:rPr>
          <w:rFonts w:ascii="Book Antiqua" w:hAnsi="Book Antiqua" w:hint="eastAsia"/>
          <w:bCs/>
          <w:sz w:val="24"/>
          <w:lang w:eastAsia="zh-CN"/>
        </w:rPr>
        <w:t xml:space="preserve">, </w:t>
      </w:r>
      <w:proofErr w:type="spellStart"/>
      <w:r w:rsidRPr="00294646">
        <w:rPr>
          <w:rFonts w:ascii="Book Antiqua" w:hAnsi="Book Antiqua"/>
          <w:bCs/>
          <w:sz w:val="24"/>
        </w:rPr>
        <w:t>Trabut</w:t>
      </w:r>
      <w:proofErr w:type="spellEnd"/>
      <w:r w:rsidRPr="00294646">
        <w:rPr>
          <w:rFonts w:ascii="Book Antiqua" w:hAnsi="Book Antiqua"/>
          <w:bCs/>
          <w:sz w:val="24"/>
        </w:rPr>
        <w:t xml:space="preserve"> JB</w:t>
      </w:r>
      <w:r w:rsidRPr="009E3692">
        <w:rPr>
          <w:rFonts w:ascii="Book Antiqua" w:hAnsi="Book Antiqua"/>
          <w:b/>
          <w:bCs/>
          <w:sz w:val="24"/>
        </w:rPr>
        <w:t xml:space="preserve"> S-Editor</w:t>
      </w:r>
      <w:r>
        <w:rPr>
          <w:rFonts w:ascii="Book Antiqua" w:hAnsi="Book Antiqua"/>
          <w:b/>
          <w:bCs/>
          <w:sz w:val="24"/>
        </w:rPr>
        <w:t>:</w:t>
      </w:r>
      <w:r w:rsidRPr="009E3692">
        <w:rPr>
          <w:rFonts w:ascii="Book Antiqua" w:hAnsi="Book Antiqua"/>
          <w:sz w:val="24"/>
        </w:rPr>
        <w:t xml:space="preserve"> </w:t>
      </w:r>
      <w:r>
        <w:rPr>
          <w:rFonts w:ascii="Book Antiqua" w:hAnsi="Book Antiqua" w:hint="eastAsia"/>
          <w:sz w:val="24"/>
        </w:rPr>
        <w:t>Yu J</w:t>
      </w:r>
      <w:r w:rsidRPr="009E3692">
        <w:rPr>
          <w:rFonts w:ascii="Book Antiqua" w:hAnsi="Book Antiqua"/>
          <w:sz w:val="24"/>
        </w:rPr>
        <w:t xml:space="preserve"> </w:t>
      </w:r>
      <w:r w:rsidRPr="009E3692">
        <w:rPr>
          <w:rFonts w:ascii="Book Antiqua" w:hAnsi="Book Antiqua"/>
          <w:b/>
          <w:bCs/>
          <w:sz w:val="24"/>
        </w:rPr>
        <w:t>L-Editor</w:t>
      </w:r>
      <w:r>
        <w:rPr>
          <w:rFonts w:ascii="Book Antiqua" w:hAnsi="Book Antiqua"/>
          <w:b/>
          <w:bCs/>
          <w:sz w:val="24"/>
        </w:rPr>
        <w:t>:</w:t>
      </w:r>
      <w:r w:rsidR="00C731E9">
        <w:rPr>
          <w:rFonts w:ascii="Book Antiqua" w:hAnsi="Book Antiqua"/>
          <w:sz w:val="24"/>
        </w:rPr>
        <w:t xml:space="preserve"> </w:t>
      </w:r>
      <w:r w:rsidRPr="009E3692">
        <w:rPr>
          <w:rFonts w:ascii="Book Antiqua" w:hAnsi="Book Antiqua"/>
          <w:b/>
          <w:bCs/>
          <w:sz w:val="24"/>
        </w:rPr>
        <w:t>E-Editor</w:t>
      </w:r>
      <w:r>
        <w:rPr>
          <w:rFonts w:ascii="Book Antiqua" w:hAnsi="Book Antiqua"/>
          <w:b/>
          <w:bCs/>
          <w:sz w:val="24"/>
        </w:rPr>
        <w:t>:</w:t>
      </w:r>
    </w:p>
    <w:p w:rsidR="0083504B" w:rsidRPr="0083504B" w:rsidRDefault="0083504B" w:rsidP="0083504B">
      <w:pPr>
        <w:widowControl w:val="0"/>
        <w:adjustRightInd w:val="0"/>
        <w:snapToGrid w:val="0"/>
        <w:spacing w:after="0" w:line="360" w:lineRule="auto"/>
        <w:jc w:val="both"/>
        <w:rPr>
          <w:rFonts w:ascii="Book Antiqua" w:eastAsia="SimSun" w:hAnsi="Book Antiqua" w:cs="Times New Roman"/>
          <w:color w:val="000000"/>
          <w:kern w:val="2"/>
          <w:sz w:val="24"/>
          <w:lang w:eastAsia="zh-CN"/>
        </w:rPr>
      </w:pPr>
      <w:bookmarkStart w:id="734" w:name="OLE_LINK3503"/>
      <w:bookmarkStart w:id="735" w:name="OLE_LINK3504"/>
      <w:bookmarkStart w:id="736" w:name="OLE_LINK3509"/>
      <w:bookmarkStart w:id="737" w:name="OLE_LINK3510"/>
      <w:bookmarkStart w:id="738" w:name="OLE_LINK4019"/>
      <w:bookmarkStart w:id="739" w:name="OLE_LINK4020"/>
      <w:bookmarkStart w:id="740" w:name="OLE_LINK3388"/>
      <w:bookmarkStart w:id="741" w:name="OLE_LINK3389"/>
      <w:bookmarkStart w:id="742" w:name="OLE_LINK3420"/>
      <w:bookmarkStart w:id="743" w:name="OLE_LINK3381"/>
      <w:bookmarkStart w:id="744" w:name="OLE_LINK3382"/>
      <w:bookmarkStart w:id="745" w:name="OLE_LINK3383"/>
      <w:bookmarkStart w:id="746" w:name="OLE_LINK3440"/>
      <w:bookmarkStart w:id="747" w:name="OLE_LINK3441"/>
      <w:bookmarkStart w:id="748" w:name="OLE_LINK3444"/>
      <w:bookmarkStart w:id="749" w:name="OLE_LINK3450"/>
      <w:bookmarkStart w:id="750" w:name="OLE_LINK3465"/>
      <w:bookmarkStart w:id="751" w:name="OLE_LINK3762"/>
      <w:bookmarkStart w:id="752" w:name="OLE_LINK3809"/>
      <w:bookmarkStart w:id="753" w:name="OLE_LINK3550"/>
      <w:bookmarkStart w:id="754" w:name="OLE_LINK3541"/>
      <w:bookmarkStart w:id="755" w:name="OLE_LINK3542"/>
      <w:bookmarkStart w:id="756" w:name="OLE_LINK3551"/>
      <w:bookmarkStart w:id="757" w:name="OLE_LINK3569"/>
      <w:bookmarkStart w:id="758" w:name="OLE_LINK3574"/>
      <w:bookmarkStart w:id="759" w:name="OLE_LINK3582"/>
      <w:bookmarkStart w:id="760" w:name="OLE_LINK3598"/>
      <w:bookmarkStart w:id="761" w:name="OLE_LINK3601"/>
      <w:bookmarkStart w:id="762" w:name="OLE_LINK3602"/>
      <w:bookmarkStart w:id="763" w:name="OLE_LINK3603"/>
      <w:bookmarkStart w:id="764" w:name="OLE_LINK3605"/>
      <w:bookmarkStart w:id="765" w:name="OLE_LINK3600"/>
      <w:bookmarkStart w:id="766" w:name="OLE_LINK3706"/>
      <w:bookmarkStart w:id="767" w:name="OLE_LINK3728"/>
      <w:bookmarkStart w:id="768" w:name="OLE_LINK3711"/>
      <w:bookmarkStart w:id="769" w:name="OLE_LINK3759"/>
      <w:bookmarkStart w:id="770" w:name="OLE_LINK3827"/>
      <w:bookmarkStart w:id="771" w:name="OLE_LINK3834"/>
      <w:bookmarkStart w:id="772" w:name="OLE_LINK3836"/>
      <w:bookmarkStart w:id="773" w:name="OLE_LINK3847"/>
      <w:bookmarkStart w:id="774" w:name="OLE_LINK3861"/>
      <w:bookmarkStart w:id="775" w:name="OLE_LINK3874"/>
      <w:bookmarkStart w:id="776" w:name="OLE_LINK3907"/>
      <w:bookmarkStart w:id="777" w:name="OLE_LINK3922"/>
      <w:bookmarkStart w:id="778" w:name="OLE_LINK3942"/>
      <w:bookmarkStart w:id="779" w:name="OLE_LINK3866"/>
      <w:bookmarkStart w:id="780" w:name="OLE_LINK3924"/>
      <w:bookmarkStart w:id="781" w:name="OLE_LINK3964"/>
      <w:bookmarkStart w:id="782" w:name="OLE_LINK3984"/>
      <w:bookmarkStart w:id="783" w:name="OLE_LINK3905"/>
      <w:bookmarkStart w:id="784" w:name="OLE_LINK3941"/>
      <w:bookmarkStart w:id="785" w:name="OLE_LINK3986"/>
      <w:bookmarkStart w:id="786" w:name="OLE_LINK3980"/>
      <w:bookmarkStart w:id="787" w:name="OLE_LINK4008"/>
      <w:bookmarkStart w:id="788" w:name="OLE_LINK4042"/>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r w:rsidRPr="0083504B">
        <w:rPr>
          <w:rFonts w:ascii="Book Antiqua" w:eastAsia="SimSun" w:hAnsi="Book Antiqua" w:cs="Times New Roman"/>
          <w:b/>
          <w:color w:val="000000"/>
          <w:kern w:val="2"/>
          <w:sz w:val="24"/>
          <w:lang w:eastAsia="zh-CN"/>
        </w:rPr>
        <w:t xml:space="preserve">Specialty type: </w:t>
      </w:r>
      <w:r w:rsidRPr="0083504B">
        <w:rPr>
          <w:rFonts w:ascii="Book Antiqua" w:eastAsia="SimSun" w:hAnsi="Book Antiqua" w:cs="Times New Roman"/>
          <w:color w:val="000000"/>
          <w:kern w:val="2"/>
          <w:sz w:val="24"/>
          <w:lang w:eastAsia="zh-CN"/>
        </w:rPr>
        <w:t>Gastroenterology and hepatology</w:t>
      </w:r>
    </w:p>
    <w:p w:rsidR="0083504B" w:rsidRPr="0083504B" w:rsidRDefault="0083504B" w:rsidP="0083504B">
      <w:pPr>
        <w:widowControl w:val="0"/>
        <w:adjustRightInd w:val="0"/>
        <w:snapToGrid w:val="0"/>
        <w:spacing w:after="0" w:line="360" w:lineRule="auto"/>
        <w:jc w:val="both"/>
        <w:rPr>
          <w:rFonts w:ascii="Book Antiqua" w:eastAsia="SimSun" w:hAnsi="Book Antiqua" w:cs="Times New Roman"/>
          <w:color w:val="000000"/>
          <w:kern w:val="2"/>
          <w:sz w:val="24"/>
          <w:lang w:eastAsia="zh-CN"/>
        </w:rPr>
      </w:pPr>
      <w:r w:rsidRPr="0083504B">
        <w:rPr>
          <w:rFonts w:ascii="Book Antiqua" w:eastAsia="SimSun" w:hAnsi="Book Antiqua" w:cs="Times New Roman"/>
          <w:b/>
          <w:color w:val="000000"/>
          <w:kern w:val="2"/>
          <w:sz w:val="24"/>
          <w:lang w:eastAsia="zh-CN"/>
        </w:rPr>
        <w:t xml:space="preserve">Country of origin: </w:t>
      </w:r>
      <w:r>
        <w:rPr>
          <w:rFonts w:ascii="Book Antiqua" w:eastAsia="SimSun" w:hAnsi="Book Antiqua" w:cs="Times New Roman" w:hint="eastAsia"/>
          <w:color w:val="000000"/>
          <w:kern w:val="2"/>
          <w:sz w:val="24"/>
          <w:lang w:eastAsia="zh-CN"/>
        </w:rPr>
        <w:t>Spain</w:t>
      </w:r>
    </w:p>
    <w:bookmarkEnd w:id="734"/>
    <w:bookmarkEnd w:id="735"/>
    <w:bookmarkEnd w:id="736"/>
    <w:bookmarkEnd w:id="737"/>
    <w:p w:rsidR="0083504B" w:rsidRPr="0083504B" w:rsidRDefault="0083504B" w:rsidP="0083504B">
      <w:pPr>
        <w:widowControl w:val="0"/>
        <w:shd w:val="clear" w:color="auto" w:fill="FFFFFF"/>
        <w:spacing w:after="0" w:line="360" w:lineRule="auto"/>
        <w:jc w:val="both"/>
        <w:rPr>
          <w:rFonts w:ascii="Book Antiqua" w:eastAsia="SimSun" w:hAnsi="Book Antiqua" w:cs="Helvetica"/>
          <w:b/>
          <w:color w:val="000000"/>
          <w:kern w:val="2"/>
          <w:sz w:val="24"/>
          <w:szCs w:val="24"/>
          <w:lang w:eastAsia="zh-CN"/>
        </w:rPr>
      </w:pPr>
      <w:r w:rsidRPr="0083504B">
        <w:rPr>
          <w:rFonts w:ascii="Book Antiqua" w:eastAsia="SimSun" w:hAnsi="Book Antiqua" w:cs="Helvetica"/>
          <w:b/>
          <w:color w:val="000000"/>
          <w:kern w:val="2"/>
          <w:sz w:val="24"/>
          <w:szCs w:val="24"/>
          <w:lang w:eastAsia="zh-CN"/>
        </w:rPr>
        <w:t>Peer-review report classification</w:t>
      </w:r>
    </w:p>
    <w:p w:rsidR="0083504B" w:rsidRPr="0083504B" w:rsidRDefault="0083504B" w:rsidP="0083504B">
      <w:pPr>
        <w:widowControl w:val="0"/>
        <w:shd w:val="clear" w:color="auto" w:fill="FFFFFF"/>
        <w:spacing w:after="0" w:line="360" w:lineRule="auto"/>
        <w:jc w:val="both"/>
        <w:rPr>
          <w:rFonts w:ascii="Book Antiqua" w:eastAsia="SimSun" w:hAnsi="Book Antiqua" w:cs="Helvetica"/>
          <w:color w:val="000000"/>
          <w:kern w:val="2"/>
          <w:sz w:val="24"/>
          <w:szCs w:val="24"/>
          <w:lang w:eastAsia="zh-CN"/>
        </w:rPr>
      </w:pPr>
      <w:r w:rsidRPr="0083504B">
        <w:rPr>
          <w:rFonts w:ascii="Book Antiqua" w:eastAsia="SimSun" w:hAnsi="Book Antiqua" w:cs="Helvetica"/>
          <w:color w:val="000000"/>
          <w:kern w:val="2"/>
          <w:sz w:val="24"/>
          <w:szCs w:val="24"/>
          <w:lang w:eastAsia="zh-CN"/>
        </w:rPr>
        <w:t xml:space="preserve">Grade </w:t>
      </w:r>
      <w:proofErr w:type="gramStart"/>
      <w:r w:rsidRPr="0083504B">
        <w:rPr>
          <w:rFonts w:ascii="Book Antiqua" w:eastAsia="SimSun" w:hAnsi="Book Antiqua" w:cs="Helvetica"/>
          <w:color w:val="000000"/>
          <w:kern w:val="2"/>
          <w:sz w:val="24"/>
          <w:szCs w:val="24"/>
          <w:lang w:eastAsia="zh-CN"/>
        </w:rPr>
        <w:t>A</w:t>
      </w:r>
      <w:proofErr w:type="gramEnd"/>
      <w:r w:rsidRPr="0083504B">
        <w:rPr>
          <w:rFonts w:ascii="Book Antiqua" w:eastAsia="SimSun" w:hAnsi="Book Antiqua" w:cs="Helvetica"/>
          <w:color w:val="000000"/>
          <w:kern w:val="2"/>
          <w:sz w:val="24"/>
          <w:szCs w:val="24"/>
          <w:lang w:eastAsia="zh-CN"/>
        </w:rPr>
        <w:t xml:space="preserve"> (Excellent): </w:t>
      </w:r>
      <w:r w:rsidRPr="0083504B">
        <w:rPr>
          <w:rFonts w:ascii="Book Antiqua" w:eastAsia="SimSun" w:hAnsi="Book Antiqua" w:cs="Helvetica" w:hint="eastAsia"/>
          <w:color w:val="000000"/>
          <w:kern w:val="2"/>
          <w:sz w:val="24"/>
          <w:szCs w:val="24"/>
          <w:lang w:eastAsia="zh-CN"/>
        </w:rPr>
        <w:t>0</w:t>
      </w:r>
    </w:p>
    <w:p w:rsidR="0083504B" w:rsidRPr="0083504B" w:rsidRDefault="0083504B" w:rsidP="0083504B">
      <w:pPr>
        <w:widowControl w:val="0"/>
        <w:shd w:val="clear" w:color="auto" w:fill="FFFFFF"/>
        <w:spacing w:after="0" w:line="360" w:lineRule="auto"/>
        <w:jc w:val="both"/>
        <w:rPr>
          <w:rFonts w:ascii="Book Antiqua" w:eastAsia="SimSun" w:hAnsi="Book Antiqua" w:cs="Helvetica"/>
          <w:color w:val="000000"/>
          <w:kern w:val="2"/>
          <w:sz w:val="24"/>
          <w:szCs w:val="24"/>
          <w:lang w:eastAsia="zh-CN"/>
        </w:rPr>
      </w:pPr>
      <w:r w:rsidRPr="0083504B">
        <w:rPr>
          <w:rFonts w:ascii="Book Antiqua" w:eastAsia="SimSun" w:hAnsi="Book Antiqua" w:cs="Helvetica"/>
          <w:color w:val="000000"/>
          <w:kern w:val="2"/>
          <w:sz w:val="24"/>
          <w:szCs w:val="24"/>
          <w:lang w:eastAsia="zh-CN"/>
        </w:rPr>
        <w:t xml:space="preserve">Grade B (Very good): </w:t>
      </w:r>
      <w:r w:rsidR="00FA3392">
        <w:rPr>
          <w:rFonts w:ascii="Book Antiqua" w:eastAsia="SimSun" w:hAnsi="Book Antiqua" w:cs="Helvetica" w:hint="eastAsia"/>
          <w:color w:val="000000"/>
          <w:kern w:val="2"/>
          <w:sz w:val="24"/>
          <w:szCs w:val="24"/>
          <w:lang w:eastAsia="zh-CN"/>
        </w:rPr>
        <w:t>B</w:t>
      </w:r>
    </w:p>
    <w:p w:rsidR="0083504B" w:rsidRPr="0083504B" w:rsidRDefault="0083504B" w:rsidP="0083504B">
      <w:pPr>
        <w:widowControl w:val="0"/>
        <w:shd w:val="clear" w:color="auto" w:fill="FFFFFF"/>
        <w:spacing w:after="0" w:line="360" w:lineRule="auto"/>
        <w:jc w:val="both"/>
        <w:rPr>
          <w:rFonts w:ascii="Book Antiqua" w:eastAsia="SimSun" w:hAnsi="Book Antiqua" w:cs="Helvetica"/>
          <w:color w:val="000000"/>
          <w:kern w:val="2"/>
          <w:sz w:val="24"/>
          <w:szCs w:val="24"/>
          <w:lang w:eastAsia="zh-CN"/>
        </w:rPr>
      </w:pPr>
      <w:r w:rsidRPr="0083504B">
        <w:rPr>
          <w:rFonts w:ascii="Book Antiqua" w:eastAsia="SimSun" w:hAnsi="Book Antiqua" w:cs="Helvetica"/>
          <w:color w:val="000000"/>
          <w:kern w:val="2"/>
          <w:sz w:val="24"/>
          <w:szCs w:val="24"/>
          <w:lang w:eastAsia="zh-CN"/>
        </w:rPr>
        <w:t xml:space="preserve">Grade C (Good): </w:t>
      </w:r>
      <w:r w:rsidRPr="0083504B">
        <w:rPr>
          <w:rFonts w:ascii="Book Antiqua" w:eastAsia="SimSun" w:hAnsi="Book Antiqua" w:cs="Helvetica" w:hint="eastAsia"/>
          <w:color w:val="000000"/>
          <w:kern w:val="2"/>
          <w:sz w:val="24"/>
          <w:szCs w:val="24"/>
          <w:lang w:eastAsia="zh-CN"/>
        </w:rPr>
        <w:t>C</w:t>
      </w:r>
    </w:p>
    <w:p w:rsidR="0083504B" w:rsidRPr="0083504B" w:rsidRDefault="0083504B" w:rsidP="0083504B">
      <w:pPr>
        <w:widowControl w:val="0"/>
        <w:shd w:val="clear" w:color="auto" w:fill="FFFFFF"/>
        <w:spacing w:after="0" w:line="360" w:lineRule="auto"/>
        <w:jc w:val="both"/>
        <w:rPr>
          <w:rFonts w:ascii="Book Antiqua" w:eastAsia="SimSun" w:hAnsi="Book Antiqua" w:cs="Helvetica"/>
          <w:color w:val="000000"/>
          <w:kern w:val="2"/>
          <w:sz w:val="24"/>
          <w:szCs w:val="24"/>
        </w:rPr>
      </w:pPr>
      <w:r w:rsidRPr="0083504B">
        <w:rPr>
          <w:rFonts w:ascii="Book Antiqua" w:eastAsia="SimSun" w:hAnsi="Book Antiqua" w:cs="Helvetica"/>
          <w:color w:val="000000"/>
          <w:kern w:val="2"/>
          <w:sz w:val="24"/>
          <w:szCs w:val="24"/>
          <w:lang w:eastAsia="zh-CN"/>
        </w:rPr>
        <w:t>Grade D (Fair): 0</w:t>
      </w:r>
    </w:p>
    <w:p w:rsidR="0083504B" w:rsidRPr="0083504B" w:rsidRDefault="0083504B" w:rsidP="0083504B">
      <w:pPr>
        <w:widowControl w:val="0"/>
        <w:shd w:val="clear" w:color="auto" w:fill="FFFFFF"/>
        <w:spacing w:after="0" w:line="360" w:lineRule="auto"/>
        <w:jc w:val="both"/>
        <w:rPr>
          <w:rFonts w:ascii="Calibri" w:eastAsia="SimSun" w:hAnsi="Calibri" w:cs="Times New Roman"/>
          <w:color w:val="000000"/>
          <w:kern w:val="2"/>
          <w:lang w:eastAsia="zh-CN"/>
        </w:rPr>
      </w:pPr>
      <w:r w:rsidRPr="0083504B">
        <w:rPr>
          <w:rFonts w:ascii="Book Antiqua" w:eastAsia="SimSun" w:hAnsi="Book Antiqua" w:cs="Helvetica"/>
          <w:color w:val="000000"/>
          <w:kern w:val="2"/>
          <w:sz w:val="24"/>
          <w:szCs w:val="24"/>
          <w:lang w:eastAsia="zh-CN"/>
        </w:rPr>
        <w:t xml:space="preserve">Grade E (Poor): </w:t>
      </w:r>
      <w:bookmarkEnd w:id="738"/>
      <w:bookmarkEnd w:id="739"/>
      <w:r w:rsidRPr="0083504B">
        <w:rPr>
          <w:rFonts w:ascii="Book Antiqua" w:eastAsia="SimSun" w:hAnsi="Book Antiqua" w:cs="Helvetica"/>
          <w:color w:val="000000"/>
          <w:kern w:val="2"/>
          <w:sz w:val="24"/>
          <w:szCs w:val="24"/>
          <w:lang w:eastAsia="zh-CN"/>
        </w:rPr>
        <w:t>0</w:t>
      </w:r>
    </w:p>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rsidR="005A6071" w:rsidRPr="0083504B" w:rsidRDefault="005A6071" w:rsidP="001339DB">
      <w:pPr>
        <w:widowControl w:val="0"/>
        <w:autoSpaceDE w:val="0"/>
        <w:autoSpaceDN w:val="0"/>
        <w:adjustRightInd w:val="0"/>
        <w:snapToGrid w:val="0"/>
        <w:spacing w:after="0" w:line="360" w:lineRule="auto"/>
        <w:ind w:hanging="640"/>
        <w:jc w:val="both"/>
        <w:rPr>
          <w:rFonts w:ascii="Book Antiqua" w:hAnsi="Book Antiqua"/>
          <w:b/>
          <w:sz w:val="24"/>
          <w:szCs w:val="24"/>
          <w:u w:val="single"/>
          <w:lang w:eastAsia="zh-CN"/>
        </w:rPr>
      </w:pPr>
    </w:p>
    <w:p w:rsidR="005A6071" w:rsidRPr="001339DB" w:rsidRDefault="005A6071" w:rsidP="001339DB">
      <w:pPr>
        <w:widowControl w:val="0"/>
        <w:autoSpaceDE w:val="0"/>
        <w:autoSpaceDN w:val="0"/>
        <w:adjustRightInd w:val="0"/>
        <w:snapToGrid w:val="0"/>
        <w:spacing w:after="0" w:line="360" w:lineRule="auto"/>
        <w:ind w:hanging="640"/>
        <w:jc w:val="both"/>
        <w:rPr>
          <w:rFonts w:ascii="Book Antiqua" w:hAnsi="Book Antiqua"/>
          <w:b/>
          <w:sz w:val="24"/>
          <w:szCs w:val="24"/>
          <w:u w:val="single"/>
        </w:rPr>
      </w:pPr>
    </w:p>
    <w:p w:rsidR="00411545" w:rsidRPr="001339DB" w:rsidRDefault="00411545" w:rsidP="001339DB">
      <w:pPr>
        <w:adjustRightInd w:val="0"/>
        <w:snapToGrid w:val="0"/>
        <w:spacing w:after="0" w:line="360" w:lineRule="auto"/>
        <w:jc w:val="both"/>
        <w:rPr>
          <w:rFonts w:ascii="Book Antiqua" w:hAnsi="Book Antiqua"/>
          <w:b/>
          <w:sz w:val="24"/>
          <w:szCs w:val="24"/>
          <w:u w:val="single"/>
        </w:rPr>
      </w:pPr>
      <w:r w:rsidRPr="001339DB">
        <w:rPr>
          <w:rFonts w:ascii="Book Antiqua" w:hAnsi="Book Antiqua"/>
          <w:b/>
          <w:sz w:val="24"/>
          <w:szCs w:val="24"/>
          <w:u w:val="single"/>
        </w:rPr>
        <w:br w:type="page"/>
      </w:r>
    </w:p>
    <w:p w:rsidR="00411545" w:rsidRPr="00294646" w:rsidRDefault="00294646" w:rsidP="001339DB">
      <w:pPr>
        <w:keepNext/>
        <w:adjustRightInd w:val="0"/>
        <w:snapToGrid w:val="0"/>
        <w:spacing w:after="0" w:line="360" w:lineRule="auto"/>
        <w:jc w:val="both"/>
        <w:rPr>
          <w:rFonts w:ascii="Book Antiqua" w:eastAsia="Century Gothic" w:hAnsi="Book Antiqua" w:cs="Times New Roman"/>
          <w:b/>
          <w:sz w:val="24"/>
          <w:szCs w:val="24"/>
        </w:rPr>
      </w:pPr>
      <w:r w:rsidRPr="00294646">
        <w:rPr>
          <w:rFonts w:ascii="Book Antiqua" w:eastAsia="Century Gothic" w:hAnsi="Book Antiqua" w:cs="Times New Roman"/>
          <w:b/>
          <w:sz w:val="24"/>
          <w:szCs w:val="24"/>
        </w:rPr>
        <w:lastRenderedPageBreak/>
        <w:t>Table 1</w:t>
      </w:r>
      <w:r w:rsidR="00411545" w:rsidRPr="00294646">
        <w:rPr>
          <w:rFonts w:ascii="Book Antiqua" w:eastAsia="Century Gothic" w:hAnsi="Book Antiqua" w:cs="Times New Roman"/>
          <w:b/>
          <w:sz w:val="24"/>
          <w:szCs w:val="24"/>
        </w:rPr>
        <w:t xml:space="preserve"> Test strategies</w:t>
      </w:r>
    </w:p>
    <w:tbl>
      <w:tblPr>
        <w:tblStyle w:val="Sombreadoclaro1"/>
        <w:tblW w:w="5000" w:type="pct"/>
        <w:tblLook w:val="04A0" w:firstRow="1" w:lastRow="0" w:firstColumn="1" w:lastColumn="0" w:noHBand="0" w:noVBand="1"/>
      </w:tblPr>
      <w:tblGrid>
        <w:gridCol w:w="1851"/>
        <w:gridCol w:w="1664"/>
        <w:gridCol w:w="2265"/>
        <w:gridCol w:w="1315"/>
        <w:gridCol w:w="1959"/>
      </w:tblGrid>
      <w:tr w:rsidR="001339DB" w:rsidRPr="001339DB" w:rsidTr="002946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Borders>
              <w:bottom w:val="nil"/>
            </w:tcBorders>
          </w:tcPr>
          <w:p w:rsidR="00411545" w:rsidRPr="00294646" w:rsidRDefault="00411545" w:rsidP="00294646">
            <w:pPr>
              <w:keepNext/>
              <w:adjustRightInd w:val="0"/>
              <w:snapToGrid w:val="0"/>
              <w:spacing w:after="0" w:line="360" w:lineRule="auto"/>
              <w:rPr>
                <w:rFonts w:ascii="Book Antiqua" w:eastAsia="Century Gothic" w:hAnsi="Book Antiqua" w:cs="Times New Roman"/>
                <w:color w:val="auto"/>
                <w:sz w:val="24"/>
                <w:szCs w:val="24"/>
              </w:rPr>
            </w:pPr>
            <w:r w:rsidRPr="00294646">
              <w:rPr>
                <w:rFonts w:ascii="Book Antiqua" w:eastAsia="Century Gothic" w:hAnsi="Book Antiqua" w:cs="Times New Roman"/>
                <w:color w:val="auto"/>
                <w:sz w:val="24"/>
                <w:szCs w:val="24"/>
              </w:rPr>
              <w:t>Strategy</w:t>
            </w:r>
          </w:p>
        </w:tc>
        <w:tc>
          <w:tcPr>
            <w:tcW w:w="2170" w:type="pct"/>
            <w:gridSpan w:val="2"/>
            <w:tcBorders>
              <w:bottom w:val="nil"/>
            </w:tcBorders>
          </w:tcPr>
          <w:p w:rsidR="00411545" w:rsidRPr="001339DB" w:rsidRDefault="00411545" w:rsidP="00294646">
            <w:pPr>
              <w:keepNext/>
              <w:adjustRightInd w:val="0"/>
              <w:snapToGrid w:val="0"/>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Century Gothic" w:hAnsi="Book Antiqua" w:cs="Times New Roman"/>
                <w:color w:val="auto"/>
                <w:sz w:val="24"/>
                <w:szCs w:val="24"/>
              </w:rPr>
            </w:pPr>
            <w:r w:rsidRPr="001339DB">
              <w:rPr>
                <w:rFonts w:ascii="Book Antiqua" w:eastAsia="Century Gothic" w:hAnsi="Book Antiqua" w:cs="Times New Roman"/>
                <w:color w:val="auto"/>
                <w:sz w:val="24"/>
                <w:szCs w:val="24"/>
              </w:rPr>
              <w:t>First test result</w:t>
            </w:r>
          </w:p>
        </w:tc>
        <w:tc>
          <w:tcPr>
            <w:tcW w:w="1808" w:type="pct"/>
            <w:gridSpan w:val="2"/>
            <w:tcBorders>
              <w:bottom w:val="nil"/>
            </w:tcBorders>
          </w:tcPr>
          <w:p w:rsidR="00411545" w:rsidRPr="001339DB" w:rsidRDefault="00411545" w:rsidP="00294646">
            <w:pPr>
              <w:keepNext/>
              <w:adjustRightInd w:val="0"/>
              <w:snapToGrid w:val="0"/>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Century Gothic" w:hAnsi="Book Antiqua" w:cs="Times New Roman"/>
                <w:color w:val="auto"/>
                <w:sz w:val="24"/>
                <w:szCs w:val="24"/>
              </w:rPr>
            </w:pPr>
            <w:r w:rsidRPr="001339DB">
              <w:rPr>
                <w:rFonts w:ascii="Book Antiqua" w:eastAsia="Century Gothic" w:hAnsi="Book Antiqua" w:cs="Times New Roman"/>
                <w:color w:val="auto"/>
                <w:sz w:val="24"/>
                <w:szCs w:val="24"/>
              </w:rPr>
              <w:t>Confirmation test result</w:t>
            </w:r>
          </w:p>
        </w:tc>
      </w:tr>
      <w:tr w:rsidR="001339DB" w:rsidRPr="001339DB" w:rsidTr="00294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Borders>
              <w:top w:val="nil"/>
              <w:bottom w:val="single" w:sz="4" w:space="0" w:color="auto"/>
            </w:tcBorders>
            <w:shd w:val="clear" w:color="auto" w:fill="auto"/>
          </w:tcPr>
          <w:p w:rsidR="00411545" w:rsidRPr="00294646" w:rsidRDefault="00411545" w:rsidP="00294646">
            <w:pPr>
              <w:keepNext/>
              <w:adjustRightInd w:val="0"/>
              <w:snapToGrid w:val="0"/>
              <w:spacing w:after="0" w:line="360" w:lineRule="auto"/>
              <w:rPr>
                <w:rFonts w:ascii="Book Antiqua" w:eastAsia="Century Gothic" w:hAnsi="Book Antiqua" w:cs="Times New Roman"/>
                <w:b w:val="0"/>
                <w:color w:val="auto"/>
                <w:sz w:val="24"/>
                <w:szCs w:val="24"/>
              </w:rPr>
            </w:pPr>
          </w:p>
        </w:tc>
        <w:tc>
          <w:tcPr>
            <w:tcW w:w="919" w:type="pct"/>
            <w:tcBorders>
              <w:top w:val="nil"/>
              <w:bottom w:val="single" w:sz="4" w:space="0" w:color="auto"/>
            </w:tcBorders>
            <w:shd w:val="clear" w:color="auto" w:fill="auto"/>
          </w:tcPr>
          <w:p w:rsidR="00411545" w:rsidRPr="001339DB" w:rsidRDefault="00411545" w:rsidP="00294646">
            <w:pPr>
              <w:keepNext/>
              <w:adjustRightInd w:val="0"/>
              <w:snapToGrid w:val="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entury Gothic" w:hAnsi="Book Antiqua" w:cs="Times New Roman"/>
                <w:color w:val="auto"/>
                <w:sz w:val="24"/>
                <w:szCs w:val="24"/>
              </w:rPr>
            </w:pPr>
            <w:r w:rsidRPr="001339DB">
              <w:rPr>
                <w:rFonts w:ascii="Book Antiqua" w:eastAsia="Century Gothic" w:hAnsi="Book Antiqua" w:cs="Times New Roman"/>
                <w:color w:val="auto"/>
                <w:sz w:val="24"/>
                <w:szCs w:val="24"/>
              </w:rPr>
              <w:t>Negative</w:t>
            </w:r>
          </w:p>
        </w:tc>
        <w:tc>
          <w:tcPr>
            <w:tcW w:w="1251" w:type="pct"/>
            <w:tcBorders>
              <w:top w:val="nil"/>
              <w:bottom w:val="single" w:sz="4" w:space="0" w:color="auto"/>
            </w:tcBorders>
            <w:shd w:val="clear" w:color="auto" w:fill="auto"/>
          </w:tcPr>
          <w:p w:rsidR="00411545" w:rsidRPr="001339DB" w:rsidRDefault="00411545" w:rsidP="00294646">
            <w:pPr>
              <w:keepNext/>
              <w:adjustRightInd w:val="0"/>
              <w:snapToGrid w:val="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entury Gothic" w:hAnsi="Book Antiqua" w:cs="Times New Roman"/>
                <w:color w:val="auto"/>
                <w:sz w:val="24"/>
                <w:szCs w:val="24"/>
              </w:rPr>
            </w:pPr>
            <w:r w:rsidRPr="001339DB">
              <w:rPr>
                <w:rFonts w:ascii="Book Antiqua" w:eastAsia="Century Gothic" w:hAnsi="Book Antiqua" w:cs="Times New Roman"/>
                <w:color w:val="auto"/>
                <w:sz w:val="24"/>
                <w:szCs w:val="24"/>
              </w:rPr>
              <w:t>Positive</w:t>
            </w:r>
          </w:p>
        </w:tc>
        <w:tc>
          <w:tcPr>
            <w:tcW w:w="726" w:type="pct"/>
            <w:tcBorders>
              <w:top w:val="nil"/>
              <w:bottom w:val="single" w:sz="4" w:space="0" w:color="auto"/>
            </w:tcBorders>
            <w:shd w:val="clear" w:color="auto" w:fill="auto"/>
          </w:tcPr>
          <w:p w:rsidR="00411545" w:rsidRPr="001339DB" w:rsidRDefault="00411545" w:rsidP="00294646">
            <w:pPr>
              <w:keepNext/>
              <w:adjustRightInd w:val="0"/>
              <w:snapToGrid w:val="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entury Gothic" w:hAnsi="Book Antiqua" w:cs="Times New Roman"/>
                <w:color w:val="auto"/>
                <w:sz w:val="24"/>
                <w:szCs w:val="24"/>
              </w:rPr>
            </w:pPr>
            <w:r w:rsidRPr="001339DB">
              <w:rPr>
                <w:rFonts w:ascii="Book Antiqua" w:eastAsia="Century Gothic" w:hAnsi="Book Antiqua" w:cs="Times New Roman"/>
                <w:color w:val="auto"/>
                <w:sz w:val="24"/>
                <w:szCs w:val="24"/>
              </w:rPr>
              <w:t>Negative</w:t>
            </w:r>
          </w:p>
        </w:tc>
        <w:tc>
          <w:tcPr>
            <w:tcW w:w="1082" w:type="pct"/>
            <w:tcBorders>
              <w:top w:val="nil"/>
              <w:bottom w:val="single" w:sz="4" w:space="0" w:color="auto"/>
            </w:tcBorders>
            <w:shd w:val="clear" w:color="auto" w:fill="auto"/>
          </w:tcPr>
          <w:p w:rsidR="00411545" w:rsidRPr="001339DB" w:rsidRDefault="00411545" w:rsidP="00294646">
            <w:pPr>
              <w:keepNext/>
              <w:adjustRightInd w:val="0"/>
              <w:snapToGrid w:val="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entury Gothic" w:hAnsi="Book Antiqua" w:cs="Times New Roman"/>
                <w:color w:val="auto"/>
                <w:sz w:val="24"/>
                <w:szCs w:val="24"/>
              </w:rPr>
            </w:pPr>
            <w:r w:rsidRPr="001339DB">
              <w:rPr>
                <w:rFonts w:ascii="Book Antiqua" w:eastAsia="Century Gothic" w:hAnsi="Book Antiqua" w:cs="Times New Roman"/>
                <w:color w:val="auto"/>
                <w:sz w:val="24"/>
                <w:szCs w:val="24"/>
              </w:rPr>
              <w:t>Positive</w:t>
            </w:r>
          </w:p>
        </w:tc>
      </w:tr>
      <w:tr w:rsidR="001339DB" w:rsidRPr="001339DB" w:rsidTr="00294646">
        <w:tc>
          <w:tcPr>
            <w:cnfStyle w:val="001000000000" w:firstRow="0" w:lastRow="0" w:firstColumn="1" w:lastColumn="0" w:oddVBand="0" w:evenVBand="0" w:oddHBand="0" w:evenHBand="0" w:firstRowFirstColumn="0" w:firstRowLastColumn="0" w:lastRowFirstColumn="0" w:lastRowLastColumn="0"/>
            <w:tcW w:w="1022" w:type="pct"/>
            <w:tcBorders>
              <w:top w:val="single" w:sz="4" w:space="0" w:color="auto"/>
            </w:tcBorders>
            <w:vAlign w:val="center"/>
          </w:tcPr>
          <w:p w:rsidR="00411545" w:rsidRPr="00294646" w:rsidRDefault="00411545" w:rsidP="00294646">
            <w:pPr>
              <w:keepNext/>
              <w:adjustRightInd w:val="0"/>
              <w:snapToGrid w:val="0"/>
              <w:spacing w:after="0" w:line="360" w:lineRule="auto"/>
              <w:rPr>
                <w:rFonts w:ascii="Book Antiqua" w:eastAsia="Century Gothic" w:hAnsi="Book Antiqua" w:cs="Times New Roman"/>
                <w:b w:val="0"/>
                <w:color w:val="auto"/>
                <w:sz w:val="24"/>
                <w:szCs w:val="24"/>
              </w:rPr>
            </w:pPr>
            <w:r w:rsidRPr="00294646">
              <w:rPr>
                <w:rFonts w:ascii="Book Antiqua" w:eastAsia="Century Gothic" w:hAnsi="Book Antiqua" w:cs="Times New Roman"/>
                <w:b w:val="0"/>
                <w:color w:val="auto"/>
                <w:sz w:val="24"/>
                <w:szCs w:val="24"/>
              </w:rPr>
              <w:t>Single biopsy</w:t>
            </w:r>
          </w:p>
        </w:tc>
        <w:tc>
          <w:tcPr>
            <w:tcW w:w="919" w:type="pct"/>
            <w:tcBorders>
              <w:top w:val="single" w:sz="4" w:space="0" w:color="auto"/>
            </w:tcBorders>
            <w:vAlign w:val="center"/>
          </w:tcPr>
          <w:p w:rsidR="00411545" w:rsidRPr="001339DB" w:rsidRDefault="00411545" w:rsidP="00294646">
            <w:pPr>
              <w:keepNext/>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entury Gothic" w:hAnsi="Book Antiqua" w:cs="Times New Roman"/>
                <w:color w:val="auto"/>
                <w:sz w:val="24"/>
                <w:szCs w:val="24"/>
              </w:rPr>
            </w:pPr>
            <w:r w:rsidRPr="001339DB">
              <w:rPr>
                <w:rFonts w:ascii="Book Antiqua" w:eastAsia="Century Gothic" w:hAnsi="Book Antiqua" w:cs="Times New Roman"/>
                <w:color w:val="auto"/>
                <w:sz w:val="24"/>
                <w:szCs w:val="24"/>
              </w:rPr>
              <w:t>No action</w:t>
            </w:r>
          </w:p>
        </w:tc>
        <w:tc>
          <w:tcPr>
            <w:tcW w:w="1251" w:type="pct"/>
            <w:tcBorders>
              <w:top w:val="single" w:sz="4" w:space="0" w:color="auto"/>
            </w:tcBorders>
            <w:vAlign w:val="center"/>
          </w:tcPr>
          <w:p w:rsidR="00411545" w:rsidRPr="001339DB" w:rsidRDefault="00411545" w:rsidP="00294646">
            <w:pPr>
              <w:keepNext/>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entury Gothic" w:hAnsi="Book Antiqua" w:cs="Times New Roman"/>
                <w:color w:val="auto"/>
                <w:sz w:val="24"/>
                <w:szCs w:val="24"/>
              </w:rPr>
            </w:pPr>
            <w:r w:rsidRPr="001339DB">
              <w:rPr>
                <w:rFonts w:ascii="Book Antiqua" w:eastAsia="Century Gothic" w:hAnsi="Book Antiqua" w:cs="Times New Roman"/>
                <w:color w:val="auto"/>
                <w:sz w:val="24"/>
                <w:szCs w:val="24"/>
              </w:rPr>
              <w:t>Treatment + annual screening for HCC and DC if F</w:t>
            </w:r>
            <w:r w:rsidR="00294646">
              <w:rPr>
                <w:rFonts w:ascii="Book Antiqua" w:hAnsi="Book Antiqua" w:cs="Times New Roman" w:hint="eastAsia"/>
                <w:color w:val="auto"/>
                <w:sz w:val="24"/>
                <w:szCs w:val="24"/>
                <w:lang w:eastAsia="zh-CN"/>
              </w:rPr>
              <w:t xml:space="preserve"> </w:t>
            </w:r>
            <w:r w:rsidRPr="001339DB">
              <w:rPr>
                <w:rFonts w:ascii="Book Antiqua" w:eastAsia="Century Gothic" w:hAnsi="Book Antiqua" w:cs="Times New Roman"/>
                <w:color w:val="auto"/>
                <w:sz w:val="24"/>
                <w:szCs w:val="24"/>
              </w:rPr>
              <w:t>=</w:t>
            </w:r>
            <w:r w:rsidR="00294646">
              <w:rPr>
                <w:rFonts w:ascii="Book Antiqua" w:hAnsi="Book Antiqua" w:cs="Times New Roman" w:hint="eastAsia"/>
                <w:color w:val="auto"/>
                <w:sz w:val="24"/>
                <w:szCs w:val="24"/>
                <w:lang w:eastAsia="zh-CN"/>
              </w:rPr>
              <w:t xml:space="preserve"> </w:t>
            </w:r>
            <w:r w:rsidRPr="001339DB">
              <w:rPr>
                <w:rFonts w:ascii="Book Antiqua" w:eastAsia="Century Gothic" w:hAnsi="Book Antiqua" w:cs="Times New Roman"/>
                <w:color w:val="auto"/>
                <w:sz w:val="24"/>
                <w:szCs w:val="24"/>
              </w:rPr>
              <w:t>4</w:t>
            </w:r>
          </w:p>
        </w:tc>
        <w:tc>
          <w:tcPr>
            <w:tcW w:w="1808" w:type="pct"/>
            <w:gridSpan w:val="2"/>
            <w:tcBorders>
              <w:top w:val="single" w:sz="4" w:space="0" w:color="auto"/>
            </w:tcBorders>
            <w:vAlign w:val="center"/>
          </w:tcPr>
          <w:p w:rsidR="00411545" w:rsidRPr="001339DB" w:rsidRDefault="00411545" w:rsidP="00294646">
            <w:pPr>
              <w:keepNext/>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entury Gothic" w:hAnsi="Book Antiqua" w:cs="Times New Roman"/>
                <w:color w:val="auto"/>
                <w:sz w:val="24"/>
                <w:szCs w:val="24"/>
              </w:rPr>
            </w:pPr>
            <w:r w:rsidRPr="001339DB">
              <w:rPr>
                <w:rFonts w:ascii="Book Antiqua" w:eastAsia="Century Gothic" w:hAnsi="Book Antiqua" w:cs="Times New Roman"/>
                <w:color w:val="auto"/>
                <w:sz w:val="24"/>
                <w:szCs w:val="24"/>
              </w:rPr>
              <w:t>No confirmation test is performed</w:t>
            </w:r>
          </w:p>
        </w:tc>
      </w:tr>
      <w:tr w:rsidR="001339DB" w:rsidRPr="001339DB" w:rsidTr="00294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shd w:val="clear" w:color="auto" w:fill="auto"/>
            <w:vAlign w:val="center"/>
          </w:tcPr>
          <w:p w:rsidR="00411545" w:rsidRPr="00294646" w:rsidRDefault="00411545" w:rsidP="00294646">
            <w:pPr>
              <w:keepNext/>
              <w:adjustRightInd w:val="0"/>
              <w:snapToGrid w:val="0"/>
              <w:spacing w:after="0" w:line="360" w:lineRule="auto"/>
              <w:rPr>
                <w:rFonts w:ascii="Book Antiqua" w:eastAsia="Century Gothic" w:hAnsi="Book Antiqua" w:cs="Times New Roman"/>
                <w:b w:val="0"/>
                <w:color w:val="auto"/>
                <w:sz w:val="24"/>
                <w:szCs w:val="24"/>
              </w:rPr>
            </w:pPr>
            <w:r w:rsidRPr="00294646">
              <w:rPr>
                <w:rFonts w:ascii="Book Antiqua" w:eastAsia="Century Gothic" w:hAnsi="Book Antiqua" w:cs="Times New Roman"/>
                <w:b w:val="0"/>
                <w:color w:val="auto"/>
                <w:sz w:val="24"/>
                <w:szCs w:val="24"/>
              </w:rPr>
              <w:t>Annual ELF/LSM</w:t>
            </w:r>
          </w:p>
        </w:tc>
        <w:tc>
          <w:tcPr>
            <w:tcW w:w="919" w:type="pct"/>
            <w:shd w:val="clear" w:color="auto" w:fill="auto"/>
            <w:vAlign w:val="center"/>
          </w:tcPr>
          <w:p w:rsidR="00411545" w:rsidRPr="001339DB" w:rsidRDefault="00411545" w:rsidP="00294646">
            <w:pPr>
              <w:keepNext/>
              <w:adjustRightInd w:val="0"/>
              <w:snapToGrid w:val="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entury Gothic" w:hAnsi="Book Antiqua" w:cs="Times New Roman"/>
                <w:color w:val="auto"/>
                <w:sz w:val="24"/>
                <w:szCs w:val="24"/>
              </w:rPr>
            </w:pPr>
            <w:r w:rsidRPr="001339DB">
              <w:rPr>
                <w:rFonts w:ascii="Book Antiqua" w:eastAsia="Century Gothic" w:hAnsi="Book Antiqua" w:cs="Times New Roman"/>
                <w:color w:val="auto"/>
                <w:sz w:val="24"/>
                <w:szCs w:val="24"/>
              </w:rPr>
              <w:t>Annual ELF</w:t>
            </w:r>
          </w:p>
        </w:tc>
        <w:tc>
          <w:tcPr>
            <w:tcW w:w="1251" w:type="pct"/>
            <w:shd w:val="clear" w:color="auto" w:fill="auto"/>
            <w:vAlign w:val="center"/>
          </w:tcPr>
          <w:p w:rsidR="00411545" w:rsidRPr="001339DB" w:rsidRDefault="00411545" w:rsidP="00294646">
            <w:pPr>
              <w:keepNext/>
              <w:adjustRightInd w:val="0"/>
              <w:snapToGrid w:val="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entury Gothic" w:hAnsi="Book Antiqua" w:cs="Times New Roman"/>
                <w:color w:val="auto"/>
                <w:sz w:val="24"/>
                <w:szCs w:val="24"/>
              </w:rPr>
            </w:pPr>
            <w:r w:rsidRPr="001339DB">
              <w:rPr>
                <w:rFonts w:ascii="Book Antiqua" w:eastAsia="Century Gothic" w:hAnsi="Book Antiqua" w:cs="Times New Roman"/>
                <w:color w:val="auto"/>
                <w:sz w:val="24"/>
                <w:szCs w:val="24"/>
              </w:rPr>
              <w:t>LSM</w:t>
            </w:r>
          </w:p>
        </w:tc>
        <w:tc>
          <w:tcPr>
            <w:tcW w:w="726" w:type="pct"/>
            <w:shd w:val="clear" w:color="auto" w:fill="auto"/>
            <w:vAlign w:val="center"/>
          </w:tcPr>
          <w:p w:rsidR="00411545" w:rsidRPr="001339DB" w:rsidRDefault="00411545" w:rsidP="00294646">
            <w:pPr>
              <w:keepNext/>
              <w:adjustRightInd w:val="0"/>
              <w:snapToGrid w:val="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entury Gothic" w:hAnsi="Book Antiqua" w:cs="Times New Roman"/>
                <w:color w:val="auto"/>
                <w:sz w:val="24"/>
                <w:szCs w:val="24"/>
              </w:rPr>
            </w:pPr>
            <w:r w:rsidRPr="001339DB">
              <w:rPr>
                <w:rFonts w:ascii="Book Antiqua" w:eastAsia="Century Gothic" w:hAnsi="Book Antiqua" w:cs="Times New Roman"/>
                <w:color w:val="auto"/>
                <w:sz w:val="24"/>
                <w:szCs w:val="24"/>
              </w:rPr>
              <w:t>Annual ELF</w:t>
            </w:r>
          </w:p>
        </w:tc>
        <w:tc>
          <w:tcPr>
            <w:tcW w:w="1082" w:type="pct"/>
            <w:shd w:val="clear" w:color="auto" w:fill="auto"/>
            <w:vAlign w:val="center"/>
          </w:tcPr>
          <w:p w:rsidR="00411545" w:rsidRPr="001339DB" w:rsidRDefault="00411545" w:rsidP="00294646">
            <w:pPr>
              <w:keepNext/>
              <w:adjustRightInd w:val="0"/>
              <w:snapToGrid w:val="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entury Gothic" w:hAnsi="Book Antiqua" w:cs="Times New Roman"/>
                <w:color w:val="auto"/>
                <w:sz w:val="24"/>
                <w:szCs w:val="24"/>
              </w:rPr>
            </w:pPr>
            <w:r w:rsidRPr="001339DB">
              <w:rPr>
                <w:rFonts w:ascii="Book Antiqua" w:eastAsia="Century Gothic" w:hAnsi="Book Antiqua" w:cs="Times New Roman"/>
                <w:color w:val="auto"/>
                <w:sz w:val="24"/>
                <w:szCs w:val="24"/>
              </w:rPr>
              <w:t>Treatment + annual screening for HCC and DC if F</w:t>
            </w:r>
            <w:r w:rsidR="00294646">
              <w:rPr>
                <w:rFonts w:ascii="Book Antiqua" w:hAnsi="Book Antiqua" w:cs="Times New Roman" w:hint="eastAsia"/>
                <w:color w:val="auto"/>
                <w:sz w:val="24"/>
                <w:szCs w:val="24"/>
                <w:lang w:eastAsia="zh-CN"/>
              </w:rPr>
              <w:t xml:space="preserve"> </w:t>
            </w:r>
            <w:r w:rsidRPr="001339DB">
              <w:rPr>
                <w:rFonts w:ascii="Book Antiqua" w:eastAsia="Century Gothic" w:hAnsi="Book Antiqua" w:cs="Times New Roman"/>
                <w:color w:val="auto"/>
                <w:sz w:val="24"/>
                <w:szCs w:val="24"/>
              </w:rPr>
              <w:t>=</w:t>
            </w:r>
            <w:r w:rsidR="00294646">
              <w:rPr>
                <w:rFonts w:ascii="Book Antiqua" w:hAnsi="Book Antiqua" w:cs="Times New Roman" w:hint="eastAsia"/>
                <w:color w:val="auto"/>
                <w:sz w:val="24"/>
                <w:szCs w:val="24"/>
                <w:lang w:eastAsia="zh-CN"/>
              </w:rPr>
              <w:t xml:space="preserve"> </w:t>
            </w:r>
            <w:r w:rsidRPr="001339DB">
              <w:rPr>
                <w:rFonts w:ascii="Book Antiqua" w:eastAsia="Century Gothic" w:hAnsi="Book Antiqua" w:cs="Times New Roman"/>
                <w:color w:val="auto"/>
                <w:sz w:val="24"/>
                <w:szCs w:val="24"/>
              </w:rPr>
              <w:t>4</w:t>
            </w:r>
          </w:p>
        </w:tc>
      </w:tr>
      <w:tr w:rsidR="001339DB" w:rsidRPr="001339DB" w:rsidTr="00294646">
        <w:tc>
          <w:tcPr>
            <w:cnfStyle w:val="001000000000" w:firstRow="0" w:lastRow="0" w:firstColumn="1" w:lastColumn="0" w:oddVBand="0" w:evenVBand="0" w:oddHBand="0" w:evenHBand="0" w:firstRowFirstColumn="0" w:firstRowLastColumn="0" w:lastRowFirstColumn="0" w:lastRowLastColumn="0"/>
            <w:tcW w:w="1022" w:type="pct"/>
            <w:vAlign w:val="center"/>
          </w:tcPr>
          <w:p w:rsidR="00411545" w:rsidRPr="00294646" w:rsidRDefault="00411545" w:rsidP="00294646">
            <w:pPr>
              <w:keepNext/>
              <w:adjustRightInd w:val="0"/>
              <w:snapToGrid w:val="0"/>
              <w:spacing w:after="0" w:line="360" w:lineRule="auto"/>
              <w:rPr>
                <w:rFonts w:ascii="Book Antiqua" w:eastAsia="Century Gothic" w:hAnsi="Book Antiqua" w:cs="Times New Roman"/>
                <w:b w:val="0"/>
                <w:color w:val="auto"/>
                <w:sz w:val="24"/>
                <w:szCs w:val="24"/>
              </w:rPr>
            </w:pPr>
            <w:r w:rsidRPr="00294646">
              <w:rPr>
                <w:rFonts w:ascii="Book Antiqua" w:eastAsia="Century Gothic" w:hAnsi="Book Antiqua" w:cs="Times New Roman"/>
                <w:b w:val="0"/>
                <w:color w:val="auto"/>
                <w:sz w:val="24"/>
                <w:szCs w:val="24"/>
              </w:rPr>
              <w:t>Annual ELF</w:t>
            </w:r>
          </w:p>
        </w:tc>
        <w:tc>
          <w:tcPr>
            <w:tcW w:w="919" w:type="pct"/>
            <w:vAlign w:val="center"/>
          </w:tcPr>
          <w:p w:rsidR="00411545" w:rsidRPr="001339DB" w:rsidRDefault="00411545" w:rsidP="00294646">
            <w:pPr>
              <w:keepNext/>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entury Gothic" w:hAnsi="Book Antiqua" w:cs="Times New Roman"/>
                <w:color w:val="auto"/>
                <w:sz w:val="24"/>
                <w:szCs w:val="24"/>
              </w:rPr>
            </w:pPr>
            <w:r w:rsidRPr="001339DB">
              <w:rPr>
                <w:rFonts w:ascii="Book Antiqua" w:eastAsia="Century Gothic" w:hAnsi="Book Antiqua" w:cs="Times New Roman"/>
                <w:color w:val="auto"/>
                <w:sz w:val="24"/>
                <w:szCs w:val="24"/>
              </w:rPr>
              <w:t>Annual ELF</w:t>
            </w:r>
          </w:p>
        </w:tc>
        <w:tc>
          <w:tcPr>
            <w:tcW w:w="1251" w:type="pct"/>
            <w:vAlign w:val="center"/>
          </w:tcPr>
          <w:p w:rsidR="00411545" w:rsidRPr="001339DB" w:rsidRDefault="00411545" w:rsidP="00294646">
            <w:pPr>
              <w:keepNext/>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entury Gothic" w:hAnsi="Book Antiqua" w:cs="Times New Roman"/>
                <w:color w:val="auto"/>
                <w:sz w:val="24"/>
                <w:szCs w:val="24"/>
              </w:rPr>
            </w:pPr>
            <w:r w:rsidRPr="001339DB">
              <w:rPr>
                <w:rFonts w:ascii="Book Antiqua" w:eastAsia="Century Gothic" w:hAnsi="Book Antiqua" w:cs="Times New Roman"/>
                <w:color w:val="auto"/>
                <w:sz w:val="24"/>
                <w:szCs w:val="24"/>
              </w:rPr>
              <w:t>Treatment + annual screening for HCC and DC if F</w:t>
            </w:r>
            <w:r w:rsidR="00294646">
              <w:rPr>
                <w:rFonts w:ascii="Book Antiqua" w:hAnsi="Book Antiqua" w:cs="Times New Roman" w:hint="eastAsia"/>
                <w:color w:val="auto"/>
                <w:sz w:val="24"/>
                <w:szCs w:val="24"/>
                <w:lang w:eastAsia="zh-CN"/>
              </w:rPr>
              <w:t xml:space="preserve"> </w:t>
            </w:r>
            <w:r w:rsidRPr="001339DB">
              <w:rPr>
                <w:rFonts w:ascii="Book Antiqua" w:eastAsia="Century Gothic" w:hAnsi="Book Antiqua" w:cs="Times New Roman"/>
                <w:color w:val="auto"/>
                <w:sz w:val="24"/>
                <w:szCs w:val="24"/>
              </w:rPr>
              <w:t>=</w:t>
            </w:r>
            <w:r w:rsidR="00294646">
              <w:rPr>
                <w:rFonts w:ascii="Book Antiqua" w:hAnsi="Book Antiqua" w:cs="Times New Roman" w:hint="eastAsia"/>
                <w:color w:val="auto"/>
                <w:sz w:val="24"/>
                <w:szCs w:val="24"/>
                <w:lang w:eastAsia="zh-CN"/>
              </w:rPr>
              <w:t xml:space="preserve"> </w:t>
            </w:r>
            <w:r w:rsidRPr="001339DB">
              <w:rPr>
                <w:rFonts w:ascii="Book Antiqua" w:eastAsia="Century Gothic" w:hAnsi="Book Antiqua" w:cs="Times New Roman"/>
                <w:color w:val="auto"/>
                <w:sz w:val="24"/>
                <w:szCs w:val="24"/>
              </w:rPr>
              <w:t>4</w:t>
            </w:r>
          </w:p>
        </w:tc>
        <w:tc>
          <w:tcPr>
            <w:tcW w:w="1808" w:type="pct"/>
            <w:gridSpan w:val="2"/>
            <w:vAlign w:val="center"/>
          </w:tcPr>
          <w:p w:rsidR="00411545" w:rsidRPr="001339DB" w:rsidRDefault="00411545" w:rsidP="00294646">
            <w:pPr>
              <w:keepNext/>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entury Gothic" w:hAnsi="Book Antiqua" w:cs="Times New Roman"/>
                <w:color w:val="auto"/>
                <w:sz w:val="24"/>
                <w:szCs w:val="24"/>
              </w:rPr>
            </w:pPr>
            <w:r w:rsidRPr="001339DB">
              <w:rPr>
                <w:rFonts w:ascii="Book Antiqua" w:eastAsia="Century Gothic" w:hAnsi="Book Antiqua" w:cs="Times New Roman"/>
                <w:color w:val="auto"/>
                <w:sz w:val="24"/>
                <w:szCs w:val="24"/>
              </w:rPr>
              <w:t>No confirmation test is performed</w:t>
            </w:r>
          </w:p>
        </w:tc>
      </w:tr>
    </w:tbl>
    <w:p w:rsidR="00411545" w:rsidRPr="00294646" w:rsidRDefault="00411545" w:rsidP="001339DB">
      <w:pPr>
        <w:adjustRightInd w:val="0"/>
        <w:snapToGrid w:val="0"/>
        <w:spacing w:after="0" w:line="360" w:lineRule="auto"/>
        <w:jc w:val="both"/>
        <w:rPr>
          <w:rFonts w:ascii="Book Antiqua" w:hAnsi="Book Antiqua" w:cs="Times New Roman"/>
          <w:sz w:val="24"/>
          <w:szCs w:val="24"/>
          <w:lang w:eastAsia="zh-CN"/>
        </w:rPr>
      </w:pPr>
      <w:r w:rsidRPr="001339DB">
        <w:rPr>
          <w:rFonts w:ascii="Book Antiqua" w:eastAsia="Century Gothic" w:hAnsi="Book Antiqua" w:cs="Times New Roman"/>
          <w:sz w:val="24"/>
          <w:szCs w:val="24"/>
        </w:rPr>
        <w:t xml:space="preserve">ELF: Enhanced Liver Fibrosis test; LSM: </w:t>
      </w:r>
      <w:r w:rsidR="00294646" w:rsidRPr="001339DB">
        <w:rPr>
          <w:rFonts w:ascii="Book Antiqua" w:eastAsia="Century Gothic" w:hAnsi="Book Antiqua" w:cs="Times New Roman"/>
          <w:sz w:val="24"/>
          <w:szCs w:val="24"/>
        </w:rPr>
        <w:t xml:space="preserve">Liver </w:t>
      </w:r>
      <w:r w:rsidRPr="001339DB">
        <w:rPr>
          <w:rFonts w:ascii="Book Antiqua" w:eastAsia="Century Gothic" w:hAnsi="Book Antiqua" w:cs="Times New Roman"/>
          <w:sz w:val="24"/>
          <w:szCs w:val="24"/>
        </w:rPr>
        <w:t>stiffness measurement</w:t>
      </w:r>
      <w:r w:rsidR="00294646">
        <w:rPr>
          <w:rFonts w:ascii="Book Antiqua" w:hAnsi="Book Antiqua" w:cs="Times New Roman" w:hint="eastAsia"/>
          <w:sz w:val="24"/>
          <w:szCs w:val="24"/>
          <w:lang w:eastAsia="zh-CN"/>
        </w:rPr>
        <w:t>;</w:t>
      </w:r>
      <w:r w:rsidR="00C731E9">
        <w:rPr>
          <w:rFonts w:ascii="Book Antiqua" w:eastAsia="Century Gothic" w:hAnsi="Book Antiqua" w:cs="Times New Roman"/>
          <w:sz w:val="24"/>
          <w:szCs w:val="24"/>
        </w:rPr>
        <w:t xml:space="preserve"> </w:t>
      </w:r>
      <w:r w:rsidRPr="001339DB">
        <w:rPr>
          <w:rFonts w:ascii="Book Antiqua" w:eastAsia="Century Gothic" w:hAnsi="Book Antiqua" w:cs="Times New Roman"/>
          <w:sz w:val="24"/>
          <w:szCs w:val="24"/>
        </w:rPr>
        <w:t xml:space="preserve">HCC: </w:t>
      </w:r>
      <w:r w:rsidR="00294646" w:rsidRPr="001339DB">
        <w:rPr>
          <w:rFonts w:ascii="Book Antiqua" w:eastAsia="Century Gothic" w:hAnsi="Book Antiqua" w:cs="Times New Roman"/>
          <w:sz w:val="24"/>
          <w:szCs w:val="24"/>
        </w:rPr>
        <w:t xml:space="preserve">Hepatocellular </w:t>
      </w:r>
      <w:r w:rsidRPr="001339DB">
        <w:rPr>
          <w:rFonts w:ascii="Book Antiqua" w:eastAsia="Century Gothic" w:hAnsi="Book Antiqua" w:cs="Times New Roman"/>
          <w:sz w:val="24"/>
          <w:szCs w:val="24"/>
        </w:rPr>
        <w:t>carcino</w:t>
      </w:r>
      <w:r w:rsidR="00294646">
        <w:rPr>
          <w:rFonts w:ascii="Book Antiqua" w:eastAsia="Century Gothic" w:hAnsi="Book Antiqua" w:cs="Times New Roman"/>
          <w:sz w:val="24"/>
          <w:szCs w:val="24"/>
        </w:rPr>
        <w:t>ma; DC: Decompensated cirrhosis</w:t>
      </w:r>
      <w:r w:rsidR="00294646">
        <w:rPr>
          <w:rFonts w:ascii="Book Antiqua" w:hAnsi="Book Antiqua" w:cs="Times New Roman" w:hint="eastAsia"/>
          <w:sz w:val="24"/>
          <w:szCs w:val="24"/>
          <w:lang w:eastAsia="zh-CN"/>
        </w:rPr>
        <w:t>.</w:t>
      </w:r>
    </w:p>
    <w:p w:rsidR="00411545" w:rsidRPr="001339DB" w:rsidRDefault="00411545" w:rsidP="001339DB">
      <w:pPr>
        <w:adjustRightInd w:val="0"/>
        <w:snapToGrid w:val="0"/>
        <w:spacing w:after="0" w:line="360" w:lineRule="auto"/>
        <w:jc w:val="both"/>
        <w:rPr>
          <w:rFonts w:ascii="Book Antiqua" w:hAnsi="Book Antiqua"/>
          <w:b/>
          <w:sz w:val="24"/>
          <w:szCs w:val="24"/>
          <w:u w:val="single"/>
        </w:rPr>
      </w:pPr>
      <w:r w:rsidRPr="001339DB">
        <w:rPr>
          <w:rFonts w:ascii="Book Antiqua" w:hAnsi="Book Antiqua"/>
          <w:b/>
          <w:sz w:val="24"/>
          <w:szCs w:val="24"/>
          <w:u w:val="single"/>
        </w:rPr>
        <w:br w:type="page"/>
      </w:r>
    </w:p>
    <w:p w:rsidR="00411545" w:rsidRPr="00294646" w:rsidRDefault="00411545" w:rsidP="001339DB">
      <w:pPr>
        <w:adjustRightInd w:val="0"/>
        <w:snapToGrid w:val="0"/>
        <w:spacing w:after="0" w:line="360" w:lineRule="auto"/>
        <w:jc w:val="both"/>
        <w:rPr>
          <w:rFonts w:ascii="Book Antiqua" w:eastAsia="Century Gothic" w:hAnsi="Book Antiqua" w:cs="Times New Roman"/>
          <w:b/>
          <w:sz w:val="24"/>
          <w:szCs w:val="24"/>
        </w:rPr>
      </w:pPr>
      <w:r w:rsidRPr="00294646">
        <w:rPr>
          <w:rFonts w:ascii="Book Antiqua" w:eastAsia="Century Gothic" w:hAnsi="Book Antiqua" w:cs="Times New Roman"/>
          <w:b/>
          <w:sz w:val="24"/>
          <w:szCs w:val="24"/>
        </w:rPr>
        <w:lastRenderedPageBreak/>
        <w:t>Table 2 Transition probabilities, accuracy of tests, and other parameters</w:t>
      </w:r>
    </w:p>
    <w:tbl>
      <w:tblPr>
        <w:tblW w:w="8613" w:type="dxa"/>
        <w:tblLayout w:type="fixed"/>
        <w:tblLook w:val="04A0" w:firstRow="1" w:lastRow="0" w:firstColumn="1" w:lastColumn="0" w:noHBand="0" w:noVBand="1"/>
      </w:tblPr>
      <w:tblGrid>
        <w:gridCol w:w="1809"/>
        <w:gridCol w:w="284"/>
        <w:gridCol w:w="425"/>
        <w:gridCol w:w="851"/>
        <w:gridCol w:w="992"/>
        <w:gridCol w:w="1417"/>
        <w:gridCol w:w="1418"/>
        <w:gridCol w:w="1417"/>
      </w:tblGrid>
      <w:tr w:rsidR="001339DB" w:rsidRPr="001339DB" w:rsidTr="00411545">
        <w:trPr>
          <w:trHeight w:val="285"/>
        </w:trPr>
        <w:tc>
          <w:tcPr>
            <w:tcW w:w="2518" w:type="dxa"/>
            <w:gridSpan w:val="3"/>
            <w:tcBorders>
              <w:top w:val="single" w:sz="4" w:space="0" w:color="auto"/>
              <w:left w:val="nil"/>
              <w:bottom w:val="nil"/>
              <w:right w:val="nil"/>
            </w:tcBorders>
            <w:shd w:val="clear" w:color="auto" w:fill="auto"/>
            <w:vAlign w:val="bottom"/>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p>
        </w:tc>
        <w:tc>
          <w:tcPr>
            <w:tcW w:w="851" w:type="dxa"/>
            <w:tcBorders>
              <w:top w:val="single" w:sz="4" w:space="0" w:color="auto"/>
              <w:left w:val="nil"/>
              <w:bottom w:val="nil"/>
              <w:right w:val="nil"/>
            </w:tcBorders>
            <w:shd w:val="clear" w:color="auto" w:fill="auto"/>
            <w:vAlign w:val="bottom"/>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p>
        </w:tc>
        <w:tc>
          <w:tcPr>
            <w:tcW w:w="992" w:type="dxa"/>
            <w:tcBorders>
              <w:top w:val="single" w:sz="4" w:space="0" w:color="auto"/>
              <w:left w:val="nil"/>
              <w:bottom w:val="nil"/>
              <w:right w:val="nil"/>
            </w:tcBorders>
            <w:shd w:val="clear" w:color="auto" w:fill="auto"/>
            <w:vAlign w:val="bottom"/>
          </w:tcPr>
          <w:p w:rsidR="00411545" w:rsidRPr="001339DB" w:rsidRDefault="00411545" w:rsidP="00294646">
            <w:pPr>
              <w:adjustRightInd w:val="0"/>
              <w:snapToGrid w:val="0"/>
              <w:spacing w:after="0" w:line="360" w:lineRule="auto"/>
              <w:jc w:val="center"/>
              <w:rPr>
                <w:rFonts w:ascii="Book Antiqua" w:eastAsia="Times New Roman" w:hAnsi="Book Antiqua" w:cs="Calibri"/>
                <w:b/>
                <w:sz w:val="24"/>
                <w:szCs w:val="24"/>
              </w:rPr>
            </w:pPr>
            <w:r w:rsidRPr="001339DB">
              <w:rPr>
                <w:rFonts w:ascii="Book Antiqua" w:eastAsia="Times New Roman" w:hAnsi="Book Antiqua" w:cs="Calibri"/>
                <w:b/>
                <w:sz w:val="24"/>
                <w:szCs w:val="24"/>
              </w:rPr>
              <w:t>Baseline</w:t>
            </w:r>
          </w:p>
        </w:tc>
        <w:tc>
          <w:tcPr>
            <w:tcW w:w="1417" w:type="dxa"/>
            <w:tcBorders>
              <w:top w:val="single" w:sz="4" w:space="0" w:color="auto"/>
              <w:left w:val="nil"/>
              <w:bottom w:val="nil"/>
              <w:right w:val="nil"/>
            </w:tcBorders>
            <w:shd w:val="clear" w:color="auto" w:fill="auto"/>
            <w:vAlign w:val="bottom"/>
          </w:tcPr>
          <w:p w:rsidR="00411545" w:rsidRPr="001339DB" w:rsidRDefault="00411545" w:rsidP="00294646">
            <w:pPr>
              <w:adjustRightInd w:val="0"/>
              <w:snapToGrid w:val="0"/>
              <w:spacing w:after="0" w:line="360" w:lineRule="auto"/>
              <w:jc w:val="center"/>
              <w:rPr>
                <w:rFonts w:ascii="Book Antiqua" w:eastAsia="Times New Roman" w:hAnsi="Book Antiqua" w:cs="Calibri"/>
                <w:b/>
                <w:sz w:val="24"/>
                <w:szCs w:val="24"/>
              </w:rPr>
            </w:pPr>
            <w:r w:rsidRPr="001339DB">
              <w:rPr>
                <w:rFonts w:ascii="Book Antiqua" w:eastAsia="Times New Roman" w:hAnsi="Book Antiqua" w:cs="Calibri"/>
                <w:b/>
                <w:sz w:val="24"/>
                <w:szCs w:val="24"/>
              </w:rPr>
              <w:t>Range</w:t>
            </w:r>
          </w:p>
        </w:tc>
        <w:tc>
          <w:tcPr>
            <w:tcW w:w="1418" w:type="dxa"/>
            <w:tcBorders>
              <w:top w:val="single" w:sz="4" w:space="0" w:color="auto"/>
              <w:left w:val="nil"/>
              <w:bottom w:val="nil"/>
              <w:right w:val="nil"/>
            </w:tcBorders>
            <w:shd w:val="clear" w:color="auto" w:fill="auto"/>
            <w:vAlign w:val="bottom"/>
          </w:tcPr>
          <w:p w:rsidR="00411545" w:rsidRPr="001339DB" w:rsidRDefault="00411545" w:rsidP="00294646">
            <w:pPr>
              <w:adjustRightInd w:val="0"/>
              <w:snapToGrid w:val="0"/>
              <w:spacing w:after="0" w:line="360" w:lineRule="auto"/>
              <w:jc w:val="center"/>
              <w:rPr>
                <w:rFonts w:ascii="Book Antiqua" w:eastAsia="Times New Roman" w:hAnsi="Book Antiqua" w:cs="Calibri"/>
                <w:b/>
                <w:sz w:val="24"/>
                <w:szCs w:val="24"/>
              </w:rPr>
            </w:pPr>
            <w:r w:rsidRPr="001339DB">
              <w:rPr>
                <w:rFonts w:ascii="Book Antiqua" w:eastAsia="Times New Roman" w:hAnsi="Book Antiqua" w:cs="Calibri"/>
                <w:b/>
                <w:sz w:val="24"/>
                <w:szCs w:val="24"/>
              </w:rPr>
              <w:t>PSA distribution</w:t>
            </w:r>
            <w:r w:rsidR="00D96EE7" w:rsidRPr="00D96EE7">
              <w:rPr>
                <w:rFonts w:ascii="Book Antiqua" w:eastAsia="Times New Roman" w:hAnsi="Book Antiqua" w:cs="Calibri"/>
                <w:b/>
                <w:sz w:val="24"/>
                <w:szCs w:val="24"/>
                <w:vertAlign w:val="superscript"/>
              </w:rPr>
              <w:t>1</w:t>
            </w:r>
          </w:p>
        </w:tc>
        <w:tc>
          <w:tcPr>
            <w:tcW w:w="1417" w:type="dxa"/>
            <w:tcBorders>
              <w:top w:val="single" w:sz="4" w:space="0" w:color="auto"/>
              <w:left w:val="nil"/>
              <w:bottom w:val="nil"/>
              <w:right w:val="nil"/>
            </w:tcBorders>
            <w:shd w:val="clear" w:color="auto" w:fill="auto"/>
            <w:vAlign w:val="bottom"/>
          </w:tcPr>
          <w:p w:rsidR="00411545" w:rsidRPr="001339DB" w:rsidRDefault="00411545" w:rsidP="00294646">
            <w:pPr>
              <w:adjustRightInd w:val="0"/>
              <w:snapToGrid w:val="0"/>
              <w:spacing w:after="0" w:line="360" w:lineRule="auto"/>
              <w:jc w:val="center"/>
              <w:rPr>
                <w:rFonts w:ascii="Book Antiqua" w:eastAsia="Times New Roman" w:hAnsi="Book Antiqua" w:cs="Calibri"/>
                <w:b/>
                <w:sz w:val="24"/>
                <w:szCs w:val="24"/>
              </w:rPr>
            </w:pPr>
            <w:r w:rsidRPr="001339DB">
              <w:rPr>
                <w:rFonts w:ascii="Book Antiqua" w:eastAsia="Times New Roman" w:hAnsi="Book Antiqua" w:cs="Calibri"/>
                <w:b/>
                <w:sz w:val="24"/>
                <w:szCs w:val="24"/>
              </w:rPr>
              <w:t>Source</w:t>
            </w:r>
          </w:p>
        </w:tc>
      </w:tr>
      <w:tr w:rsidR="00D96EE7" w:rsidRPr="001339DB" w:rsidTr="00C731E9">
        <w:trPr>
          <w:trHeight w:val="285"/>
        </w:trPr>
        <w:tc>
          <w:tcPr>
            <w:tcW w:w="8613" w:type="dxa"/>
            <w:gridSpan w:val="8"/>
            <w:tcBorders>
              <w:top w:val="single" w:sz="4" w:space="0" w:color="auto"/>
              <w:left w:val="nil"/>
              <w:bottom w:val="nil"/>
              <w:right w:val="nil"/>
            </w:tcBorders>
            <w:shd w:val="clear" w:color="auto" w:fill="auto"/>
            <w:vAlign w:val="bottom"/>
            <w:hideMark/>
          </w:tcPr>
          <w:p w:rsidR="00D96EE7" w:rsidRPr="001339DB" w:rsidRDefault="00D96EE7" w:rsidP="00D96EE7">
            <w:pPr>
              <w:adjustRightInd w:val="0"/>
              <w:snapToGrid w:val="0"/>
              <w:spacing w:after="0" w:line="360" w:lineRule="auto"/>
              <w:rPr>
                <w:rFonts w:ascii="Book Antiqua" w:eastAsia="Times New Roman" w:hAnsi="Book Antiqua" w:cs="Calibri"/>
                <w:sz w:val="24"/>
                <w:szCs w:val="24"/>
              </w:rPr>
            </w:pPr>
            <w:bookmarkStart w:id="789" w:name="RANGE!A2:F67"/>
            <w:r w:rsidRPr="001339DB">
              <w:rPr>
                <w:rFonts w:ascii="Book Antiqua" w:eastAsia="Times New Roman" w:hAnsi="Book Antiqua" w:cs="Calibri"/>
                <w:b/>
                <w:bCs/>
                <w:sz w:val="24"/>
                <w:szCs w:val="24"/>
              </w:rPr>
              <w:t>Annual transition probabilities in HCV</w:t>
            </w:r>
            <w:bookmarkEnd w:id="789"/>
            <w:r w:rsidRPr="001339DB">
              <w:rPr>
                <w:rFonts w:ascii="Book Antiqua" w:eastAsia="Times New Roman" w:hAnsi="Book Antiqua" w:cs="Calibri"/>
                <w:b/>
                <w:bCs/>
                <w:sz w:val="24"/>
                <w:szCs w:val="24"/>
              </w:rPr>
              <w:t xml:space="preserve"> (%)</w:t>
            </w:r>
          </w:p>
        </w:tc>
      </w:tr>
      <w:tr w:rsidR="001339DB" w:rsidRPr="001339DB" w:rsidTr="00411545">
        <w:trPr>
          <w:trHeight w:val="285"/>
        </w:trPr>
        <w:tc>
          <w:tcPr>
            <w:tcW w:w="1809" w:type="dxa"/>
            <w:tcBorders>
              <w:top w:val="nil"/>
              <w:left w:val="nil"/>
              <w:bottom w:val="single" w:sz="4" w:space="0" w:color="auto"/>
              <w:right w:val="nil"/>
            </w:tcBorders>
            <w:shd w:val="clear" w:color="auto" w:fill="auto"/>
            <w:vAlign w:val="bottom"/>
            <w:hideMark/>
          </w:tcPr>
          <w:p w:rsidR="00411545" w:rsidRPr="001339DB" w:rsidRDefault="00411545" w:rsidP="00294646">
            <w:pPr>
              <w:adjustRightInd w:val="0"/>
              <w:snapToGrid w:val="0"/>
              <w:spacing w:after="0" w:line="360" w:lineRule="auto"/>
              <w:rPr>
                <w:rFonts w:ascii="Book Antiqua" w:eastAsia="Times New Roman" w:hAnsi="Book Antiqua" w:cs="Calibri"/>
                <w:sz w:val="24"/>
                <w:szCs w:val="24"/>
              </w:rPr>
            </w:pPr>
            <w:r w:rsidRPr="001339DB">
              <w:rPr>
                <w:rFonts w:ascii="Book Antiqua" w:eastAsia="Times New Roman" w:hAnsi="Book Antiqua" w:cs="Calibri"/>
                <w:sz w:val="24"/>
                <w:szCs w:val="24"/>
              </w:rPr>
              <w:t>From</w:t>
            </w:r>
          </w:p>
        </w:tc>
        <w:tc>
          <w:tcPr>
            <w:tcW w:w="1560" w:type="dxa"/>
            <w:gridSpan w:val="3"/>
            <w:tcBorders>
              <w:top w:val="nil"/>
              <w:left w:val="nil"/>
              <w:bottom w:val="single" w:sz="4" w:space="0" w:color="auto"/>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To</w:t>
            </w:r>
          </w:p>
        </w:tc>
        <w:tc>
          <w:tcPr>
            <w:tcW w:w="992" w:type="dxa"/>
            <w:tcBorders>
              <w:top w:val="nil"/>
              <w:left w:val="nil"/>
              <w:bottom w:val="single" w:sz="4" w:space="0" w:color="auto"/>
              <w:right w:val="nil"/>
            </w:tcBorders>
            <w:shd w:val="clear" w:color="auto" w:fill="auto"/>
            <w:vAlign w:val="bottom"/>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p>
        </w:tc>
        <w:tc>
          <w:tcPr>
            <w:tcW w:w="1417" w:type="dxa"/>
            <w:tcBorders>
              <w:top w:val="nil"/>
              <w:left w:val="nil"/>
              <w:bottom w:val="single" w:sz="4" w:space="0" w:color="auto"/>
              <w:right w:val="nil"/>
            </w:tcBorders>
            <w:shd w:val="clear" w:color="auto" w:fill="auto"/>
            <w:vAlign w:val="bottom"/>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p>
        </w:tc>
        <w:tc>
          <w:tcPr>
            <w:tcW w:w="1418" w:type="dxa"/>
            <w:tcBorders>
              <w:top w:val="nil"/>
              <w:left w:val="nil"/>
              <w:bottom w:val="single" w:sz="4" w:space="0" w:color="auto"/>
              <w:right w:val="nil"/>
            </w:tcBorders>
            <w:shd w:val="clear" w:color="auto" w:fill="auto"/>
            <w:vAlign w:val="bottom"/>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p>
        </w:tc>
        <w:tc>
          <w:tcPr>
            <w:tcW w:w="1417" w:type="dxa"/>
            <w:tcBorders>
              <w:top w:val="nil"/>
              <w:left w:val="nil"/>
              <w:bottom w:val="single" w:sz="4" w:space="0" w:color="auto"/>
              <w:right w:val="nil"/>
            </w:tcBorders>
            <w:shd w:val="clear" w:color="auto" w:fill="auto"/>
            <w:vAlign w:val="bottom"/>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p>
        </w:tc>
      </w:tr>
      <w:tr w:rsidR="001339DB" w:rsidRPr="001339DB" w:rsidTr="00411545">
        <w:trPr>
          <w:trHeight w:val="300"/>
        </w:trPr>
        <w:tc>
          <w:tcPr>
            <w:tcW w:w="1809"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rPr>
                <w:rFonts w:ascii="Book Antiqua" w:eastAsia="Times New Roman" w:hAnsi="Book Antiqua" w:cs="Calibri"/>
                <w:sz w:val="24"/>
                <w:szCs w:val="24"/>
              </w:rPr>
            </w:pPr>
            <w:r w:rsidRPr="001339DB">
              <w:rPr>
                <w:rFonts w:ascii="Book Antiqua" w:eastAsia="Times New Roman" w:hAnsi="Book Antiqua" w:cs="Calibri"/>
                <w:sz w:val="24"/>
                <w:szCs w:val="24"/>
              </w:rPr>
              <w:t>F0-F1</w:t>
            </w:r>
          </w:p>
        </w:tc>
        <w:tc>
          <w:tcPr>
            <w:tcW w:w="1560" w:type="dxa"/>
            <w:gridSpan w:val="3"/>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F2-F3</w:t>
            </w:r>
          </w:p>
        </w:tc>
        <w:tc>
          <w:tcPr>
            <w:tcW w:w="992"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2.5</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2.0−3.1</w:t>
            </w:r>
          </w:p>
        </w:tc>
        <w:tc>
          <w:tcPr>
            <w:tcW w:w="1418"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β(2.5;0.4)</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fldChar w:fldCharType="begin" w:fldLock="1"/>
            </w:r>
            <w:r w:rsidRPr="001339DB">
              <w:rPr>
                <w:rFonts w:ascii="Book Antiqua" w:eastAsia="Times New Roman" w:hAnsi="Book Antiqua" w:cs="Calibri"/>
                <w:sz w:val="24"/>
                <w:szCs w:val="24"/>
              </w:rPr>
              <w:instrText>ADDIN CSL_CITATION { "citationItems" : [ { "id" : "ITEM-1", "itemData" : { "ISBN" : "1366-5278", "ISSN" : "13665278", "PMID" : "16750059", "abstract" : "OBJECTIVES: To determine whether combined therapy with interferon-alpha and ribavirin was more effective and cost-effective than no treatment for patients with mild chronic hepatitis C. DESIGN: A multicentre, randomised, controlled, non-blinded trial assessed the efficacy of combination therapy. A Markov model used these efficacy data combined with data on transition probabilities, costs and health-related quality of life (HRQoL) to assess the lifetime cost-effectiveness of the intervention. SETTING: A multicentre NHS setting. PARTICIPANTS: Treatment-naive, adult patients with histologically mild chronic hepatitis C (Ishak necroinflammatory scores &lt;4 and fibrosis scores &lt;3 on liver biopsy). INTERVENTIONS: Patients were randomised to receive interferon-alpha and ribavirin for 48 weeks or no treatment (control). MAIN OUTCOME MEASURES: The primary outcome measure was the proportion of patients having a sustained virological response (SVR), measured at 6 months after cessation of therapy. Secondary outcome measures were: the ability of early phase kinetics to predict the eventual outcome of treating mild disease; HRQoL measured using the Short Form 36 and EuroQol (5 Dimensions) questionnaires, and the cost per quality-adjusted life-year (QALY) of interferon-alpha and ribavirin for mild disease compared with no treatment. RESULTS: In the treatment group, 32 out of 98 patients (33%) achieved an SVR. Patients infected with genotype 1 had a lower SVR than those infected with genotype non-1 (18% versus 49%, p = 0.02). No patients who failed to achieve a 2-log drop in viral load at 12 weeks achieved an SVR. HRQoL fell during treatment and rose with treatment cessation. For patients having an SVR there were modest improvements in HRQoL at 6 months post-treatment. The mean cost per QALY gained was 4535 pounds sterling for 40-year-old patients with genotype non-1 and 25,188 pounds sterling for patients with genotype 1. For patients with genotype 1 aged 65, providing interferon-alpha and ribavirin for mild disease led to fewer QALYs gained, and a mean cost per QALY of 53,017 pounds sterling. The model using efficacy estimates from the literature, showed that the cost per QALY gained from providing pegylated interferon alpha-2b and ribavirin at a mild stage rather than a moderate stage was 7821 pounds sterling for patients with genotype non-1 and 28,409 pounds sterling for patients with genotype 1. CONCLUSIONS: Based on the evidence collected in this study, interferon\u2026", "author" : [ { "dropping-particle" : "", "family" : "Wright", "given" : "M.", "non-dropping-particle" : "", "parse-names" : false, "suffix" : "" }, { "dropping-particle" : "", "family" : "Grieve", "given" : "R.", "non-dropping-particle" : "", "parse-names" : false, "suffix" : "" }, { "dropping-particle" : "", "family" : "Roberts", "given" : "J.", "non-dropping-particle" : "", "parse-names" : false, "suffix" : "" }, { "dropping-particle" : "", "family" : "Main", "given" : "J.", "non-dropping-particle" : "", "parse-names" : false, "suffix" : "" }, { "dropping-particle" : "", "family" : "Thomas", "given" : "H. C.", "non-dropping-particle" : "", "parse-names" : false, "suffix" : "" }, { "dropping-particle" : "", "family" : "UK Mild Hepatitis C Trial Investigators", "given" : "", "non-dropping-particle" : "", "parse-names" : false, "suffix" : "" } ], "container-title" : "Health technology assessment (NHS)", "id" : "ITEM-1", "issue" : "21", "issued" : { "date-parts" : [ [ "2006" ] ] }, "title" : "Health benefits of antiviral therapy for mild chronic hepatitis C: randomised controlled trial and economic evaluation.", "type" : "article-journal", "volume" : "10" }, "uris" : [ "http://www.mendeley.com/documents/?uuid=66ba4aa8-b8ad-4aac-8c62-f3a523206a64" ] } ], "mendeley" : { "formattedCitation" : "[27]", "plainTextFormattedCitation" : "[27]", "previouslyFormattedCitation" : "[27]" }, "properties" : { "noteIndex" : 0 }, "schema" : "https://github.com/citation-style-language/schema/raw/master/csl-citation.json" }</w:instrText>
            </w:r>
            <w:r w:rsidRPr="001339DB">
              <w:rPr>
                <w:rFonts w:ascii="Book Antiqua" w:eastAsia="Times New Roman" w:hAnsi="Book Antiqua" w:cs="Calibri"/>
                <w:sz w:val="24"/>
                <w:szCs w:val="24"/>
              </w:rPr>
              <w:fldChar w:fldCharType="separate"/>
            </w:r>
            <w:r w:rsidRPr="001339DB">
              <w:rPr>
                <w:rFonts w:ascii="Book Antiqua" w:eastAsia="Times New Roman" w:hAnsi="Book Antiqua" w:cs="Calibri"/>
                <w:noProof/>
                <w:sz w:val="24"/>
                <w:szCs w:val="24"/>
              </w:rPr>
              <w:t>[27]</w:t>
            </w:r>
            <w:r w:rsidRPr="001339DB">
              <w:rPr>
                <w:rFonts w:ascii="Book Antiqua" w:eastAsia="Times New Roman" w:hAnsi="Book Antiqua" w:cs="Calibri"/>
                <w:sz w:val="24"/>
                <w:szCs w:val="24"/>
              </w:rPr>
              <w:fldChar w:fldCharType="end"/>
            </w:r>
          </w:p>
        </w:tc>
      </w:tr>
      <w:tr w:rsidR="001339DB" w:rsidRPr="001339DB" w:rsidTr="00411545">
        <w:trPr>
          <w:trHeight w:val="300"/>
        </w:trPr>
        <w:tc>
          <w:tcPr>
            <w:tcW w:w="1809"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rPr>
                <w:rFonts w:ascii="Book Antiqua" w:eastAsia="Times New Roman" w:hAnsi="Book Antiqua" w:cs="Calibri"/>
                <w:sz w:val="24"/>
                <w:szCs w:val="24"/>
              </w:rPr>
            </w:pPr>
            <w:r w:rsidRPr="001339DB">
              <w:rPr>
                <w:rFonts w:ascii="Book Antiqua" w:eastAsia="Times New Roman" w:hAnsi="Book Antiqua" w:cs="Calibri"/>
                <w:sz w:val="24"/>
                <w:szCs w:val="24"/>
              </w:rPr>
              <w:t>F2-F3</w:t>
            </w:r>
          </w:p>
        </w:tc>
        <w:tc>
          <w:tcPr>
            <w:tcW w:w="1560" w:type="dxa"/>
            <w:gridSpan w:val="3"/>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F4</w:t>
            </w:r>
          </w:p>
        </w:tc>
        <w:tc>
          <w:tcPr>
            <w:tcW w:w="992"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3.7</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2.5−5.3</w:t>
            </w:r>
          </w:p>
        </w:tc>
        <w:tc>
          <w:tcPr>
            <w:tcW w:w="1418"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β(3.7;0.7)</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fldChar w:fldCharType="begin" w:fldLock="1"/>
            </w:r>
            <w:r w:rsidRPr="001339DB">
              <w:rPr>
                <w:rFonts w:ascii="Book Antiqua" w:eastAsia="Times New Roman" w:hAnsi="Book Antiqua" w:cs="Calibri"/>
                <w:sz w:val="24"/>
                <w:szCs w:val="24"/>
              </w:rPr>
              <w:instrText>ADDIN CSL_CITATION { "citationItems" : [ { "id" : "ITEM-1", "itemData" : { "ISBN" : "1366-5278", "ISSN" : "13665278", "PMID" : "16750059", "abstract" : "OBJECTIVES: To determine whether combined therapy with interferon-alpha and ribavirin was more effective and cost-effective than no treatment for patients with mild chronic hepatitis C. DESIGN: A multicentre, randomised, controlled, non-blinded trial assessed the efficacy of combination therapy. A Markov model used these efficacy data combined with data on transition probabilities, costs and health-related quality of life (HRQoL) to assess the lifetime cost-effectiveness of the intervention. SETTING: A multicentre NHS setting. PARTICIPANTS: Treatment-naive, adult patients with histologically mild chronic hepatitis C (Ishak necroinflammatory scores &lt;4 and fibrosis scores &lt;3 on liver biopsy). INTERVENTIONS: Patients were randomised to receive interferon-alpha and ribavirin for 48 weeks or no treatment (control). MAIN OUTCOME MEASURES: The primary outcome measure was the proportion of patients having a sustained virological response (SVR), measured at 6 months after cessation of therapy. Secondary outcome measures were: the ability of early phase kinetics to predict the eventual outcome of treating mild disease; HRQoL measured using the Short Form 36 and EuroQol (5 Dimensions) questionnaires, and the cost per quality-adjusted life-year (QALY) of interferon-alpha and ribavirin for mild disease compared with no treatment. RESULTS: In the treatment group, 32 out of 98 patients (33%) achieved an SVR. Patients infected with genotype 1 had a lower SVR than those infected with genotype non-1 (18% versus 49%, p = 0.02). No patients who failed to achieve a 2-log drop in viral load at 12 weeks achieved an SVR. HRQoL fell during treatment and rose with treatment cessation. For patients having an SVR there were modest improvements in HRQoL at 6 months post-treatment. The mean cost per QALY gained was 4535 pounds sterling for 40-year-old patients with genotype non-1 and 25,188 pounds sterling for patients with genotype 1. For patients with genotype 1 aged 65, providing interferon-alpha and ribavirin for mild disease led to fewer QALYs gained, and a mean cost per QALY of 53,017 pounds sterling. The model using efficacy estimates from the literature, showed that the cost per QALY gained from providing pegylated interferon alpha-2b and ribavirin at a mild stage rather than a moderate stage was 7821 pounds sterling for patients with genotype non-1 and 28,409 pounds sterling for patients with genotype 1. CONCLUSIONS: Based on the evidence collected in this study, interferon\u2026", "author" : [ { "dropping-particle" : "", "family" : "Wright", "given" : "M.", "non-dropping-particle" : "", "parse-names" : false, "suffix" : "" }, { "dropping-particle" : "", "family" : "Grieve", "given" : "R.", "non-dropping-particle" : "", "parse-names" : false, "suffix" : "" }, { "dropping-particle" : "", "family" : "Roberts", "given" : "J.", "non-dropping-particle" : "", "parse-names" : false, "suffix" : "" }, { "dropping-particle" : "", "family" : "Main", "given" : "J.", "non-dropping-particle" : "", "parse-names" : false, "suffix" : "" }, { "dropping-particle" : "", "family" : "Thomas", "given" : "H. C.", "non-dropping-particle" : "", "parse-names" : false, "suffix" : "" }, { "dropping-particle" : "", "family" : "UK Mild Hepatitis C Trial Investigators", "given" : "", "non-dropping-particle" : "", "parse-names" : false, "suffix" : "" } ], "container-title" : "Health technology assessment (NHS)", "id" : "ITEM-1", "issue" : "21", "issued" : { "date-parts" : [ [ "2006" ] ] }, "title" : "Health benefits of antiviral therapy for mild chronic hepatitis C: randomised controlled trial and economic evaluation.", "type" : "article-journal", "volume" : "10" }, "uris" : [ "http://www.mendeley.com/documents/?uuid=66ba4aa8-b8ad-4aac-8c62-f3a523206a64" ] } ], "mendeley" : { "formattedCitation" : "[27]", "plainTextFormattedCitation" : "[27]", "previouslyFormattedCitation" : "[27]" }, "properties" : { "noteIndex" : 0 }, "schema" : "https://github.com/citation-style-language/schema/raw/master/csl-citation.json" }</w:instrText>
            </w:r>
            <w:r w:rsidRPr="001339DB">
              <w:rPr>
                <w:rFonts w:ascii="Book Antiqua" w:eastAsia="Times New Roman" w:hAnsi="Book Antiqua" w:cs="Calibri"/>
                <w:sz w:val="24"/>
                <w:szCs w:val="24"/>
              </w:rPr>
              <w:fldChar w:fldCharType="separate"/>
            </w:r>
            <w:r w:rsidRPr="001339DB">
              <w:rPr>
                <w:rFonts w:ascii="Book Antiqua" w:eastAsia="Times New Roman" w:hAnsi="Book Antiqua" w:cs="Calibri"/>
                <w:noProof/>
                <w:sz w:val="24"/>
                <w:szCs w:val="24"/>
              </w:rPr>
              <w:t>[27]</w:t>
            </w:r>
            <w:r w:rsidRPr="001339DB">
              <w:rPr>
                <w:rFonts w:ascii="Book Antiqua" w:eastAsia="Times New Roman" w:hAnsi="Book Antiqua" w:cs="Calibri"/>
                <w:sz w:val="24"/>
                <w:szCs w:val="24"/>
              </w:rPr>
              <w:fldChar w:fldCharType="end"/>
            </w:r>
          </w:p>
        </w:tc>
      </w:tr>
      <w:tr w:rsidR="001339DB" w:rsidRPr="001339DB" w:rsidTr="00411545">
        <w:trPr>
          <w:trHeight w:val="300"/>
        </w:trPr>
        <w:tc>
          <w:tcPr>
            <w:tcW w:w="1809"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rPr>
                <w:rFonts w:ascii="Book Antiqua" w:eastAsia="Times New Roman" w:hAnsi="Book Antiqua" w:cs="Calibri"/>
                <w:sz w:val="24"/>
                <w:szCs w:val="24"/>
              </w:rPr>
            </w:pPr>
            <w:r w:rsidRPr="001339DB">
              <w:rPr>
                <w:rFonts w:ascii="Book Antiqua" w:eastAsia="Times New Roman" w:hAnsi="Book Antiqua" w:cs="Calibri"/>
                <w:sz w:val="24"/>
                <w:szCs w:val="24"/>
              </w:rPr>
              <w:t>F4</w:t>
            </w:r>
          </w:p>
        </w:tc>
        <w:tc>
          <w:tcPr>
            <w:tcW w:w="1560" w:type="dxa"/>
            <w:gridSpan w:val="3"/>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DC</w:t>
            </w:r>
          </w:p>
        </w:tc>
        <w:tc>
          <w:tcPr>
            <w:tcW w:w="992"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3.9</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3.1−5.0</w:t>
            </w:r>
          </w:p>
        </w:tc>
        <w:tc>
          <w:tcPr>
            <w:tcW w:w="1418"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β(3.9;0.5)</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fldChar w:fldCharType="begin" w:fldLock="1"/>
            </w:r>
            <w:r w:rsidRPr="001339DB">
              <w:rPr>
                <w:rFonts w:ascii="Book Antiqua" w:eastAsia="Times New Roman" w:hAnsi="Book Antiqua" w:cs="Calibri"/>
                <w:sz w:val="24"/>
                <w:szCs w:val="24"/>
              </w:rPr>
              <w:instrText>ADDIN CSL_CITATION { "citationItems" : [ { "id" : "ITEM-1", "itemData" : { "DOI" : "10.1053/gast.1997.v112.pm9024300", "ISBN" : "0016-5085 (Print)\\r0016-5085 (Linking)", "ISSN" : "00165085", "PMID" : "9024300", "abstract" : "Background and Aims: Few data are available concerning the long-term prognosis of chronic liver disease associated with hepatitis C virus infection. This study examined the morbidity and survival of patients with compensated cirrhosis type C. Methods: A cohort of 384 European cirrhotic patients was enrolled at seven tertiary referral hospitals and followed up for a mean period of 5 years. Inclusion criteria were biopsy-proven cirrhosis, abnormal serum aminotransferase levels, absence of complications of cirrhosis, and exclusion of hepatitis A and B viruses and of metabolic, toxic, or autoimmune liver diseases. Results: Antibodies against hepatitis C virus were positive in 98% of 361 patients tested. The 5-year risk of hepatocellular carcinoma was 7% and that of decompensation was 18%. Death occurred in 51 patients (13%), with 70% dying of liver disease. Survival probability was 91% and 79% at 5 and 10 years, respectively. Two hundred five patients (53%) were treated with interferon alfa. After adjustment for clinical and serological differences at baseline between patients treated or not treated with interferon, the 5-year estimated survival probability was 96% and 95% for treated and untreated patients, respectively. Conclusions: in this cohort of patients, life expectancy is relatively long, in agreement with the morbidity data showing a slowly progressive disease.", "author" : [ { "dropping-particle" : "", "family" : "Fattovich", "given" : "G.", "non-dropping-particle" : "", "parse-names" : false, "suffix" : "" }, { "dropping-particle" : "", "family" : "Giustina", "given" : "G.", "non-dropping-particle" : "", "parse-names" : false, "suffix" : "" }, { "dropping-particle" : "", "family" : "Degos", "given" : "F.", "non-dropping-particle" : "", "parse-names" : false, "suffix" : "" }, { "dropping-particle" : "", "family" : "Tremolada", "given" : "F.", "non-dropping-particle" : "", "parse-names" : false, "suffix" : "" }, { "dropping-particle" : "", "family" : "Diodati", "given" : "G.", "non-dropping-particle" : "", "parse-names" : false, "suffix" : "" }, { "dropping-particle" : "", "family" : "Almasio", "given" : "P.", "non-dropping-particle" : "", "parse-names" : false, "suffix" : "" }, { "dropping-particle" : "", "family" : "Nevens", "given" : "F.", "non-dropping-particle" : "", "parse-names" : false, "suffix" : "" }, { "dropping-particle" : "", "family" : "Solinas", "given" : "a.", "non-dropping-particle" : "", "parse-names" : false, "suffix" : "" }, { "dropping-particle" : "", "family" : "Mura", "given" : "D.", "non-dropping-particle" : "", "parse-names" : false, "suffix" : "" }, { "dropping-particle" : "", "family" : "Brouwer", "given" : "J. T.", "non-dropping-particle" : "", "parse-names" : false, "suffix" : "" }, { "dropping-particle" : "", "family" : "Thomas", "given" : "H.", "non-dropping-particle" : "", "parse-names" : false, "suffix" : "" }, { "dropping-particle" : "", "family" : "Njapoum", "given" : "C.", "non-dropping-particle" : "", "parse-names" : false, "suffix" : "" }, { "dropping-particle" : "", "family" : "Casarin", "given" : "C.", "non-dropping-particle" : "", "parse-names" : false, "suffix" : "" }, { "dropping-particle" : "", "family" : "Bonetti", "given" : "P.", "non-dropping-particle" : "", "parse-names" : false, "suffix" : "" }, { "dropping-particle" : "", "family" : "Fuschi", "given" : "P.", "non-dropping-particle" : "", "parse-names" : false, "suffix" : "" }, { "dropping-particle" : "", "family" : "Basho", "given" : "J.", "non-dropping-particle" : "", "parse-names" : false, "suffix" : "" }, { "dropping-particle" : "", "family" : "Tocco", "given" : "a.", "non-dropping-particle" : "", "parse-names" : false, "suffix" : "" }, { "dropping-particle" : "", "family" : "Bhalla", "given" : "a.", "non-dropping-particle" : "", "parse-names" : false, "suffix" : "" }, { "dropping-particle" : "", "family" : "Galassini", "given" : "R.", "non-dropping-particle" : "", "parse-names" : false, "suffix" : "" }, { "dropping-particle" : "", "family" : "Noventa", "given" : "F.", "non-dropping-particle" : "", "parse-names" : false, "suffix" : "" }, { "dropping-particle" : "", "family" : "Schalm", "given" : "S. W.", "non-dropping-particle" : "", "parse-names" : false, "suffix" : "" }, { "dropping-particle" : "", "family" : "Realdi", "given" : "G.", "non-dropping-particle" : "", "parse-names" : false, "suffix" : "" } ], "container-title" : "Gastroenterology", "id" : "ITEM-1", "issue" : "2", "issued" : { "date-parts" : [ [ "1997" ] ] }, "page" : "463-472", "title" : "Morbidity and mortality in compensated cirrhosis type C: A retrospective follow-up study of 384 patients", "type" : "article-journal", "volume" : "112" }, "uris" : [ "http://www.mendeley.com/documents/?uuid=aeeee71c-71eb-4f71-9464-29ad0ac1b2ca" ] } ], "mendeley" : { "formattedCitation" : "[29]", "plainTextFormattedCitation" : "[29]", "previouslyFormattedCitation" : "[29]" }, "properties" : { "noteIndex" : 0 }, "schema" : "https://github.com/citation-style-language/schema/raw/master/csl-citation.json" }</w:instrText>
            </w:r>
            <w:r w:rsidRPr="001339DB">
              <w:rPr>
                <w:rFonts w:ascii="Book Antiqua" w:eastAsia="Times New Roman" w:hAnsi="Book Antiqua" w:cs="Calibri"/>
                <w:sz w:val="24"/>
                <w:szCs w:val="24"/>
              </w:rPr>
              <w:fldChar w:fldCharType="separate"/>
            </w:r>
            <w:r w:rsidRPr="001339DB">
              <w:rPr>
                <w:rFonts w:ascii="Book Antiqua" w:eastAsia="Times New Roman" w:hAnsi="Book Antiqua" w:cs="Calibri"/>
                <w:noProof/>
                <w:sz w:val="24"/>
                <w:szCs w:val="24"/>
              </w:rPr>
              <w:t>[29]</w:t>
            </w:r>
            <w:r w:rsidRPr="001339DB">
              <w:rPr>
                <w:rFonts w:ascii="Book Antiqua" w:eastAsia="Times New Roman" w:hAnsi="Book Antiqua" w:cs="Calibri"/>
                <w:sz w:val="24"/>
                <w:szCs w:val="24"/>
              </w:rPr>
              <w:fldChar w:fldCharType="end"/>
            </w:r>
          </w:p>
        </w:tc>
      </w:tr>
      <w:tr w:rsidR="001339DB" w:rsidRPr="001339DB" w:rsidTr="00411545">
        <w:trPr>
          <w:trHeight w:val="300"/>
        </w:trPr>
        <w:tc>
          <w:tcPr>
            <w:tcW w:w="1809"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rPr>
                <w:rFonts w:ascii="Book Antiqua" w:eastAsia="Times New Roman" w:hAnsi="Book Antiqua" w:cs="Calibri"/>
                <w:sz w:val="24"/>
                <w:szCs w:val="24"/>
              </w:rPr>
            </w:pPr>
            <w:r w:rsidRPr="001339DB">
              <w:rPr>
                <w:rFonts w:ascii="Book Antiqua" w:eastAsia="Times New Roman" w:hAnsi="Book Antiqua" w:cs="Calibri"/>
                <w:sz w:val="24"/>
                <w:szCs w:val="24"/>
              </w:rPr>
              <w:t>F4</w:t>
            </w:r>
          </w:p>
        </w:tc>
        <w:tc>
          <w:tcPr>
            <w:tcW w:w="1560" w:type="dxa"/>
            <w:gridSpan w:val="3"/>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HCC</w:t>
            </w:r>
          </w:p>
        </w:tc>
        <w:tc>
          <w:tcPr>
            <w:tcW w:w="992"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3.7</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3.2−4.2</w:t>
            </w:r>
          </w:p>
        </w:tc>
        <w:tc>
          <w:tcPr>
            <w:tcW w:w="1418"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β(3.7;0.25)</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fldChar w:fldCharType="begin" w:fldLock="1"/>
            </w:r>
            <w:r w:rsidRPr="001339DB">
              <w:rPr>
                <w:rFonts w:ascii="Book Antiqua" w:eastAsia="Times New Roman" w:hAnsi="Book Antiqua" w:cs="Calibri"/>
                <w:sz w:val="24"/>
                <w:szCs w:val="24"/>
              </w:rPr>
              <w:instrText>ADDIN CSL_CITATION { "citationItems" : [ { "id" : "ITEM-1", "itemData" : { "DOI" : "10.1053/j.gast.2004.09.014", "author" : [ { "dropping-particle" : "", "family" : "Fattovich", "given" : "Giovanna", "non-dropping-particle" : "", "parse-names" : false, "suffix" : "" }, { "dropping-particle" : "", "family" : "Stroffolini", "given" : "Tommaso", "non-dropping-particle" : "", "parse-names" : false, "suffix" : "" }, { "dropping-particle" : "", "family" : "Zagni", "given" : "Irene", "non-dropping-particle" : "", "parse-names" : false, "suffix" : "" }, { "dropping-particle" : "", "family" : "Donato", "given" : "Francesco", "non-dropping-particle" : "", "parse-names" : false, "suffix" : "" } ], "id" : "ITEM-1", "issued" : { "date-parts" : [ [ "2004" ] ] }, "page" : "35-50", "title" : "Hepatocellular Carcinoma in Cirrhosis: Incidence and Risk Factors", "type" : "article-journal" }, "uris" : [ "http://www.mendeley.com/documents/?uuid=ca1f4b96-e26f-4125-9938-8a7614ea5b26" ] } ], "mendeley" : { "formattedCitation" : "[30]", "plainTextFormattedCitation" : "[30]", "previouslyFormattedCitation" : "[30]" }, "properties" : { "noteIndex" : 0 }, "schema" : "https://github.com/citation-style-language/schema/raw/master/csl-citation.json" }</w:instrText>
            </w:r>
            <w:r w:rsidRPr="001339DB">
              <w:rPr>
                <w:rFonts w:ascii="Book Antiqua" w:eastAsia="Times New Roman" w:hAnsi="Book Antiqua" w:cs="Calibri"/>
                <w:sz w:val="24"/>
                <w:szCs w:val="24"/>
              </w:rPr>
              <w:fldChar w:fldCharType="separate"/>
            </w:r>
            <w:r w:rsidRPr="001339DB">
              <w:rPr>
                <w:rFonts w:ascii="Book Antiqua" w:eastAsia="Times New Roman" w:hAnsi="Book Antiqua" w:cs="Calibri"/>
                <w:noProof/>
                <w:sz w:val="24"/>
                <w:szCs w:val="24"/>
              </w:rPr>
              <w:t>[30]</w:t>
            </w:r>
            <w:r w:rsidRPr="001339DB">
              <w:rPr>
                <w:rFonts w:ascii="Book Antiqua" w:eastAsia="Times New Roman" w:hAnsi="Book Antiqua" w:cs="Calibri"/>
                <w:sz w:val="24"/>
                <w:szCs w:val="24"/>
              </w:rPr>
              <w:fldChar w:fldCharType="end"/>
            </w:r>
          </w:p>
        </w:tc>
      </w:tr>
      <w:tr w:rsidR="001339DB" w:rsidRPr="001339DB" w:rsidTr="00411545">
        <w:trPr>
          <w:trHeight w:val="285"/>
        </w:trPr>
        <w:tc>
          <w:tcPr>
            <w:tcW w:w="1809"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rPr>
                <w:rFonts w:ascii="Book Antiqua" w:eastAsia="Times New Roman" w:hAnsi="Book Antiqua" w:cs="Calibri"/>
                <w:sz w:val="24"/>
                <w:szCs w:val="24"/>
              </w:rPr>
            </w:pPr>
            <w:r w:rsidRPr="001339DB">
              <w:rPr>
                <w:rFonts w:ascii="Book Antiqua" w:eastAsia="Times New Roman" w:hAnsi="Book Antiqua" w:cs="Calibri"/>
                <w:sz w:val="24"/>
                <w:szCs w:val="24"/>
              </w:rPr>
              <w:t>DC</w:t>
            </w:r>
          </w:p>
        </w:tc>
        <w:tc>
          <w:tcPr>
            <w:tcW w:w="1560" w:type="dxa"/>
            <w:gridSpan w:val="3"/>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HCC</w:t>
            </w:r>
          </w:p>
        </w:tc>
        <w:tc>
          <w:tcPr>
            <w:tcW w:w="992"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6.8</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w:t>
            </w:r>
          </w:p>
        </w:tc>
        <w:tc>
          <w:tcPr>
            <w:tcW w:w="1418"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fldChar w:fldCharType="begin" w:fldLock="1"/>
            </w:r>
            <w:r w:rsidRPr="001339DB">
              <w:rPr>
                <w:rFonts w:ascii="Book Antiqua" w:eastAsia="Times New Roman" w:hAnsi="Book Antiqua" w:cs="Calibri"/>
                <w:sz w:val="24"/>
                <w:szCs w:val="24"/>
              </w:rPr>
              <w:instrText>ADDIN CSL_CITATION { "citationItems" : [ { "id" : "ITEM-1", "itemData" : { "DOI" : "10.1016/j.jhep.2004.01.005", "ISBN" : "0168-8278 (Print)\\r0168-8278", "ISSN" : "01688278", "PMID" : "15094231", "abstract" : "Background/Aims Since few data are available concerning the clinical course of decompensated hepatitis C virus (HCV)-related cirrhosis, the aim of the present study was to define the natural long-term course after the first hepatic decompensation. Methods Cohort of 200 consecutive patients with HCV-related cirrhosis, and without known hepatocellular carcinoma (HCC), hospitalized for the first hepatic decompensation. Results Ascites was the most frequent first decompensation (48%), followed by portal hypertensive gastrointestinal bleeding (PHGB) (32.5%), severe bacterial infection (BI) (14.5%) and hepatic encephalopathy (HE) (5%). During follow-up (34\u00b12 months) there were 519 readmissions, HCC developed in 33 (16.5%) patients, and death occurred in 85 patients (42.5%). The probability of survival after diagnosis of decompensated cirrhosis was 81.8 and 50.8% at 1 and 5 years, respectively. HE and/or ascites as the first hepatic decompensation, baseline Child-Pugh score, age, and presence of more than one decompensation during follow-up were independently correlated with survival. Conclusions Once decompensated HCV-related cirrhosis was established, patients showed not only a very high frequency of readmissions, but also developed decompensations different from the initial one. These results contribute to defining the natural course and prognosis of decompensated HCV-related cirrhosis. \u00a9 2004 European Association for the Study of the Liver. Published by Elsevier B.V. All rights reserved.", "author" : [ { "dropping-particle" : "", "family" : "Planas", "given" : "Ramon", "non-dropping-particle" : "", "parse-names" : false, "suffix" : "" }, { "dropping-particle" : "", "family" : "Ballest\u00e9", "given" : "Bel\u00e9n", "non-dropping-particle" : "", "parse-names" : false, "suffix" : "" }, { "dropping-particle" : "", "family" : "\u00c1lvarez", "given" : "Marco Antonio", "non-dropping-particle" : "", "parse-names" : false, "suffix" : "" }, { "dropping-particle" : "", "family" : "Rivera", "given" : "Monica", "non-dropping-particle" : "", "parse-names" : false, "suffix" : "" }, { "dropping-particle" : "", "family" : "Montoliu", "given" : "Silvia", "non-dropping-particle" : "", "parse-names" : false, "suffix" : "" }, { "dropping-particle" : "", "family" : "Galeras", "given" : "Josep Anton", "non-dropping-particle" : "", "parse-names" : false, "suffix" : "" }, { "dropping-particle" : "", "family" : "Santos", "given" : "Justiniano", "non-dropping-particle" : "", "parse-names" : false, "suffix" : "" }, { "dropping-particle" : "", "family" : "Coll", "given" : "Susanna", "non-dropping-particle" : "", "parse-names" : false, "suffix" : "" }, { "dropping-particle" : "", "family" : "Maria Morillas", "given" : "Rosa", "non-dropping-particle" : "", "parse-names" : false, "suffix" : "" }, { "dropping-particle" : "", "family" : "Sol\u00e0", "given" : "Ricard", "non-dropping-particle" : "", "parse-names" : false, "suffix" : "" } ], "container-title" : "Journal of Hepatology", "id" : "ITEM-1", "issue" : "5", "issued" : { "date-parts" : [ [ "2004" ] ] }, "page" : "823-830", "title" : "Natural history of decompensated hepatitis C virus-related cirrhosis. A study of 200 patients", "type" : "article-journal", "volume" : "40" }, "uris" : [ "http://www.mendeley.com/documents/?uuid=6328d746-c91c-47d0-a6ec-d0a741ecb6e3" ] } ], "mendeley" : { "formattedCitation" : "[31]", "plainTextFormattedCitation" : "[31]", "previouslyFormattedCitation" : "[31]" }, "properties" : { "noteIndex" : 0 }, "schema" : "https://github.com/citation-style-language/schema/raw/master/csl-citation.json" }</w:instrText>
            </w:r>
            <w:r w:rsidRPr="001339DB">
              <w:rPr>
                <w:rFonts w:ascii="Book Antiqua" w:eastAsia="Times New Roman" w:hAnsi="Book Antiqua" w:cs="Calibri"/>
                <w:sz w:val="24"/>
                <w:szCs w:val="24"/>
              </w:rPr>
              <w:fldChar w:fldCharType="separate"/>
            </w:r>
            <w:r w:rsidRPr="001339DB">
              <w:rPr>
                <w:rFonts w:ascii="Book Antiqua" w:eastAsia="Times New Roman" w:hAnsi="Book Antiqua" w:cs="Calibri"/>
                <w:noProof/>
                <w:sz w:val="24"/>
                <w:szCs w:val="24"/>
              </w:rPr>
              <w:t>[31]</w:t>
            </w:r>
            <w:r w:rsidRPr="001339DB">
              <w:rPr>
                <w:rFonts w:ascii="Book Antiqua" w:eastAsia="Times New Roman" w:hAnsi="Book Antiqua" w:cs="Calibri"/>
                <w:sz w:val="24"/>
                <w:szCs w:val="24"/>
              </w:rPr>
              <w:fldChar w:fldCharType="end"/>
            </w:r>
          </w:p>
        </w:tc>
      </w:tr>
      <w:tr w:rsidR="001339DB" w:rsidRPr="001339DB" w:rsidTr="00411545">
        <w:trPr>
          <w:trHeight w:val="285"/>
        </w:trPr>
        <w:tc>
          <w:tcPr>
            <w:tcW w:w="1809"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rPr>
                <w:rFonts w:ascii="Book Antiqua" w:eastAsia="Times New Roman" w:hAnsi="Book Antiqua" w:cs="Calibri"/>
                <w:sz w:val="24"/>
                <w:szCs w:val="24"/>
              </w:rPr>
            </w:pPr>
            <w:r w:rsidRPr="001339DB">
              <w:rPr>
                <w:rFonts w:ascii="Book Antiqua" w:eastAsia="Times New Roman" w:hAnsi="Book Antiqua" w:cs="Calibri"/>
                <w:sz w:val="24"/>
                <w:szCs w:val="24"/>
              </w:rPr>
              <w:t>DC/HCC</w:t>
            </w:r>
          </w:p>
        </w:tc>
        <w:tc>
          <w:tcPr>
            <w:tcW w:w="1560" w:type="dxa"/>
            <w:gridSpan w:val="3"/>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LTX</w:t>
            </w:r>
          </w:p>
        </w:tc>
        <w:tc>
          <w:tcPr>
            <w:tcW w:w="992"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2</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1−21</w:t>
            </w:r>
          </w:p>
        </w:tc>
        <w:tc>
          <w:tcPr>
            <w:tcW w:w="1418"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U(1;21)</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fldChar w:fldCharType="begin" w:fldLock="1"/>
            </w:r>
            <w:r w:rsidRPr="001339DB">
              <w:rPr>
                <w:rFonts w:ascii="Book Antiqua" w:eastAsia="Times New Roman" w:hAnsi="Book Antiqua" w:cs="Calibri"/>
                <w:sz w:val="24"/>
                <w:szCs w:val="24"/>
              </w:rPr>
              <w:instrText>ADDIN CSL_CITATION { "citationItems" : [ { "id" : "ITEM-1", "itemData" : { "DOI" : "10.1136/gut.52.3.425", "ISBN" : "0017-5749 (Print)\\r0017-5749 (Linking)", "ISSN" : "0017-5749", "PMID" : "12584228", "abstract" : "BACKGROUND: Peginterferon alpha-2b plus ribavirin therapy in previously untreated patients with chronic hepatitis C yields the highest sustained virological response rates of any treatment strategy but is expensive. AIMS: To estimate the cost effectiveness of treatment with peginterferon alpha-2b plus ribavirin compared with interferon alpha-2b plus ribavirin for initial treatment of patients with chronic hepatitis C. METHODS: Individual patient level data from a randomised clinical trial with peginterferon plus ribavirin were applied to a previously published and validated Markov model to project lifelong clinical outcomes. Quality of life and economic estimates were based on German patient data. We used a societal perspective and applied a 3% annual discount rate. RESULTS: Compared with no antiviral therapy, peginterferon plus fixed or weight based dosing of ribavirin increased life expectancy by 4.2 and 4.7 years, respectively. Compared with standard interferon alpha-2b plus ribavirin, peginterferon plus fixed or weight based dosing of ribavirin increased life expectancy by 0.5 and by 1.0 years with incremental cost effectiveness ratios of 11,800 euros and 6600 euros per quality adjusted life year (QALY), respectively. Subgroup analyses by genotype, viral load, sex, and histology showed that peginterferon plus weight based ribavirin remained cost effective compared with other well accepted medical treatments. CONCLUSIONS: Peginterferon alpha-2b plus ribavirin should reduce the incidence of liver complications, prolong life, improve quality of life, and be cost effective for the initial treatment of chronic hepatitis C.", "author" : [ { "dropping-particle" : "", "family" : "Siebert", "given" : "U", "non-dropping-particle" : "", "parse-names" : false, "suffix" : "" }, { "dropping-particle" : "", "family" : "Sroczynski", "given" : "G", "non-dropping-particle" : "", "parse-names" : false, "suffix" : "" }, { "dropping-particle" : "", "family" : "Rossol", "given" : "S", "non-dropping-particle" : "", "parse-names" : false, "suffix" : "" }, { "dropping-particle" : "", "family" : "Wasem", "given" : "J", "non-dropping-particle" : "", "parse-names" : false, "suffix" : "" }, { "dropping-particle" : "", "family" : "Ravens-Sieberer", "given" : "U", "non-dropping-particle" : "", "parse-names" : false, "suffix" : "" }, { "dropping-particle" : "", "family" : "Kurth", "given" : "B M", "non-dropping-particle" : "", "parse-names" : false, "suffix" : "" }, { "dropping-particle" : "", "family" : "Manns", "given" : "M P", "non-dropping-particle" : "", "parse-names" : false, "suffix" : "" }, { "dropping-particle" : "", "family" : "McHutchison", "given" : "J G", "non-dropping-particle" : "", "parse-names" : false, "suffix" : "" }, { "dropping-particle" : "", "family" : "Wong", "given" : "J B", "non-dropping-particle" : "", "parse-names" : false, "suffix" : "" } ], "container-title" : "Gut", "id" : "ITEM-1", "issue" : "3", "issued" : { "date-parts" : [ [ "2003" ] ] }, "page" : "425-432", "title" : "Cost effectiveness of peginterferon alpha-2b plus ribavirin versus interferon alpha-2b plus ribavirin for initial treatment of chronic hepatitis C.", "type" : "article-journal", "volume" : "52" }, "uris" : [ "http://www.mendeley.com/documents/?uuid=af89de81-8893-44a4-8c75-c754204c7a81" ] }, { "id" : "ITEM-2", "itemData" : { "DOI" : "10.1016/j.jval.2011.06.006", "ISBN" : "1524-4733", "ISSN" : "10983015", "PMID" : "22152176", "abstract" : "Published economic evaluations have reported available treatments for chronic hepatitis C to be cost-effective as part of the current approach to disease management, but as standards of care evolve, their approach to modeling should be reconsidered. This study aimed to review structural frameworks and key model parameters as reported in current economic evaluations for treatments for chronic hepatitis C, and model the impact of variability across parameters on results. A systematic review of studies published from 2000 to 2011 was performed. Studies were retrieved from five electronic databases using relevant search strategies. Model structures, disease progression rates, utilities, and costs were extracted from included studies, and were qualitatively reviewed and incorporated into a cost-utility model. Thirty-four studies were appropriate for data extraction. A common pathway of six disease states was identified. In some studies the early disease stages and/or the decompensated cirrhosis state were further subdivided. Large variability in values used for disease progression rates, utilities, and costs were identified. When incorporated into a model, incremental cost-effectiveness ratios (ICERs) varied: in the least favorable scenario, peginterferon plus ribavirin was dominated by interferon plus ribavirin; and in the most favorable scenario, peginterferon plus ribavirin dominated interferon plus ribavirin ($8,544 per quality-adjusted life year [QALY]; costs are given in 2008 US dollar amounts). Using mean values the ICER was $15,198 per QALY. Current models use a simplistic structure resulting from the lack of available data reflecting patient heterogeneity. Key model parameters are currently based on a small number of studies and the variability across these values can affect the interpretation of results. \u00a9 2011 International Society for Pharmacoeconomics and Outcomes Research (ISPOR).", "author" : [ { "dropping-particle" : "", "family" : "Townsend", "given" : "Rebecca", "non-dropping-particle" : "", "parse-names" : false, "suffix" : "" }, { "dropping-particle" : "", "family" : "McEwan", "given" : "Phil", "non-dropping-particle" : "", "parse-names" : false, "suffix" : "" }, { "dropping-particle" : "", "family" : "Kim", "given" : "Ray", "non-dropping-particle" : "", "parse-names" : false, "suffix" : "" }, { "dropping-particle" : "", "family" : "Yuan", "given" : "Yong", "non-dropping-particle" : "", "parse-names" : false, "suffix" : "" } ], "container-title" : "Value in Health", "id" : "ITEM-2", "issue" : "8", "issued" : { "date-parts" : [ [ "2011" ] ] }, "page" : "1068-1077", "publisher" : "Elsevier Inc.", "title" : "Structural frameworks and key model parameters in cost-effectiveness analyses for current and future treatments of chronic hepatitis C", "type" : "article-journal", "volume" : "14" }, "uris" : [ "http://www.mendeley.com/documents/?uuid=7d2fb2cf-1594-421c-a545-cb155c61f2e7" ] } ], "mendeley" : { "formattedCitation" : "[12,32]", "plainTextFormattedCitation" : "[12,32]", "previouslyFormattedCitation" : "[12,32]" }, "properties" : { "noteIndex" : 0 }, "schema" : "https://github.com/citation-style-language/schema/raw/master/csl-citation.json" }</w:instrText>
            </w:r>
            <w:r w:rsidRPr="001339DB">
              <w:rPr>
                <w:rFonts w:ascii="Book Antiqua" w:eastAsia="Times New Roman" w:hAnsi="Book Antiqua" w:cs="Calibri"/>
                <w:sz w:val="24"/>
                <w:szCs w:val="24"/>
              </w:rPr>
              <w:fldChar w:fldCharType="separate"/>
            </w:r>
            <w:r w:rsidRPr="001339DB">
              <w:rPr>
                <w:rFonts w:ascii="Book Antiqua" w:eastAsia="Times New Roman" w:hAnsi="Book Antiqua" w:cs="Calibri"/>
                <w:noProof/>
                <w:sz w:val="24"/>
                <w:szCs w:val="24"/>
              </w:rPr>
              <w:t>[12,32]</w:t>
            </w:r>
            <w:r w:rsidRPr="001339DB">
              <w:rPr>
                <w:rFonts w:ascii="Book Antiqua" w:eastAsia="Times New Roman" w:hAnsi="Book Antiqua" w:cs="Calibri"/>
                <w:sz w:val="24"/>
                <w:szCs w:val="24"/>
              </w:rPr>
              <w:fldChar w:fldCharType="end"/>
            </w:r>
          </w:p>
        </w:tc>
      </w:tr>
      <w:tr w:rsidR="001339DB" w:rsidRPr="001339DB" w:rsidTr="00411545">
        <w:trPr>
          <w:trHeight w:val="285"/>
        </w:trPr>
        <w:tc>
          <w:tcPr>
            <w:tcW w:w="1809"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rPr>
                <w:rFonts w:ascii="Book Antiqua" w:eastAsia="Times New Roman" w:hAnsi="Book Antiqua" w:cs="Calibri"/>
                <w:sz w:val="24"/>
                <w:szCs w:val="24"/>
              </w:rPr>
            </w:pPr>
            <w:r w:rsidRPr="001339DB">
              <w:rPr>
                <w:rFonts w:ascii="Book Antiqua" w:eastAsia="Times New Roman" w:hAnsi="Book Antiqua" w:cs="Calibri"/>
                <w:sz w:val="24"/>
                <w:szCs w:val="24"/>
              </w:rPr>
              <w:t>DC</w:t>
            </w:r>
          </w:p>
        </w:tc>
        <w:tc>
          <w:tcPr>
            <w:tcW w:w="1560" w:type="dxa"/>
            <w:gridSpan w:val="3"/>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Death</w:t>
            </w:r>
          </w:p>
        </w:tc>
        <w:tc>
          <w:tcPr>
            <w:tcW w:w="992"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12.7</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w:t>
            </w:r>
          </w:p>
        </w:tc>
        <w:tc>
          <w:tcPr>
            <w:tcW w:w="1418"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fldChar w:fldCharType="begin" w:fldLock="1"/>
            </w:r>
            <w:r w:rsidRPr="001339DB">
              <w:rPr>
                <w:rFonts w:ascii="Book Antiqua" w:eastAsia="Times New Roman" w:hAnsi="Book Antiqua" w:cs="Calibri"/>
                <w:sz w:val="24"/>
                <w:szCs w:val="24"/>
              </w:rPr>
              <w:instrText>ADDIN CSL_CITATION { "citationItems" : [ { "id" : "ITEM-1", "itemData" : { "DOI" : "10.1016/j.jhep.2004.01.005", "ISBN" : "0168-8278 (Print)\\r0168-8278", "ISSN" : "01688278", "PMID" : "15094231", "abstract" : "Background/Aims Since few data are available concerning the clinical course of decompensated hepatitis C virus (HCV)-related cirrhosis, the aim of the present study was to define the natural long-term course after the first hepatic decompensation. Methods Cohort of 200 consecutive patients with HCV-related cirrhosis, and without known hepatocellular carcinoma (HCC), hospitalized for the first hepatic decompensation. Results Ascites was the most frequent first decompensation (48%), followed by portal hypertensive gastrointestinal bleeding (PHGB) (32.5%), severe bacterial infection (BI) (14.5%) and hepatic encephalopathy (HE) (5%). During follow-up (34\u00b12 months) there were 519 readmissions, HCC developed in 33 (16.5%) patients, and death occurred in 85 patients (42.5%). The probability of survival after diagnosis of decompensated cirrhosis was 81.8 and 50.8% at 1 and 5 years, respectively. HE and/or ascites as the first hepatic decompensation, baseline Child-Pugh score, age, and presence of more than one decompensation during follow-up were independently correlated with survival. Conclusions Once decompensated HCV-related cirrhosis was established, patients showed not only a very high frequency of readmissions, but also developed decompensations different from the initial one. These results contribute to defining the natural course and prognosis of decompensated HCV-related cirrhosis. \u00a9 2004 European Association for the Study of the Liver. Published by Elsevier B.V. All rights reserved.", "author" : [ { "dropping-particle" : "", "family" : "Planas", "given" : "Ramon", "non-dropping-particle" : "", "parse-names" : false, "suffix" : "" }, { "dropping-particle" : "", "family" : "Ballest\u00e9", "given" : "Bel\u00e9n", "non-dropping-particle" : "", "parse-names" : false, "suffix" : "" }, { "dropping-particle" : "", "family" : "\u00c1lvarez", "given" : "Marco Antonio", "non-dropping-particle" : "", "parse-names" : false, "suffix" : "" }, { "dropping-particle" : "", "family" : "Rivera", "given" : "Monica", "non-dropping-particle" : "", "parse-names" : false, "suffix" : "" }, { "dropping-particle" : "", "family" : "Montoliu", "given" : "Silvia", "non-dropping-particle" : "", "parse-names" : false, "suffix" : "" }, { "dropping-particle" : "", "family" : "Galeras", "given" : "Josep Anton", "non-dropping-particle" : "", "parse-names" : false, "suffix" : "" }, { "dropping-particle" : "", "family" : "Santos", "given" : "Justiniano", "non-dropping-particle" : "", "parse-names" : false, "suffix" : "" }, { "dropping-particle" : "", "family" : "Coll", "given" : "Susanna", "non-dropping-particle" : "", "parse-names" : false, "suffix" : "" }, { "dropping-particle" : "", "family" : "Maria Morillas", "given" : "Rosa", "non-dropping-particle" : "", "parse-names" : false, "suffix" : "" }, { "dropping-particle" : "", "family" : "Sol\u00e0", "given" : "Ricard", "non-dropping-particle" : "", "parse-names" : false, "suffix" : "" } ], "container-title" : "Journal of Hepatology", "id" : "ITEM-1", "issue" : "5", "issued" : { "date-parts" : [ [ "2004" ] ] }, "page" : "823-830", "title" : "Natural history of decompensated hepatitis C virus-related cirrhosis. A study of 200 patients", "type" : "article-journal", "volume" : "40" }, "uris" : [ "http://www.mendeley.com/documents/?uuid=6328d746-c91c-47d0-a6ec-d0a741ecb6e3" ] } ], "mendeley" : { "formattedCitation" : "[31]", "plainTextFormattedCitation" : "[31]", "previouslyFormattedCitation" : "[31]" }, "properties" : { "noteIndex" : 0 }, "schema" : "https://github.com/citation-style-language/schema/raw/master/csl-citation.json" }</w:instrText>
            </w:r>
            <w:r w:rsidRPr="001339DB">
              <w:rPr>
                <w:rFonts w:ascii="Book Antiqua" w:eastAsia="Times New Roman" w:hAnsi="Book Antiqua" w:cs="Calibri"/>
                <w:sz w:val="24"/>
                <w:szCs w:val="24"/>
              </w:rPr>
              <w:fldChar w:fldCharType="separate"/>
            </w:r>
            <w:r w:rsidRPr="001339DB">
              <w:rPr>
                <w:rFonts w:ascii="Book Antiqua" w:eastAsia="Times New Roman" w:hAnsi="Book Antiqua" w:cs="Calibri"/>
                <w:noProof/>
                <w:sz w:val="24"/>
                <w:szCs w:val="24"/>
              </w:rPr>
              <w:t>[31]</w:t>
            </w:r>
            <w:r w:rsidRPr="001339DB">
              <w:rPr>
                <w:rFonts w:ascii="Book Antiqua" w:eastAsia="Times New Roman" w:hAnsi="Book Antiqua" w:cs="Calibri"/>
                <w:sz w:val="24"/>
                <w:szCs w:val="24"/>
              </w:rPr>
              <w:fldChar w:fldCharType="end"/>
            </w:r>
          </w:p>
        </w:tc>
      </w:tr>
      <w:tr w:rsidR="001339DB" w:rsidRPr="001339DB" w:rsidTr="00411545">
        <w:trPr>
          <w:trHeight w:val="285"/>
        </w:trPr>
        <w:tc>
          <w:tcPr>
            <w:tcW w:w="1809"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rPr>
                <w:rFonts w:ascii="Book Antiqua" w:eastAsia="Times New Roman" w:hAnsi="Book Antiqua" w:cs="Calibri"/>
                <w:sz w:val="24"/>
                <w:szCs w:val="24"/>
              </w:rPr>
            </w:pPr>
            <w:r w:rsidRPr="001339DB">
              <w:rPr>
                <w:rFonts w:ascii="Book Antiqua" w:eastAsia="Times New Roman" w:hAnsi="Book Antiqua" w:cs="Calibri"/>
                <w:sz w:val="24"/>
                <w:szCs w:val="24"/>
              </w:rPr>
              <w:t>HCC</w:t>
            </w:r>
          </w:p>
        </w:tc>
        <w:tc>
          <w:tcPr>
            <w:tcW w:w="1560" w:type="dxa"/>
            <w:gridSpan w:val="3"/>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Death</w:t>
            </w:r>
          </w:p>
        </w:tc>
        <w:tc>
          <w:tcPr>
            <w:tcW w:w="992"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43</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w:t>
            </w:r>
          </w:p>
        </w:tc>
        <w:tc>
          <w:tcPr>
            <w:tcW w:w="1418"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fldChar w:fldCharType="begin" w:fldLock="1"/>
            </w:r>
            <w:r w:rsidRPr="001339DB">
              <w:rPr>
                <w:rFonts w:ascii="Book Antiqua" w:eastAsia="Times New Roman" w:hAnsi="Book Antiqua" w:cs="Calibri"/>
                <w:sz w:val="24"/>
                <w:szCs w:val="24"/>
              </w:rPr>
              <w:instrText>ADDIN CSL_CITATION { "citationItems" : [ { "id" : "ITEM-1", "itemData" : { "DOI" : "10.1053/gast.1997.v112.pm9024300", "ISBN" : "0016-5085 (Print)\\r0016-5085 (Linking)", "ISSN" : "00165085", "PMID" : "9024300", "abstract" : "Background and Aims: Few data are available concerning the long-term prognosis of chronic liver disease associated with hepatitis C virus infection. This study examined the morbidity and survival of patients with compensated cirrhosis type C. Methods: A cohort of 384 European cirrhotic patients was enrolled at seven tertiary referral hospitals and followed up for a mean period of 5 years. Inclusion criteria were biopsy-proven cirrhosis, abnormal serum aminotransferase levels, absence of complications of cirrhosis, and exclusion of hepatitis A and B viruses and of metabolic, toxic, or autoimmune liver diseases. Results: Antibodies against hepatitis C virus were positive in 98% of 361 patients tested. The 5-year risk of hepatocellular carcinoma was 7% and that of decompensation was 18%. Death occurred in 51 patients (13%), with 70% dying of liver disease. Survival probability was 91% and 79% at 5 and 10 years, respectively. Two hundred five patients (53%) were treated with interferon alfa. After adjustment for clinical and serological differences at baseline between patients treated or not treated with interferon, the 5-year estimated survival probability was 96% and 95% for treated and untreated patients, respectively. Conclusions: in this cohort of patients, life expectancy is relatively long, in agreement with the morbidity data showing a slowly progressive disease.", "author" : [ { "dropping-particle" : "", "family" : "Fattovich", "given" : "G.", "non-dropping-particle" : "", "parse-names" : false, "suffix" : "" }, { "dropping-particle" : "", "family" : "Giustina", "given" : "G.", "non-dropping-particle" : "", "parse-names" : false, "suffix" : "" }, { "dropping-particle" : "", "family" : "Degos", "given" : "F.", "non-dropping-particle" : "", "parse-names" : false, "suffix" : "" }, { "dropping-particle" : "", "family" : "Tremolada", "given" : "F.", "non-dropping-particle" : "", "parse-names" : false, "suffix" : "" }, { "dropping-particle" : "", "family" : "Diodati", "given" : "G.", "non-dropping-particle" : "", "parse-names" : false, "suffix" : "" }, { "dropping-particle" : "", "family" : "Almasio", "given" : "P.", "non-dropping-particle" : "", "parse-names" : false, "suffix" : "" }, { "dropping-particle" : "", "family" : "Nevens", "given" : "F.", "non-dropping-particle" : "", "parse-names" : false, "suffix" : "" }, { "dropping-particle" : "", "family" : "Solinas", "given" : "a.", "non-dropping-particle" : "", "parse-names" : false, "suffix" : "" }, { "dropping-particle" : "", "family" : "Mura", "given" : "D.", "non-dropping-particle" : "", "parse-names" : false, "suffix" : "" }, { "dropping-particle" : "", "family" : "Brouwer", "given" : "J. T.", "non-dropping-particle" : "", "parse-names" : false, "suffix" : "" }, { "dropping-particle" : "", "family" : "Thomas", "given" : "H.", "non-dropping-particle" : "", "parse-names" : false, "suffix" : "" }, { "dropping-particle" : "", "family" : "Njapoum", "given" : "C.", "non-dropping-particle" : "", "parse-names" : false, "suffix" : "" }, { "dropping-particle" : "", "family" : "Casarin", "given" : "C.", "non-dropping-particle" : "", "parse-names" : false, "suffix" : "" }, { "dropping-particle" : "", "family" : "Bonetti", "given" : "P.", "non-dropping-particle" : "", "parse-names" : false, "suffix" : "" }, { "dropping-particle" : "", "family" : "Fuschi", "given" : "P.", "non-dropping-particle" : "", "parse-names" : false, "suffix" : "" }, { "dropping-particle" : "", "family" : "Basho", "given" : "J.", "non-dropping-particle" : "", "parse-names" : false, "suffix" : "" }, { "dropping-particle" : "", "family" : "Tocco", "given" : "a.", "non-dropping-particle" : "", "parse-names" : false, "suffix" : "" }, { "dropping-particle" : "", "family" : "Bhalla", "given" : "a.", "non-dropping-particle" : "", "parse-names" : false, "suffix" : "" }, { "dropping-particle" : "", "family" : "Galassini", "given" : "R.", "non-dropping-particle" : "", "parse-names" : false, "suffix" : "" }, { "dropping-particle" : "", "family" : "Noventa", "given" : "F.", "non-dropping-particle" : "", "parse-names" : false, "suffix" : "" }, { "dropping-particle" : "", "family" : "Schalm", "given" : "S. W.", "non-dropping-particle" : "", "parse-names" : false, "suffix" : "" }, { "dropping-particle" : "", "family" : "Realdi", "given" : "G.", "non-dropping-particle" : "", "parse-names" : false, "suffix" : "" } ], "container-title" : "Gastroenterology", "id" : "ITEM-1", "issue" : "2", "issued" : { "date-parts" : [ [ "1997" ] ] }, "page" : "463-472", "title" : "Morbidity and mortality in compensated cirrhosis type C: A retrospective follow-up study of 384 patients", "type" : "article-journal", "volume" : "112" }, "uris" : [ "http://www.mendeley.com/documents/?uuid=aeeee71c-71eb-4f71-9464-29ad0ac1b2ca" ] } ], "mendeley" : { "formattedCitation" : "[29]", "plainTextFormattedCitation" : "[29]", "previouslyFormattedCitation" : "[29]" }, "properties" : { "noteIndex" : 0 }, "schema" : "https://github.com/citation-style-language/schema/raw/master/csl-citation.json" }</w:instrText>
            </w:r>
            <w:r w:rsidRPr="001339DB">
              <w:rPr>
                <w:rFonts w:ascii="Book Antiqua" w:eastAsia="Times New Roman" w:hAnsi="Book Antiqua" w:cs="Calibri"/>
                <w:sz w:val="24"/>
                <w:szCs w:val="24"/>
              </w:rPr>
              <w:fldChar w:fldCharType="separate"/>
            </w:r>
            <w:r w:rsidRPr="001339DB">
              <w:rPr>
                <w:rFonts w:ascii="Book Antiqua" w:eastAsia="Times New Roman" w:hAnsi="Book Antiqua" w:cs="Calibri"/>
                <w:noProof/>
                <w:sz w:val="24"/>
                <w:szCs w:val="24"/>
              </w:rPr>
              <w:t>[29]</w:t>
            </w:r>
            <w:r w:rsidRPr="001339DB">
              <w:rPr>
                <w:rFonts w:ascii="Book Antiqua" w:eastAsia="Times New Roman" w:hAnsi="Book Antiqua" w:cs="Calibri"/>
                <w:sz w:val="24"/>
                <w:szCs w:val="24"/>
              </w:rPr>
              <w:fldChar w:fldCharType="end"/>
            </w:r>
          </w:p>
        </w:tc>
      </w:tr>
      <w:tr w:rsidR="001339DB" w:rsidRPr="001339DB" w:rsidTr="00411545">
        <w:trPr>
          <w:trHeight w:val="285"/>
        </w:trPr>
        <w:tc>
          <w:tcPr>
            <w:tcW w:w="1809"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rPr>
                <w:rFonts w:ascii="Book Antiqua" w:eastAsia="Times New Roman" w:hAnsi="Book Antiqua" w:cs="Calibri"/>
                <w:sz w:val="24"/>
                <w:szCs w:val="24"/>
              </w:rPr>
            </w:pPr>
            <w:r w:rsidRPr="001339DB">
              <w:rPr>
                <w:rFonts w:ascii="Book Antiqua" w:eastAsia="Times New Roman" w:hAnsi="Book Antiqua" w:cs="Calibri"/>
                <w:sz w:val="24"/>
                <w:szCs w:val="24"/>
              </w:rPr>
              <w:t>LTX</w:t>
            </w:r>
          </w:p>
        </w:tc>
        <w:tc>
          <w:tcPr>
            <w:tcW w:w="1560" w:type="dxa"/>
            <w:gridSpan w:val="3"/>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Death</w:t>
            </w:r>
          </w:p>
        </w:tc>
        <w:tc>
          <w:tcPr>
            <w:tcW w:w="992"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19</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18−20</w:t>
            </w:r>
          </w:p>
        </w:tc>
        <w:tc>
          <w:tcPr>
            <w:tcW w:w="1418"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fldChar w:fldCharType="begin" w:fldLock="1"/>
            </w:r>
            <w:r w:rsidRPr="001339DB">
              <w:rPr>
                <w:rFonts w:ascii="Book Antiqua" w:eastAsia="Times New Roman" w:hAnsi="Book Antiqua" w:cs="Calibri"/>
                <w:sz w:val="24"/>
                <w:szCs w:val="24"/>
              </w:rPr>
              <w:instrText>ADDIN CSL_CITATION { "citationItems" : [ { "id" : "ITEM-1", "itemData" : { "DOI" : "10.1016/j.lts.2003.09.018", "ISSN" : "15276465", "PMID" : "14625822", "abstract" : "The European Liver Transplant Registry (ELTR) currently allows for the analysis of 44,286 liver transplantations (LTs) performed on 39,196 patients in a 13-year period. After an exponential increase, the number of LTs is plateauing due to a lack of organs. To cope with this, alternatives to cadaveric LT, such as split LT, domino LT, or living-related LT (LRLT) are being used increasingly. They now account for 11% of all procedures. One of the most important findings in the evolution of LT is the considerable improvement of results along time with, for the mean time, a one-year survival of 83%, all indications confounded. The improvement is particularly significant for cancers. This improvement is mainly represented by hepatocellular carcinoma, with a gain of 17% for 5-year survival rate from 1990 to 2000. Increasingly, older donors are used to augment the donor pool and older recipients are transplanted due to improved results and a better selection of patients. More than two thirds of deaths and three quarters of retransplantations occurred within the first year of transplantation. Retransplantation is associated with much less optimal results than first LT. One of the prominent features of recent years is the development of LRLT. LRLT is now performed by almost half of the European centers. As with split LT or domino LT, LRLT aims to provide more patients to be transplanted. Special attention is paid to reducing the risk for the donor, which is now estimated to be 0.5% mortality and 21% postoperative morbidity.", "author" : [ { "dropping-particle" : "", "family" : "Adam", "given" : "Ren\u00e9", "non-dropping-particle" : "", "parse-names" : false, "suffix" : "" }, { "dropping-particle" : "", "family" : "McMaster", "given" : "Paul", "non-dropping-particle" : "", "parse-names" : false, "suffix" : "" }, { "dropping-particle" : "", "family" : "O'Grady", "given" : "John G.", "non-dropping-particle" : "", "parse-names" : false, "suffix" : "" }, { "dropping-particle" : "", "family" : "Castaing", "given" : "Denis", "non-dropping-particle" : "", "parse-names" : false, "suffix" : "" }, { "dropping-particle" : "", "family" : "Klempnauer", "given" : "Jurgen L.", "non-dropping-particle" : "", "parse-names" : false, "suffix" : "" }, { "dropping-particle" : "", "family" : "Jamieson", "given" : "Neville", "non-dropping-particle" : "", "parse-names" : false, "suffix" : "" }, { "dropping-particle" : "", "family" : "Neuhaus", "given" : "Peter", "non-dropping-particle" : "", "parse-names" : false, "suffix" : "" }, { "dropping-particle" : "", "family" : "Lerut", "given" : "Jan", "non-dropping-particle" : "", "parse-names" : false, "suffix" : "" }, { "dropping-particle" : "", "family" : "Salizzoni", "given" : "Mauro", "non-dropping-particle" : "", "parse-names" : false, "suffix" : "" }, { "dropping-particle" : "", "family" : "Pollard", "given" : "Stephen", "non-dropping-particle" : "", "parse-names" : false, "suffix" : "" }, { "dropping-particle" : "", "family" : "Muhlbacher", "given" : "Ferdinand", "non-dropping-particle" : "", "parse-names" : false, "suffix" : "" }, { "dropping-particle" : "", "family" : "Rogiers", "given" : "Xavier", "non-dropping-particle" : "", "parse-names" : false, "suffix" : "" }, { "dropping-particle" : "", "family" : "Garcia Valdecasas", "given" : "Juan Carlos", "non-dropping-particle" : "", "parse-names" : false, "suffix" : "" }, { "dropping-particle" : "", "family" : "Berenguer", "given" : "Joaquin", "non-dropping-particle" : "", "parse-names" : false, "suffix" : "" }, { "dropping-particle" : "", "family" : "Jaeck", "given" : "Daniel", "non-dropping-particle" : "", "parse-names" : false, "suffix" : "" }, { "dropping-particle" : "", "family" : "Moreno Gonzalez", "given" : "Enrique", "non-dropping-particle" : "", "parse-names" : false, "suffix" : "" } ], "container-title" : "Liver Transplantation", "id" : "ITEM-1", "issue" : "12", "issued" : { "date-parts" : [ [ "2003" ] ] }, "page" : "1231-1243", "title" : "Evolution of liver transplantation in Europe: Report of the European Liver Transplant Registry", "type" : "article-journal", "volume" : "9" }, "uris" : [ "http://www.mendeley.com/documents/?uuid=b0a5ded0-16bb-43a4-aa83-a6eb8eb80720" ] } ], "mendeley" : { "formattedCitation" : "[33]", "plainTextFormattedCitation" : "[33]", "previouslyFormattedCitation" : "[33]" }, "properties" : { "noteIndex" : 0 }, "schema" : "https://github.com/citation-style-language/schema/raw/master/csl-citation.json" }</w:instrText>
            </w:r>
            <w:r w:rsidRPr="001339DB">
              <w:rPr>
                <w:rFonts w:ascii="Book Antiqua" w:eastAsia="Times New Roman" w:hAnsi="Book Antiqua" w:cs="Calibri"/>
                <w:sz w:val="24"/>
                <w:szCs w:val="24"/>
              </w:rPr>
              <w:fldChar w:fldCharType="separate"/>
            </w:r>
            <w:r w:rsidRPr="001339DB">
              <w:rPr>
                <w:rFonts w:ascii="Book Antiqua" w:eastAsia="Times New Roman" w:hAnsi="Book Antiqua" w:cs="Calibri"/>
                <w:noProof/>
                <w:sz w:val="24"/>
                <w:szCs w:val="24"/>
              </w:rPr>
              <w:t>[33]</w:t>
            </w:r>
            <w:r w:rsidRPr="001339DB">
              <w:rPr>
                <w:rFonts w:ascii="Book Antiqua" w:eastAsia="Times New Roman" w:hAnsi="Book Antiqua" w:cs="Calibri"/>
                <w:sz w:val="24"/>
                <w:szCs w:val="24"/>
              </w:rPr>
              <w:fldChar w:fldCharType="end"/>
            </w:r>
          </w:p>
        </w:tc>
      </w:tr>
      <w:tr w:rsidR="001339DB" w:rsidRPr="001339DB" w:rsidTr="00411545">
        <w:trPr>
          <w:trHeight w:val="285"/>
        </w:trPr>
        <w:tc>
          <w:tcPr>
            <w:tcW w:w="1809"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rPr>
                <w:rFonts w:ascii="Book Antiqua" w:eastAsia="Times New Roman" w:hAnsi="Book Antiqua" w:cs="Calibri"/>
                <w:sz w:val="24"/>
                <w:szCs w:val="24"/>
              </w:rPr>
            </w:pPr>
            <w:r w:rsidRPr="001339DB">
              <w:rPr>
                <w:rFonts w:ascii="Book Antiqua" w:eastAsia="Times New Roman" w:hAnsi="Book Antiqua" w:cs="Calibri"/>
                <w:sz w:val="24"/>
                <w:szCs w:val="24"/>
              </w:rPr>
              <w:t>Post-LTX</w:t>
            </w:r>
          </w:p>
        </w:tc>
        <w:tc>
          <w:tcPr>
            <w:tcW w:w="1560" w:type="dxa"/>
            <w:gridSpan w:val="3"/>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Death</w:t>
            </w:r>
          </w:p>
        </w:tc>
        <w:tc>
          <w:tcPr>
            <w:tcW w:w="992"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4.6</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w:t>
            </w:r>
          </w:p>
        </w:tc>
        <w:tc>
          <w:tcPr>
            <w:tcW w:w="1418"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fldChar w:fldCharType="begin" w:fldLock="1"/>
            </w:r>
            <w:r w:rsidRPr="001339DB">
              <w:rPr>
                <w:rFonts w:ascii="Book Antiqua" w:eastAsia="Times New Roman" w:hAnsi="Book Antiqua" w:cs="Calibri"/>
                <w:sz w:val="24"/>
                <w:szCs w:val="24"/>
              </w:rPr>
              <w:instrText>ADDIN CSL_CITATION { "citationItems" : [ { "id" : "ITEM-1", "itemData" : { "DOI" : "10.1016/j.lts.2003.09.018", "ISSN" : "15276465", "PMID" : "14625822", "abstract" : "The European Liver Transplant Registry (ELTR) currently allows for the analysis of 44,286 liver transplantations (LTs) performed on 39,196 patients in a 13-year period. After an exponential increase, the number of LTs is plateauing due to a lack of organs. To cope with this, alternatives to cadaveric LT, such as split LT, domino LT, or living-related LT (LRLT) are being used increasingly. They now account for 11% of all procedures. One of the most important findings in the evolution of LT is the considerable improvement of results along time with, for the mean time, a one-year survival of 83%, all indications confounded. The improvement is particularly significant for cancers. This improvement is mainly represented by hepatocellular carcinoma, with a gain of 17% for 5-year survival rate from 1990 to 2000. Increasingly, older donors are used to augment the donor pool and older recipients are transplanted due to improved results and a better selection of patients. More than two thirds of deaths and three quarters of retransplantations occurred within the first year of transplantation. Retransplantation is associated with much less optimal results than first LT. One of the prominent features of recent years is the development of LRLT. LRLT is now performed by almost half of the European centers. As with split LT or domino LT, LRLT aims to provide more patients to be transplanted. Special attention is paid to reducing the risk for the donor, which is now estimated to be 0.5% mortality and 21% postoperative morbidity.", "author" : [ { "dropping-particle" : "", "family" : "Adam", "given" : "Ren\u00e9", "non-dropping-particle" : "", "parse-names" : false, "suffix" : "" }, { "dropping-particle" : "", "family" : "McMaster", "given" : "Paul", "non-dropping-particle" : "", "parse-names" : false, "suffix" : "" }, { "dropping-particle" : "", "family" : "O'Grady", "given" : "John G.", "non-dropping-particle" : "", "parse-names" : false, "suffix" : "" }, { "dropping-particle" : "", "family" : "Castaing", "given" : "Denis", "non-dropping-particle" : "", "parse-names" : false, "suffix" : "" }, { "dropping-particle" : "", "family" : "Klempnauer", "given" : "Jurgen L.", "non-dropping-particle" : "", "parse-names" : false, "suffix" : "" }, { "dropping-particle" : "", "family" : "Jamieson", "given" : "Neville", "non-dropping-particle" : "", "parse-names" : false, "suffix" : "" }, { "dropping-particle" : "", "family" : "Neuhaus", "given" : "Peter", "non-dropping-particle" : "", "parse-names" : false, "suffix" : "" }, { "dropping-particle" : "", "family" : "Lerut", "given" : "Jan", "non-dropping-particle" : "", "parse-names" : false, "suffix" : "" }, { "dropping-particle" : "", "family" : "Salizzoni", "given" : "Mauro", "non-dropping-particle" : "", "parse-names" : false, "suffix" : "" }, { "dropping-particle" : "", "family" : "Pollard", "given" : "Stephen", "non-dropping-particle" : "", "parse-names" : false, "suffix" : "" }, { "dropping-particle" : "", "family" : "Muhlbacher", "given" : "Ferdinand", "non-dropping-particle" : "", "parse-names" : false, "suffix" : "" }, { "dropping-particle" : "", "family" : "Rogiers", "given" : "Xavier", "non-dropping-particle" : "", "parse-names" : false, "suffix" : "" }, { "dropping-particle" : "", "family" : "Garcia Valdecasas", "given" : "Juan Carlos", "non-dropping-particle" : "", "parse-names" : false, "suffix" : "" }, { "dropping-particle" : "", "family" : "Berenguer", "given" : "Joaquin", "non-dropping-particle" : "", "parse-names" : false, "suffix" : "" }, { "dropping-particle" : "", "family" : "Jaeck", "given" : "Daniel", "non-dropping-particle" : "", "parse-names" : false, "suffix" : "" }, { "dropping-particle" : "", "family" : "Moreno Gonzalez", "given" : "Enrique", "non-dropping-particle" : "", "parse-names" : false, "suffix" : "" } ], "container-title" : "Liver Transplantation", "id" : "ITEM-1", "issue" : "12", "issued" : { "date-parts" : [ [ "2003" ] ] }, "page" : "1231-1243", "title" : "Evolution of liver transplantation in Europe: Report of the European Liver Transplant Registry", "type" : "article-journal", "volume" : "9" }, "uris" : [ "http://www.mendeley.com/documents/?uuid=b0a5ded0-16bb-43a4-aa83-a6eb8eb80720" ] } ], "mendeley" : { "formattedCitation" : "[33]", "plainTextFormattedCitation" : "[33]", "previouslyFormattedCitation" : "[33]" }, "properties" : { "noteIndex" : 0 }, "schema" : "https://github.com/citation-style-language/schema/raw/master/csl-citation.json" }</w:instrText>
            </w:r>
            <w:r w:rsidRPr="001339DB">
              <w:rPr>
                <w:rFonts w:ascii="Book Antiqua" w:eastAsia="Times New Roman" w:hAnsi="Book Antiqua" w:cs="Calibri"/>
                <w:sz w:val="24"/>
                <w:szCs w:val="24"/>
              </w:rPr>
              <w:fldChar w:fldCharType="separate"/>
            </w:r>
            <w:r w:rsidRPr="001339DB">
              <w:rPr>
                <w:rFonts w:ascii="Book Antiqua" w:eastAsia="Times New Roman" w:hAnsi="Book Antiqua" w:cs="Calibri"/>
                <w:noProof/>
                <w:sz w:val="24"/>
                <w:szCs w:val="24"/>
              </w:rPr>
              <w:t>[33]</w:t>
            </w:r>
            <w:r w:rsidRPr="001339DB">
              <w:rPr>
                <w:rFonts w:ascii="Book Antiqua" w:eastAsia="Times New Roman" w:hAnsi="Book Antiqua" w:cs="Calibri"/>
                <w:sz w:val="24"/>
                <w:szCs w:val="24"/>
              </w:rPr>
              <w:fldChar w:fldCharType="end"/>
            </w:r>
          </w:p>
        </w:tc>
      </w:tr>
      <w:tr w:rsidR="001339DB" w:rsidRPr="001339DB" w:rsidTr="00411545">
        <w:trPr>
          <w:trHeight w:val="285"/>
        </w:trPr>
        <w:tc>
          <w:tcPr>
            <w:tcW w:w="1809"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rPr>
                <w:rFonts w:ascii="Book Antiqua" w:eastAsia="Times New Roman" w:hAnsi="Book Antiqua" w:cs="Calibri"/>
                <w:sz w:val="24"/>
                <w:szCs w:val="24"/>
              </w:rPr>
            </w:pPr>
          </w:p>
        </w:tc>
        <w:tc>
          <w:tcPr>
            <w:tcW w:w="1560" w:type="dxa"/>
            <w:gridSpan w:val="3"/>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p>
        </w:tc>
        <w:tc>
          <w:tcPr>
            <w:tcW w:w="992"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p>
        </w:tc>
        <w:tc>
          <w:tcPr>
            <w:tcW w:w="1418"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p>
        </w:tc>
      </w:tr>
      <w:tr w:rsidR="00D96EE7" w:rsidRPr="001339DB" w:rsidTr="00C731E9">
        <w:trPr>
          <w:trHeight w:val="285"/>
        </w:trPr>
        <w:tc>
          <w:tcPr>
            <w:tcW w:w="8613" w:type="dxa"/>
            <w:gridSpan w:val="8"/>
            <w:tcBorders>
              <w:top w:val="nil"/>
              <w:left w:val="nil"/>
              <w:bottom w:val="single" w:sz="4" w:space="0" w:color="auto"/>
              <w:right w:val="nil"/>
            </w:tcBorders>
            <w:shd w:val="clear" w:color="auto" w:fill="auto"/>
            <w:vAlign w:val="bottom"/>
            <w:hideMark/>
          </w:tcPr>
          <w:p w:rsidR="00D96EE7" w:rsidRPr="001339DB" w:rsidRDefault="00D96EE7" w:rsidP="00D96EE7">
            <w:pPr>
              <w:adjustRightInd w:val="0"/>
              <w:snapToGrid w:val="0"/>
              <w:spacing w:after="0" w:line="360" w:lineRule="auto"/>
              <w:rPr>
                <w:rFonts w:ascii="Book Antiqua" w:eastAsia="Times New Roman" w:hAnsi="Book Antiqua" w:cs="Calibri"/>
                <w:sz w:val="24"/>
                <w:szCs w:val="24"/>
              </w:rPr>
            </w:pPr>
            <w:r w:rsidRPr="001339DB">
              <w:rPr>
                <w:rFonts w:ascii="Book Antiqua" w:eastAsia="Times New Roman" w:hAnsi="Book Antiqua" w:cs="Calibri"/>
                <w:b/>
                <w:sz w:val="24"/>
                <w:szCs w:val="24"/>
              </w:rPr>
              <w:t>Response rate to treatment in HCV (%)</w:t>
            </w:r>
          </w:p>
        </w:tc>
      </w:tr>
      <w:tr w:rsidR="001339DB" w:rsidRPr="001339DB" w:rsidTr="00411545">
        <w:trPr>
          <w:trHeight w:val="300"/>
        </w:trPr>
        <w:tc>
          <w:tcPr>
            <w:tcW w:w="1809"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rPr>
                <w:rFonts w:ascii="Book Antiqua" w:eastAsia="Times New Roman" w:hAnsi="Book Antiqua" w:cs="Calibri"/>
                <w:sz w:val="24"/>
                <w:szCs w:val="24"/>
              </w:rPr>
            </w:pPr>
            <w:r w:rsidRPr="001339DB">
              <w:rPr>
                <w:rFonts w:ascii="Book Antiqua" w:eastAsia="Times New Roman" w:hAnsi="Book Antiqua" w:cs="Calibri"/>
                <w:sz w:val="24"/>
                <w:szCs w:val="24"/>
              </w:rPr>
              <w:t>F0-F3</w:t>
            </w:r>
          </w:p>
        </w:tc>
        <w:tc>
          <w:tcPr>
            <w:tcW w:w="1560" w:type="dxa"/>
            <w:gridSpan w:val="3"/>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p>
        </w:tc>
        <w:tc>
          <w:tcPr>
            <w:tcW w:w="992"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100.0</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98.0−100</w:t>
            </w:r>
          </w:p>
        </w:tc>
        <w:tc>
          <w:tcPr>
            <w:tcW w:w="1418"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β(99.4;0.6)</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fldChar w:fldCharType="begin" w:fldLock="1"/>
            </w:r>
            <w:r w:rsidRPr="001339DB">
              <w:rPr>
                <w:rFonts w:ascii="Book Antiqua" w:eastAsia="Times New Roman" w:hAnsi="Book Antiqua" w:cs="Calibri"/>
                <w:sz w:val="24"/>
                <w:szCs w:val="24"/>
              </w:rPr>
              <w:instrText>ADDIN CSL_CITATION { "citationItems" : [ { "id" : "ITEM-1", "itemData" : { "DOI" : "10.1056/NEJMoa1402454", "ISBN" : "1533-4406 (Electronic)\\n0028-4793 (Linking)", "ISSN" : "1533-4406", "PMID" : "24725239", "abstract" : "Background In phase 2 studies, treatment with the all-oral combination of the nucleotide polymerase inhibitor sofosbuvir and the NS5A inhibitor ledipasvir resulted in high rates of sustained virologic response among previously untreated patients with hepatitis C virus (HCV) genotype 1 infection. Methods We conducted a phase 3, open-label study involving previously untreated patients with chronic HCV genotype 1 infection. Patients were randomly assigned in a 1:1:1:1 ratio to receive ledipasvir and sofosbuvir in a fixed-dose combination tablet once daily for 12 weeks, ledipasvir-sofosbuvir plus ribavirin for 12 weeks, ledipasvir-sofosbuvir for 24 weeks, or ledipasvir-sofosbuvir plus ribavirin for 24 weeks. The primary end point was a sustained virologic response at 12 weeks after the end of therapy. Results Of the 865 patients who underwent randomization and were treated, 16% had cirrhosis, 12% were black, and 67% had HCV genotype 1a infection. The rates of sustained virologic response were 99% (95% confidence interval [CI], 96 to 100) in the group that received 12 weeks of ledipasvir-sofosbuvir; 97% (95% CI, 94 to 99) in the group that received 12 weeks of ledipasvir-sofosbuvir plus ribavirin; 98% (95% CI, 95 to 99) in the group that received 24 weeks of ledipasvir-sofosbuvir; and 99% (95% CI, 97 to 100) in the group that received 24 weeks of ledipasvir-sofosbuvir plus ribavirin. No patient in either 12-week group discontinued ledipasvir-sofosbuvir owing to an adverse event. The most common adverse events were fatigue, headache, insomnia, and nausea. Conclusions Once-daily ledipasvir-sofosbuvir with or without ribavirin for 12 or 24 weeks was highly effective in previously untreated patients with HCV genotype 1 infection. (Funded by Gilead Sciences; ION-1 ClinicalTrials.gov number NCT01701401 .).", "author" : [ { "dropping-particle" : "", "family" : "Afdhal", "given" : "Nezam", "non-dropping-particle" : "", "parse-names" : false, "suffix" : "" }, { "dropping-particle" : "", "family" : "Zeuzem", "given" : "Stefan", "non-dropping-particle" : "", "parse-names" : false, "suffix" : "" }, { "dropping-particle" : "", "family" : "Kwo", "given" : "Paul", "non-dropping-particle" : "", "parse-names" : false, "suffix" : "" }, { "dropping-particle" : "", "family" : "Chojkier", "given" : "Mario", "non-dropping-particle" : "", "parse-names" : false, "suffix" : "" }, { "dropping-particle" : "", "family" : "Gitlin", "given" : "Norman", "non-dropping-particle" : "", "parse-names" : false, "suffix" : "" }, { "dropping-particle" : "", "family" : "Puoti", "given" : "Massimo", "non-dropping-particle" : "", "parse-names" : false, "suffix" : "" }, { "dropping-particle" : "", "family" : "Romero-Gomez", "given" : "Manuel", "non-dropping-particle" : "", "parse-names" : false, "suffix" : "" }, { "dropping-particle" : "", "family" : "Zarski", "given" : "Jean-Pierre", "non-dropping-particle" : "", "parse-names" : false, "suffix" : "" }, { "dropping-particle" : "", "family" : "Agarwal", "given" : "Kosh", "non-dropping-particle" : "", "parse-names" : false, "suffix" : "" }, { "dropping-particle" : "", "family" : "Buggisch", "given" : "Peter", "non-dropping-particle" : "", "parse-names" : false, "suffix" : "" }, { "dropping-particle" : "", "family" : "Foster", "given" : "Graham R", "non-dropping-particle" : "", "parse-names" : false, "suffix" : "" }, { "dropping-particle" : "", "family" : "Br\u00e4u", "given" : "Norbert", "non-dropping-particle" : "", "parse-names" : false, "suffix" : "" }, { "dropping-particle" : "", "family" : "Buti", "given" : "Maria", "non-dropping-particle" : "", "parse-names" : false, "suffix" : "" }, { "dropping-particle" : "", "family" : "Jacobson", "given" : "Ira M", "non-dropping-particle" : "", "parse-names" : false, "suffix" : "" }, { "dropping-particle" : "", "family" : "Subramanian", "given" : "G Mani", "non-dropping-particle" : "", "parse-names" : false, "suffix" : "" }, { "dropping-particle" : "", "family" : "Ding", "given" : "Xiao", "non-dropping-particle" : "", "parse-names" : false, "suffix" : "" }, { "dropping-particle" : "", "family" : "Mo", "given" : "Hongmei", "non-dropping-particle" : "", "parse-names" : false, "suffix" : "" }, { "dropping-particle" : "", "family" : "Yang", "given" : "Jenny C", "non-dropping-particle" : "", "parse-names" : false, "suffix" : "" }, { "dropping-particle" : "", "family" : "Pang", "given" : "Phillip S", "non-dropping-particle" : "", "parse-names" : false, "suffix" : "" }, { "dropping-particle" : "", "family" : "Symonds", "given" : "William T", "non-dropping-particle" : "", "parse-names" : false, "suffix" : "" }, { "dropping-particle" : "", "family" : "McHutchison", "given" : "John G", "non-dropping-particle" : "", "parse-names" : false, "suffix" : "" }, { "dropping-particle" : "", "family" : "Muir", "given" : "Andrew J", "non-dropping-particle" : "", "parse-names" : false, "suffix" : "" }, { "dropping-particle" : "", "family" : "Mangia", "given" : "Alessandra", "non-dropping-particle" : "", "parse-names" : false, "suffix" : "" }, { "dropping-particle" : "", "family" : "Marcellin", "given" : "Patrick", "non-dropping-particle" : "", "parse-names" : false, "suffix" : "" } ], "container-title" : "The New England journal of medicine", "id" : "ITEM-1", "issued" : { "date-parts" : [ [ "2014" ] ] }, "page" : "1889-1898", "title" : "Ledipasvir and Sofosbuvir for Untreated HCV Genotype 1 Infection.", "type" : "article-journal" }, "uris" : [ "http://www.mendeley.com/documents/?uuid=42a90d38-2a80-47c3-93fd-bf80cd3f2b3d" ] } ], "mendeley" : { "formattedCitation" : "[17]", "plainTextFormattedCitation" : "[17]", "previouslyFormattedCitation" : "[17]" }, "properties" : { "noteIndex" : 0 }, "schema" : "https://github.com/citation-style-language/schema/raw/master/csl-citation.json" }</w:instrText>
            </w:r>
            <w:r w:rsidRPr="001339DB">
              <w:rPr>
                <w:rFonts w:ascii="Book Antiqua" w:eastAsia="Times New Roman" w:hAnsi="Book Antiqua" w:cs="Calibri"/>
                <w:sz w:val="24"/>
                <w:szCs w:val="24"/>
              </w:rPr>
              <w:fldChar w:fldCharType="separate"/>
            </w:r>
            <w:r w:rsidRPr="001339DB">
              <w:rPr>
                <w:rFonts w:ascii="Book Antiqua" w:eastAsia="Times New Roman" w:hAnsi="Book Antiqua" w:cs="Calibri"/>
                <w:noProof/>
                <w:sz w:val="24"/>
                <w:szCs w:val="24"/>
              </w:rPr>
              <w:t>[17]</w:t>
            </w:r>
            <w:r w:rsidRPr="001339DB">
              <w:rPr>
                <w:rFonts w:ascii="Book Antiqua" w:eastAsia="Times New Roman" w:hAnsi="Book Antiqua" w:cs="Calibri"/>
                <w:sz w:val="24"/>
                <w:szCs w:val="24"/>
              </w:rPr>
              <w:fldChar w:fldCharType="end"/>
            </w:r>
          </w:p>
        </w:tc>
      </w:tr>
      <w:tr w:rsidR="001339DB" w:rsidRPr="001339DB" w:rsidTr="00411545">
        <w:trPr>
          <w:trHeight w:val="300"/>
        </w:trPr>
        <w:tc>
          <w:tcPr>
            <w:tcW w:w="1809"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rPr>
                <w:rFonts w:ascii="Book Antiqua" w:eastAsia="Times New Roman" w:hAnsi="Book Antiqua" w:cs="Calibri"/>
                <w:sz w:val="24"/>
                <w:szCs w:val="24"/>
              </w:rPr>
            </w:pPr>
            <w:r w:rsidRPr="001339DB">
              <w:rPr>
                <w:rFonts w:ascii="Book Antiqua" w:eastAsia="Times New Roman" w:hAnsi="Book Antiqua" w:cs="Calibri"/>
                <w:sz w:val="24"/>
                <w:szCs w:val="24"/>
              </w:rPr>
              <w:t>F4</w:t>
            </w:r>
          </w:p>
        </w:tc>
        <w:tc>
          <w:tcPr>
            <w:tcW w:w="1560" w:type="dxa"/>
            <w:gridSpan w:val="3"/>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p>
        </w:tc>
        <w:tc>
          <w:tcPr>
            <w:tcW w:w="992"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97.0</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84.2−99.9</w:t>
            </w:r>
          </w:p>
        </w:tc>
        <w:tc>
          <w:tcPr>
            <w:tcW w:w="1418"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β(97.0;2.9)</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fldChar w:fldCharType="begin" w:fldLock="1"/>
            </w:r>
            <w:r w:rsidRPr="001339DB">
              <w:rPr>
                <w:rFonts w:ascii="Book Antiqua" w:eastAsia="Times New Roman" w:hAnsi="Book Antiqua" w:cs="Calibri"/>
                <w:sz w:val="24"/>
                <w:szCs w:val="24"/>
              </w:rPr>
              <w:instrText>ADDIN CSL_CITATION { "citationItems" : [ { "id" : "ITEM-1", "itemData" : { "DOI" : "10.1056/NEJMoa1402454", "ISBN" : "1533-4406 (Electronic)\\n0028-4793 (Linking)", "ISSN" : "1533-4406", "PMID" : "24725239", "abstract" : "Background In phase 2 studies, treatment with the all-oral combination of the nucleotide polymerase inhibitor sofosbuvir and the NS5A inhibitor ledipasvir resulted in high rates of sustained virologic response among previously untreated patients with hepatitis C virus (HCV) genotype 1 infection. Methods We conducted a phase 3, open-label study involving previously untreated patients with chronic HCV genotype 1 infection. Patients were randomly assigned in a 1:1:1:1 ratio to receive ledipasvir and sofosbuvir in a fixed-dose combination tablet once daily for 12 weeks, ledipasvir-sofosbuvir plus ribavirin for 12 weeks, ledipasvir-sofosbuvir for 24 weeks, or ledipasvir-sofosbuvir plus ribavirin for 24 weeks. The primary end point was a sustained virologic response at 12 weeks after the end of therapy. Results Of the 865 patients who underwent randomization and were treated, 16% had cirrhosis, 12% were black, and 67% had HCV genotype 1a infection. The rates of sustained virologic response were 99% (95% confidence interval [CI], 96 to 100) in the group that received 12 weeks of ledipasvir-sofosbuvir; 97% (95% CI, 94 to 99) in the group that received 12 weeks of ledipasvir-sofosbuvir plus ribavirin; 98% (95% CI, 95 to 99) in the group that received 24 weeks of ledipasvir-sofosbuvir; and 99% (95% CI, 97 to 100) in the group that received 24 weeks of ledipasvir-sofosbuvir plus ribavirin. No patient in either 12-week group discontinued ledipasvir-sofosbuvir owing to an adverse event. The most common adverse events were fatigue, headache, insomnia, and nausea. Conclusions Once-daily ledipasvir-sofosbuvir with or without ribavirin for 12 or 24 weeks was highly effective in previously untreated patients with HCV genotype 1 infection. (Funded by Gilead Sciences; ION-1 ClinicalTrials.gov number NCT01701401 .).", "author" : [ { "dropping-particle" : "", "family" : "Afdhal", "given" : "Nezam", "non-dropping-particle" : "", "parse-names" : false, "suffix" : "" }, { "dropping-particle" : "", "family" : "Zeuzem", "given" : "Stefan", "non-dropping-particle" : "", "parse-names" : false, "suffix" : "" }, { "dropping-particle" : "", "family" : "Kwo", "given" : "Paul", "non-dropping-particle" : "", "parse-names" : false, "suffix" : "" }, { "dropping-particle" : "", "family" : "Chojkier", "given" : "Mario", "non-dropping-particle" : "", "parse-names" : false, "suffix" : "" }, { "dropping-particle" : "", "family" : "Gitlin", "given" : "Norman", "non-dropping-particle" : "", "parse-names" : false, "suffix" : "" }, { "dropping-particle" : "", "family" : "Puoti", "given" : "Massimo", "non-dropping-particle" : "", "parse-names" : false, "suffix" : "" }, { "dropping-particle" : "", "family" : "Romero-Gomez", "given" : "Manuel", "non-dropping-particle" : "", "parse-names" : false, "suffix" : "" }, { "dropping-particle" : "", "family" : "Zarski", "given" : "Jean-Pierre", "non-dropping-particle" : "", "parse-names" : false, "suffix" : "" }, { "dropping-particle" : "", "family" : "Agarwal", "given" : "Kosh", "non-dropping-particle" : "", "parse-names" : false, "suffix" : "" }, { "dropping-particle" : "", "family" : "Buggisch", "given" : "Peter", "non-dropping-particle" : "", "parse-names" : false, "suffix" : "" }, { "dropping-particle" : "", "family" : "Foster", "given" : "Graham R", "non-dropping-particle" : "", "parse-names" : false, "suffix" : "" }, { "dropping-particle" : "", "family" : "Br\u00e4u", "given" : "Norbert", "non-dropping-particle" : "", "parse-names" : false, "suffix" : "" }, { "dropping-particle" : "", "family" : "Buti", "given" : "Maria", "non-dropping-particle" : "", "parse-names" : false, "suffix" : "" }, { "dropping-particle" : "", "family" : "Jacobson", "given" : "Ira M", "non-dropping-particle" : "", "parse-names" : false, "suffix" : "" }, { "dropping-particle" : "", "family" : "Subramanian", "given" : "G Mani", "non-dropping-particle" : "", "parse-names" : false, "suffix" : "" }, { "dropping-particle" : "", "family" : "Ding", "given" : "Xiao", "non-dropping-particle" : "", "parse-names" : false, "suffix" : "" }, { "dropping-particle" : "", "family" : "Mo", "given" : "Hongmei", "non-dropping-particle" : "", "parse-names" : false, "suffix" : "" }, { "dropping-particle" : "", "family" : "Yang", "given" : "Jenny C", "non-dropping-particle" : "", "parse-names" : false, "suffix" : "" }, { "dropping-particle" : "", "family" : "Pang", "given" : "Phillip S", "non-dropping-particle" : "", "parse-names" : false, "suffix" : "" }, { "dropping-particle" : "", "family" : "Symonds", "given" : "William T", "non-dropping-particle" : "", "parse-names" : false, "suffix" : "" }, { "dropping-particle" : "", "family" : "McHutchison", "given" : "John G", "non-dropping-particle" : "", "parse-names" : false, "suffix" : "" }, { "dropping-particle" : "", "family" : "Muir", "given" : "Andrew J", "non-dropping-particle" : "", "parse-names" : false, "suffix" : "" }, { "dropping-particle" : "", "family" : "Mangia", "given" : "Alessandra", "non-dropping-particle" : "", "parse-names" : false, "suffix" : "" }, { "dropping-particle" : "", "family" : "Marcellin", "given" : "Patrick", "non-dropping-particle" : "", "parse-names" : false, "suffix" : "" } ], "container-title" : "The New England journal of medicine", "id" : "ITEM-1", "issued" : { "date-parts" : [ [ "2014" ] ] }, "page" : "1889-1898", "title" : "Ledipasvir and Sofosbuvir for Untreated HCV Genotype 1 Infection.", "type" : "article-journal" }, "uris" : [ "http://www.mendeley.com/documents/?uuid=42a90d38-2a80-47c3-93fd-bf80cd3f2b3d" ] } ], "mendeley" : { "formattedCitation" : "[17]", "plainTextFormattedCitation" : "[17]", "previouslyFormattedCitation" : "[17]" }, "properties" : { "noteIndex" : 0 }, "schema" : "https://github.com/citation-style-language/schema/raw/master/csl-citation.json" }</w:instrText>
            </w:r>
            <w:r w:rsidRPr="001339DB">
              <w:rPr>
                <w:rFonts w:ascii="Book Antiqua" w:eastAsia="Times New Roman" w:hAnsi="Book Antiqua" w:cs="Calibri"/>
                <w:sz w:val="24"/>
                <w:szCs w:val="24"/>
              </w:rPr>
              <w:fldChar w:fldCharType="separate"/>
            </w:r>
            <w:r w:rsidRPr="001339DB">
              <w:rPr>
                <w:rFonts w:ascii="Book Antiqua" w:eastAsia="Times New Roman" w:hAnsi="Book Antiqua" w:cs="Calibri"/>
                <w:noProof/>
                <w:sz w:val="24"/>
                <w:szCs w:val="24"/>
              </w:rPr>
              <w:t>[17]</w:t>
            </w:r>
            <w:r w:rsidRPr="001339DB">
              <w:rPr>
                <w:rFonts w:ascii="Book Antiqua" w:eastAsia="Times New Roman" w:hAnsi="Book Antiqua" w:cs="Calibri"/>
                <w:sz w:val="24"/>
                <w:szCs w:val="24"/>
              </w:rPr>
              <w:fldChar w:fldCharType="end"/>
            </w:r>
          </w:p>
        </w:tc>
      </w:tr>
      <w:tr w:rsidR="001339DB" w:rsidRPr="001339DB" w:rsidTr="00411545">
        <w:trPr>
          <w:trHeight w:val="285"/>
        </w:trPr>
        <w:tc>
          <w:tcPr>
            <w:tcW w:w="1809" w:type="dxa"/>
            <w:tcBorders>
              <w:top w:val="nil"/>
              <w:left w:val="nil"/>
              <w:right w:val="nil"/>
            </w:tcBorders>
            <w:shd w:val="clear" w:color="auto" w:fill="auto"/>
            <w:vAlign w:val="bottom"/>
            <w:hideMark/>
          </w:tcPr>
          <w:p w:rsidR="00411545" w:rsidRPr="001339DB" w:rsidRDefault="00411545" w:rsidP="00294646">
            <w:pPr>
              <w:adjustRightInd w:val="0"/>
              <w:snapToGrid w:val="0"/>
              <w:spacing w:after="0" w:line="360" w:lineRule="auto"/>
              <w:rPr>
                <w:rFonts w:ascii="Book Antiqua" w:eastAsia="Times New Roman" w:hAnsi="Book Antiqua" w:cs="Calibri"/>
                <w:sz w:val="24"/>
                <w:szCs w:val="24"/>
              </w:rPr>
            </w:pPr>
          </w:p>
        </w:tc>
        <w:tc>
          <w:tcPr>
            <w:tcW w:w="1560" w:type="dxa"/>
            <w:gridSpan w:val="3"/>
            <w:tcBorders>
              <w:top w:val="nil"/>
              <w:left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p>
        </w:tc>
        <w:tc>
          <w:tcPr>
            <w:tcW w:w="992" w:type="dxa"/>
            <w:tcBorders>
              <w:top w:val="nil"/>
              <w:left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p>
        </w:tc>
        <w:tc>
          <w:tcPr>
            <w:tcW w:w="1417" w:type="dxa"/>
            <w:tcBorders>
              <w:top w:val="nil"/>
              <w:left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p>
        </w:tc>
        <w:tc>
          <w:tcPr>
            <w:tcW w:w="1418" w:type="dxa"/>
            <w:tcBorders>
              <w:top w:val="nil"/>
              <w:left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p>
        </w:tc>
        <w:tc>
          <w:tcPr>
            <w:tcW w:w="1417" w:type="dxa"/>
            <w:tcBorders>
              <w:top w:val="nil"/>
              <w:left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p>
        </w:tc>
      </w:tr>
      <w:tr w:rsidR="00D96EE7" w:rsidRPr="001339DB" w:rsidTr="00C731E9">
        <w:trPr>
          <w:trHeight w:val="285"/>
        </w:trPr>
        <w:tc>
          <w:tcPr>
            <w:tcW w:w="8613" w:type="dxa"/>
            <w:gridSpan w:val="8"/>
            <w:tcBorders>
              <w:left w:val="nil"/>
              <w:bottom w:val="nil"/>
              <w:right w:val="nil"/>
            </w:tcBorders>
            <w:shd w:val="clear" w:color="auto" w:fill="auto"/>
            <w:vAlign w:val="bottom"/>
            <w:hideMark/>
          </w:tcPr>
          <w:p w:rsidR="00D96EE7" w:rsidRPr="001339DB" w:rsidRDefault="00D96EE7" w:rsidP="00D96EE7">
            <w:pPr>
              <w:adjustRightInd w:val="0"/>
              <w:snapToGrid w:val="0"/>
              <w:spacing w:after="0" w:line="360" w:lineRule="auto"/>
              <w:rPr>
                <w:rFonts w:ascii="Book Antiqua" w:eastAsia="Times New Roman" w:hAnsi="Book Antiqua" w:cs="Calibri"/>
                <w:sz w:val="24"/>
                <w:szCs w:val="24"/>
              </w:rPr>
            </w:pPr>
            <w:r w:rsidRPr="001339DB">
              <w:rPr>
                <w:rFonts w:ascii="Book Antiqua" w:eastAsia="Times New Roman" w:hAnsi="Book Antiqua" w:cs="Calibri"/>
                <w:b/>
                <w:bCs/>
                <w:sz w:val="24"/>
                <w:szCs w:val="24"/>
              </w:rPr>
              <w:t>Annual transition probabilities in ALD (%)</w:t>
            </w:r>
          </w:p>
        </w:tc>
      </w:tr>
      <w:tr w:rsidR="001339DB" w:rsidRPr="001339DB" w:rsidTr="00411545">
        <w:trPr>
          <w:trHeight w:val="285"/>
        </w:trPr>
        <w:tc>
          <w:tcPr>
            <w:tcW w:w="1809" w:type="dxa"/>
            <w:tcBorders>
              <w:top w:val="nil"/>
              <w:left w:val="nil"/>
              <w:bottom w:val="single" w:sz="4" w:space="0" w:color="auto"/>
              <w:right w:val="nil"/>
            </w:tcBorders>
            <w:shd w:val="clear" w:color="auto" w:fill="auto"/>
            <w:vAlign w:val="bottom"/>
            <w:hideMark/>
          </w:tcPr>
          <w:p w:rsidR="00411545" w:rsidRPr="001339DB" w:rsidRDefault="00411545" w:rsidP="00294646">
            <w:pPr>
              <w:adjustRightInd w:val="0"/>
              <w:snapToGrid w:val="0"/>
              <w:spacing w:after="0" w:line="360" w:lineRule="auto"/>
              <w:rPr>
                <w:rFonts w:ascii="Book Antiqua" w:eastAsia="Times New Roman" w:hAnsi="Book Antiqua" w:cs="Calibri"/>
                <w:sz w:val="24"/>
                <w:szCs w:val="24"/>
              </w:rPr>
            </w:pPr>
            <w:r w:rsidRPr="001339DB">
              <w:rPr>
                <w:rFonts w:ascii="Book Antiqua" w:eastAsia="Times New Roman" w:hAnsi="Book Antiqua" w:cs="Calibri"/>
                <w:sz w:val="24"/>
                <w:szCs w:val="24"/>
              </w:rPr>
              <w:t>From</w:t>
            </w:r>
          </w:p>
        </w:tc>
        <w:tc>
          <w:tcPr>
            <w:tcW w:w="1560" w:type="dxa"/>
            <w:gridSpan w:val="3"/>
            <w:tcBorders>
              <w:top w:val="nil"/>
              <w:left w:val="nil"/>
              <w:bottom w:val="single" w:sz="4" w:space="0" w:color="auto"/>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To</w:t>
            </w:r>
          </w:p>
        </w:tc>
        <w:tc>
          <w:tcPr>
            <w:tcW w:w="992" w:type="dxa"/>
            <w:tcBorders>
              <w:top w:val="nil"/>
              <w:left w:val="nil"/>
              <w:bottom w:val="single" w:sz="4" w:space="0" w:color="auto"/>
              <w:right w:val="nil"/>
            </w:tcBorders>
            <w:shd w:val="clear" w:color="auto" w:fill="auto"/>
            <w:vAlign w:val="bottom"/>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p>
        </w:tc>
        <w:tc>
          <w:tcPr>
            <w:tcW w:w="1417" w:type="dxa"/>
            <w:tcBorders>
              <w:top w:val="nil"/>
              <w:left w:val="nil"/>
              <w:bottom w:val="single" w:sz="4" w:space="0" w:color="auto"/>
              <w:right w:val="nil"/>
            </w:tcBorders>
            <w:shd w:val="clear" w:color="auto" w:fill="auto"/>
            <w:vAlign w:val="bottom"/>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p>
        </w:tc>
        <w:tc>
          <w:tcPr>
            <w:tcW w:w="1418" w:type="dxa"/>
            <w:tcBorders>
              <w:top w:val="nil"/>
              <w:left w:val="nil"/>
              <w:bottom w:val="single" w:sz="4" w:space="0" w:color="auto"/>
              <w:right w:val="nil"/>
            </w:tcBorders>
            <w:shd w:val="clear" w:color="auto" w:fill="auto"/>
            <w:vAlign w:val="bottom"/>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p>
        </w:tc>
        <w:tc>
          <w:tcPr>
            <w:tcW w:w="1417" w:type="dxa"/>
            <w:tcBorders>
              <w:top w:val="nil"/>
              <w:left w:val="nil"/>
              <w:bottom w:val="single" w:sz="4" w:space="0" w:color="auto"/>
              <w:right w:val="nil"/>
            </w:tcBorders>
            <w:shd w:val="clear" w:color="auto" w:fill="auto"/>
            <w:vAlign w:val="bottom"/>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p>
        </w:tc>
      </w:tr>
      <w:tr w:rsidR="001339DB" w:rsidRPr="001339DB" w:rsidTr="00411545">
        <w:trPr>
          <w:trHeight w:val="300"/>
        </w:trPr>
        <w:tc>
          <w:tcPr>
            <w:tcW w:w="1809"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rPr>
                <w:rFonts w:ascii="Book Antiqua" w:eastAsia="Times New Roman" w:hAnsi="Book Antiqua" w:cs="Calibri"/>
                <w:sz w:val="24"/>
                <w:szCs w:val="24"/>
              </w:rPr>
            </w:pPr>
            <w:r w:rsidRPr="001339DB">
              <w:rPr>
                <w:rFonts w:ascii="Book Antiqua" w:eastAsia="Times New Roman" w:hAnsi="Book Antiqua" w:cs="Calibri"/>
                <w:sz w:val="24"/>
                <w:szCs w:val="24"/>
              </w:rPr>
              <w:t>F0-F1</w:t>
            </w:r>
          </w:p>
        </w:tc>
        <w:tc>
          <w:tcPr>
            <w:tcW w:w="1560" w:type="dxa"/>
            <w:gridSpan w:val="3"/>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F2-F3</w:t>
            </w:r>
          </w:p>
        </w:tc>
        <w:tc>
          <w:tcPr>
            <w:tcW w:w="992"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2.0</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1.1−3.2</w:t>
            </w:r>
          </w:p>
        </w:tc>
        <w:tc>
          <w:tcPr>
            <w:tcW w:w="1418"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β(2;0.5)</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fldChar w:fldCharType="begin" w:fldLock="1"/>
            </w:r>
            <w:r w:rsidRPr="001339DB">
              <w:rPr>
                <w:rFonts w:ascii="Book Antiqua" w:eastAsia="Times New Roman" w:hAnsi="Book Antiqua" w:cs="Calibri"/>
                <w:sz w:val="24"/>
                <w:szCs w:val="24"/>
              </w:rPr>
              <w:instrText>ADDIN CSL_CITATION { "citationItems" : [ { "id" : "ITEM-1", "itemData" : { "author" : [ { "dropping-particle" : "", "family" : "Teli MR, Day, CP, Burt AD, Bennett MK", "given" : "James of.", "non-dropping-particle" : "", "parse-names" : false, "suffix" : "" } ], "container-title" : "Lancet", "id" : "ITEM-1", "issued" : { "date-parts" : [ [ "1995" ] ] }, "page" : "987-990", "title" : "Determinants of progression to cirrhosis alcoholic fatty liver", "type" : "article-journal", "volume" : "346" }, "uris" : [ "http://www.mendeley.com/documents/?uuid=c283aeb8-94fb-4899-b882-59e8334e62b0" ] } ], "mendeley" : { "formattedCitation" : "[22]", "plainTextFormattedCitation" : "[22]", "previouslyFormattedCitation" : "[22]" }, "properties" : { "noteIndex" : 0 }, "schema" : "https://github.com/citation-style-language/schema/raw/master/csl-citation.json" }</w:instrText>
            </w:r>
            <w:r w:rsidRPr="001339DB">
              <w:rPr>
                <w:rFonts w:ascii="Book Antiqua" w:eastAsia="Times New Roman" w:hAnsi="Book Antiqua" w:cs="Calibri"/>
                <w:sz w:val="24"/>
                <w:szCs w:val="24"/>
              </w:rPr>
              <w:fldChar w:fldCharType="separate"/>
            </w:r>
            <w:r w:rsidRPr="001339DB">
              <w:rPr>
                <w:rFonts w:ascii="Book Antiqua" w:eastAsia="Times New Roman" w:hAnsi="Book Antiqua" w:cs="Calibri"/>
                <w:noProof/>
                <w:sz w:val="24"/>
                <w:szCs w:val="24"/>
              </w:rPr>
              <w:t>[22]</w:t>
            </w:r>
            <w:r w:rsidRPr="001339DB">
              <w:rPr>
                <w:rFonts w:ascii="Book Antiqua" w:eastAsia="Times New Roman" w:hAnsi="Book Antiqua" w:cs="Calibri"/>
                <w:sz w:val="24"/>
                <w:szCs w:val="24"/>
              </w:rPr>
              <w:fldChar w:fldCharType="end"/>
            </w:r>
          </w:p>
        </w:tc>
      </w:tr>
      <w:tr w:rsidR="001339DB" w:rsidRPr="001339DB" w:rsidTr="00411545">
        <w:trPr>
          <w:trHeight w:val="285"/>
        </w:trPr>
        <w:tc>
          <w:tcPr>
            <w:tcW w:w="1809" w:type="dxa"/>
            <w:tcBorders>
              <w:top w:val="nil"/>
              <w:left w:val="nil"/>
              <w:bottom w:val="nil"/>
              <w:right w:val="nil"/>
            </w:tcBorders>
            <w:shd w:val="clear" w:color="auto" w:fill="auto"/>
            <w:vAlign w:val="bottom"/>
          </w:tcPr>
          <w:p w:rsidR="00411545" w:rsidRPr="001339DB" w:rsidRDefault="00411545" w:rsidP="00294646">
            <w:pPr>
              <w:adjustRightInd w:val="0"/>
              <w:snapToGrid w:val="0"/>
              <w:spacing w:after="0" w:line="360" w:lineRule="auto"/>
              <w:rPr>
                <w:rFonts w:ascii="Book Antiqua" w:eastAsia="Times New Roman" w:hAnsi="Book Antiqua" w:cs="Calibri"/>
                <w:sz w:val="24"/>
                <w:szCs w:val="24"/>
              </w:rPr>
            </w:pPr>
            <w:r w:rsidRPr="001339DB">
              <w:rPr>
                <w:rFonts w:ascii="Book Antiqua" w:eastAsia="Times New Roman" w:hAnsi="Book Antiqua" w:cs="Calibri"/>
                <w:sz w:val="24"/>
                <w:szCs w:val="24"/>
              </w:rPr>
              <w:t>F0-F1 (Abstainers)</w:t>
            </w:r>
          </w:p>
        </w:tc>
        <w:tc>
          <w:tcPr>
            <w:tcW w:w="1560" w:type="dxa"/>
            <w:gridSpan w:val="3"/>
            <w:tcBorders>
              <w:top w:val="nil"/>
              <w:left w:val="nil"/>
              <w:bottom w:val="nil"/>
              <w:right w:val="nil"/>
            </w:tcBorders>
            <w:shd w:val="clear" w:color="auto" w:fill="auto"/>
            <w:vAlign w:val="bottom"/>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F2-F3</w:t>
            </w:r>
          </w:p>
        </w:tc>
        <w:tc>
          <w:tcPr>
            <w:tcW w:w="992" w:type="dxa"/>
            <w:tcBorders>
              <w:top w:val="nil"/>
              <w:left w:val="nil"/>
              <w:bottom w:val="nil"/>
              <w:right w:val="nil"/>
            </w:tcBorders>
            <w:shd w:val="clear" w:color="auto" w:fill="auto"/>
            <w:vAlign w:val="bottom"/>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0.01</w:t>
            </w:r>
          </w:p>
        </w:tc>
        <w:tc>
          <w:tcPr>
            <w:tcW w:w="1417" w:type="dxa"/>
            <w:tcBorders>
              <w:top w:val="nil"/>
              <w:left w:val="nil"/>
              <w:bottom w:val="nil"/>
              <w:right w:val="nil"/>
            </w:tcBorders>
            <w:shd w:val="clear" w:color="auto" w:fill="auto"/>
            <w:vAlign w:val="bottom"/>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w:t>
            </w:r>
          </w:p>
        </w:tc>
        <w:tc>
          <w:tcPr>
            <w:tcW w:w="1418" w:type="dxa"/>
            <w:tcBorders>
              <w:top w:val="nil"/>
              <w:left w:val="nil"/>
              <w:bottom w:val="nil"/>
              <w:right w:val="nil"/>
            </w:tcBorders>
            <w:shd w:val="clear" w:color="auto" w:fill="auto"/>
            <w:vAlign w:val="bottom"/>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w:t>
            </w:r>
          </w:p>
        </w:tc>
        <w:tc>
          <w:tcPr>
            <w:tcW w:w="1417" w:type="dxa"/>
            <w:tcBorders>
              <w:top w:val="nil"/>
              <w:left w:val="nil"/>
              <w:bottom w:val="nil"/>
              <w:right w:val="nil"/>
            </w:tcBorders>
            <w:shd w:val="clear" w:color="auto" w:fill="auto"/>
            <w:vAlign w:val="bottom"/>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fldChar w:fldCharType="begin" w:fldLock="1"/>
            </w:r>
            <w:r w:rsidRPr="001339DB">
              <w:rPr>
                <w:rFonts w:ascii="Book Antiqua" w:eastAsia="Times New Roman" w:hAnsi="Book Antiqua" w:cs="Calibri"/>
                <w:sz w:val="24"/>
                <w:szCs w:val="24"/>
              </w:rPr>
              <w:instrText>ADDIN CSL_CITATION { "citationItems" : [ { "id" : "ITEM-1", "itemData" : { "author" : [ { "dropping-particle" : "", "family" : "Teli MR, Day, CP, Burt AD, Bennett MK", "given" : "James of.", "non-dropping-particle" : "", "parse-names" : false, "suffix" : "" } ], "container-title" : "Lancet", "id" : "ITEM-1", "issued" : { "date-parts" : [ [ "1995" ] ] }, "page" : "987-990", "title" : "Determinants of progression to cirrhosis alcoholic fatty liver", "type" : "article-journal", "volume" : "346" }, "uris" : [ "http://www.mendeley.com/documents/?uuid=c283aeb8-94fb-4899-b882-59e8334e62b0" ] } ], "mendeley" : { "formattedCitation" : "[22]", "plainTextFormattedCitation" : "[22]", "previouslyFormattedCitation" : "[22]" }, "properties" : { "noteIndex" : 0 }, "schema" : "https://github.com/citation-style-language/schema/raw/master/csl-citation.json" }</w:instrText>
            </w:r>
            <w:r w:rsidRPr="001339DB">
              <w:rPr>
                <w:rFonts w:ascii="Book Antiqua" w:eastAsia="Times New Roman" w:hAnsi="Book Antiqua" w:cs="Calibri"/>
                <w:sz w:val="24"/>
                <w:szCs w:val="24"/>
              </w:rPr>
              <w:fldChar w:fldCharType="separate"/>
            </w:r>
            <w:r w:rsidRPr="001339DB">
              <w:rPr>
                <w:rFonts w:ascii="Book Antiqua" w:eastAsia="Times New Roman" w:hAnsi="Book Antiqua" w:cs="Calibri"/>
                <w:noProof/>
                <w:sz w:val="24"/>
                <w:szCs w:val="24"/>
              </w:rPr>
              <w:t>[22]</w:t>
            </w:r>
            <w:r w:rsidRPr="001339DB">
              <w:rPr>
                <w:rFonts w:ascii="Book Antiqua" w:eastAsia="Times New Roman" w:hAnsi="Book Antiqua" w:cs="Calibri"/>
                <w:sz w:val="24"/>
                <w:szCs w:val="24"/>
              </w:rPr>
              <w:fldChar w:fldCharType="end"/>
            </w:r>
          </w:p>
        </w:tc>
      </w:tr>
      <w:tr w:rsidR="001339DB" w:rsidRPr="001339DB" w:rsidTr="00411545">
        <w:trPr>
          <w:trHeight w:val="285"/>
        </w:trPr>
        <w:tc>
          <w:tcPr>
            <w:tcW w:w="1809"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rPr>
                <w:rFonts w:ascii="Book Antiqua" w:eastAsia="Times New Roman" w:hAnsi="Book Antiqua" w:cs="Calibri"/>
                <w:sz w:val="24"/>
                <w:szCs w:val="24"/>
              </w:rPr>
            </w:pPr>
            <w:r w:rsidRPr="001339DB">
              <w:rPr>
                <w:rFonts w:ascii="Book Antiqua" w:eastAsia="Times New Roman" w:hAnsi="Book Antiqua" w:cs="Calibri"/>
                <w:sz w:val="24"/>
                <w:szCs w:val="24"/>
              </w:rPr>
              <w:t>F2-F3</w:t>
            </w:r>
          </w:p>
        </w:tc>
        <w:tc>
          <w:tcPr>
            <w:tcW w:w="1560" w:type="dxa"/>
            <w:gridSpan w:val="3"/>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F4</w:t>
            </w:r>
          </w:p>
        </w:tc>
        <w:tc>
          <w:tcPr>
            <w:tcW w:w="992"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20</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7−33</w:t>
            </w:r>
          </w:p>
        </w:tc>
        <w:tc>
          <w:tcPr>
            <w:tcW w:w="1418"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U(7;33)</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fldChar w:fldCharType="begin" w:fldLock="1"/>
            </w:r>
            <w:r w:rsidRPr="001339DB">
              <w:rPr>
                <w:rFonts w:ascii="Book Antiqua" w:eastAsia="Times New Roman" w:hAnsi="Book Antiqua" w:cs="Calibri"/>
                <w:sz w:val="24"/>
                <w:szCs w:val="24"/>
              </w:rPr>
              <w:instrText>ADDIN CSL_CITATION { "citationItems" : [ { "id" : "ITEM-1", "itemData" : { "author" : [ { "dropping-particle" : "", "family" : "Teli MR, Day, CP, Burt AD, Bennett MK", "given" : "James of.", "non-dropping-particle" : "", "parse-names" : false, "suffix" : "" } ], "container-title" : "Lancet", "id" : "ITEM-1", "issued" : { "date-parts" : [ [ "1995" ] ] }, "page" : "987-990", "title" : "Determinants of progression to cirrhosis alcoholic fatty liver", "type" : "article-journal", "volume" : "346" }, "uris" : [ "http://www.mendeley.com/documents/?uuid=c283aeb8-94fb-4899-b882-59e8334e62b0" ] } ], "mendeley" : { "formattedCitation" : "[22]", "plainTextFormattedCitation" : "[22]", "previouslyFormattedCitation" : "[22]" }, "properties" : { "noteIndex" : 0 }, "schema" : "https://github.com/citation-style-language/schema/raw/master/csl-citation.json" }</w:instrText>
            </w:r>
            <w:r w:rsidRPr="001339DB">
              <w:rPr>
                <w:rFonts w:ascii="Book Antiqua" w:eastAsia="Times New Roman" w:hAnsi="Book Antiqua" w:cs="Calibri"/>
                <w:sz w:val="24"/>
                <w:szCs w:val="24"/>
              </w:rPr>
              <w:fldChar w:fldCharType="separate"/>
            </w:r>
            <w:r w:rsidRPr="001339DB">
              <w:rPr>
                <w:rFonts w:ascii="Book Antiqua" w:eastAsia="Times New Roman" w:hAnsi="Book Antiqua" w:cs="Calibri"/>
                <w:noProof/>
                <w:sz w:val="24"/>
                <w:szCs w:val="24"/>
              </w:rPr>
              <w:t>[22]</w:t>
            </w:r>
            <w:r w:rsidRPr="001339DB">
              <w:rPr>
                <w:rFonts w:ascii="Book Antiqua" w:eastAsia="Times New Roman" w:hAnsi="Book Antiqua" w:cs="Calibri"/>
                <w:sz w:val="24"/>
                <w:szCs w:val="24"/>
              </w:rPr>
              <w:fldChar w:fldCharType="end"/>
            </w:r>
          </w:p>
        </w:tc>
      </w:tr>
      <w:tr w:rsidR="001339DB" w:rsidRPr="001339DB" w:rsidTr="00411545">
        <w:trPr>
          <w:trHeight w:val="285"/>
        </w:trPr>
        <w:tc>
          <w:tcPr>
            <w:tcW w:w="1809"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rPr>
                <w:rFonts w:ascii="Book Antiqua" w:eastAsia="Times New Roman" w:hAnsi="Book Antiqua" w:cs="Calibri"/>
                <w:sz w:val="24"/>
                <w:szCs w:val="24"/>
              </w:rPr>
            </w:pPr>
            <w:r w:rsidRPr="001339DB">
              <w:rPr>
                <w:rFonts w:ascii="Book Antiqua" w:eastAsia="Times New Roman" w:hAnsi="Book Antiqua" w:cs="Calibri"/>
                <w:sz w:val="24"/>
                <w:szCs w:val="24"/>
              </w:rPr>
              <w:t>F2-F3 (Abstainers)</w:t>
            </w:r>
          </w:p>
        </w:tc>
        <w:tc>
          <w:tcPr>
            <w:tcW w:w="1560" w:type="dxa"/>
            <w:gridSpan w:val="3"/>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F0-F1</w:t>
            </w:r>
          </w:p>
        </w:tc>
        <w:tc>
          <w:tcPr>
            <w:tcW w:w="992"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26</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10−50</w:t>
            </w:r>
          </w:p>
        </w:tc>
        <w:tc>
          <w:tcPr>
            <w:tcW w:w="1418"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U(10;50)</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fldChar w:fldCharType="begin" w:fldLock="1"/>
            </w:r>
            <w:r w:rsidRPr="001339DB">
              <w:rPr>
                <w:rFonts w:ascii="Book Antiqua" w:eastAsia="Times New Roman" w:hAnsi="Book Antiqua" w:cs="Calibri"/>
                <w:sz w:val="24"/>
                <w:szCs w:val="24"/>
              </w:rPr>
              <w:instrText>ADDIN CSL_CITATION { "citationItems" : [ { "id" : "ITEM-1", "itemData" : { "DOI" : "10.1111/j.1478-3231.2012.02774.x", "ISBN" : "1478-3231 (Electronic)\\n1478-3223 (Linking)", "ISSN" : "14783223", "PMID" : "22364262", "abstract" : "BACKGROUND: Recent studies have shown that the renin-angiotensin system is implicated in hepatic fibrogenesis in vitro and in vivo. However, no study was done in humans with alcoholic liver disease.\\n\\nAIM: To investigate the antifibrotic effect of angiotensin II type 1 receptor (AT1-R) blocking agents (ARB) in patients with alcoholic liver disease.\\n\\nMETHODS: The primary outcome was improvement in patients' histological features. Eighty-five patients with compensated alcoholic liver fibrosis (\u2265 F2) which was confirmed by baseline liver biopsy were randomized (intention-to-treat (ITT)) to receive either ARB, candesartan (8 mg/day) with ursodeoxycholic acid (UDCA) (600 mg/day) (n = 42) or UDCA alone (n = 43) as control for 6 months and follow-up liver biopsies were conducted.\\n\\nRESULTS: According to the Laennec fibrosis system, candesartan showed significantly higher rates of histological improvements (ITT, 33.3% vs. 11.6%, P = 0.020). In addition, the fibrosis score was significantly reduced from 3.4 \u00b1 1.4 to 3.1 \u00b1 1.5 (P = 0.005) in the candesartan group. Candesartan also reduced the area of fibrosis and \u03b1-smooth muscle actin positive from 11.3 \u00b1 6.0 to 8.3 \u00b1 4.7 and 28.7 \u00b1 10.5 to 23.9 \u00b1 10.3 (%), and the hydroxyproline levels (\u03bcg/g liver tissue) from 7.8 \u00b1 2.4 to 6.3 \u00b1 1.7 respectively (P &lt; 0.05). In addition, the relative expression of transforming growth factor-\u03b21(TGF-\u03b21), collagen-1, AT1-R, tissue inhibitor of metalloproteinase 1 (TIMP-1), metalloproteinases2 (MMP2), Rac1 and p22phox by real-time RT-PCR decreased in the candesartan group (P &lt; 0.05). Mean arterial blood pressure in the candesartan group decreased mildly but significantly (P &lt; 0.001). No significant complications and side effects were observed during the present study.\\n\\nCONCLUSIONS: Administration of ARB in compensated alcoholic liver disease induces improvement of fibrosis in histological and quantitative measurements.", "author" : [ { "dropping-particle" : "", "family" : "Kim", "given" : "Moon Young", "non-dropping-particle" : "", "parse-names" : false, "suffix" : "" }, { "dropping-particle" : "", "family" : "Cho", "given" : "Mee Yon", "non-dropping-particle" : "", "parse-names" : false, "suffix" : "" }, { "dropping-particle" : "", "family" : "Baik", "given" : "Soon Koo", "non-dropping-particle" : "", "parse-names" : false, "suffix" : "" }, { "dropping-particle" : "", "family" : "Jeong", "given" : "Phil Ho", "non-dropping-particle" : "", "parse-names" : false, "suffix" : "" }, { "dropping-particle" : "", "family" : "Suk", "given" : "Ki Tae", "non-dropping-particle" : "", "parse-names" : false, "suffix" : "" }, { "dropping-particle" : "", "family" : "Jang", "given" : "Yoon Ok", "non-dropping-particle" : "", "parse-names" : false, "suffix" : "" }, { "dropping-particle" : "", "family" : "Yea", "given" : "Chang Jin", "non-dropping-particle" : "", "parse-names" : false, "suffix" : "" }, { "dropping-particle" : "", "family" : "Kim", "given" : "Jae Woo", "non-dropping-particle" : "", "parse-names" : false, "suffix" : "" }, { "dropping-particle" : "", "family" : "Kim", "given" : "Hyun Soo", "non-dropping-particle" : "", "parse-names" : false, "suffix" : "" }, { "dropping-particle" : "", "family" : "Kwon", "given" : "Sang Ok", "non-dropping-particle" : "", "parse-names" : false, "suffix" : "" }, { "dropping-particle" : "", "family" : "Yoo", "given" : "Byung Su", "non-dropping-particle" : "", "parse-names" : false, "suffix" : "" }, { "dropping-particle" : "", "family" : "Kim", "given" : "Jang Young", "non-dropping-particle" : "", "parse-names" : false, "suffix" : "" }, { "dropping-particle" : "", "family" : "Eom", "given" : "Min Seob", "non-dropping-particle" : "", "parse-names" : false, "suffix" : "" }, { "dropping-particle" : "", "family" : "Cha", "given" : "Seung Hwan", "non-dropping-particle" : "", "parse-names" : false, "suffix" : "" }, { "dropping-particle" : "", "family" : "Chang", "given" : "Sei Jin", "non-dropping-particle" : "", "parse-names" : false, "suffix" : "" } ], "container-title" : "Liver International", "id" : "ITEM-1", "issue" : "6", "issued" : { "date-parts" : [ [ "2012" ] ] }, "page" : "977-987", "title" : "Beneficial effects of candesartan, an angiotensin-blocking agent, on compensated alcoholic liver fibrosis - A randomized open-label controlled study", "type" : "article-journal", "volume" : "32" }, "uris" : [ "http://www.mendeley.com/documents/?uuid=c687ab73-2e0f-46d0-8d1e-1baa3d39ef12" ] } ], "mendeley" : { "formattedCitation" : "[34]", "plainTextFormattedCitation" : "[34]", "previouslyFormattedCitation" : "[34]" }, "properties" : { "noteIndex" : 0 }, "schema" : "https://github.com/citation-style-language/schema/raw/master/csl-citation.json" }</w:instrText>
            </w:r>
            <w:r w:rsidRPr="001339DB">
              <w:rPr>
                <w:rFonts w:ascii="Book Antiqua" w:eastAsia="Times New Roman" w:hAnsi="Book Antiqua" w:cs="Calibri"/>
                <w:sz w:val="24"/>
                <w:szCs w:val="24"/>
              </w:rPr>
              <w:fldChar w:fldCharType="separate"/>
            </w:r>
            <w:r w:rsidRPr="001339DB">
              <w:rPr>
                <w:rFonts w:ascii="Book Antiqua" w:eastAsia="Times New Roman" w:hAnsi="Book Antiqua" w:cs="Calibri"/>
                <w:noProof/>
                <w:sz w:val="24"/>
                <w:szCs w:val="24"/>
              </w:rPr>
              <w:t>[34]</w:t>
            </w:r>
            <w:r w:rsidRPr="001339DB">
              <w:rPr>
                <w:rFonts w:ascii="Book Antiqua" w:eastAsia="Times New Roman" w:hAnsi="Book Antiqua" w:cs="Calibri"/>
                <w:sz w:val="24"/>
                <w:szCs w:val="24"/>
              </w:rPr>
              <w:fldChar w:fldCharType="end"/>
            </w:r>
          </w:p>
        </w:tc>
      </w:tr>
      <w:tr w:rsidR="001339DB" w:rsidRPr="001339DB" w:rsidTr="00411545">
        <w:trPr>
          <w:trHeight w:val="285"/>
        </w:trPr>
        <w:tc>
          <w:tcPr>
            <w:tcW w:w="1809"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rPr>
                <w:rFonts w:ascii="Book Antiqua" w:eastAsia="Times New Roman" w:hAnsi="Book Antiqua" w:cs="Calibri"/>
                <w:sz w:val="24"/>
                <w:szCs w:val="24"/>
              </w:rPr>
            </w:pPr>
            <w:r w:rsidRPr="001339DB">
              <w:rPr>
                <w:rFonts w:ascii="Book Antiqua" w:eastAsia="Times New Roman" w:hAnsi="Book Antiqua" w:cs="Calibri"/>
                <w:sz w:val="24"/>
                <w:szCs w:val="24"/>
              </w:rPr>
              <w:lastRenderedPageBreak/>
              <w:t>F4</w:t>
            </w:r>
          </w:p>
        </w:tc>
        <w:tc>
          <w:tcPr>
            <w:tcW w:w="1560" w:type="dxa"/>
            <w:gridSpan w:val="3"/>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DC</w:t>
            </w:r>
          </w:p>
        </w:tc>
        <w:tc>
          <w:tcPr>
            <w:tcW w:w="992"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23</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18−29</w:t>
            </w:r>
          </w:p>
        </w:tc>
        <w:tc>
          <w:tcPr>
            <w:tcW w:w="1418"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β(23;2.75)</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fldChar w:fldCharType="begin" w:fldLock="1"/>
            </w:r>
            <w:r w:rsidRPr="001339DB">
              <w:rPr>
                <w:rFonts w:ascii="Book Antiqua" w:eastAsia="Times New Roman" w:hAnsi="Book Antiqua" w:cs="Calibri"/>
                <w:sz w:val="24"/>
                <w:szCs w:val="24"/>
              </w:rPr>
              <w:instrText>ADDIN CSL_CITATION { "citationItems" : [ { "id" : "ITEM-1", "itemData" : { "DOI" : "10.1002/hep.23500", "ISSN" : "02709139", "PMID" : "20186844", "abstract" : "The clinical course of alcoholic cirrhosis, a condition with a high mortality, has not been well described. We examined prevalence, risk, chronology, and mortality associated with three complications of cirrhosis: ascites, variceal bleeding, and hepatic encephalopathy. We followed a population-based cohort of 466 Danish patients diagnosed with alcoholic cirrhosis in 1993-2005, starting from the date of hospital diagnosis and ending in August 2006. Data were extracted from medical charts during the follow-up period. Risk and mortality associated with complications were calculated using competing-risks methods. At diagnosis of alcoholic cirrhosis, 24% of patients had no complications, 55% had ascites alone, 6% had variceal bleeding alone, 4% had ascites and variceal bleeding, and 11% had hepatic encephalopathy. One-year mortality was 17% among patients with no initial complications, 20% following variceal bleeding alone, 29% following ascites alone, 49% following ascites and variceal bleeding (from the onset of the later of the two complications), and 64% following hepatic encephalopathy. Five-year mortality ranged from 58% to 85%. The risk of complications was about 25% after 1 year and 50% after 5 years for all patients without hepatic encephalopathy. The complications under study did not develop in any predictable sequence. Although patients initially without complications usually developed ascites first (12% within 1 year), many developed either variceal bleeding first (6% within 1 year) or hepatic encephalopathy first (4% within 1 year). Subsequent complications occurred in an unpredictable order among patients with ascites or variceal bleeding. CONCLUSION: Patients with alcoholic cirrhosis had a high prevalence of complications at the time of cirrhosis diagnosis. The presence and type of complications at diagnosis were predictors of mortality, but not of the risk of subsequent complications.", "author" : [ { "dropping-particle" : "", "family" : "Jepsen", "given" : "Peter", "non-dropping-particle" : "", "parse-names" : false, "suffix" : "" }, { "dropping-particle" : "", "family" : "Ott", "given" : "Peter", "non-dropping-particle" : "", "parse-names" : false, "suffix" : "" }, { "dropping-particle" : "", "family" : "Andersen", "given" : "Per Kragh", "non-dropping-particle" : "", "parse-names" : false, "suffix" : "" }, { "dropping-particle" : "", "family" : "S\u00f8rensen", "given" : "Henrik Toft", "non-dropping-particle" : "", "parse-names" : false, "suffix" : "" }, { "dropping-particle" : "", "family" : "Vilstrup", "given" : "Hendrik", "non-dropping-particle" : "", "parse-names" : false, "suffix" : "" } ], "container-title" : "Hepatology", "id" : "ITEM-1", "issue" : "5", "issued" : { "date-parts" : [ [ "2010" ] ] }, "page" : "1675-1682", "title" : "Clinical course of alcoholic liver cirrhosis: A Danish population-based cohort study", "type" : "article-journal", "volume" : "51" }, "uris" : [ "http://www.mendeley.com/documents/?uuid=012d5a6c-5988-4a5a-b3ff-eba054a29f6b" ] } ], "mendeley" : { "formattedCitation" : "[23]", "plainTextFormattedCitation" : "[23]", "previouslyFormattedCitation" : "[23]" }, "properties" : { "noteIndex" : 0 }, "schema" : "https://github.com/citation-style-language/schema/raw/master/csl-citation.json" }</w:instrText>
            </w:r>
            <w:r w:rsidRPr="001339DB">
              <w:rPr>
                <w:rFonts w:ascii="Book Antiqua" w:eastAsia="Times New Roman" w:hAnsi="Book Antiqua" w:cs="Calibri"/>
                <w:sz w:val="24"/>
                <w:szCs w:val="24"/>
              </w:rPr>
              <w:fldChar w:fldCharType="separate"/>
            </w:r>
            <w:r w:rsidRPr="001339DB">
              <w:rPr>
                <w:rFonts w:ascii="Book Antiqua" w:eastAsia="Times New Roman" w:hAnsi="Book Antiqua" w:cs="Calibri"/>
                <w:noProof/>
                <w:sz w:val="24"/>
                <w:szCs w:val="24"/>
              </w:rPr>
              <w:t>[23]</w:t>
            </w:r>
            <w:r w:rsidRPr="001339DB">
              <w:rPr>
                <w:rFonts w:ascii="Book Antiqua" w:eastAsia="Times New Roman" w:hAnsi="Book Antiqua" w:cs="Calibri"/>
                <w:sz w:val="24"/>
                <w:szCs w:val="24"/>
              </w:rPr>
              <w:fldChar w:fldCharType="end"/>
            </w:r>
          </w:p>
        </w:tc>
      </w:tr>
      <w:tr w:rsidR="001339DB" w:rsidRPr="001339DB" w:rsidTr="00411545">
        <w:trPr>
          <w:trHeight w:val="285"/>
        </w:trPr>
        <w:tc>
          <w:tcPr>
            <w:tcW w:w="1809"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rPr>
                <w:rFonts w:ascii="Book Antiqua" w:eastAsia="Times New Roman" w:hAnsi="Book Antiqua" w:cs="Calibri"/>
                <w:sz w:val="24"/>
                <w:szCs w:val="24"/>
              </w:rPr>
            </w:pPr>
            <w:r w:rsidRPr="001339DB">
              <w:rPr>
                <w:rFonts w:ascii="Book Antiqua" w:eastAsia="Times New Roman" w:hAnsi="Book Antiqua" w:cs="Calibri"/>
                <w:sz w:val="24"/>
                <w:szCs w:val="24"/>
              </w:rPr>
              <w:t>F4</w:t>
            </w:r>
          </w:p>
        </w:tc>
        <w:tc>
          <w:tcPr>
            <w:tcW w:w="1560" w:type="dxa"/>
            <w:gridSpan w:val="3"/>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HCC</w:t>
            </w:r>
          </w:p>
        </w:tc>
        <w:tc>
          <w:tcPr>
            <w:tcW w:w="992"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1.7</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1.2−2.2</w:t>
            </w:r>
          </w:p>
        </w:tc>
        <w:tc>
          <w:tcPr>
            <w:tcW w:w="1418"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β(1.7;0.25)</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fldChar w:fldCharType="begin" w:fldLock="1"/>
            </w:r>
            <w:r w:rsidRPr="001339DB">
              <w:rPr>
                <w:rFonts w:ascii="Book Antiqua" w:eastAsia="Times New Roman" w:hAnsi="Book Antiqua" w:cs="Calibri"/>
                <w:sz w:val="24"/>
                <w:szCs w:val="24"/>
              </w:rPr>
              <w:instrText>ADDIN CSL_CITATION { "citationItems" : [ { "id" : "ITEM-1", "itemData" : { "DOI" : "10.1053/j.gast.2004.09.014", "author" : [ { "dropping-particle" : "", "family" : "Fattovich", "given" : "Giovanna", "non-dropping-particle" : "", "parse-names" : false, "suffix" : "" }, { "dropping-particle" : "", "family" : "Stroffolini", "given" : "Tommaso", "non-dropping-particle" : "", "parse-names" : false, "suffix" : "" }, { "dropping-particle" : "", "family" : "Zagni", "given" : "Irene", "non-dropping-particle" : "", "parse-names" : false, "suffix" : "" }, { "dropping-particle" : "", "family" : "Donato", "given" : "Francesco", "non-dropping-particle" : "", "parse-names" : false, "suffix" : "" } ], "id" : "ITEM-1", "issued" : { "date-parts" : [ [ "2004" ] ] }, "page" : "35-50", "title" : "Hepatocellular Carcinoma in Cirrhosis: Incidence and Risk Factors", "type" : "article-journal" }, "uris" : [ "http://www.mendeley.com/documents/?uuid=ca1f4b96-e26f-4125-9938-8a7614ea5b26" ] } ], "mendeley" : { "formattedCitation" : "[30]", "plainTextFormattedCitation" : "[30]", "previouslyFormattedCitation" : "[30]" }, "properties" : { "noteIndex" : 0 }, "schema" : "https://github.com/citation-style-language/schema/raw/master/csl-citation.json" }</w:instrText>
            </w:r>
            <w:r w:rsidRPr="001339DB">
              <w:rPr>
                <w:rFonts w:ascii="Book Antiqua" w:eastAsia="Times New Roman" w:hAnsi="Book Antiqua" w:cs="Calibri"/>
                <w:sz w:val="24"/>
                <w:szCs w:val="24"/>
              </w:rPr>
              <w:fldChar w:fldCharType="separate"/>
            </w:r>
            <w:r w:rsidRPr="001339DB">
              <w:rPr>
                <w:rFonts w:ascii="Book Antiqua" w:eastAsia="Times New Roman" w:hAnsi="Book Antiqua" w:cs="Calibri"/>
                <w:noProof/>
                <w:sz w:val="24"/>
                <w:szCs w:val="24"/>
              </w:rPr>
              <w:t>[30]</w:t>
            </w:r>
            <w:r w:rsidRPr="001339DB">
              <w:rPr>
                <w:rFonts w:ascii="Book Antiqua" w:eastAsia="Times New Roman" w:hAnsi="Book Antiqua" w:cs="Calibri"/>
                <w:sz w:val="24"/>
                <w:szCs w:val="24"/>
              </w:rPr>
              <w:fldChar w:fldCharType="end"/>
            </w:r>
          </w:p>
        </w:tc>
      </w:tr>
      <w:tr w:rsidR="001339DB" w:rsidRPr="001339DB" w:rsidTr="00411545">
        <w:trPr>
          <w:trHeight w:val="285"/>
        </w:trPr>
        <w:tc>
          <w:tcPr>
            <w:tcW w:w="1809"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rPr>
                <w:rFonts w:ascii="Book Antiqua" w:eastAsia="Times New Roman" w:hAnsi="Book Antiqua" w:cs="Calibri"/>
                <w:sz w:val="24"/>
                <w:szCs w:val="24"/>
              </w:rPr>
            </w:pPr>
            <w:r w:rsidRPr="001339DB">
              <w:rPr>
                <w:rFonts w:ascii="Book Antiqua" w:eastAsia="Times New Roman" w:hAnsi="Book Antiqua" w:cs="Calibri"/>
                <w:sz w:val="24"/>
                <w:szCs w:val="24"/>
              </w:rPr>
              <w:t>DC</w:t>
            </w:r>
          </w:p>
        </w:tc>
        <w:tc>
          <w:tcPr>
            <w:tcW w:w="1560" w:type="dxa"/>
            <w:gridSpan w:val="3"/>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HCC</w:t>
            </w:r>
          </w:p>
        </w:tc>
        <w:tc>
          <w:tcPr>
            <w:tcW w:w="992"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2.15</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w:t>
            </w:r>
          </w:p>
        </w:tc>
        <w:tc>
          <w:tcPr>
            <w:tcW w:w="1418"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fldChar w:fldCharType="begin" w:fldLock="1"/>
            </w:r>
            <w:r w:rsidRPr="001339DB">
              <w:rPr>
                <w:rFonts w:ascii="Book Antiqua" w:eastAsia="Times New Roman" w:hAnsi="Book Antiqua" w:cs="Calibri"/>
                <w:sz w:val="24"/>
                <w:szCs w:val="24"/>
              </w:rPr>
              <w:instrText>ADDIN CSL_CITATION { "citationItems" : [ { "id" : "ITEM-1", "itemData" : { "DOI" : "10.1097/MCG.0b013e3182284e13", "ISBN" : "1539-2031", "ISSN" : "1539-2031", "PMID" : "21814145", "abstract" : "BACKGROUND: Prognosis of decompensated alcoholic cirrhosis is based mainly on studies that included patients with different severities of liver disease and did not recognize either hepatitis C virus epidemic or changes in clinical management of cirrhosis., AIM: To define the long-term course after the first hepatic decompensation in alcoholic cirrhosis., METHODS: Prospective inclusion at the start point of decompensated cirrhosis of 165 consecutive patients with alcoholic cirrhosis without known hepatocellular carcinoma hospitalized from January 1998 to December 2001 was made. Follow-up was maintained until death or the end of the observation period (April 1, 2010)., RESULTS: The patients were followed for 835.75 patient years. Median age was 56 years (95% confidence interval: 54-58). Baseline Child-Pugh score was 9 (95% CI: 8-9), and model for end-stage liver disease (MELD) was 13.8 (95% CI: 12.5-14.7). Ascites was the most frequent first decompensation (51%). During follow-up, 99 (60%) patients were abstinent, hepatocellular carcinoma developed in 18 (11%) patients, and 116 patients died (70%). Median overall survival was 61 months (95% CI: 48-74). Median survival probability after onset of hepatic encephalopathy (HE) was only 14 months (95% CI: 5-23). Age, baseline MELD, albumin, development of HE, and persistence of alcohol use were independently correlated with mortality., CONCLUSIONS: Patients with alcoholic cirrhosis show a high frequency of complications. The low mortality rate in our cohort of patients probably reflects the improvement in the management of patients with cirrhosis; it is mainly influenced by baseline MELD, age, HE development, and continued abstinence. Patients who develop HE should be considered for hepatic transplantation.", "author" : [ { "dropping-particle" : "", "family" : "Alvarez", "given" : "Marco Antonio", "non-dropping-particle" : "", "parse-names" : false, "suffix" : "" }, { "dropping-particle" : "", "family" : "Cirera", "given" : "Isabel", "non-dropping-particle" : "", "parse-names" : false, "suffix" : "" }, { "dropping-particle" : "", "family" : "Sola", "given" : "Ricard", "non-dropping-particle" : "", "parse-names" : false, "suffix" : "" }, { "dropping-particle" : "", "family" : "Bargallo", "given" : "Ana", "non-dropping-particle" : "", "parse-names" : false, "suffix" : "" }, { "dropping-particle" : "", "family" : "Morillas", "given" : "Rosa Maria", "non-dropping-particle" : "", "parse-names" : false, "suffix" : "" }, { "dropping-particle" : "", "family" : "Planas", "given" : "Ramon", "non-dropping-particle" : "", "parse-names" : false, "suffix" : "" } ], "container-title" : "Journal of clinical gastroenterology", "id" : "ITEM-1", "issue" : "10", "issued" : { "date-parts" : [ [ "2011" ] ] }, "page" : "906-911", "title" : "Long-term clinical course of decompensated alcoholic cirrhosis: a prospective study of 165 patients.", "type" : "article-journal", "volume" : "45" }, "uris" : [ "http://www.mendeley.com/documents/?uuid=099fdaad-6242-493e-ad51-39e8f749241a" ] } ], "mendeley" : { "formattedCitation" : "[24]", "plainTextFormattedCitation" : "[24]", "previouslyFormattedCitation" : "[24]" }, "properties" : { "noteIndex" : 0 }, "schema" : "https://github.com/citation-style-language/schema/raw/master/csl-citation.json" }</w:instrText>
            </w:r>
            <w:r w:rsidRPr="001339DB">
              <w:rPr>
                <w:rFonts w:ascii="Book Antiqua" w:eastAsia="Times New Roman" w:hAnsi="Book Antiqua" w:cs="Calibri"/>
                <w:sz w:val="24"/>
                <w:szCs w:val="24"/>
              </w:rPr>
              <w:fldChar w:fldCharType="separate"/>
            </w:r>
            <w:r w:rsidRPr="001339DB">
              <w:rPr>
                <w:rFonts w:ascii="Book Antiqua" w:eastAsia="Times New Roman" w:hAnsi="Book Antiqua" w:cs="Calibri"/>
                <w:noProof/>
                <w:sz w:val="24"/>
                <w:szCs w:val="24"/>
              </w:rPr>
              <w:t>[24]</w:t>
            </w:r>
            <w:r w:rsidRPr="001339DB">
              <w:rPr>
                <w:rFonts w:ascii="Book Antiqua" w:eastAsia="Times New Roman" w:hAnsi="Book Antiqua" w:cs="Calibri"/>
                <w:sz w:val="24"/>
                <w:szCs w:val="24"/>
              </w:rPr>
              <w:fldChar w:fldCharType="end"/>
            </w:r>
          </w:p>
        </w:tc>
      </w:tr>
      <w:tr w:rsidR="001339DB" w:rsidRPr="001339DB" w:rsidTr="00411545">
        <w:trPr>
          <w:trHeight w:val="285"/>
        </w:trPr>
        <w:tc>
          <w:tcPr>
            <w:tcW w:w="1809"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rPr>
                <w:rFonts w:ascii="Book Antiqua" w:eastAsia="Times New Roman" w:hAnsi="Book Antiqua" w:cs="Calibri"/>
                <w:sz w:val="24"/>
                <w:szCs w:val="24"/>
              </w:rPr>
            </w:pPr>
            <w:r w:rsidRPr="001339DB">
              <w:rPr>
                <w:rFonts w:ascii="Book Antiqua" w:eastAsia="Times New Roman" w:hAnsi="Book Antiqua" w:cs="Calibri"/>
                <w:sz w:val="24"/>
                <w:szCs w:val="24"/>
              </w:rPr>
              <w:t>DC/HCC</w:t>
            </w:r>
          </w:p>
        </w:tc>
        <w:tc>
          <w:tcPr>
            <w:tcW w:w="1560" w:type="dxa"/>
            <w:gridSpan w:val="3"/>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LTX</w:t>
            </w:r>
          </w:p>
        </w:tc>
        <w:tc>
          <w:tcPr>
            <w:tcW w:w="992"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2</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1−21</w:t>
            </w:r>
          </w:p>
        </w:tc>
        <w:tc>
          <w:tcPr>
            <w:tcW w:w="1418"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U(1;21)</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fldChar w:fldCharType="begin" w:fldLock="1"/>
            </w:r>
            <w:r w:rsidRPr="001339DB">
              <w:rPr>
                <w:rFonts w:ascii="Book Antiqua" w:eastAsia="Times New Roman" w:hAnsi="Book Antiqua" w:cs="Calibri"/>
                <w:sz w:val="24"/>
                <w:szCs w:val="24"/>
              </w:rPr>
              <w:instrText>ADDIN CSL_CITATION { "citationItems" : [ { "id" : "ITEM-1", "itemData" : { "DOI" : "10.1136/gut.52.3.425", "ISBN" : "0017-5749 (Print)\\r0017-5749 (Linking)", "ISSN" : "0017-5749", "PMID" : "12584228", "abstract" : "BACKGROUND: Peginterferon alpha-2b plus ribavirin therapy in previously untreated patients with chronic hepatitis C yields the highest sustained virological response rates of any treatment strategy but is expensive. AIMS: To estimate the cost effectiveness of treatment with peginterferon alpha-2b plus ribavirin compared with interferon alpha-2b plus ribavirin for initial treatment of patients with chronic hepatitis C. METHODS: Individual patient level data from a randomised clinical trial with peginterferon plus ribavirin were applied to a previously published and validated Markov model to project lifelong clinical outcomes. Quality of life and economic estimates were based on German patient data. We used a societal perspective and applied a 3% annual discount rate. RESULTS: Compared with no antiviral therapy, peginterferon plus fixed or weight based dosing of ribavirin increased life expectancy by 4.2 and 4.7 years, respectively. Compared with standard interferon alpha-2b plus ribavirin, peginterferon plus fixed or weight based dosing of ribavirin increased life expectancy by 0.5 and by 1.0 years with incremental cost effectiveness ratios of 11,800 euros and 6600 euros per quality adjusted life year (QALY), respectively. Subgroup analyses by genotype, viral load, sex, and histology showed that peginterferon plus weight based ribavirin remained cost effective compared with other well accepted medical treatments. CONCLUSIONS: Peginterferon alpha-2b plus ribavirin should reduce the incidence of liver complications, prolong life, improve quality of life, and be cost effective for the initial treatment of chronic hepatitis C.", "author" : [ { "dropping-particle" : "", "family" : "Siebert", "given" : "U", "non-dropping-particle" : "", "parse-names" : false, "suffix" : "" }, { "dropping-particle" : "", "family" : "Sroczynski", "given" : "G", "non-dropping-particle" : "", "parse-names" : false, "suffix" : "" }, { "dropping-particle" : "", "family" : "Rossol", "given" : "S", "non-dropping-particle" : "", "parse-names" : false, "suffix" : "" }, { "dropping-particle" : "", "family" : "Wasem", "given" : "J", "non-dropping-particle" : "", "parse-names" : false, "suffix" : "" }, { "dropping-particle" : "", "family" : "Ravens-Sieberer", "given" : "U", "non-dropping-particle" : "", "parse-names" : false, "suffix" : "" }, { "dropping-particle" : "", "family" : "Kurth", "given" : "B M", "non-dropping-particle" : "", "parse-names" : false, "suffix" : "" }, { "dropping-particle" : "", "family" : "Manns", "given" : "M P", "non-dropping-particle" : "", "parse-names" : false, "suffix" : "" }, { "dropping-particle" : "", "family" : "McHutchison", "given" : "J G", "non-dropping-particle" : "", "parse-names" : false, "suffix" : "" }, { "dropping-particle" : "", "family" : "Wong", "given" : "J B", "non-dropping-particle" : "", "parse-names" : false, "suffix" : "" } ], "container-title" : "Gut", "id" : "ITEM-1", "issue" : "3", "issued" : { "date-parts" : [ [ "2003" ] ] }, "page" : "425-432", "title" : "Cost effectiveness of peginterferon alpha-2b plus ribavirin versus interferon alpha-2b plus ribavirin for initial treatment of chronic hepatitis C.", "type" : "article-journal", "volume" : "52" }, "uris" : [ "http://www.mendeley.com/documents/?uuid=af89de81-8893-44a4-8c75-c754204c7a81" ] }, { "id" : "ITEM-2", "itemData" : { "DOI" : "10.1016/j.jval.2011.06.006", "ISBN" : "1524-4733", "ISSN" : "10983015", "PMID" : "22152176", "abstract" : "Published economic evaluations have reported available treatments for chronic hepatitis C to be cost-effective as part of the current approach to disease management, but as standards of care evolve, their approach to modeling should be reconsidered. This study aimed to review structural frameworks and key model parameters as reported in current economic evaluations for treatments for chronic hepatitis C, and model the impact of variability across parameters on results. A systematic review of studies published from 2000 to 2011 was performed. Studies were retrieved from five electronic databases using relevant search strategies. Model structures, disease progression rates, utilities, and costs were extracted from included studies, and were qualitatively reviewed and incorporated into a cost-utility model. Thirty-four studies were appropriate for data extraction. A common pathway of six disease states was identified. In some studies the early disease stages and/or the decompensated cirrhosis state were further subdivided. Large variability in values used for disease progression rates, utilities, and costs were identified. When incorporated into a model, incremental cost-effectiveness ratios (ICERs) varied: in the least favorable scenario, peginterferon plus ribavirin was dominated by interferon plus ribavirin; and in the most favorable scenario, peginterferon plus ribavirin dominated interferon plus ribavirin ($8,544 per quality-adjusted life year [QALY]; costs are given in 2008 US dollar amounts). Using mean values the ICER was $15,198 per QALY. Current models use a simplistic structure resulting from the lack of available data reflecting patient heterogeneity. Key model parameters are currently based on a small number of studies and the variability across these values can affect the interpretation of results. \u00a9 2011 International Society for Pharmacoeconomics and Outcomes Research (ISPOR).", "author" : [ { "dropping-particle" : "", "family" : "Townsend", "given" : "Rebecca", "non-dropping-particle" : "", "parse-names" : false, "suffix" : "" }, { "dropping-particle" : "", "family" : "McEwan", "given" : "Phil", "non-dropping-particle" : "", "parse-names" : false, "suffix" : "" }, { "dropping-particle" : "", "family" : "Kim", "given" : "Ray", "non-dropping-particle" : "", "parse-names" : false, "suffix" : "" }, { "dropping-particle" : "", "family" : "Yuan", "given" : "Yong", "non-dropping-particle" : "", "parse-names" : false, "suffix" : "" } ], "container-title" : "Value in Health", "id" : "ITEM-2", "issue" : "8", "issued" : { "date-parts" : [ [ "2011" ] ] }, "page" : "1068-1077", "publisher" : "Elsevier Inc.", "title" : "Structural frameworks and key model parameters in cost-effectiveness analyses for current and future treatments of chronic hepatitis C", "type" : "article-journal", "volume" : "14" }, "uris" : [ "http://www.mendeley.com/documents/?uuid=7d2fb2cf-1594-421c-a545-cb155c61f2e7" ] } ], "mendeley" : { "formattedCitation" : "[12,32]", "plainTextFormattedCitation" : "[12,32]", "previouslyFormattedCitation" : "[12,32]" }, "properties" : { "noteIndex" : 0 }, "schema" : "https://github.com/citation-style-language/schema/raw/master/csl-citation.json" }</w:instrText>
            </w:r>
            <w:r w:rsidRPr="001339DB">
              <w:rPr>
                <w:rFonts w:ascii="Book Antiqua" w:eastAsia="Times New Roman" w:hAnsi="Book Antiqua" w:cs="Calibri"/>
                <w:sz w:val="24"/>
                <w:szCs w:val="24"/>
              </w:rPr>
              <w:fldChar w:fldCharType="separate"/>
            </w:r>
            <w:r w:rsidRPr="001339DB">
              <w:rPr>
                <w:rFonts w:ascii="Book Antiqua" w:eastAsia="Times New Roman" w:hAnsi="Book Antiqua" w:cs="Calibri"/>
                <w:noProof/>
                <w:sz w:val="24"/>
                <w:szCs w:val="24"/>
              </w:rPr>
              <w:t>[12,32]</w:t>
            </w:r>
            <w:r w:rsidRPr="001339DB">
              <w:rPr>
                <w:rFonts w:ascii="Book Antiqua" w:eastAsia="Times New Roman" w:hAnsi="Book Antiqua" w:cs="Calibri"/>
                <w:sz w:val="24"/>
                <w:szCs w:val="24"/>
              </w:rPr>
              <w:fldChar w:fldCharType="end"/>
            </w:r>
          </w:p>
        </w:tc>
      </w:tr>
      <w:tr w:rsidR="001339DB" w:rsidRPr="001339DB" w:rsidTr="00411545">
        <w:trPr>
          <w:trHeight w:val="285"/>
        </w:trPr>
        <w:tc>
          <w:tcPr>
            <w:tcW w:w="1809"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rPr>
                <w:rFonts w:ascii="Book Antiqua" w:eastAsia="Times New Roman" w:hAnsi="Book Antiqua" w:cs="Calibri"/>
                <w:sz w:val="24"/>
                <w:szCs w:val="24"/>
              </w:rPr>
            </w:pPr>
            <w:r w:rsidRPr="001339DB">
              <w:rPr>
                <w:rFonts w:ascii="Book Antiqua" w:eastAsia="Times New Roman" w:hAnsi="Book Antiqua" w:cs="Calibri"/>
                <w:sz w:val="24"/>
                <w:szCs w:val="24"/>
              </w:rPr>
              <w:t>DC</w:t>
            </w:r>
          </w:p>
        </w:tc>
        <w:tc>
          <w:tcPr>
            <w:tcW w:w="1560" w:type="dxa"/>
            <w:gridSpan w:val="3"/>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Death</w:t>
            </w:r>
          </w:p>
        </w:tc>
        <w:tc>
          <w:tcPr>
            <w:tcW w:w="992"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17.5</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16−19</w:t>
            </w:r>
          </w:p>
        </w:tc>
        <w:tc>
          <w:tcPr>
            <w:tcW w:w="1418"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β(17.5;0.75)</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fldChar w:fldCharType="begin" w:fldLock="1"/>
            </w:r>
            <w:r w:rsidRPr="001339DB">
              <w:rPr>
                <w:rFonts w:ascii="Book Antiqua" w:eastAsia="Times New Roman" w:hAnsi="Book Antiqua" w:cs="Calibri"/>
                <w:sz w:val="24"/>
                <w:szCs w:val="24"/>
              </w:rPr>
              <w:instrText>ADDIN CSL_CITATION { "citationItems" : [ { "id" : "ITEM-1", "itemData" : { "DOI" : "10.1097/MCG.0b013e3182284e13", "ISBN" : "1539-2031", "ISSN" : "1539-2031", "PMID" : "21814145", "abstract" : "BACKGROUND: Prognosis of decompensated alcoholic cirrhosis is based mainly on studies that included patients with different severities of liver disease and did not recognize either hepatitis C virus epidemic or changes in clinical management of cirrhosis., AIM: To define the long-term course after the first hepatic decompensation in alcoholic cirrhosis., METHODS: Prospective inclusion at the start point of decompensated cirrhosis of 165 consecutive patients with alcoholic cirrhosis without known hepatocellular carcinoma hospitalized from January 1998 to December 2001 was made. Follow-up was maintained until death or the end of the observation period (April 1, 2010)., RESULTS: The patients were followed for 835.75 patient years. Median age was 56 years (95% confidence interval: 54-58). Baseline Child-Pugh score was 9 (95% CI: 8-9), and model for end-stage liver disease (MELD) was 13.8 (95% CI: 12.5-14.7). Ascites was the most frequent first decompensation (51%). During follow-up, 99 (60%) patients were abstinent, hepatocellular carcinoma developed in 18 (11%) patients, and 116 patients died (70%). Median overall survival was 61 months (95% CI: 48-74). Median survival probability after onset of hepatic encephalopathy (HE) was only 14 months (95% CI: 5-23). Age, baseline MELD, albumin, development of HE, and persistence of alcohol use were independently correlated with mortality., CONCLUSIONS: Patients with alcoholic cirrhosis show a high frequency of complications. The low mortality rate in our cohort of patients probably reflects the improvement in the management of patients with cirrhosis; it is mainly influenced by baseline MELD, age, HE development, and continued abstinence. Patients who develop HE should be considered for hepatic transplantation.", "author" : [ { "dropping-particle" : "", "family" : "Alvarez", "given" : "Marco Antonio", "non-dropping-particle" : "", "parse-names" : false, "suffix" : "" }, { "dropping-particle" : "", "family" : "Cirera", "given" : "Isabel", "non-dropping-particle" : "", "parse-names" : false, "suffix" : "" }, { "dropping-particle" : "", "family" : "Sola", "given" : "Ricard", "non-dropping-particle" : "", "parse-names" : false, "suffix" : "" }, { "dropping-particle" : "", "family" : "Bargallo", "given" : "Ana", "non-dropping-particle" : "", "parse-names" : false, "suffix" : "" }, { "dropping-particle" : "", "family" : "Morillas", "given" : "Rosa Maria", "non-dropping-particle" : "", "parse-names" : false, "suffix" : "" }, { "dropping-particle" : "", "family" : "Planas", "given" : "Ramon", "non-dropping-particle" : "", "parse-names" : false, "suffix" : "" } ], "container-title" : "Journal of clinical gastroenterology", "id" : "ITEM-1", "issue" : "10", "issued" : { "date-parts" : [ [ "2011" ] ] }, "page" : "906-911", "title" : "Long-term clinical course of decompensated alcoholic cirrhosis: a prospective study of 165 patients.", "type" : "article-journal", "volume" : "45" }, "uris" : [ "http://www.mendeley.com/documents/?uuid=099fdaad-6242-493e-ad51-39e8f749241a" ] } ], "mendeley" : { "formattedCitation" : "[24]", "plainTextFormattedCitation" : "[24]", "previouslyFormattedCitation" : "[24]" }, "properties" : { "noteIndex" : 0 }, "schema" : "https://github.com/citation-style-language/schema/raw/master/csl-citation.json" }</w:instrText>
            </w:r>
            <w:r w:rsidRPr="001339DB">
              <w:rPr>
                <w:rFonts w:ascii="Book Antiqua" w:eastAsia="Times New Roman" w:hAnsi="Book Antiqua" w:cs="Calibri"/>
                <w:sz w:val="24"/>
                <w:szCs w:val="24"/>
              </w:rPr>
              <w:fldChar w:fldCharType="separate"/>
            </w:r>
            <w:r w:rsidRPr="001339DB">
              <w:rPr>
                <w:rFonts w:ascii="Book Antiqua" w:eastAsia="Times New Roman" w:hAnsi="Book Antiqua" w:cs="Calibri"/>
                <w:noProof/>
                <w:sz w:val="24"/>
                <w:szCs w:val="24"/>
              </w:rPr>
              <w:t>[24]</w:t>
            </w:r>
            <w:r w:rsidRPr="001339DB">
              <w:rPr>
                <w:rFonts w:ascii="Book Antiqua" w:eastAsia="Times New Roman" w:hAnsi="Book Antiqua" w:cs="Calibri"/>
                <w:sz w:val="24"/>
                <w:szCs w:val="24"/>
              </w:rPr>
              <w:fldChar w:fldCharType="end"/>
            </w:r>
          </w:p>
        </w:tc>
      </w:tr>
      <w:tr w:rsidR="001339DB" w:rsidRPr="001339DB" w:rsidTr="00411545">
        <w:trPr>
          <w:trHeight w:val="285"/>
        </w:trPr>
        <w:tc>
          <w:tcPr>
            <w:tcW w:w="1809"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rPr>
                <w:rFonts w:ascii="Book Antiqua" w:eastAsia="Times New Roman" w:hAnsi="Book Antiqua" w:cs="Calibri"/>
                <w:sz w:val="24"/>
                <w:szCs w:val="24"/>
              </w:rPr>
            </w:pPr>
            <w:r w:rsidRPr="001339DB">
              <w:rPr>
                <w:rFonts w:ascii="Book Antiqua" w:eastAsia="Times New Roman" w:hAnsi="Book Antiqua" w:cs="Calibri"/>
                <w:sz w:val="24"/>
                <w:szCs w:val="24"/>
              </w:rPr>
              <w:t>HCC</w:t>
            </w:r>
          </w:p>
        </w:tc>
        <w:tc>
          <w:tcPr>
            <w:tcW w:w="1560" w:type="dxa"/>
            <w:gridSpan w:val="3"/>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Death</w:t>
            </w:r>
          </w:p>
        </w:tc>
        <w:tc>
          <w:tcPr>
            <w:tcW w:w="992"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43</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w:t>
            </w:r>
          </w:p>
        </w:tc>
        <w:tc>
          <w:tcPr>
            <w:tcW w:w="1418"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 xml:space="preserve">Assumed </w:t>
            </w:r>
            <w:r w:rsidRPr="001339DB">
              <w:rPr>
                <w:rFonts w:ascii="Book Antiqua" w:eastAsia="Times New Roman" w:hAnsi="Book Antiqua" w:cs="Calibri"/>
                <w:sz w:val="24"/>
                <w:szCs w:val="24"/>
              </w:rPr>
              <w:br/>
              <w:t>as for HCV</w:t>
            </w:r>
          </w:p>
        </w:tc>
      </w:tr>
      <w:tr w:rsidR="001339DB" w:rsidRPr="001339DB" w:rsidTr="00411545">
        <w:trPr>
          <w:trHeight w:val="285"/>
        </w:trPr>
        <w:tc>
          <w:tcPr>
            <w:tcW w:w="1809"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rPr>
                <w:rFonts w:ascii="Book Antiqua" w:eastAsia="Times New Roman" w:hAnsi="Book Antiqua" w:cs="Calibri"/>
                <w:sz w:val="24"/>
                <w:szCs w:val="24"/>
              </w:rPr>
            </w:pPr>
            <w:r w:rsidRPr="001339DB">
              <w:rPr>
                <w:rFonts w:ascii="Book Antiqua" w:eastAsia="Times New Roman" w:hAnsi="Book Antiqua" w:cs="Calibri"/>
                <w:sz w:val="24"/>
                <w:szCs w:val="24"/>
              </w:rPr>
              <w:t>LTX</w:t>
            </w:r>
          </w:p>
        </w:tc>
        <w:tc>
          <w:tcPr>
            <w:tcW w:w="1560" w:type="dxa"/>
            <w:gridSpan w:val="3"/>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Death</w:t>
            </w:r>
          </w:p>
        </w:tc>
        <w:tc>
          <w:tcPr>
            <w:tcW w:w="992"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19</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18−20</w:t>
            </w:r>
          </w:p>
        </w:tc>
        <w:tc>
          <w:tcPr>
            <w:tcW w:w="1418"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fldChar w:fldCharType="begin" w:fldLock="1"/>
            </w:r>
            <w:r w:rsidRPr="001339DB">
              <w:rPr>
                <w:rFonts w:ascii="Book Antiqua" w:eastAsia="Times New Roman" w:hAnsi="Book Antiqua" w:cs="Calibri"/>
                <w:sz w:val="24"/>
                <w:szCs w:val="24"/>
              </w:rPr>
              <w:instrText>ADDIN CSL_CITATION { "citationItems" : [ { "id" : "ITEM-1", "itemData" : { "DOI" : "10.1016/j.lts.2003.09.018", "ISSN" : "15276465", "PMID" : "14625822", "abstract" : "The European Liver Transplant Registry (ELTR) currently allows for the analysis of 44,286 liver transplantations (LTs) performed on 39,196 patients in a 13-year period. After an exponential increase, the number of LTs is plateauing due to a lack of organs. To cope with this, alternatives to cadaveric LT, such as split LT, domino LT, or living-related LT (LRLT) are being used increasingly. They now account for 11% of all procedures. One of the most important findings in the evolution of LT is the considerable improvement of results along time with, for the mean time, a one-year survival of 83%, all indications confounded. The improvement is particularly significant for cancers. This improvement is mainly represented by hepatocellular carcinoma, with a gain of 17% for 5-year survival rate from 1990 to 2000. Increasingly, older donors are used to augment the donor pool and older recipients are transplanted due to improved results and a better selection of patients. More than two thirds of deaths and three quarters of retransplantations occurred within the first year of transplantation. Retransplantation is associated with much less optimal results than first LT. One of the prominent features of recent years is the development of LRLT. LRLT is now performed by almost half of the European centers. As with split LT or domino LT, LRLT aims to provide more patients to be transplanted. Special attention is paid to reducing the risk for the donor, which is now estimated to be 0.5% mortality and 21% postoperative morbidity.", "author" : [ { "dropping-particle" : "", "family" : "Adam", "given" : "Ren\u00e9", "non-dropping-particle" : "", "parse-names" : false, "suffix" : "" }, { "dropping-particle" : "", "family" : "McMaster", "given" : "Paul", "non-dropping-particle" : "", "parse-names" : false, "suffix" : "" }, { "dropping-particle" : "", "family" : "O'Grady", "given" : "John G.", "non-dropping-particle" : "", "parse-names" : false, "suffix" : "" }, { "dropping-particle" : "", "family" : "Castaing", "given" : "Denis", "non-dropping-particle" : "", "parse-names" : false, "suffix" : "" }, { "dropping-particle" : "", "family" : "Klempnauer", "given" : "Jurgen L.", "non-dropping-particle" : "", "parse-names" : false, "suffix" : "" }, { "dropping-particle" : "", "family" : "Jamieson", "given" : "Neville", "non-dropping-particle" : "", "parse-names" : false, "suffix" : "" }, { "dropping-particle" : "", "family" : "Neuhaus", "given" : "Peter", "non-dropping-particle" : "", "parse-names" : false, "suffix" : "" }, { "dropping-particle" : "", "family" : "Lerut", "given" : "Jan", "non-dropping-particle" : "", "parse-names" : false, "suffix" : "" }, { "dropping-particle" : "", "family" : "Salizzoni", "given" : "Mauro", "non-dropping-particle" : "", "parse-names" : false, "suffix" : "" }, { "dropping-particle" : "", "family" : "Pollard", "given" : "Stephen", "non-dropping-particle" : "", "parse-names" : false, "suffix" : "" }, { "dropping-particle" : "", "family" : "Muhlbacher", "given" : "Ferdinand", "non-dropping-particle" : "", "parse-names" : false, "suffix" : "" }, { "dropping-particle" : "", "family" : "Rogiers", "given" : "Xavier", "non-dropping-particle" : "", "parse-names" : false, "suffix" : "" }, { "dropping-particle" : "", "family" : "Garcia Valdecasas", "given" : "Juan Carlos", "non-dropping-particle" : "", "parse-names" : false, "suffix" : "" }, { "dropping-particle" : "", "family" : "Berenguer", "given" : "Joaquin", "non-dropping-particle" : "", "parse-names" : false, "suffix" : "" }, { "dropping-particle" : "", "family" : "Jaeck", "given" : "Daniel", "non-dropping-particle" : "", "parse-names" : false, "suffix" : "" }, { "dropping-particle" : "", "family" : "Moreno Gonzalez", "given" : "Enrique", "non-dropping-particle" : "", "parse-names" : false, "suffix" : "" } ], "container-title" : "Liver Transplantation", "id" : "ITEM-1", "issue" : "12", "issued" : { "date-parts" : [ [ "2003" ] ] }, "page" : "1231-1243", "title" : "Evolution of liver transplantation in Europe: Report of the European Liver Transplant Registry", "type" : "article-journal", "volume" : "9" }, "uris" : [ "http://www.mendeley.com/documents/?uuid=b0a5ded0-16bb-43a4-aa83-a6eb8eb80720" ] } ], "mendeley" : { "formattedCitation" : "[33]", "plainTextFormattedCitation" : "[33]", "previouslyFormattedCitation" : "[33]" }, "properties" : { "noteIndex" : 0 }, "schema" : "https://github.com/citation-style-language/schema/raw/master/csl-citation.json" }</w:instrText>
            </w:r>
            <w:r w:rsidRPr="001339DB">
              <w:rPr>
                <w:rFonts w:ascii="Book Antiqua" w:eastAsia="Times New Roman" w:hAnsi="Book Antiqua" w:cs="Calibri"/>
                <w:sz w:val="24"/>
                <w:szCs w:val="24"/>
              </w:rPr>
              <w:fldChar w:fldCharType="separate"/>
            </w:r>
            <w:r w:rsidRPr="001339DB">
              <w:rPr>
                <w:rFonts w:ascii="Book Antiqua" w:eastAsia="Times New Roman" w:hAnsi="Book Antiqua" w:cs="Calibri"/>
                <w:noProof/>
                <w:sz w:val="24"/>
                <w:szCs w:val="24"/>
              </w:rPr>
              <w:t>[33]</w:t>
            </w:r>
            <w:r w:rsidRPr="001339DB">
              <w:rPr>
                <w:rFonts w:ascii="Book Antiqua" w:eastAsia="Times New Roman" w:hAnsi="Book Antiqua" w:cs="Calibri"/>
                <w:sz w:val="24"/>
                <w:szCs w:val="24"/>
              </w:rPr>
              <w:fldChar w:fldCharType="end"/>
            </w:r>
          </w:p>
        </w:tc>
      </w:tr>
      <w:tr w:rsidR="001339DB" w:rsidRPr="001339DB" w:rsidTr="00411545">
        <w:trPr>
          <w:trHeight w:val="285"/>
        </w:trPr>
        <w:tc>
          <w:tcPr>
            <w:tcW w:w="1809"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rPr>
                <w:rFonts w:ascii="Book Antiqua" w:eastAsia="Times New Roman" w:hAnsi="Book Antiqua" w:cs="Calibri"/>
                <w:sz w:val="24"/>
                <w:szCs w:val="24"/>
              </w:rPr>
            </w:pPr>
            <w:r w:rsidRPr="001339DB">
              <w:rPr>
                <w:rFonts w:ascii="Book Antiqua" w:eastAsia="Times New Roman" w:hAnsi="Book Antiqua" w:cs="Calibri"/>
                <w:sz w:val="24"/>
                <w:szCs w:val="24"/>
              </w:rPr>
              <w:t>Post-LTX</w:t>
            </w:r>
          </w:p>
        </w:tc>
        <w:tc>
          <w:tcPr>
            <w:tcW w:w="1560" w:type="dxa"/>
            <w:gridSpan w:val="3"/>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Death</w:t>
            </w:r>
          </w:p>
        </w:tc>
        <w:tc>
          <w:tcPr>
            <w:tcW w:w="992"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4.6</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w:t>
            </w:r>
          </w:p>
        </w:tc>
        <w:tc>
          <w:tcPr>
            <w:tcW w:w="1418"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fldChar w:fldCharType="begin" w:fldLock="1"/>
            </w:r>
            <w:r w:rsidRPr="001339DB">
              <w:rPr>
                <w:rFonts w:ascii="Book Antiqua" w:eastAsia="Times New Roman" w:hAnsi="Book Antiqua" w:cs="Calibri"/>
                <w:sz w:val="24"/>
                <w:szCs w:val="24"/>
              </w:rPr>
              <w:instrText>ADDIN CSL_CITATION { "citationItems" : [ { "id" : "ITEM-1", "itemData" : { "DOI" : "10.1016/j.lts.2003.09.018", "ISSN" : "15276465", "PMID" : "14625822", "abstract" : "The European Liver Transplant Registry (ELTR) currently allows for the analysis of 44,286 liver transplantations (LTs) performed on 39,196 patients in a 13-year period. After an exponential increase, the number of LTs is plateauing due to a lack of organs. To cope with this, alternatives to cadaveric LT, such as split LT, domino LT, or living-related LT (LRLT) are being used increasingly. They now account for 11% of all procedures. One of the most important findings in the evolution of LT is the considerable improvement of results along time with, for the mean time, a one-year survival of 83%, all indications confounded. The improvement is particularly significant for cancers. This improvement is mainly represented by hepatocellular carcinoma, with a gain of 17% for 5-year survival rate from 1990 to 2000. Increasingly, older donors are used to augment the donor pool and older recipients are transplanted due to improved results and a better selection of patients. More than two thirds of deaths and three quarters of retransplantations occurred within the first year of transplantation. Retransplantation is associated with much less optimal results than first LT. One of the prominent features of recent years is the development of LRLT. LRLT is now performed by almost half of the European centers. As with split LT or domino LT, LRLT aims to provide more patients to be transplanted. Special attention is paid to reducing the risk for the donor, which is now estimated to be 0.5% mortality and 21% postoperative morbidity.", "author" : [ { "dropping-particle" : "", "family" : "Adam", "given" : "Ren\u00e9", "non-dropping-particle" : "", "parse-names" : false, "suffix" : "" }, { "dropping-particle" : "", "family" : "McMaster", "given" : "Paul", "non-dropping-particle" : "", "parse-names" : false, "suffix" : "" }, { "dropping-particle" : "", "family" : "O'Grady", "given" : "John G.", "non-dropping-particle" : "", "parse-names" : false, "suffix" : "" }, { "dropping-particle" : "", "family" : "Castaing", "given" : "Denis", "non-dropping-particle" : "", "parse-names" : false, "suffix" : "" }, { "dropping-particle" : "", "family" : "Klempnauer", "given" : "Jurgen L.", "non-dropping-particle" : "", "parse-names" : false, "suffix" : "" }, { "dropping-particle" : "", "family" : "Jamieson", "given" : "Neville", "non-dropping-particle" : "", "parse-names" : false, "suffix" : "" }, { "dropping-particle" : "", "family" : "Neuhaus", "given" : "Peter", "non-dropping-particle" : "", "parse-names" : false, "suffix" : "" }, { "dropping-particle" : "", "family" : "Lerut", "given" : "Jan", "non-dropping-particle" : "", "parse-names" : false, "suffix" : "" }, { "dropping-particle" : "", "family" : "Salizzoni", "given" : "Mauro", "non-dropping-particle" : "", "parse-names" : false, "suffix" : "" }, { "dropping-particle" : "", "family" : "Pollard", "given" : "Stephen", "non-dropping-particle" : "", "parse-names" : false, "suffix" : "" }, { "dropping-particle" : "", "family" : "Muhlbacher", "given" : "Ferdinand", "non-dropping-particle" : "", "parse-names" : false, "suffix" : "" }, { "dropping-particle" : "", "family" : "Rogiers", "given" : "Xavier", "non-dropping-particle" : "", "parse-names" : false, "suffix" : "" }, { "dropping-particle" : "", "family" : "Garcia Valdecasas", "given" : "Juan Carlos", "non-dropping-particle" : "", "parse-names" : false, "suffix" : "" }, { "dropping-particle" : "", "family" : "Berenguer", "given" : "Joaquin", "non-dropping-particle" : "", "parse-names" : false, "suffix" : "" }, { "dropping-particle" : "", "family" : "Jaeck", "given" : "Daniel", "non-dropping-particle" : "", "parse-names" : false, "suffix" : "" }, { "dropping-particle" : "", "family" : "Moreno Gonzalez", "given" : "Enrique", "non-dropping-particle" : "", "parse-names" : false, "suffix" : "" } ], "container-title" : "Liver Transplantation", "id" : "ITEM-1", "issue" : "12", "issued" : { "date-parts" : [ [ "2003" ] ] }, "page" : "1231-1243", "title" : "Evolution of liver transplantation in Europe: Report of the European Liver Transplant Registry", "type" : "article-journal", "volume" : "9" }, "uris" : [ "http://www.mendeley.com/documents/?uuid=b0a5ded0-16bb-43a4-aa83-a6eb8eb80720" ] } ], "mendeley" : { "formattedCitation" : "[33]", "plainTextFormattedCitation" : "[33]", "previouslyFormattedCitation" : "[33]" }, "properties" : { "noteIndex" : 0 }, "schema" : "https://github.com/citation-style-language/schema/raw/master/csl-citation.json" }</w:instrText>
            </w:r>
            <w:r w:rsidRPr="001339DB">
              <w:rPr>
                <w:rFonts w:ascii="Book Antiqua" w:eastAsia="Times New Roman" w:hAnsi="Book Antiqua" w:cs="Calibri"/>
                <w:sz w:val="24"/>
                <w:szCs w:val="24"/>
              </w:rPr>
              <w:fldChar w:fldCharType="separate"/>
            </w:r>
            <w:r w:rsidRPr="001339DB">
              <w:rPr>
                <w:rFonts w:ascii="Book Antiqua" w:eastAsia="Times New Roman" w:hAnsi="Book Antiqua" w:cs="Calibri"/>
                <w:noProof/>
                <w:sz w:val="24"/>
                <w:szCs w:val="24"/>
              </w:rPr>
              <w:t>[33]</w:t>
            </w:r>
            <w:r w:rsidRPr="001339DB">
              <w:rPr>
                <w:rFonts w:ascii="Book Antiqua" w:eastAsia="Times New Roman" w:hAnsi="Book Antiqua" w:cs="Calibri"/>
                <w:sz w:val="24"/>
                <w:szCs w:val="24"/>
              </w:rPr>
              <w:fldChar w:fldCharType="end"/>
            </w:r>
          </w:p>
        </w:tc>
      </w:tr>
      <w:tr w:rsidR="001339DB" w:rsidRPr="001339DB" w:rsidTr="00411545">
        <w:trPr>
          <w:trHeight w:val="285"/>
        </w:trPr>
        <w:tc>
          <w:tcPr>
            <w:tcW w:w="1809"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rPr>
                <w:rFonts w:ascii="Book Antiqua" w:eastAsia="Times New Roman" w:hAnsi="Book Antiqua" w:cs="Calibri"/>
                <w:sz w:val="24"/>
                <w:szCs w:val="24"/>
              </w:rPr>
            </w:pPr>
          </w:p>
        </w:tc>
        <w:tc>
          <w:tcPr>
            <w:tcW w:w="1560" w:type="dxa"/>
            <w:gridSpan w:val="3"/>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p>
        </w:tc>
        <w:tc>
          <w:tcPr>
            <w:tcW w:w="992"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p>
        </w:tc>
        <w:tc>
          <w:tcPr>
            <w:tcW w:w="1418"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p>
        </w:tc>
      </w:tr>
      <w:tr w:rsidR="00D96EE7" w:rsidRPr="001339DB" w:rsidTr="00C731E9">
        <w:trPr>
          <w:trHeight w:val="285"/>
        </w:trPr>
        <w:tc>
          <w:tcPr>
            <w:tcW w:w="8613" w:type="dxa"/>
            <w:gridSpan w:val="8"/>
            <w:tcBorders>
              <w:top w:val="nil"/>
              <w:left w:val="nil"/>
              <w:bottom w:val="single" w:sz="4" w:space="0" w:color="auto"/>
              <w:right w:val="nil"/>
            </w:tcBorders>
            <w:shd w:val="clear" w:color="auto" w:fill="auto"/>
            <w:vAlign w:val="bottom"/>
            <w:hideMark/>
          </w:tcPr>
          <w:p w:rsidR="00D96EE7" w:rsidRPr="001339DB" w:rsidRDefault="00D96EE7" w:rsidP="00D96EE7">
            <w:pPr>
              <w:adjustRightInd w:val="0"/>
              <w:snapToGrid w:val="0"/>
              <w:spacing w:after="0" w:line="360" w:lineRule="auto"/>
              <w:rPr>
                <w:rFonts w:ascii="Book Antiqua" w:eastAsia="Times New Roman" w:hAnsi="Book Antiqua" w:cs="Calibri"/>
                <w:sz w:val="24"/>
                <w:szCs w:val="24"/>
              </w:rPr>
            </w:pPr>
            <w:r w:rsidRPr="001339DB">
              <w:rPr>
                <w:rFonts w:ascii="Book Antiqua" w:eastAsia="Times New Roman" w:hAnsi="Book Antiqua" w:cs="Calibri"/>
                <w:b/>
                <w:sz w:val="24"/>
                <w:szCs w:val="24"/>
              </w:rPr>
              <w:t>Abstinence rate following therapy (%)</w:t>
            </w:r>
          </w:p>
        </w:tc>
      </w:tr>
      <w:tr w:rsidR="001339DB" w:rsidRPr="001339DB" w:rsidTr="00411545">
        <w:trPr>
          <w:trHeight w:val="285"/>
        </w:trPr>
        <w:tc>
          <w:tcPr>
            <w:tcW w:w="1809"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rPr>
                <w:rFonts w:ascii="Book Antiqua" w:eastAsia="Times New Roman" w:hAnsi="Book Antiqua" w:cs="Calibri"/>
                <w:sz w:val="24"/>
                <w:szCs w:val="24"/>
              </w:rPr>
            </w:pPr>
            <w:r w:rsidRPr="001339DB">
              <w:rPr>
                <w:rFonts w:ascii="Book Antiqua" w:eastAsia="Times New Roman" w:hAnsi="Book Antiqua" w:cs="Calibri"/>
                <w:sz w:val="24"/>
                <w:szCs w:val="24"/>
              </w:rPr>
              <w:t>If diagnosed F2-F3</w:t>
            </w:r>
          </w:p>
        </w:tc>
        <w:tc>
          <w:tcPr>
            <w:tcW w:w="1560" w:type="dxa"/>
            <w:gridSpan w:val="3"/>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p>
        </w:tc>
        <w:tc>
          <w:tcPr>
            <w:tcW w:w="992"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27</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14−43</w:t>
            </w:r>
          </w:p>
        </w:tc>
        <w:tc>
          <w:tcPr>
            <w:tcW w:w="1418"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β(27;7)</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fldChar w:fldCharType="begin" w:fldLock="1"/>
            </w:r>
            <w:r w:rsidRPr="001339DB">
              <w:rPr>
                <w:rFonts w:ascii="Book Antiqua" w:eastAsia="Times New Roman" w:hAnsi="Book Antiqua" w:cs="Calibri"/>
                <w:sz w:val="24"/>
                <w:szCs w:val="24"/>
              </w:rPr>
              <w:instrText>ADDIN CSL_CITATION { "citationItems" : [ { "id" : "ITEM-1", "itemData" : { "DOI" : "10.1093/alcalc/agn046", "ISSN" : "07350414", "PMID" : "18621800", "abstract" : "BACKGROUND: Liver biopsy indication for the evaluation of alcoholic liver disease is controversial. Our aim was to investigate the influence of the biopsy on the patients' motivation for abstinence. METHODS: We retrospectively analysed, in a population of 324 patients hospitalized for alcohol withdrawal, the impact of liver biopsy on the following clinical outcomes: rapid loss to follow-up (immediately after hospital discharge), early relapse (&lt; 3 months) and long-lasting abstinence (&gt; 12 months). The biopsy was performed in 136 patients who had liver enzymes perturbations. Hepatic lesions were graded as mild (isolated steatosis and/or non-bridging fibrosis), moderate (bridging fibrosis and/or moderate alcoholic hepatitis) or severe (cirrhosis and/or marked alcoholic hepatitis) in 66 (48%), 41 (30%) and 29 (21%) cases, respectively. RESULTS: In univariate analysis, patients who had a liver biopsy were less likely to be rapidly lost to follow-up (12% versus 27%, P = 0.003) but had a lower rate of long-term abstinence (20% versus 34%, P = 0.025). In multivariate analysis, age was the only factor significantly associated with clinical outcome: older patients had higher rate of long-term abstinence (OR = 1.041; P = 0.010). Among patients who had a biopsy, those with severe hepatic lesions had a lower rate of rapid relapse than those with moderate or mild lesions (32% versus 68% and 56%, P = 0.018) but the rate of long-term abstinence was similar in the three groups. CONCLUSION: This observational study does not support the notion that liver biopsy has a significant influence on the maintenance of alcohol abstinence in patients with alcoholic liver disease.", "author" : [ { "dropping-particle" : "", "family" : "Trabut", "given" : "Jean Baptiste", "non-dropping-particle" : "", "parse-names" : false, "suffix" : "" }, { "dropping-particle" : "", "family" : "Plat", "given" : "Arnaud", "non-dropping-particle" : "", "parse-names" : false, "suffix" : "" }, { "dropping-particle" : "", "family" : "Thepot", "given" : "V\u00e9ronique", "non-dropping-particle" : "", "parse-names" : false, "suffix" : "" }, { "dropping-particle" : "", "family" : "Fontaine", "given" : "H\u00e9l\u00e8ne", "non-dropping-particle" : "", "parse-names" : false, "suffix" : "" }, { "dropping-particle" : "", "family" : "Vallet-Pichard", "given" : "Ana\u00efs", "non-dropping-particle" : "", "parse-names" : false, "suffix" : "" }, { "dropping-particle" : "", "family" : "Nalpas", "given" : "Bertrand", "non-dropping-particle" : "", "parse-names" : false, "suffix" : "" }, { "dropping-particle" : "", "family" : "Pol", "given" : "Stanislas", "non-dropping-particle" : "", "parse-names" : false, "suffix" : "" } ], "container-title" : "Alcohol and Alcoholism", "id" : "ITEM-1", "issue" : "5", "issued" : { "date-parts" : [ [ "2008" ] ] }, "page" : "559-563", "title" : "Influence of liver biopsy on abstinence in alcohol-dependent patients", "type" : "article-journal", "volume" : "43" }, "uris" : [ "http://www.mendeley.com/documents/?uuid=b66d0633-3e12-455a-b5a1-6ed148012f72" ] } ], "mendeley" : { "formattedCitation" : "[35]", "plainTextFormattedCitation" : "[35]", "previouslyFormattedCitation" : "[35]" }, "properties" : { "noteIndex" : 0 }, "schema" : "https://github.com/citation-style-language/schema/raw/master/csl-citation.json" }</w:instrText>
            </w:r>
            <w:r w:rsidRPr="001339DB">
              <w:rPr>
                <w:rFonts w:ascii="Book Antiqua" w:eastAsia="Times New Roman" w:hAnsi="Book Antiqua" w:cs="Calibri"/>
                <w:sz w:val="24"/>
                <w:szCs w:val="24"/>
              </w:rPr>
              <w:fldChar w:fldCharType="separate"/>
            </w:r>
            <w:r w:rsidRPr="001339DB">
              <w:rPr>
                <w:rFonts w:ascii="Book Antiqua" w:eastAsia="Times New Roman" w:hAnsi="Book Antiqua" w:cs="Calibri"/>
                <w:noProof/>
                <w:sz w:val="24"/>
                <w:szCs w:val="24"/>
              </w:rPr>
              <w:t>[35]</w:t>
            </w:r>
            <w:r w:rsidRPr="001339DB">
              <w:rPr>
                <w:rFonts w:ascii="Book Antiqua" w:eastAsia="Times New Roman" w:hAnsi="Book Antiqua" w:cs="Calibri"/>
                <w:sz w:val="24"/>
                <w:szCs w:val="24"/>
              </w:rPr>
              <w:fldChar w:fldCharType="end"/>
            </w:r>
          </w:p>
        </w:tc>
      </w:tr>
      <w:tr w:rsidR="001339DB" w:rsidRPr="001339DB" w:rsidTr="00411545">
        <w:trPr>
          <w:trHeight w:val="285"/>
        </w:trPr>
        <w:tc>
          <w:tcPr>
            <w:tcW w:w="1809"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rPr>
                <w:rFonts w:ascii="Book Antiqua" w:eastAsia="Times New Roman" w:hAnsi="Book Antiqua" w:cs="Calibri"/>
                <w:sz w:val="24"/>
                <w:szCs w:val="24"/>
              </w:rPr>
            </w:pPr>
            <w:r w:rsidRPr="001339DB">
              <w:rPr>
                <w:rFonts w:ascii="Book Antiqua" w:eastAsia="Times New Roman" w:hAnsi="Book Antiqua" w:cs="Calibri"/>
                <w:sz w:val="24"/>
                <w:szCs w:val="24"/>
              </w:rPr>
              <w:t>If diagnosed F4</w:t>
            </w:r>
          </w:p>
        </w:tc>
        <w:tc>
          <w:tcPr>
            <w:tcW w:w="1560" w:type="dxa"/>
            <w:gridSpan w:val="3"/>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p>
        </w:tc>
        <w:tc>
          <w:tcPr>
            <w:tcW w:w="992"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66</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46−82</w:t>
            </w:r>
          </w:p>
        </w:tc>
        <w:tc>
          <w:tcPr>
            <w:tcW w:w="1418"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β(66;9)</w:t>
            </w: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fldChar w:fldCharType="begin" w:fldLock="1"/>
            </w:r>
            <w:r w:rsidRPr="001339DB">
              <w:rPr>
                <w:rFonts w:ascii="Book Antiqua" w:eastAsia="Times New Roman" w:hAnsi="Book Antiqua" w:cs="Calibri"/>
                <w:sz w:val="24"/>
                <w:szCs w:val="24"/>
              </w:rPr>
              <w:instrText>ADDIN CSL_CITATION { "citationItems" : [ { "id" : "ITEM-1", "itemData" : { "DOI" : "10.1093/alcalc/agn046", "ISSN" : "07350414", "PMID" : "18621800", "abstract" : "BACKGROUND: Liver biopsy indication for the evaluation of alcoholic liver disease is controversial. Our aim was to investigate the influence of the biopsy on the patients' motivation for abstinence. METHODS: We retrospectively analysed, in a population of 324 patients hospitalized for alcohol withdrawal, the impact of liver biopsy on the following clinical outcomes: rapid loss to follow-up (immediately after hospital discharge), early relapse (&lt; 3 months) and long-lasting abstinence (&gt; 12 months). The biopsy was performed in 136 patients who had liver enzymes perturbations. Hepatic lesions were graded as mild (isolated steatosis and/or non-bridging fibrosis), moderate (bridging fibrosis and/or moderate alcoholic hepatitis) or severe (cirrhosis and/or marked alcoholic hepatitis) in 66 (48%), 41 (30%) and 29 (21%) cases, respectively. RESULTS: In univariate analysis, patients who had a liver biopsy were less likely to be rapidly lost to follow-up (12% versus 27%, P = 0.003) but had a lower rate of long-term abstinence (20% versus 34%, P = 0.025). In multivariate analysis, age was the only factor significantly associated with clinical outcome: older patients had higher rate of long-term abstinence (OR = 1.041; P = 0.010). Among patients who had a biopsy, those with severe hepatic lesions had a lower rate of rapid relapse than those with moderate or mild lesions (32% versus 68% and 56%, P = 0.018) but the rate of long-term abstinence was similar in the three groups. CONCLUSION: This observational study does not support the notion that liver biopsy has a significant influence on the maintenance of alcohol abstinence in patients with alcoholic liver disease.", "author" : [ { "dropping-particle" : "", "family" : "Trabut", "given" : "Jean Baptiste", "non-dropping-particle" : "", "parse-names" : false, "suffix" : "" }, { "dropping-particle" : "", "family" : "Plat", "given" : "Arnaud", "non-dropping-particle" : "", "parse-names" : false, "suffix" : "" }, { "dropping-particle" : "", "family" : "Thepot", "given" : "V\u00e9ronique", "non-dropping-particle" : "", "parse-names" : false, "suffix" : "" }, { "dropping-particle" : "", "family" : "Fontaine", "given" : "H\u00e9l\u00e8ne", "non-dropping-particle" : "", "parse-names" : false, "suffix" : "" }, { "dropping-particle" : "", "family" : "Vallet-Pichard", "given" : "Ana\u00efs", "non-dropping-particle" : "", "parse-names" : false, "suffix" : "" }, { "dropping-particle" : "", "family" : "Nalpas", "given" : "Bertrand", "non-dropping-particle" : "", "parse-names" : false, "suffix" : "" }, { "dropping-particle" : "", "family" : "Pol", "given" : "Stanislas", "non-dropping-particle" : "", "parse-names" : false, "suffix" : "" } ], "container-title" : "Alcohol and Alcoholism", "id" : "ITEM-1", "issue" : "5", "issued" : { "date-parts" : [ [ "2008" ] ] }, "page" : "559-563", "title" : "Influence of liver biopsy on abstinence in alcohol-dependent patients", "type" : "article-journal", "volume" : "43" }, "uris" : [ "http://www.mendeley.com/documents/?uuid=b66d0633-3e12-455a-b5a1-6ed148012f72" ] } ], "mendeley" : { "formattedCitation" : "[35]", "plainTextFormattedCitation" : "[35]", "previouslyFormattedCitation" : "[35]" }, "properties" : { "noteIndex" : 0 }, "schema" : "https://github.com/citation-style-language/schema/raw/master/csl-citation.json" }</w:instrText>
            </w:r>
            <w:r w:rsidRPr="001339DB">
              <w:rPr>
                <w:rFonts w:ascii="Book Antiqua" w:eastAsia="Times New Roman" w:hAnsi="Book Antiqua" w:cs="Calibri"/>
                <w:sz w:val="24"/>
                <w:szCs w:val="24"/>
              </w:rPr>
              <w:fldChar w:fldCharType="separate"/>
            </w:r>
            <w:r w:rsidRPr="001339DB">
              <w:rPr>
                <w:rFonts w:ascii="Book Antiqua" w:eastAsia="Times New Roman" w:hAnsi="Book Antiqua" w:cs="Calibri"/>
                <w:noProof/>
                <w:sz w:val="24"/>
                <w:szCs w:val="24"/>
              </w:rPr>
              <w:t>[35]</w:t>
            </w:r>
            <w:r w:rsidRPr="001339DB">
              <w:rPr>
                <w:rFonts w:ascii="Book Antiqua" w:eastAsia="Times New Roman" w:hAnsi="Book Antiqua" w:cs="Calibri"/>
                <w:sz w:val="24"/>
                <w:szCs w:val="24"/>
              </w:rPr>
              <w:fldChar w:fldCharType="end"/>
            </w:r>
          </w:p>
        </w:tc>
      </w:tr>
      <w:tr w:rsidR="001339DB" w:rsidRPr="001339DB" w:rsidTr="00411545">
        <w:trPr>
          <w:trHeight w:val="285"/>
        </w:trPr>
        <w:tc>
          <w:tcPr>
            <w:tcW w:w="1809"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rPr>
                <w:rFonts w:ascii="Book Antiqua" w:eastAsia="Times New Roman" w:hAnsi="Book Antiqua" w:cs="Calibri"/>
                <w:sz w:val="24"/>
                <w:szCs w:val="24"/>
              </w:rPr>
            </w:pPr>
          </w:p>
        </w:tc>
        <w:tc>
          <w:tcPr>
            <w:tcW w:w="1560" w:type="dxa"/>
            <w:gridSpan w:val="3"/>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p>
        </w:tc>
        <w:tc>
          <w:tcPr>
            <w:tcW w:w="992"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p>
        </w:tc>
        <w:tc>
          <w:tcPr>
            <w:tcW w:w="1418"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p>
        </w:tc>
        <w:tc>
          <w:tcPr>
            <w:tcW w:w="1417" w:type="dxa"/>
            <w:tcBorders>
              <w:top w:val="nil"/>
              <w:left w:val="nil"/>
              <w:bottom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p>
        </w:tc>
      </w:tr>
      <w:tr w:rsidR="00D96EE7" w:rsidRPr="001339DB" w:rsidTr="00C731E9">
        <w:trPr>
          <w:trHeight w:val="285"/>
        </w:trPr>
        <w:tc>
          <w:tcPr>
            <w:tcW w:w="8613" w:type="dxa"/>
            <w:gridSpan w:val="8"/>
            <w:tcBorders>
              <w:top w:val="nil"/>
              <w:left w:val="nil"/>
              <w:bottom w:val="single" w:sz="4" w:space="0" w:color="auto"/>
              <w:right w:val="nil"/>
            </w:tcBorders>
            <w:shd w:val="clear" w:color="auto" w:fill="auto"/>
            <w:vAlign w:val="bottom"/>
            <w:hideMark/>
          </w:tcPr>
          <w:p w:rsidR="00D96EE7" w:rsidRPr="001339DB" w:rsidRDefault="00D96EE7" w:rsidP="00D96EE7">
            <w:pPr>
              <w:adjustRightInd w:val="0"/>
              <w:snapToGrid w:val="0"/>
              <w:spacing w:after="0" w:line="360" w:lineRule="auto"/>
              <w:rPr>
                <w:rFonts w:ascii="Book Antiqua" w:eastAsia="Times New Roman" w:hAnsi="Book Antiqua" w:cs="Calibri"/>
                <w:sz w:val="24"/>
                <w:szCs w:val="24"/>
              </w:rPr>
            </w:pPr>
            <w:r w:rsidRPr="001339DB">
              <w:rPr>
                <w:rFonts w:ascii="Book Antiqua" w:eastAsia="Times New Roman" w:hAnsi="Book Antiqua" w:cs="Calibri"/>
                <w:b/>
                <w:sz w:val="24"/>
                <w:szCs w:val="24"/>
              </w:rPr>
              <w:t xml:space="preserve">Probability of relapse before 12 </w:t>
            </w:r>
            <w:r>
              <w:rPr>
                <w:rFonts w:ascii="Book Antiqua" w:hAnsi="Book Antiqua" w:cs="Calibri" w:hint="eastAsia"/>
                <w:b/>
                <w:sz w:val="24"/>
                <w:szCs w:val="24"/>
                <w:lang w:eastAsia="zh-CN"/>
              </w:rPr>
              <w:t>mo</w:t>
            </w:r>
            <w:r w:rsidRPr="001339DB">
              <w:rPr>
                <w:rFonts w:ascii="Book Antiqua" w:eastAsia="Times New Roman" w:hAnsi="Book Antiqua" w:cs="Calibri"/>
                <w:b/>
                <w:sz w:val="24"/>
                <w:szCs w:val="24"/>
              </w:rPr>
              <w:t xml:space="preserve"> (%)</w:t>
            </w:r>
          </w:p>
        </w:tc>
      </w:tr>
      <w:tr w:rsidR="001339DB" w:rsidRPr="001339DB" w:rsidTr="00411545">
        <w:trPr>
          <w:trHeight w:val="285"/>
        </w:trPr>
        <w:tc>
          <w:tcPr>
            <w:tcW w:w="1809" w:type="dxa"/>
            <w:tcBorders>
              <w:top w:val="nil"/>
              <w:left w:val="nil"/>
              <w:right w:val="nil"/>
            </w:tcBorders>
            <w:shd w:val="clear" w:color="auto" w:fill="auto"/>
            <w:vAlign w:val="bottom"/>
            <w:hideMark/>
          </w:tcPr>
          <w:p w:rsidR="00411545" w:rsidRPr="001339DB" w:rsidRDefault="00411545" w:rsidP="00294646">
            <w:pPr>
              <w:adjustRightInd w:val="0"/>
              <w:snapToGrid w:val="0"/>
              <w:spacing w:after="0" w:line="360" w:lineRule="auto"/>
              <w:rPr>
                <w:rFonts w:ascii="Book Antiqua" w:eastAsia="Times New Roman" w:hAnsi="Book Antiqua" w:cs="Calibri"/>
                <w:sz w:val="24"/>
                <w:szCs w:val="24"/>
              </w:rPr>
            </w:pPr>
            <w:r w:rsidRPr="001339DB">
              <w:rPr>
                <w:rFonts w:ascii="Book Antiqua" w:eastAsia="Times New Roman" w:hAnsi="Book Antiqua" w:cs="Calibri"/>
                <w:sz w:val="24"/>
                <w:szCs w:val="24"/>
              </w:rPr>
              <w:t>F2-F3</w:t>
            </w:r>
          </w:p>
        </w:tc>
        <w:tc>
          <w:tcPr>
            <w:tcW w:w="1560" w:type="dxa"/>
            <w:gridSpan w:val="3"/>
            <w:tcBorders>
              <w:top w:val="nil"/>
              <w:left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p>
        </w:tc>
        <w:tc>
          <w:tcPr>
            <w:tcW w:w="992" w:type="dxa"/>
            <w:tcBorders>
              <w:top w:val="nil"/>
              <w:left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45</w:t>
            </w:r>
          </w:p>
        </w:tc>
        <w:tc>
          <w:tcPr>
            <w:tcW w:w="1417" w:type="dxa"/>
            <w:tcBorders>
              <w:top w:val="nil"/>
              <w:left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17−77</w:t>
            </w:r>
          </w:p>
        </w:tc>
        <w:tc>
          <w:tcPr>
            <w:tcW w:w="1418" w:type="dxa"/>
            <w:tcBorders>
              <w:top w:val="nil"/>
              <w:left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β(45;15)</w:t>
            </w:r>
          </w:p>
        </w:tc>
        <w:tc>
          <w:tcPr>
            <w:tcW w:w="1417" w:type="dxa"/>
            <w:tcBorders>
              <w:top w:val="nil"/>
              <w:left w:val="nil"/>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fldChar w:fldCharType="begin" w:fldLock="1"/>
            </w:r>
            <w:r w:rsidRPr="001339DB">
              <w:rPr>
                <w:rFonts w:ascii="Book Antiqua" w:eastAsia="Times New Roman" w:hAnsi="Book Antiqua" w:cs="Calibri"/>
                <w:sz w:val="24"/>
                <w:szCs w:val="24"/>
              </w:rPr>
              <w:instrText>ADDIN CSL_CITATION { "citationItems" : [ { "id" : "ITEM-1", "itemData" : { "DOI" : "10.1093/alcalc/agn046", "ISSN" : "07350414", "PMID" : "18621800", "abstract" : "BACKGROUND: Liver biopsy indication for the evaluation of alcoholic liver disease is controversial. Our aim was to investigate the influence of the biopsy on the patients' motivation for abstinence. METHODS: We retrospectively analysed, in a population of 324 patients hospitalized for alcohol withdrawal, the impact of liver biopsy on the following clinical outcomes: rapid loss to follow-up (immediately after hospital discharge), early relapse (&lt; 3 months) and long-lasting abstinence (&gt; 12 months). The biopsy was performed in 136 patients who had liver enzymes perturbations. Hepatic lesions were graded as mild (isolated steatosis and/or non-bridging fibrosis), moderate (bridging fibrosis and/or moderate alcoholic hepatitis) or severe (cirrhosis and/or marked alcoholic hepatitis) in 66 (48%), 41 (30%) and 29 (21%) cases, respectively. RESULTS: In univariate analysis, patients who had a liver biopsy were less likely to be rapidly lost to follow-up (12% versus 27%, P = 0.003) but had a lower rate of long-term abstinence (20% versus 34%, P = 0.025). In multivariate analysis, age was the only factor significantly associated with clinical outcome: older patients had higher rate of long-term abstinence (OR = 1.041; P = 0.010). Among patients who had a biopsy, those with severe hepatic lesions had a lower rate of rapid relapse than those with moderate or mild lesions (32% versus 68% and 56%, P = 0.018) but the rate of long-term abstinence was similar in the three groups. CONCLUSION: This observational study does not support the notion that liver biopsy has a significant influence on the maintenance of alcohol abstinence in patients with alcoholic liver disease.", "author" : [ { "dropping-particle" : "", "family" : "Trabut", "given" : "Jean Baptiste", "non-dropping-particle" : "", "parse-names" : false, "suffix" : "" }, { "dropping-particle" : "", "family" : "Plat", "given" : "Arnaud", "non-dropping-particle" : "", "parse-names" : false, "suffix" : "" }, { "dropping-particle" : "", "family" : "Thepot", "given" : "V\u00e9ronique", "non-dropping-particle" : "", "parse-names" : false, "suffix" : "" }, { "dropping-particle" : "", "family" : "Fontaine", "given" : "H\u00e9l\u00e8ne", "non-dropping-particle" : "", "parse-names" : false, "suffix" : "" }, { "dropping-particle" : "", "family" : "Vallet-Pichard", "given" : "Ana\u00efs", "non-dropping-particle" : "", "parse-names" : false, "suffix" : "" }, { "dropping-particle" : "", "family" : "Nalpas", "given" : "Bertrand", "non-dropping-particle" : "", "parse-names" : false, "suffix" : "" }, { "dropping-particle" : "", "family" : "Pol", "given" : "Stanislas", "non-dropping-particle" : "", "parse-names" : false, "suffix" : "" } ], "container-title" : "Alcohol and Alcoholism", "id" : "ITEM-1", "issue" : "5", "issued" : { "date-parts" : [ [ "2008" ] ] }, "page" : "559-563", "title" : "Influence of liver biopsy on abstinence in alcohol-dependent patients", "type" : "article-journal", "volume" : "43" }, "uris" : [ "http://www.mendeley.com/documents/?uuid=b66d0633-3e12-455a-b5a1-6ed148012f72" ] } ], "mendeley" : { "formattedCitation" : "[35]", "plainTextFormattedCitation" : "[35]", "previouslyFormattedCitation" : "[35]" }, "properties" : { "noteIndex" : 0 }, "schema" : "https://github.com/citation-style-language/schema/raw/master/csl-citation.json" }</w:instrText>
            </w:r>
            <w:r w:rsidRPr="001339DB">
              <w:rPr>
                <w:rFonts w:ascii="Book Antiqua" w:eastAsia="Times New Roman" w:hAnsi="Book Antiqua" w:cs="Calibri"/>
                <w:sz w:val="24"/>
                <w:szCs w:val="24"/>
              </w:rPr>
              <w:fldChar w:fldCharType="separate"/>
            </w:r>
            <w:r w:rsidRPr="001339DB">
              <w:rPr>
                <w:rFonts w:ascii="Book Antiqua" w:eastAsia="Times New Roman" w:hAnsi="Book Antiqua" w:cs="Calibri"/>
                <w:noProof/>
                <w:sz w:val="24"/>
                <w:szCs w:val="24"/>
              </w:rPr>
              <w:t>[35]</w:t>
            </w:r>
            <w:r w:rsidRPr="001339DB">
              <w:rPr>
                <w:rFonts w:ascii="Book Antiqua" w:eastAsia="Times New Roman" w:hAnsi="Book Antiqua" w:cs="Calibri"/>
                <w:sz w:val="24"/>
                <w:szCs w:val="24"/>
              </w:rPr>
              <w:fldChar w:fldCharType="end"/>
            </w:r>
          </w:p>
        </w:tc>
      </w:tr>
      <w:tr w:rsidR="001339DB" w:rsidRPr="001339DB" w:rsidTr="00411545">
        <w:trPr>
          <w:trHeight w:val="285"/>
        </w:trPr>
        <w:tc>
          <w:tcPr>
            <w:tcW w:w="1809" w:type="dxa"/>
            <w:tcBorders>
              <w:top w:val="nil"/>
              <w:left w:val="nil"/>
              <w:bottom w:val="single" w:sz="4" w:space="0" w:color="auto"/>
              <w:right w:val="nil"/>
            </w:tcBorders>
            <w:shd w:val="clear" w:color="auto" w:fill="auto"/>
            <w:vAlign w:val="bottom"/>
            <w:hideMark/>
          </w:tcPr>
          <w:p w:rsidR="00411545" w:rsidRPr="001339DB" w:rsidRDefault="00411545" w:rsidP="00294646">
            <w:pPr>
              <w:adjustRightInd w:val="0"/>
              <w:snapToGrid w:val="0"/>
              <w:spacing w:after="0" w:line="360" w:lineRule="auto"/>
              <w:rPr>
                <w:rFonts w:ascii="Book Antiqua" w:eastAsia="Times New Roman" w:hAnsi="Book Antiqua" w:cs="Calibri"/>
                <w:sz w:val="24"/>
                <w:szCs w:val="24"/>
              </w:rPr>
            </w:pPr>
            <w:r w:rsidRPr="001339DB">
              <w:rPr>
                <w:rFonts w:ascii="Book Antiqua" w:eastAsia="Times New Roman" w:hAnsi="Book Antiqua" w:cs="Calibri"/>
                <w:sz w:val="24"/>
                <w:szCs w:val="24"/>
              </w:rPr>
              <w:t>F4</w:t>
            </w:r>
          </w:p>
        </w:tc>
        <w:tc>
          <w:tcPr>
            <w:tcW w:w="1560" w:type="dxa"/>
            <w:gridSpan w:val="3"/>
            <w:tcBorders>
              <w:top w:val="nil"/>
              <w:left w:val="nil"/>
              <w:bottom w:val="single" w:sz="4" w:space="0" w:color="auto"/>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p>
        </w:tc>
        <w:tc>
          <w:tcPr>
            <w:tcW w:w="992" w:type="dxa"/>
            <w:tcBorders>
              <w:top w:val="nil"/>
              <w:left w:val="nil"/>
              <w:bottom w:val="single" w:sz="4" w:space="0" w:color="auto"/>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58</w:t>
            </w:r>
          </w:p>
        </w:tc>
        <w:tc>
          <w:tcPr>
            <w:tcW w:w="1417" w:type="dxa"/>
            <w:tcBorders>
              <w:top w:val="nil"/>
              <w:left w:val="nil"/>
              <w:bottom w:val="single" w:sz="4" w:space="0" w:color="auto"/>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33−88</w:t>
            </w:r>
          </w:p>
        </w:tc>
        <w:tc>
          <w:tcPr>
            <w:tcW w:w="1418" w:type="dxa"/>
            <w:tcBorders>
              <w:top w:val="nil"/>
              <w:left w:val="nil"/>
              <w:bottom w:val="single" w:sz="4" w:space="0" w:color="auto"/>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t>β(58;14)</w:t>
            </w:r>
          </w:p>
        </w:tc>
        <w:tc>
          <w:tcPr>
            <w:tcW w:w="1417" w:type="dxa"/>
            <w:tcBorders>
              <w:top w:val="nil"/>
              <w:left w:val="nil"/>
              <w:bottom w:val="single" w:sz="4" w:space="0" w:color="auto"/>
              <w:right w:val="nil"/>
            </w:tcBorders>
            <w:shd w:val="clear" w:color="auto" w:fill="auto"/>
            <w:vAlign w:val="bottom"/>
            <w:hideMark/>
          </w:tcPr>
          <w:p w:rsidR="00411545" w:rsidRPr="001339DB" w:rsidRDefault="00411545" w:rsidP="00294646">
            <w:pPr>
              <w:adjustRightInd w:val="0"/>
              <w:snapToGrid w:val="0"/>
              <w:spacing w:after="0" w:line="360" w:lineRule="auto"/>
              <w:jc w:val="center"/>
              <w:rPr>
                <w:rFonts w:ascii="Book Antiqua" w:eastAsia="Times New Roman" w:hAnsi="Book Antiqua" w:cs="Calibri"/>
                <w:sz w:val="24"/>
                <w:szCs w:val="24"/>
              </w:rPr>
            </w:pPr>
            <w:r w:rsidRPr="001339DB">
              <w:rPr>
                <w:rFonts w:ascii="Book Antiqua" w:eastAsia="Times New Roman" w:hAnsi="Book Antiqua" w:cs="Calibri"/>
                <w:sz w:val="24"/>
                <w:szCs w:val="24"/>
              </w:rPr>
              <w:fldChar w:fldCharType="begin" w:fldLock="1"/>
            </w:r>
            <w:r w:rsidRPr="001339DB">
              <w:rPr>
                <w:rFonts w:ascii="Book Antiqua" w:eastAsia="Times New Roman" w:hAnsi="Book Antiqua" w:cs="Calibri"/>
                <w:sz w:val="24"/>
                <w:szCs w:val="24"/>
              </w:rPr>
              <w:instrText>ADDIN CSL_CITATION { "citationItems" : [ { "id" : "ITEM-1", "itemData" : { "DOI" : "10.1093/alcalc/agn046", "ISSN" : "07350414", "PMID" : "18621800", "abstract" : "BACKGROUND: Liver biopsy indication for the evaluation of alcoholic liver disease is controversial. Our aim was to investigate the influence of the biopsy on the patients' motivation for abstinence. METHODS: We retrospectively analysed, in a population of 324 patients hospitalized for alcohol withdrawal, the impact of liver biopsy on the following clinical outcomes: rapid loss to follow-up (immediately after hospital discharge), early relapse (&lt; 3 months) and long-lasting abstinence (&gt; 12 months). The biopsy was performed in 136 patients who had liver enzymes perturbations. Hepatic lesions were graded as mild (isolated steatosis and/or non-bridging fibrosis), moderate (bridging fibrosis and/or moderate alcoholic hepatitis) or severe (cirrhosis and/or marked alcoholic hepatitis) in 66 (48%), 41 (30%) and 29 (21%) cases, respectively. RESULTS: In univariate analysis, patients who had a liver biopsy were less likely to be rapidly lost to follow-up (12% versus 27%, P = 0.003) but had a lower rate of long-term abstinence (20% versus 34%, P = 0.025). In multivariate analysis, age was the only factor significantly associated with clinical outcome: older patients had higher rate of long-term abstinence (OR = 1.041; P = 0.010). Among patients who had a biopsy, those with severe hepatic lesions had a lower rate of rapid relapse than those with moderate or mild lesions (32% versus 68% and 56%, P = 0.018) but the rate of long-term abstinence was similar in the three groups. CONCLUSION: This observational study does not support the notion that liver biopsy has a significant influence on the maintenance of alcohol abstinence in patients with alcoholic liver disease.", "author" : [ { "dropping-particle" : "", "family" : "Trabut", "given" : "Jean Baptiste", "non-dropping-particle" : "", "parse-names" : false, "suffix" : "" }, { "dropping-particle" : "", "family" : "Plat", "given" : "Arnaud", "non-dropping-particle" : "", "parse-names" : false, "suffix" : "" }, { "dropping-particle" : "", "family" : "Thepot", "given" : "V\u00e9ronique", "non-dropping-particle" : "", "parse-names" : false, "suffix" : "" }, { "dropping-particle" : "", "family" : "Fontaine", "given" : "H\u00e9l\u00e8ne", "non-dropping-particle" : "", "parse-names" : false, "suffix" : "" }, { "dropping-particle" : "", "family" : "Vallet-Pichard", "given" : "Ana\u00efs", "non-dropping-particle" : "", "parse-names" : false, "suffix" : "" }, { "dropping-particle" : "", "family" : "Nalpas", "given" : "Bertrand", "non-dropping-particle" : "", "parse-names" : false, "suffix" : "" }, { "dropping-particle" : "", "family" : "Pol", "given" : "Stanislas", "non-dropping-particle" : "", "parse-names" : false, "suffix" : "" } ], "container-title" : "Alcohol and Alcoholism", "id" : "ITEM-1", "issue" : "5", "issued" : { "date-parts" : [ [ "2008" ] ] }, "page" : "559-563", "title" : "Influence of liver biopsy on abstinence in alcohol-dependent patients", "type" : "article-journal", "volume" : "43" }, "uris" : [ "http://www.mendeley.com/documents/?uuid=b66d0633-3e12-455a-b5a1-6ed148012f72" ] } ], "mendeley" : { "formattedCitation" : "[35]", "plainTextFormattedCitation" : "[35]", "previouslyFormattedCitation" : "[35]" }, "properties" : { "noteIndex" : 0 }, "schema" : "https://github.com/citation-style-language/schema/raw/master/csl-citation.json" }</w:instrText>
            </w:r>
            <w:r w:rsidRPr="001339DB">
              <w:rPr>
                <w:rFonts w:ascii="Book Antiqua" w:eastAsia="Times New Roman" w:hAnsi="Book Antiqua" w:cs="Calibri"/>
                <w:sz w:val="24"/>
                <w:szCs w:val="24"/>
              </w:rPr>
              <w:fldChar w:fldCharType="separate"/>
            </w:r>
            <w:r w:rsidRPr="001339DB">
              <w:rPr>
                <w:rFonts w:ascii="Book Antiqua" w:eastAsia="Times New Roman" w:hAnsi="Book Antiqua" w:cs="Calibri"/>
                <w:noProof/>
                <w:sz w:val="24"/>
                <w:szCs w:val="24"/>
              </w:rPr>
              <w:t>[35]</w:t>
            </w:r>
            <w:r w:rsidRPr="001339DB">
              <w:rPr>
                <w:rFonts w:ascii="Book Antiqua" w:eastAsia="Times New Roman" w:hAnsi="Book Antiqua" w:cs="Calibri"/>
                <w:sz w:val="24"/>
                <w:szCs w:val="24"/>
              </w:rPr>
              <w:fldChar w:fldCharType="end"/>
            </w:r>
          </w:p>
        </w:tc>
      </w:tr>
      <w:tr w:rsidR="001339DB" w:rsidRPr="001339DB" w:rsidTr="00411545">
        <w:trPr>
          <w:trHeight w:val="285"/>
        </w:trPr>
        <w:tc>
          <w:tcPr>
            <w:tcW w:w="1809" w:type="dxa"/>
            <w:tcBorders>
              <w:top w:val="single" w:sz="4" w:space="0" w:color="auto"/>
              <w:left w:val="nil"/>
              <w:right w:val="nil"/>
            </w:tcBorders>
            <w:shd w:val="clear" w:color="auto" w:fill="auto"/>
            <w:vAlign w:val="bottom"/>
            <w:hideMark/>
          </w:tcPr>
          <w:p w:rsidR="00411545" w:rsidRPr="001339DB" w:rsidRDefault="00411545" w:rsidP="001339DB">
            <w:pPr>
              <w:adjustRightInd w:val="0"/>
              <w:snapToGrid w:val="0"/>
              <w:spacing w:after="0" w:line="360" w:lineRule="auto"/>
              <w:jc w:val="both"/>
              <w:rPr>
                <w:rFonts w:ascii="Book Antiqua" w:eastAsia="Times New Roman" w:hAnsi="Book Antiqua" w:cs="Calibri"/>
                <w:sz w:val="24"/>
                <w:szCs w:val="24"/>
              </w:rPr>
            </w:pPr>
          </w:p>
        </w:tc>
        <w:tc>
          <w:tcPr>
            <w:tcW w:w="1560" w:type="dxa"/>
            <w:gridSpan w:val="3"/>
            <w:tcBorders>
              <w:top w:val="single" w:sz="4" w:space="0" w:color="auto"/>
              <w:left w:val="nil"/>
              <w:right w:val="nil"/>
            </w:tcBorders>
            <w:shd w:val="clear" w:color="auto" w:fill="auto"/>
            <w:vAlign w:val="bottom"/>
            <w:hideMark/>
          </w:tcPr>
          <w:p w:rsidR="00411545" w:rsidRPr="001339DB" w:rsidRDefault="00411545" w:rsidP="001339DB">
            <w:pPr>
              <w:adjustRightInd w:val="0"/>
              <w:snapToGrid w:val="0"/>
              <w:spacing w:after="0" w:line="360" w:lineRule="auto"/>
              <w:jc w:val="both"/>
              <w:rPr>
                <w:rFonts w:ascii="Book Antiqua" w:eastAsia="Times New Roman" w:hAnsi="Book Antiqua" w:cs="Calibri"/>
                <w:sz w:val="24"/>
                <w:szCs w:val="24"/>
              </w:rPr>
            </w:pPr>
          </w:p>
        </w:tc>
        <w:tc>
          <w:tcPr>
            <w:tcW w:w="992" w:type="dxa"/>
            <w:tcBorders>
              <w:top w:val="single" w:sz="4" w:space="0" w:color="auto"/>
              <w:left w:val="nil"/>
              <w:right w:val="nil"/>
            </w:tcBorders>
            <w:shd w:val="clear" w:color="auto" w:fill="auto"/>
            <w:vAlign w:val="bottom"/>
            <w:hideMark/>
          </w:tcPr>
          <w:p w:rsidR="00411545" w:rsidRPr="001339DB" w:rsidRDefault="00411545" w:rsidP="001339DB">
            <w:pPr>
              <w:adjustRightInd w:val="0"/>
              <w:snapToGrid w:val="0"/>
              <w:spacing w:after="0" w:line="360" w:lineRule="auto"/>
              <w:jc w:val="both"/>
              <w:rPr>
                <w:rFonts w:ascii="Book Antiqua" w:eastAsia="Times New Roman" w:hAnsi="Book Antiqua" w:cs="Calibri"/>
                <w:sz w:val="24"/>
                <w:szCs w:val="24"/>
              </w:rPr>
            </w:pPr>
          </w:p>
        </w:tc>
        <w:tc>
          <w:tcPr>
            <w:tcW w:w="1417" w:type="dxa"/>
            <w:tcBorders>
              <w:top w:val="single" w:sz="4" w:space="0" w:color="auto"/>
              <w:left w:val="nil"/>
              <w:right w:val="nil"/>
            </w:tcBorders>
            <w:shd w:val="clear" w:color="auto" w:fill="auto"/>
            <w:vAlign w:val="bottom"/>
            <w:hideMark/>
          </w:tcPr>
          <w:p w:rsidR="00411545" w:rsidRPr="001339DB" w:rsidRDefault="00411545" w:rsidP="001339DB">
            <w:pPr>
              <w:adjustRightInd w:val="0"/>
              <w:snapToGrid w:val="0"/>
              <w:spacing w:after="0" w:line="360" w:lineRule="auto"/>
              <w:jc w:val="both"/>
              <w:rPr>
                <w:rFonts w:ascii="Book Antiqua" w:eastAsia="Times New Roman" w:hAnsi="Book Antiqua" w:cs="Calibri"/>
                <w:sz w:val="24"/>
                <w:szCs w:val="24"/>
              </w:rPr>
            </w:pPr>
          </w:p>
        </w:tc>
        <w:tc>
          <w:tcPr>
            <w:tcW w:w="1418" w:type="dxa"/>
            <w:tcBorders>
              <w:top w:val="single" w:sz="4" w:space="0" w:color="auto"/>
              <w:left w:val="nil"/>
              <w:right w:val="nil"/>
            </w:tcBorders>
            <w:shd w:val="clear" w:color="auto" w:fill="auto"/>
            <w:vAlign w:val="bottom"/>
            <w:hideMark/>
          </w:tcPr>
          <w:p w:rsidR="00411545" w:rsidRPr="001339DB" w:rsidRDefault="00411545" w:rsidP="001339DB">
            <w:pPr>
              <w:adjustRightInd w:val="0"/>
              <w:snapToGrid w:val="0"/>
              <w:spacing w:after="0" w:line="360" w:lineRule="auto"/>
              <w:jc w:val="both"/>
              <w:rPr>
                <w:rFonts w:ascii="Book Antiqua" w:eastAsia="Times New Roman" w:hAnsi="Book Antiqua" w:cs="Calibri"/>
                <w:sz w:val="24"/>
                <w:szCs w:val="24"/>
              </w:rPr>
            </w:pPr>
          </w:p>
        </w:tc>
        <w:tc>
          <w:tcPr>
            <w:tcW w:w="1417" w:type="dxa"/>
            <w:tcBorders>
              <w:top w:val="single" w:sz="4" w:space="0" w:color="auto"/>
              <w:left w:val="nil"/>
              <w:right w:val="nil"/>
            </w:tcBorders>
            <w:shd w:val="clear" w:color="auto" w:fill="auto"/>
            <w:vAlign w:val="bottom"/>
            <w:hideMark/>
          </w:tcPr>
          <w:p w:rsidR="00411545" w:rsidRPr="001339DB" w:rsidRDefault="00411545" w:rsidP="001339DB">
            <w:pPr>
              <w:adjustRightInd w:val="0"/>
              <w:snapToGrid w:val="0"/>
              <w:spacing w:after="0" w:line="360" w:lineRule="auto"/>
              <w:jc w:val="both"/>
              <w:rPr>
                <w:rFonts w:ascii="Book Antiqua" w:eastAsia="Times New Roman" w:hAnsi="Book Antiqua" w:cs="Calibri"/>
                <w:sz w:val="24"/>
                <w:szCs w:val="24"/>
              </w:rPr>
            </w:pPr>
          </w:p>
        </w:tc>
      </w:tr>
      <w:tr w:rsidR="001339DB" w:rsidRPr="001339DB" w:rsidTr="00411545">
        <w:trPr>
          <w:trHeight w:val="285"/>
        </w:trPr>
        <w:tc>
          <w:tcPr>
            <w:tcW w:w="3369" w:type="dxa"/>
            <w:gridSpan w:val="4"/>
            <w:tcBorders>
              <w:left w:val="nil"/>
              <w:bottom w:val="single" w:sz="4" w:space="0" w:color="auto"/>
              <w:right w:val="nil"/>
            </w:tcBorders>
            <w:shd w:val="clear" w:color="auto" w:fill="auto"/>
            <w:vAlign w:val="bottom"/>
          </w:tcPr>
          <w:p w:rsidR="00411545" w:rsidRPr="001339DB" w:rsidRDefault="00411545" w:rsidP="001339DB">
            <w:pPr>
              <w:keepNext/>
              <w:adjustRightInd w:val="0"/>
              <w:snapToGrid w:val="0"/>
              <w:spacing w:after="0" w:line="360" w:lineRule="auto"/>
              <w:jc w:val="both"/>
              <w:rPr>
                <w:rFonts w:ascii="Book Antiqua" w:eastAsia="Times New Roman" w:hAnsi="Book Antiqua" w:cs="Calibri"/>
                <w:b/>
                <w:bCs/>
                <w:sz w:val="24"/>
                <w:szCs w:val="24"/>
              </w:rPr>
            </w:pPr>
          </w:p>
        </w:tc>
        <w:tc>
          <w:tcPr>
            <w:tcW w:w="992" w:type="dxa"/>
            <w:tcBorders>
              <w:left w:val="nil"/>
              <w:bottom w:val="single" w:sz="4" w:space="0" w:color="auto"/>
              <w:right w:val="nil"/>
            </w:tcBorders>
            <w:shd w:val="clear" w:color="auto" w:fill="auto"/>
            <w:vAlign w:val="bottom"/>
          </w:tcPr>
          <w:p w:rsidR="00411545" w:rsidRPr="001339DB" w:rsidRDefault="00411545" w:rsidP="001339DB">
            <w:pPr>
              <w:adjustRightInd w:val="0"/>
              <w:snapToGrid w:val="0"/>
              <w:spacing w:after="0" w:line="360" w:lineRule="auto"/>
              <w:jc w:val="both"/>
              <w:rPr>
                <w:rFonts w:ascii="Book Antiqua" w:eastAsia="Times New Roman" w:hAnsi="Book Antiqua" w:cs="Calibri"/>
                <w:b/>
                <w:sz w:val="24"/>
                <w:szCs w:val="24"/>
              </w:rPr>
            </w:pPr>
            <w:r w:rsidRPr="001339DB">
              <w:rPr>
                <w:rFonts w:ascii="Book Antiqua" w:eastAsia="Times New Roman" w:hAnsi="Book Antiqua" w:cs="Calibri"/>
                <w:b/>
                <w:sz w:val="24"/>
                <w:szCs w:val="24"/>
              </w:rPr>
              <w:t xml:space="preserve">Baseline </w:t>
            </w:r>
          </w:p>
        </w:tc>
        <w:tc>
          <w:tcPr>
            <w:tcW w:w="1417" w:type="dxa"/>
            <w:tcBorders>
              <w:left w:val="nil"/>
              <w:bottom w:val="single" w:sz="4" w:space="0" w:color="auto"/>
              <w:right w:val="nil"/>
            </w:tcBorders>
            <w:shd w:val="clear" w:color="auto" w:fill="auto"/>
            <w:vAlign w:val="bottom"/>
          </w:tcPr>
          <w:p w:rsidR="00411545" w:rsidRPr="001339DB" w:rsidRDefault="00411545" w:rsidP="001339DB">
            <w:pPr>
              <w:adjustRightInd w:val="0"/>
              <w:snapToGrid w:val="0"/>
              <w:spacing w:after="0" w:line="360" w:lineRule="auto"/>
              <w:jc w:val="both"/>
              <w:rPr>
                <w:rFonts w:ascii="Book Antiqua" w:eastAsia="Times New Roman" w:hAnsi="Book Antiqua" w:cs="Calibri"/>
                <w:b/>
                <w:sz w:val="24"/>
                <w:szCs w:val="24"/>
              </w:rPr>
            </w:pPr>
            <w:r w:rsidRPr="001339DB">
              <w:rPr>
                <w:rFonts w:ascii="Book Antiqua" w:eastAsia="Times New Roman" w:hAnsi="Book Antiqua" w:cs="Calibri"/>
                <w:b/>
                <w:sz w:val="24"/>
                <w:szCs w:val="24"/>
              </w:rPr>
              <w:t>Range</w:t>
            </w:r>
          </w:p>
        </w:tc>
        <w:tc>
          <w:tcPr>
            <w:tcW w:w="1418" w:type="dxa"/>
            <w:tcBorders>
              <w:left w:val="nil"/>
              <w:bottom w:val="single" w:sz="4" w:space="0" w:color="auto"/>
              <w:right w:val="nil"/>
            </w:tcBorders>
            <w:shd w:val="clear" w:color="auto" w:fill="auto"/>
            <w:vAlign w:val="bottom"/>
          </w:tcPr>
          <w:p w:rsidR="00411545" w:rsidRPr="001339DB" w:rsidRDefault="00411545" w:rsidP="001339DB">
            <w:pPr>
              <w:adjustRightInd w:val="0"/>
              <w:snapToGrid w:val="0"/>
              <w:spacing w:after="0" w:line="360" w:lineRule="auto"/>
              <w:jc w:val="both"/>
              <w:rPr>
                <w:rFonts w:ascii="Book Antiqua" w:eastAsia="Times New Roman" w:hAnsi="Book Antiqua" w:cs="Calibri"/>
                <w:b/>
                <w:sz w:val="24"/>
                <w:szCs w:val="24"/>
              </w:rPr>
            </w:pPr>
            <w:r w:rsidRPr="001339DB">
              <w:rPr>
                <w:rFonts w:ascii="Book Antiqua" w:eastAsia="Times New Roman" w:hAnsi="Book Antiqua" w:cs="Calibri"/>
                <w:b/>
                <w:sz w:val="24"/>
                <w:szCs w:val="24"/>
              </w:rPr>
              <w:t>PSA distribution</w:t>
            </w:r>
            <w:r w:rsidR="00D96EE7" w:rsidRPr="00D96EE7">
              <w:rPr>
                <w:rFonts w:ascii="Book Antiqua" w:eastAsia="Times New Roman" w:hAnsi="Book Antiqua" w:cs="Calibri"/>
                <w:b/>
                <w:sz w:val="24"/>
                <w:szCs w:val="24"/>
                <w:vertAlign w:val="superscript"/>
              </w:rPr>
              <w:t>1</w:t>
            </w:r>
          </w:p>
        </w:tc>
        <w:tc>
          <w:tcPr>
            <w:tcW w:w="1417" w:type="dxa"/>
            <w:tcBorders>
              <w:left w:val="nil"/>
              <w:bottom w:val="single" w:sz="4" w:space="0" w:color="auto"/>
              <w:right w:val="nil"/>
            </w:tcBorders>
            <w:shd w:val="clear" w:color="auto" w:fill="auto"/>
            <w:vAlign w:val="bottom"/>
          </w:tcPr>
          <w:p w:rsidR="00411545" w:rsidRPr="001339DB" w:rsidRDefault="00411545" w:rsidP="001339DB">
            <w:pPr>
              <w:adjustRightInd w:val="0"/>
              <w:snapToGrid w:val="0"/>
              <w:spacing w:after="0" w:line="360" w:lineRule="auto"/>
              <w:jc w:val="both"/>
              <w:rPr>
                <w:rFonts w:ascii="Book Antiqua" w:eastAsia="Times New Roman" w:hAnsi="Book Antiqua" w:cs="Calibri"/>
                <w:b/>
                <w:sz w:val="24"/>
                <w:szCs w:val="24"/>
              </w:rPr>
            </w:pPr>
            <w:r w:rsidRPr="001339DB">
              <w:rPr>
                <w:rFonts w:ascii="Book Antiqua" w:eastAsia="Times New Roman" w:hAnsi="Book Antiqua" w:cs="Calibri"/>
                <w:b/>
                <w:sz w:val="24"/>
                <w:szCs w:val="24"/>
              </w:rPr>
              <w:t>Source</w:t>
            </w:r>
          </w:p>
        </w:tc>
      </w:tr>
      <w:tr w:rsidR="001339DB" w:rsidRPr="001339DB" w:rsidTr="00411545">
        <w:trPr>
          <w:trHeight w:val="285"/>
        </w:trPr>
        <w:tc>
          <w:tcPr>
            <w:tcW w:w="3369" w:type="dxa"/>
            <w:gridSpan w:val="4"/>
            <w:tcBorders>
              <w:left w:val="nil"/>
              <w:bottom w:val="single" w:sz="4" w:space="0" w:color="auto"/>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b/>
                <w:bCs/>
                <w:sz w:val="24"/>
                <w:szCs w:val="24"/>
              </w:rPr>
            </w:pPr>
            <w:r w:rsidRPr="001339DB">
              <w:rPr>
                <w:rFonts w:ascii="Book Antiqua" w:eastAsia="Times New Roman" w:hAnsi="Book Antiqua" w:cs="Calibri"/>
                <w:b/>
                <w:bCs/>
                <w:sz w:val="24"/>
                <w:szCs w:val="24"/>
              </w:rPr>
              <w:t>Test accuracy for F</w:t>
            </w:r>
            <w:r w:rsidR="00D96EE7">
              <w:rPr>
                <w:rFonts w:ascii="Book Antiqua" w:hAnsi="Book Antiqua" w:cs="Calibri" w:hint="eastAsia"/>
                <w:b/>
                <w:bCs/>
                <w:sz w:val="24"/>
                <w:szCs w:val="24"/>
                <w:lang w:eastAsia="zh-CN"/>
              </w:rPr>
              <w:t xml:space="preserve"> </w:t>
            </w:r>
            <w:r w:rsidRPr="001339DB">
              <w:rPr>
                <w:rFonts w:ascii="Book Antiqua" w:eastAsia="Times New Roman" w:hAnsi="Book Antiqua" w:cs="Calibri"/>
                <w:b/>
                <w:bCs/>
                <w:sz w:val="24"/>
                <w:szCs w:val="24"/>
              </w:rPr>
              <w:t>≥</w:t>
            </w:r>
            <w:r w:rsidR="00D96EE7">
              <w:rPr>
                <w:rFonts w:ascii="Book Antiqua" w:hAnsi="Book Antiqua" w:cs="Calibri" w:hint="eastAsia"/>
                <w:b/>
                <w:bCs/>
                <w:sz w:val="24"/>
                <w:szCs w:val="24"/>
                <w:lang w:eastAsia="zh-CN"/>
              </w:rPr>
              <w:t xml:space="preserve"> </w:t>
            </w:r>
            <w:r w:rsidRPr="001339DB">
              <w:rPr>
                <w:rFonts w:ascii="Book Antiqua" w:eastAsia="Times New Roman" w:hAnsi="Book Antiqua" w:cs="Calibri"/>
                <w:b/>
                <w:bCs/>
                <w:sz w:val="24"/>
                <w:szCs w:val="24"/>
              </w:rPr>
              <w:t>2 (%)</w:t>
            </w:r>
          </w:p>
        </w:tc>
        <w:tc>
          <w:tcPr>
            <w:tcW w:w="992" w:type="dxa"/>
            <w:tcBorders>
              <w:left w:val="nil"/>
              <w:bottom w:val="single" w:sz="4" w:space="0" w:color="auto"/>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p>
        </w:tc>
        <w:tc>
          <w:tcPr>
            <w:tcW w:w="1417" w:type="dxa"/>
            <w:tcBorders>
              <w:left w:val="nil"/>
              <w:bottom w:val="single" w:sz="4" w:space="0" w:color="auto"/>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p>
        </w:tc>
        <w:tc>
          <w:tcPr>
            <w:tcW w:w="1418" w:type="dxa"/>
            <w:tcBorders>
              <w:left w:val="nil"/>
              <w:bottom w:val="single" w:sz="4" w:space="0" w:color="auto"/>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p>
        </w:tc>
        <w:tc>
          <w:tcPr>
            <w:tcW w:w="1417" w:type="dxa"/>
            <w:tcBorders>
              <w:left w:val="nil"/>
              <w:bottom w:val="single" w:sz="4" w:space="0" w:color="auto"/>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p>
        </w:tc>
      </w:tr>
      <w:tr w:rsidR="001339DB" w:rsidRPr="001339DB" w:rsidTr="00411545">
        <w:trPr>
          <w:trHeight w:val="285"/>
        </w:trPr>
        <w:tc>
          <w:tcPr>
            <w:tcW w:w="2093" w:type="dxa"/>
            <w:gridSpan w:val="2"/>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ELF Sensitivity</w:t>
            </w:r>
          </w:p>
        </w:tc>
        <w:tc>
          <w:tcPr>
            <w:tcW w:w="1276" w:type="dxa"/>
            <w:gridSpan w:val="2"/>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p>
        </w:tc>
        <w:tc>
          <w:tcPr>
            <w:tcW w:w="992"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90</w:t>
            </w:r>
          </w:p>
        </w:tc>
        <w:tc>
          <w:tcPr>
            <w:tcW w:w="1417"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85−93</w:t>
            </w:r>
          </w:p>
        </w:tc>
        <w:tc>
          <w:tcPr>
            <w:tcW w:w="1418"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β(90;1.9)</w:t>
            </w:r>
          </w:p>
        </w:tc>
        <w:tc>
          <w:tcPr>
            <w:tcW w:w="1417"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fldChar w:fldCharType="begin" w:fldLock="1"/>
            </w:r>
            <w:r w:rsidRPr="001339DB">
              <w:rPr>
                <w:rFonts w:ascii="Book Antiqua" w:eastAsia="Times New Roman" w:hAnsi="Book Antiqua" w:cs="Calibri"/>
                <w:sz w:val="24"/>
                <w:szCs w:val="24"/>
              </w:rPr>
              <w:instrText>ADDIN CSL_CITATION { "citationItems" : [ { "id" : "ITEM-1", "itemData" : { "DOI" : "10.1111/j.1365-2036.2010.04500.x", "ISSN" : "1365-2036", "PMID" : "21083589", "abstract" : "Liver biopsy is the reference standard to assess liver fibrosis in chronic hepatitis C.", "author" : [ { "dropping-particle" : "", "family" : "Martinez", "given" : "S M", "non-dropping-particle" : "", "parse-names" : false, "suffix" : "" }, { "dropping-particle" : "", "family" : "Fern\u00e1ndez-Varo", "given" : "G", "non-dropping-particle" : "", "parse-names" : false, "suffix" : "" }, { "dropping-particle" : "", "family" : "Gonz\u00e1lez", "given" : "P", "non-dropping-particle" : "", "parse-names" : false, "suffix" : "" }, { "dropping-particle" : "", "family" : "Sampson", "given" : "E", "non-dropping-particle" : "", "parse-names" : false, "suffix" : "" }, { "dropping-particle" : "", "family" : "Bruguera", "given" : "M", "non-dropping-particle" : "", "parse-names" : false, "suffix" : "" }, { "dropping-particle" : "", "family" : "Navasa", "given" : "M", "non-dropping-particle" : "", "parse-names" : false, "suffix" : "" }, { "dropping-particle" : "", "family" : "Jim\u00e9nez", "given" : "W", "non-dropping-particle" : "", "parse-names" : false, "suffix" : "" }, { "dropping-particle" : "", "family" : "S\u00e1nchez-Tapias", "given" : "J M", "non-dropping-particle" : "", "parse-names" : false, "suffix" : "" }, { "dropping-particle" : "", "family" : "Forns", "given" : "X", "non-dropping-particle" : "", "parse-names" : false, "suffix" : "" } ], "container-title" : "Alimentary pharmacology &amp; therapeutics", "id" : "ITEM-1", "issue" : "1", "issued" : { "date-parts" : [ [ "2011" ] ] }, "page" : "138-148", "title" : "Assessment of liver fibrosis before and after antiviral therapy by different serum marker panels in patients with chronic hepatitis C.", "type" : "article-journal", "volume" : "33" }, "uris" : [ "http://www.mendeley.com/documents/?uuid=b63eae26-e87c-42a3-bf0a-b626d2de15bd" ] } ], "mendeley" : { "formattedCitation" : "[26]", "plainTextFormattedCitation" : "[26]", "previouslyFormattedCitation" : "[26]" }, "properties" : { "noteIndex" : 0 }, "schema" : "https://github.com/citation-style-language/schema/raw/master/csl-citation.json" }</w:instrText>
            </w:r>
            <w:r w:rsidRPr="001339DB">
              <w:rPr>
                <w:rFonts w:ascii="Book Antiqua" w:eastAsia="Times New Roman" w:hAnsi="Book Antiqua" w:cs="Calibri"/>
                <w:sz w:val="24"/>
                <w:szCs w:val="24"/>
              </w:rPr>
              <w:fldChar w:fldCharType="separate"/>
            </w:r>
            <w:r w:rsidRPr="001339DB">
              <w:rPr>
                <w:rFonts w:ascii="Book Antiqua" w:eastAsia="Times New Roman" w:hAnsi="Book Antiqua" w:cs="Calibri"/>
                <w:noProof/>
                <w:sz w:val="24"/>
                <w:szCs w:val="24"/>
              </w:rPr>
              <w:t>[26]</w:t>
            </w:r>
            <w:r w:rsidRPr="001339DB">
              <w:rPr>
                <w:rFonts w:ascii="Book Antiqua" w:eastAsia="Times New Roman" w:hAnsi="Book Antiqua" w:cs="Calibri"/>
                <w:sz w:val="24"/>
                <w:szCs w:val="24"/>
              </w:rPr>
              <w:fldChar w:fldCharType="end"/>
            </w:r>
          </w:p>
        </w:tc>
      </w:tr>
      <w:tr w:rsidR="001339DB" w:rsidRPr="001339DB" w:rsidTr="00411545">
        <w:trPr>
          <w:trHeight w:val="285"/>
        </w:trPr>
        <w:tc>
          <w:tcPr>
            <w:tcW w:w="2093" w:type="dxa"/>
            <w:gridSpan w:val="2"/>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ELF Specificity</w:t>
            </w:r>
          </w:p>
        </w:tc>
        <w:tc>
          <w:tcPr>
            <w:tcW w:w="1276" w:type="dxa"/>
            <w:gridSpan w:val="2"/>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p>
        </w:tc>
        <w:tc>
          <w:tcPr>
            <w:tcW w:w="992"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52</w:t>
            </w:r>
          </w:p>
        </w:tc>
        <w:tc>
          <w:tcPr>
            <w:tcW w:w="1417"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43−61</w:t>
            </w:r>
          </w:p>
        </w:tc>
        <w:tc>
          <w:tcPr>
            <w:tcW w:w="1418"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β(52;4.6)</w:t>
            </w:r>
          </w:p>
        </w:tc>
        <w:tc>
          <w:tcPr>
            <w:tcW w:w="1417"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fldChar w:fldCharType="begin" w:fldLock="1"/>
            </w:r>
            <w:r w:rsidRPr="001339DB">
              <w:rPr>
                <w:rFonts w:ascii="Book Antiqua" w:eastAsia="Times New Roman" w:hAnsi="Book Antiqua" w:cs="Calibri"/>
                <w:sz w:val="24"/>
                <w:szCs w:val="24"/>
              </w:rPr>
              <w:instrText>ADDIN CSL_CITATION { "citationItems" : [ { "id" : "ITEM-1", "itemData" : { "DOI" : "10.1111/j.1365-2036.2010.04500.x", "ISSN" : "1365-2036", "PMID" : "21083589", "abstract" : "Liver biopsy is the reference standard to assess liver fibrosis in chronic hepatitis C.", "author" : [ { "dropping-particle" : "", "family" : "Martinez", "given" : "S M", "non-dropping-particle" : "", "parse-names" : false, "suffix" : "" }, { "dropping-particle" : "", "family" : "Fern\u00e1ndez-Varo", "given" : "G", "non-dropping-particle" : "", "parse-names" : false, "suffix" : "" }, { "dropping-particle" : "", "family" : "Gonz\u00e1lez", "given" : "P", "non-dropping-particle" : "", "parse-names" : false, "suffix" : "" }, { "dropping-particle" : "", "family" : "Sampson", "given" : "E", "non-dropping-particle" : "", "parse-names" : false, "suffix" : "" }, { "dropping-particle" : "", "family" : "Bruguera", "given" : "M", "non-dropping-particle" : "", "parse-names" : false, "suffix" : "" }, { "dropping-particle" : "", "family" : "Navasa", "given" : "M", "non-dropping-particle" : "", "parse-names" : false, "suffix" : "" }, { "dropping-particle" : "", "family" : "Jim\u00e9nez", "given" : "W", "non-dropping-particle" : "", "parse-names" : false, "suffix" : "" }, { "dropping-particle" : "", "family" : "S\u00e1nchez-Tapias", "given" : "J M", "non-dropping-particle" : "", "parse-names" : false, "suffix" : "" }, { "dropping-particle" : "", "family" : "Forns", "given" : "X", "non-dropping-particle" : "", "parse-names" : false, "suffix" : "" } ], "container-title" : "Alimentary pharmacology &amp; therapeutics", "id" : "ITEM-1", "issue" : "1", "issued" : { "date-parts" : [ [ "2011" ] ] }, "page" : "138-148", "title" : "Assessment of liver fibrosis before and after antiviral therapy by different serum marker panels in patients with chronic hepatitis C.", "type" : "article-journal", "volume" : "33" }, "uris" : [ "http://www.mendeley.com/documents/?uuid=b63eae26-e87c-42a3-bf0a-b626d2de15bd" ] } ], "mendeley" : { "formattedCitation" : "[26]", "plainTextFormattedCitation" : "[26]", "previouslyFormattedCitation" : "[26]" }, "properties" : { "noteIndex" : 0 }, "schema" : "https://github.com/citation-style-language/schema/raw/master/csl-citation.json" }</w:instrText>
            </w:r>
            <w:r w:rsidRPr="001339DB">
              <w:rPr>
                <w:rFonts w:ascii="Book Antiqua" w:eastAsia="Times New Roman" w:hAnsi="Book Antiqua" w:cs="Calibri"/>
                <w:sz w:val="24"/>
                <w:szCs w:val="24"/>
              </w:rPr>
              <w:fldChar w:fldCharType="separate"/>
            </w:r>
            <w:r w:rsidRPr="001339DB">
              <w:rPr>
                <w:rFonts w:ascii="Book Antiqua" w:eastAsia="Times New Roman" w:hAnsi="Book Antiqua" w:cs="Calibri"/>
                <w:noProof/>
                <w:sz w:val="24"/>
                <w:szCs w:val="24"/>
              </w:rPr>
              <w:t>[26]</w:t>
            </w:r>
            <w:r w:rsidRPr="001339DB">
              <w:rPr>
                <w:rFonts w:ascii="Book Antiqua" w:eastAsia="Times New Roman" w:hAnsi="Book Antiqua" w:cs="Calibri"/>
                <w:sz w:val="24"/>
                <w:szCs w:val="24"/>
              </w:rPr>
              <w:fldChar w:fldCharType="end"/>
            </w:r>
          </w:p>
        </w:tc>
      </w:tr>
      <w:tr w:rsidR="001339DB" w:rsidRPr="001339DB" w:rsidTr="00411545">
        <w:trPr>
          <w:trHeight w:val="285"/>
        </w:trPr>
        <w:tc>
          <w:tcPr>
            <w:tcW w:w="2093" w:type="dxa"/>
            <w:gridSpan w:val="2"/>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LSM Sensitivity (HCV)</w:t>
            </w:r>
          </w:p>
        </w:tc>
        <w:tc>
          <w:tcPr>
            <w:tcW w:w="1276" w:type="dxa"/>
            <w:gridSpan w:val="2"/>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p>
        </w:tc>
        <w:tc>
          <w:tcPr>
            <w:tcW w:w="992"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79</w:t>
            </w:r>
          </w:p>
        </w:tc>
        <w:tc>
          <w:tcPr>
            <w:tcW w:w="1417"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75−83</w:t>
            </w:r>
          </w:p>
        </w:tc>
        <w:tc>
          <w:tcPr>
            <w:tcW w:w="1418"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β(79;2.0)</w:t>
            </w:r>
          </w:p>
        </w:tc>
        <w:tc>
          <w:tcPr>
            <w:tcW w:w="1417"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fldChar w:fldCharType="begin" w:fldLock="1"/>
            </w:r>
            <w:r w:rsidRPr="001339DB">
              <w:rPr>
                <w:rFonts w:ascii="Book Antiqua" w:eastAsia="Times New Roman" w:hAnsi="Book Antiqua" w:cs="Calibri"/>
                <w:sz w:val="24"/>
                <w:szCs w:val="24"/>
              </w:rPr>
              <w:instrText>ADDIN CSL_CITATION { "citationItems" : [ { "id" : "ITEM-1", "itemData" : { "DOI" : "10.3310/hta19090", "ISSN" : "1366-5278", "author" : [ { "dropping-particle" : "", "family" : "Crossan", "given" : "Catriona", "non-dropping-particle" : "", "parse-names" : false, "suffix" : "" }, { "dropping-particle" : "", "family" : "Tsochatzis", "given" : "Emmanuel a", "non-dropping-particle" : "", "parse-names" : false, "suffix" : "" }, { "dropping-particle" : "", "family" : "Longworth", "given" : "Louise", "non-dropping-particle" : "", "parse-names" : false, "suffix" : "" }, { "dropping-particle" : "", "family" : "Gurusamy", "given" : "Kurinchi", "non-dropping-particle" : "", "parse-names" : false, "suffix" : "" }, { "dropping-particle" : "", "family" : "Davidson", "given" : "Brian", "non-dropping-particle" : "", "parse-names" : false, "suffix" : "" }, { "dropping-particle" : "", "family" : "Rodr\u00edguez-Per\u00e1lvarez", "given" : "Manuel", "non-dropping-particle" : "", "parse-names" : false, "suffix" : "" }, { "dropping-particle" : "", "family" : "Mantzoukis", "given" : "Konstantinos", "non-dropping-particle" : "", "parse-names" : false, "suffix" : "" }, { "dropping-particle" : "", "family" : "O\u2019Brien", "given" : "Julia", "non-dropping-particle" : "", "parse-names" : false, "suffix" : "" }, { "dropping-particle" : "", "family" : "Thalassinos", "given" : "Evangelos", "non-dropping-particle" : "", "parse-names" : false, "suffix" : "" }, { "dropping-particle" : "", "family" : "Papastergiou", "given" : "Vassilios", "non-dropping-particle" : "", "parse-names" : false, "suffix" : "" }, { "dropping-particle" : "", "family" : "Burroughs", "given" : "Andrew", "non-dropping-particle" : "", "parse-names" : false, "suffix" : "" } ], "container-title" : "Health technology assessment (NHS)", "id" : "ITEM-1", "issue" : "9", "issued" : { "date-parts" : [ [ "2015" ] ] }, "page" : "1-410", "title" : "Cost-effectiveness of non-invasive methods for assessment and monitoring of liver fibrosis and cirrhosis in patients with chronic liver disease: systematic review and economic evaluation", "type" : "article-journal", "volume" : "19" }, "uris" : [ "http://www.mendeley.com/documents/?uuid=5b57a84e-a9dc-4bfa-a1f0-171621d56a8e" ] } ], "mendeley" : { "formattedCitation" : "[15]", "plainTextFormattedCitation" : "[15]", "previouslyFormattedCitation" : "[15]" }, "properties" : { "noteIndex" : 0 }, "schema" : "https://github.com/citation-style-language/schema/raw/master/csl-citation.json" }</w:instrText>
            </w:r>
            <w:r w:rsidRPr="001339DB">
              <w:rPr>
                <w:rFonts w:ascii="Book Antiqua" w:eastAsia="Times New Roman" w:hAnsi="Book Antiqua" w:cs="Calibri"/>
                <w:sz w:val="24"/>
                <w:szCs w:val="24"/>
              </w:rPr>
              <w:fldChar w:fldCharType="separate"/>
            </w:r>
            <w:r w:rsidRPr="001339DB">
              <w:rPr>
                <w:rFonts w:ascii="Book Antiqua" w:eastAsia="Times New Roman" w:hAnsi="Book Antiqua" w:cs="Calibri"/>
                <w:noProof/>
                <w:sz w:val="24"/>
                <w:szCs w:val="24"/>
              </w:rPr>
              <w:t>[15]</w:t>
            </w:r>
            <w:r w:rsidRPr="001339DB">
              <w:rPr>
                <w:rFonts w:ascii="Book Antiqua" w:eastAsia="Times New Roman" w:hAnsi="Book Antiqua" w:cs="Calibri"/>
                <w:sz w:val="24"/>
                <w:szCs w:val="24"/>
              </w:rPr>
              <w:fldChar w:fldCharType="end"/>
            </w:r>
          </w:p>
        </w:tc>
      </w:tr>
      <w:tr w:rsidR="001339DB" w:rsidRPr="001339DB" w:rsidTr="00411545">
        <w:trPr>
          <w:trHeight w:val="285"/>
        </w:trPr>
        <w:tc>
          <w:tcPr>
            <w:tcW w:w="2093" w:type="dxa"/>
            <w:gridSpan w:val="2"/>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LSM</w:t>
            </w:r>
            <w:r w:rsidR="00C731E9">
              <w:rPr>
                <w:rFonts w:ascii="Book Antiqua" w:eastAsia="Times New Roman" w:hAnsi="Book Antiqua" w:cs="Calibri"/>
                <w:sz w:val="24"/>
                <w:szCs w:val="24"/>
              </w:rPr>
              <w:t xml:space="preserve"> </w:t>
            </w:r>
            <w:r w:rsidRPr="001339DB">
              <w:rPr>
                <w:rFonts w:ascii="Book Antiqua" w:eastAsia="Times New Roman" w:hAnsi="Book Antiqua" w:cs="Calibri"/>
                <w:sz w:val="24"/>
                <w:szCs w:val="24"/>
              </w:rPr>
              <w:t>Specificity (HCV)</w:t>
            </w:r>
          </w:p>
        </w:tc>
        <w:tc>
          <w:tcPr>
            <w:tcW w:w="1276" w:type="dxa"/>
            <w:gridSpan w:val="2"/>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p>
        </w:tc>
        <w:tc>
          <w:tcPr>
            <w:tcW w:w="992"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89</w:t>
            </w:r>
          </w:p>
        </w:tc>
        <w:tc>
          <w:tcPr>
            <w:tcW w:w="1417"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84−93</w:t>
            </w:r>
          </w:p>
        </w:tc>
        <w:tc>
          <w:tcPr>
            <w:tcW w:w="1418"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β(89;2.0)</w:t>
            </w:r>
          </w:p>
        </w:tc>
        <w:tc>
          <w:tcPr>
            <w:tcW w:w="1417"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fldChar w:fldCharType="begin" w:fldLock="1"/>
            </w:r>
            <w:r w:rsidRPr="001339DB">
              <w:rPr>
                <w:rFonts w:ascii="Book Antiqua" w:eastAsia="Times New Roman" w:hAnsi="Book Antiqua" w:cs="Calibri"/>
                <w:sz w:val="24"/>
                <w:szCs w:val="24"/>
              </w:rPr>
              <w:instrText>ADDIN CSL_CITATION { "citationItems" : [ { "id" : "ITEM-1", "itemData" : { "DOI" : "10.3310/hta19090", "ISSN" : "1366-5278", "author" : [ { "dropping-particle" : "", "family" : "Crossan", "given" : "Catriona", "non-dropping-particle" : "", "parse-names" : false, "suffix" : "" }, { "dropping-particle" : "", "family" : "Tsochatzis", "given" : "Emmanuel a", "non-dropping-particle" : "", "parse-names" : false, "suffix" : "" }, { "dropping-particle" : "", "family" : "Longworth", "given" : "Louise", "non-dropping-particle" : "", "parse-names" : false, "suffix" : "" }, { "dropping-particle" : "", "family" : "Gurusamy", "given" : "Kurinchi", "non-dropping-particle" : "", "parse-names" : false, "suffix" : "" }, { "dropping-particle" : "", "family" : "Davidson", "given" : "Brian", "non-dropping-particle" : "", "parse-names" : false, "suffix" : "" }, { "dropping-particle" : "", "family" : "Rodr\u00edguez-Per\u00e1lvarez", "given" : "Manuel", "non-dropping-particle" : "", "parse-names" : false, "suffix" : "" }, { "dropping-particle" : "", "family" : "Mantzoukis", "given" : "Konstantinos", "non-dropping-particle" : "", "parse-names" : false, "suffix" : "" }, { "dropping-particle" : "", "family" : "O\u2019Brien", "given" : "Julia", "non-dropping-particle" : "", "parse-names" : false, "suffix" : "" }, { "dropping-particle" : "", "family" : "Thalassinos", "given" : "Evangelos", "non-dropping-particle" : "", "parse-names" : false, "suffix" : "" }, { "dropping-particle" : "", "family" : "Papastergiou", "given" : "Vassilios", "non-dropping-particle" : "", "parse-names" : false, "suffix" : "" }, { "dropping-particle" : "", "family" : "Burroughs", "given" : "Andrew", "non-dropping-particle" : "", "parse-names" : false, "suffix" : "" } ], "container-title" : "Health technology assessment (NHS)", "id" : "ITEM-1", "issue" : "9", "issued" : { "date-parts" : [ [ "2015" ] ] }, "page" : "1-410", "title" : "Cost-effectiveness of non-invasive methods for assessment and monitoring of liver fibrosis and cirrhosis in patients with chronic liver disease: systematic review and economic evaluation", "type" : "article-journal", "volume" : "19" }, "uris" : [ "http://www.mendeley.com/documents/?uuid=5b57a84e-a9dc-4bfa-a1f0-171621d56a8e" ] } ], "mendeley" : { "formattedCitation" : "[15]", "plainTextFormattedCitation" : "[15]", "previouslyFormattedCitation" : "[15]" }, "properties" : { "noteIndex" : 0 }, "schema" : "https://github.com/citation-style-language/schema/raw/master/csl-citation.json" }</w:instrText>
            </w:r>
            <w:r w:rsidRPr="001339DB">
              <w:rPr>
                <w:rFonts w:ascii="Book Antiqua" w:eastAsia="Times New Roman" w:hAnsi="Book Antiqua" w:cs="Calibri"/>
                <w:sz w:val="24"/>
                <w:szCs w:val="24"/>
              </w:rPr>
              <w:fldChar w:fldCharType="separate"/>
            </w:r>
            <w:r w:rsidRPr="001339DB">
              <w:rPr>
                <w:rFonts w:ascii="Book Antiqua" w:eastAsia="Times New Roman" w:hAnsi="Book Antiqua" w:cs="Calibri"/>
                <w:noProof/>
                <w:sz w:val="24"/>
                <w:szCs w:val="24"/>
              </w:rPr>
              <w:t>[15]</w:t>
            </w:r>
            <w:r w:rsidRPr="001339DB">
              <w:rPr>
                <w:rFonts w:ascii="Book Antiqua" w:eastAsia="Times New Roman" w:hAnsi="Book Antiqua" w:cs="Calibri"/>
                <w:sz w:val="24"/>
                <w:szCs w:val="24"/>
              </w:rPr>
              <w:fldChar w:fldCharType="end"/>
            </w:r>
          </w:p>
        </w:tc>
      </w:tr>
      <w:tr w:rsidR="001339DB" w:rsidRPr="001339DB" w:rsidTr="00411545">
        <w:trPr>
          <w:trHeight w:val="285"/>
        </w:trPr>
        <w:tc>
          <w:tcPr>
            <w:tcW w:w="2093" w:type="dxa"/>
            <w:gridSpan w:val="2"/>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LSM Sensitivity (ALD)</w:t>
            </w:r>
          </w:p>
        </w:tc>
        <w:tc>
          <w:tcPr>
            <w:tcW w:w="1276" w:type="dxa"/>
            <w:gridSpan w:val="2"/>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p>
        </w:tc>
        <w:tc>
          <w:tcPr>
            <w:tcW w:w="992"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81</w:t>
            </w:r>
          </w:p>
        </w:tc>
        <w:tc>
          <w:tcPr>
            <w:tcW w:w="1417"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70−88</w:t>
            </w:r>
          </w:p>
        </w:tc>
        <w:tc>
          <w:tcPr>
            <w:tcW w:w="1418"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β(81;4.5)</w:t>
            </w:r>
          </w:p>
        </w:tc>
        <w:tc>
          <w:tcPr>
            <w:tcW w:w="1417"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fldChar w:fldCharType="begin" w:fldLock="1"/>
            </w:r>
            <w:r w:rsidRPr="001339DB">
              <w:rPr>
                <w:rFonts w:ascii="Book Antiqua" w:eastAsia="Times New Roman" w:hAnsi="Book Antiqua" w:cs="Calibri"/>
                <w:sz w:val="24"/>
                <w:szCs w:val="24"/>
              </w:rPr>
              <w:instrText>ADDIN CSL_CITATION { "citationItems" : [ { "id" : "ITEM-1", "itemData" : { "DOI" : "10.3310/hta19090", "ISSN" : "1366-5278", "author" : [ { "dropping-particle" : "", "family" : "Crossan", "given" : "Catriona", "non-dropping-particle" : "", "parse-names" : false, "suffix" : "" }, { "dropping-particle" : "", "family" : "Tsochatzis", "given" : "Emmanuel a", "non-dropping-particle" : "", "parse-names" : false, "suffix" : "" }, { "dropping-particle" : "", "family" : "Longworth", "given" : "Louise", "non-dropping-particle" : "", "parse-names" : false, "suffix" : "" }, { "dropping-particle" : "", "family" : "Gurusamy", "given" : "Kurinchi", "non-dropping-particle" : "", "parse-names" : false, "suffix" : "" }, { "dropping-particle" : "", "family" : "Davidson", "given" : "Brian", "non-dropping-particle" : "", "parse-names" : false, "suffix" : "" }, { "dropping-particle" : "", "family" : "Rodr\u00edguez-Per\u00e1lvarez", "given" : "Manuel", "non-dropping-particle" : "", "parse-names" : false, "suffix" : "" }, { "dropping-particle" : "", "family" : "Mantzoukis", "given" : "Konstantinos", "non-dropping-particle" : "", "parse-names" : false, "suffix" : "" }, { "dropping-particle" : "", "family" : "O\u2019Brien", "given" : "Julia", "non-dropping-particle" : "", "parse-names" : false, "suffix" : "" }, { "dropping-particle" : "", "family" : "Thalassinos", "given" : "Evangelos", "non-dropping-particle" : "", "parse-names" : false, "suffix" : "" }, { "dropping-particle" : "", "family" : "Papastergiou", "given" : "Vassilios", "non-dropping-particle" : "", "parse-names" : false, "suffix" : "" }, { "dropping-particle" : "", "family" : "Burroughs", "given" : "Andrew", "non-dropping-particle" : "", "parse-names" : false, "suffix" : "" } ], "container-title" : "Health technology assessment (NHS)", "id" : "ITEM-1", "issue" : "9", "issued" : { "date-parts" : [ [ "2015" ] ] }, "page" : "1-410", "title" : "Cost-effectiveness of non-invasive methods for assessment and monitoring of liver fibrosis and cirrhosis in patients with chronic liver disease: systematic review and economic evaluation", "type" : "article-journal", "volume" : "19" }, "uris" : [ "http://www.mendeley.com/documents/?uuid=5b57a84e-a9dc-4bfa-a1f0-171621d56a8e" ] } ], "mendeley" : { "formattedCitation" : "[15]", "plainTextFormattedCitation" : "[15]", "previouslyFormattedCitation" : "[15]" }, "properties" : { "noteIndex" : 0 }, "schema" : "https://github.com/citation-style-language/schema/raw/master/csl-citation.json" }</w:instrText>
            </w:r>
            <w:r w:rsidRPr="001339DB">
              <w:rPr>
                <w:rFonts w:ascii="Book Antiqua" w:eastAsia="Times New Roman" w:hAnsi="Book Antiqua" w:cs="Calibri"/>
                <w:sz w:val="24"/>
                <w:szCs w:val="24"/>
              </w:rPr>
              <w:fldChar w:fldCharType="separate"/>
            </w:r>
            <w:r w:rsidRPr="001339DB">
              <w:rPr>
                <w:rFonts w:ascii="Book Antiqua" w:eastAsia="Times New Roman" w:hAnsi="Book Antiqua" w:cs="Calibri"/>
                <w:noProof/>
                <w:sz w:val="24"/>
                <w:szCs w:val="24"/>
              </w:rPr>
              <w:t>[15]</w:t>
            </w:r>
            <w:r w:rsidRPr="001339DB">
              <w:rPr>
                <w:rFonts w:ascii="Book Antiqua" w:eastAsia="Times New Roman" w:hAnsi="Book Antiqua" w:cs="Calibri"/>
                <w:sz w:val="24"/>
                <w:szCs w:val="24"/>
              </w:rPr>
              <w:fldChar w:fldCharType="end"/>
            </w:r>
          </w:p>
        </w:tc>
      </w:tr>
      <w:tr w:rsidR="001339DB" w:rsidRPr="001339DB" w:rsidTr="00411545">
        <w:trPr>
          <w:trHeight w:val="285"/>
        </w:trPr>
        <w:tc>
          <w:tcPr>
            <w:tcW w:w="2093" w:type="dxa"/>
            <w:gridSpan w:val="2"/>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LSM</w:t>
            </w:r>
            <w:r w:rsidR="00C731E9">
              <w:rPr>
                <w:rFonts w:ascii="Book Antiqua" w:eastAsia="Times New Roman" w:hAnsi="Book Antiqua" w:cs="Calibri"/>
                <w:sz w:val="24"/>
                <w:szCs w:val="24"/>
              </w:rPr>
              <w:t xml:space="preserve"> </w:t>
            </w:r>
            <w:r w:rsidRPr="001339DB">
              <w:rPr>
                <w:rFonts w:ascii="Book Antiqua" w:eastAsia="Times New Roman" w:hAnsi="Book Antiqua" w:cs="Calibri"/>
                <w:sz w:val="24"/>
                <w:szCs w:val="24"/>
              </w:rPr>
              <w:t>Specificity (ALD)</w:t>
            </w:r>
          </w:p>
        </w:tc>
        <w:tc>
          <w:tcPr>
            <w:tcW w:w="1276" w:type="dxa"/>
            <w:gridSpan w:val="2"/>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p>
        </w:tc>
        <w:tc>
          <w:tcPr>
            <w:tcW w:w="992"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92</w:t>
            </w:r>
          </w:p>
        </w:tc>
        <w:tc>
          <w:tcPr>
            <w:tcW w:w="1417"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76−98</w:t>
            </w:r>
          </w:p>
        </w:tc>
        <w:tc>
          <w:tcPr>
            <w:tcW w:w="1418"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β(92;5.5)</w:t>
            </w:r>
          </w:p>
        </w:tc>
        <w:tc>
          <w:tcPr>
            <w:tcW w:w="1417"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fldChar w:fldCharType="begin" w:fldLock="1"/>
            </w:r>
            <w:r w:rsidRPr="001339DB">
              <w:rPr>
                <w:rFonts w:ascii="Book Antiqua" w:eastAsia="Times New Roman" w:hAnsi="Book Antiqua" w:cs="Calibri"/>
                <w:sz w:val="24"/>
                <w:szCs w:val="24"/>
              </w:rPr>
              <w:instrText>ADDIN CSL_CITATION { "citationItems" : [ { "id" : "ITEM-1", "itemData" : { "DOI" : "10.3310/hta19090", "ISSN" : "1366-5278", "author" : [ { "dropping-particle" : "", "family" : "Crossan", "given" : "Catriona", "non-dropping-particle" : "", "parse-names" : false, "suffix" : "" }, { "dropping-particle" : "", "family" : "Tsochatzis", "given" : "Emmanuel a", "non-dropping-particle" : "", "parse-names" : false, "suffix" : "" }, { "dropping-particle" : "", "family" : "Longworth", "given" : "Louise", "non-dropping-particle" : "", "parse-names" : false, "suffix" : "" }, { "dropping-particle" : "", "family" : "Gurusamy", "given" : "Kurinchi", "non-dropping-particle" : "", "parse-names" : false, "suffix" : "" }, { "dropping-particle" : "", "family" : "Davidson", "given" : "Brian", "non-dropping-particle" : "", "parse-names" : false, "suffix" : "" }, { "dropping-particle" : "", "family" : "Rodr\u00edguez-Per\u00e1lvarez", "given" : "Manuel", "non-dropping-particle" : "", "parse-names" : false, "suffix" : "" }, { "dropping-particle" : "", "family" : "Mantzoukis", "given" : "Konstantinos", "non-dropping-particle" : "", "parse-names" : false, "suffix" : "" }, { "dropping-particle" : "", "family" : "O\u2019Brien", "given" : "Julia", "non-dropping-particle" : "", "parse-names" : false, "suffix" : "" }, { "dropping-particle" : "", "family" : "Thalassinos", "given" : "Evangelos", "non-dropping-particle" : "", "parse-names" : false, "suffix" : "" }, { "dropping-particle" : "", "family" : "Papastergiou", "given" : "Vassilios", "non-dropping-particle" : "", "parse-names" : false, "suffix" : "" }, { "dropping-particle" : "", "family" : "Burroughs", "given" : "Andrew", "non-dropping-particle" : "", "parse-names" : false, "suffix" : "" } ], "container-title" : "Health technology assessment (NHS)", "id" : "ITEM-1", "issue" : "9", "issued" : { "date-parts" : [ [ "2015" ] ] }, "page" : "1-410", "title" : "Cost-effectiveness of non-invasive methods for assessment and monitoring of liver fibrosis and cirrhosis in patients with chronic liver disease: systematic review and economic evaluation", "type" : "article-journal", "volume" : "19" }, "uris" : [ "http://www.mendeley.com/documents/?uuid=5b57a84e-a9dc-4bfa-a1f0-171621d56a8e" ] } ], "mendeley" : { "formattedCitation" : "[15]", "plainTextFormattedCitation" : "[15]", "previouslyFormattedCitation" : "[15]" }, "properties" : { "noteIndex" : 0 }, "schema" : "https://github.com/citation-style-language/schema/raw/master/csl-citation.json" }</w:instrText>
            </w:r>
            <w:r w:rsidRPr="001339DB">
              <w:rPr>
                <w:rFonts w:ascii="Book Antiqua" w:eastAsia="Times New Roman" w:hAnsi="Book Antiqua" w:cs="Calibri"/>
                <w:sz w:val="24"/>
                <w:szCs w:val="24"/>
              </w:rPr>
              <w:fldChar w:fldCharType="separate"/>
            </w:r>
            <w:r w:rsidRPr="001339DB">
              <w:rPr>
                <w:rFonts w:ascii="Book Antiqua" w:eastAsia="Times New Roman" w:hAnsi="Book Antiqua" w:cs="Calibri"/>
                <w:noProof/>
                <w:sz w:val="24"/>
                <w:szCs w:val="24"/>
              </w:rPr>
              <w:t>[15]</w:t>
            </w:r>
            <w:r w:rsidRPr="001339DB">
              <w:rPr>
                <w:rFonts w:ascii="Book Antiqua" w:eastAsia="Times New Roman" w:hAnsi="Book Antiqua" w:cs="Calibri"/>
                <w:sz w:val="24"/>
                <w:szCs w:val="24"/>
              </w:rPr>
              <w:fldChar w:fldCharType="end"/>
            </w:r>
          </w:p>
        </w:tc>
      </w:tr>
      <w:tr w:rsidR="001339DB" w:rsidRPr="001339DB" w:rsidTr="00411545">
        <w:trPr>
          <w:trHeight w:val="285"/>
        </w:trPr>
        <w:tc>
          <w:tcPr>
            <w:tcW w:w="2093" w:type="dxa"/>
            <w:gridSpan w:val="2"/>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Biopsy Sensitivity</w:t>
            </w:r>
          </w:p>
        </w:tc>
        <w:tc>
          <w:tcPr>
            <w:tcW w:w="1276" w:type="dxa"/>
            <w:gridSpan w:val="2"/>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p>
        </w:tc>
        <w:tc>
          <w:tcPr>
            <w:tcW w:w="992"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90</w:t>
            </w:r>
          </w:p>
        </w:tc>
        <w:tc>
          <w:tcPr>
            <w:tcW w:w="1417"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85−95</w:t>
            </w:r>
          </w:p>
        </w:tc>
        <w:tc>
          <w:tcPr>
            <w:tcW w:w="1418"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U(85;95)</w:t>
            </w:r>
          </w:p>
        </w:tc>
        <w:tc>
          <w:tcPr>
            <w:tcW w:w="1417"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 xml:space="preserve">Based on </w:t>
            </w:r>
            <w:r w:rsidRPr="001339DB">
              <w:rPr>
                <w:rFonts w:ascii="Book Antiqua" w:eastAsia="Times New Roman" w:hAnsi="Book Antiqua" w:cs="Calibri"/>
                <w:sz w:val="24"/>
                <w:szCs w:val="24"/>
              </w:rPr>
              <w:fldChar w:fldCharType="begin" w:fldLock="1"/>
            </w:r>
            <w:r w:rsidRPr="001339DB">
              <w:rPr>
                <w:rFonts w:ascii="Book Antiqua" w:eastAsia="Times New Roman" w:hAnsi="Book Antiqua" w:cs="Calibri"/>
                <w:sz w:val="24"/>
                <w:szCs w:val="24"/>
              </w:rPr>
              <w:instrText>ADDIN CSL_CITATION { "citationItems" : [ { "id" : "ITEM-1", "itemData" : { "DOI" : "10.1016/j.jhep.2008.07.039", "ISBN" : "0168-8278 (Print) 0168-8278 (Linking)", "ISSN" : "01688278", "PMID" : "19012989", "abstract" : "Background/Aims: Alternatives to liver biopsy for staging liver disease caused by hepatitis C virus (HCV) have not appeared accurate enough for widespread clinical use. We characterized the magnitude of the impact of error in the \"gold standard\" on the observed diagnostic accuracy of surrogate markers. Methods: We calculated the area under the receiver operating characteristic curve (AUROC) for a surrogate marker against the gold standard (biopsy) for a range of possible performances of each test (biopsy and marker) against truth and a gradient of clinically significant disease prevalence. Results: In the 'best' scenario where liver biopsy accuracy is highest (sensitivity and specificity of biopsy are 90%) and the prevalence of significant disease 40%, the calculated AUROC would be 0.90 for a perfect marker (99% actual accuracy) which is within the range of what has already been observed. With lower biopsy sensitivity and specificity, AUROC determinations &gt;0.90 could not be achieved even for a marker that perfectly measured disease. Conclusions: We demonstrate that error in the liver biopsy result itself makes it impossible to distinguish a perfect surrogate from ones that are now judged by some as clinically unacceptable. An alternative gold standard is needed to assess the accuracy of tests used to stage HCV-related liver disease. \u00a9 2008 European Association for the Study of the Liver.", "author" : [ { "dropping-particle" : "", "family" : "Mehta", "given" : "Shruti H.", "non-dropping-particle" : "", "parse-names" : false, "suffix" : "" }, { "dropping-particle" : "", "family" : "Lau", "given" : "Bryan", "non-dropping-particle" : "", "parse-names" : false, "suffix" : "" }, { "dropping-particle" : "", "family" : "Afdhal", "given" : "Nezam H.", "non-dropping-particle" : "", "parse-names" : false, "suffix" : "" }, { "dropping-particle" : "", "family" : "Thomas", "given" : "David L.", "non-dropping-particle" : "", "parse-names" : false, "suffix" : "" } ], "container-title" : "Journal of Hepatology", "id" : "ITEM-1", "issue" : "1", "issued" : { "date-parts" : [ [ "2009" ] ] }, "page" : "36-41", "publisher" : "European Association for the Study of the Liver", "title" : "Exceeding the limits of liver histology markers", "type" : "article-journal", "volume" : "50" }, "uris" : [ "http://www.mendeley.com/documents/?uuid=f915fd92-2838-4b7c-a2c7-1892ac180ddc" ] } ], "mendeley" : { "formattedCitation" : "[25]", "plainTextFormattedCitation" : "[25]", "previouslyFormattedCitation" : "[25]" }, "properties" : { "noteIndex" : 0 }, "schema" : "https://github.com/citation-style-language/schema/raw/master/csl-citation.json" }</w:instrText>
            </w:r>
            <w:r w:rsidRPr="001339DB">
              <w:rPr>
                <w:rFonts w:ascii="Book Antiqua" w:eastAsia="Times New Roman" w:hAnsi="Book Antiqua" w:cs="Calibri"/>
                <w:sz w:val="24"/>
                <w:szCs w:val="24"/>
              </w:rPr>
              <w:fldChar w:fldCharType="separate"/>
            </w:r>
            <w:r w:rsidRPr="001339DB">
              <w:rPr>
                <w:rFonts w:ascii="Book Antiqua" w:eastAsia="Times New Roman" w:hAnsi="Book Antiqua" w:cs="Calibri"/>
                <w:noProof/>
                <w:sz w:val="24"/>
                <w:szCs w:val="24"/>
              </w:rPr>
              <w:t>[25]</w:t>
            </w:r>
            <w:r w:rsidRPr="001339DB">
              <w:rPr>
                <w:rFonts w:ascii="Book Antiqua" w:eastAsia="Times New Roman" w:hAnsi="Book Antiqua" w:cs="Calibri"/>
                <w:sz w:val="24"/>
                <w:szCs w:val="24"/>
              </w:rPr>
              <w:fldChar w:fldCharType="end"/>
            </w:r>
          </w:p>
        </w:tc>
      </w:tr>
      <w:tr w:rsidR="001339DB" w:rsidRPr="001339DB" w:rsidTr="00411545">
        <w:trPr>
          <w:trHeight w:val="285"/>
        </w:trPr>
        <w:tc>
          <w:tcPr>
            <w:tcW w:w="2093" w:type="dxa"/>
            <w:gridSpan w:val="2"/>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Biopsy</w:t>
            </w:r>
            <w:r w:rsidR="00C731E9">
              <w:rPr>
                <w:rFonts w:ascii="Book Antiqua" w:eastAsia="Times New Roman" w:hAnsi="Book Antiqua" w:cs="Calibri"/>
                <w:sz w:val="24"/>
                <w:szCs w:val="24"/>
              </w:rPr>
              <w:t xml:space="preserve"> </w:t>
            </w:r>
            <w:r w:rsidRPr="001339DB">
              <w:rPr>
                <w:rFonts w:ascii="Book Antiqua" w:eastAsia="Times New Roman" w:hAnsi="Book Antiqua" w:cs="Calibri"/>
                <w:sz w:val="24"/>
                <w:szCs w:val="24"/>
              </w:rPr>
              <w:t>Specificity</w:t>
            </w:r>
          </w:p>
        </w:tc>
        <w:tc>
          <w:tcPr>
            <w:tcW w:w="1276" w:type="dxa"/>
            <w:gridSpan w:val="2"/>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p>
        </w:tc>
        <w:tc>
          <w:tcPr>
            <w:tcW w:w="992"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90</w:t>
            </w:r>
          </w:p>
        </w:tc>
        <w:tc>
          <w:tcPr>
            <w:tcW w:w="1417"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85−95</w:t>
            </w:r>
          </w:p>
        </w:tc>
        <w:tc>
          <w:tcPr>
            <w:tcW w:w="1418"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U(85;95)</w:t>
            </w:r>
          </w:p>
        </w:tc>
        <w:tc>
          <w:tcPr>
            <w:tcW w:w="1417"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 xml:space="preserve">Based on </w:t>
            </w:r>
            <w:r w:rsidRPr="001339DB">
              <w:rPr>
                <w:rFonts w:ascii="Book Antiqua" w:eastAsia="Times New Roman" w:hAnsi="Book Antiqua" w:cs="Calibri"/>
                <w:sz w:val="24"/>
                <w:szCs w:val="24"/>
              </w:rPr>
              <w:fldChar w:fldCharType="begin" w:fldLock="1"/>
            </w:r>
            <w:r w:rsidRPr="001339DB">
              <w:rPr>
                <w:rFonts w:ascii="Book Antiqua" w:eastAsia="Times New Roman" w:hAnsi="Book Antiqua" w:cs="Calibri"/>
                <w:sz w:val="24"/>
                <w:szCs w:val="24"/>
              </w:rPr>
              <w:instrText>ADDIN CSL_CITATION { "citationItems" : [ { "id" : "ITEM-1", "itemData" : { "DOI" : "10.1016/j.jhep.2008.07.039", "ISBN" : "0168-8278 (Print) 0168-8278 (Linking)", "ISSN" : "01688278", "PMID" : "19012989", "abstract" : "Background/Aims: Alternatives to liver biopsy for staging liver disease caused by hepatitis C virus (HCV) have not appeared accurate enough for widespread clinical use. We characterized the magnitude of the impact of error in the \"gold standard\" on the observed diagnostic accuracy of surrogate markers. Methods: We calculated the area under the receiver operating characteristic curve (AUROC) for a surrogate marker against the gold standard (biopsy) for a range of possible performances of each test (biopsy and marker) against truth and a gradient of clinically significant disease prevalence. Results: In the 'best' scenario where liver biopsy accuracy is highest (sensitivity and specificity of biopsy are 90%) and the prevalence of significant disease 40%, the calculated AUROC would be 0.90 for a perfect marker (99% actual accuracy) which is within the range of what has already been observed. With lower biopsy sensitivity and specificity, AUROC determinations &gt;0.90 could not be achieved even for a marker that perfectly measured disease. Conclusions: We demonstrate that error in the liver biopsy result itself makes it impossible to distinguish a perfect surrogate from ones that are now judged by some as clinically unacceptable. An alternative gold standard is needed to assess the accuracy of tests used to stage HCV-related liver disease. \u00a9 2008 European Association for the Study of the Liver.", "author" : [ { "dropping-particle" : "", "family" : "Mehta", "given" : "Shruti H.", "non-dropping-particle" : "", "parse-names" : false, "suffix" : "" }, { "dropping-particle" : "", "family" : "Lau", "given" : "Bryan", "non-dropping-particle" : "", "parse-names" : false, "suffix" : "" }, { "dropping-particle" : "", "family" : "Afdhal", "given" : "Nezam H.", "non-dropping-particle" : "", "parse-names" : false, "suffix" : "" }, { "dropping-particle" : "", "family" : "Thomas", "given" : "David L.", "non-dropping-particle" : "", "parse-names" : false, "suffix" : "" } ], "container-title" : "Journal of Hepatology", "id" : "ITEM-1", "issue" : "1", "issued" : { "date-parts" : [ [ "2009" ] ] }, "page" : "36-41", "publisher" : "European Association for the Study of the Liver", "title" : "Exceeding the limits of liver histology markers", "type" : "article-journal", "volume" : "50" }, "uris" : [ "http://www.mendeley.com/documents/?uuid=f915fd92-2838-4b7c-a2c7-1892ac180ddc" ] } ], "mendeley" : { "formattedCitation" : "[25]", "plainTextFormattedCitation" : "[25]", "previouslyFormattedCitation" : "[25]" }, "properties" : { "noteIndex" : 0 }, "schema" : "https://github.com/citation-style-language/schema/raw/master/csl-citation.json" }</w:instrText>
            </w:r>
            <w:r w:rsidRPr="001339DB">
              <w:rPr>
                <w:rFonts w:ascii="Book Antiqua" w:eastAsia="Times New Roman" w:hAnsi="Book Antiqua" w:cs="Calibri"/>
                <w:sz w:val="24"/>
                <w:szCs w:val="24"/>
              </w:rPr>
              <w:fldChar w:fldCharType="separate"/>
            </w:r>
            <w:r w:rsidRPr="001339DB">
              <w:rPr>
                <w:rFonts w:ascii="Book Antiqua" w:eastAsia="Times New Roman" w:hAnsi="Book Antiqua" w:cs="Calibri"/>
                <w:noProof/>
                <w:sz w:val="24"/>
                <w:szCs w:val="24"/>
              </w:rPr>
              <w:t>[25]</w:t>
            </w:r>
            <w:r w:rsidRPr="001339DB">
              <w:rPr>
                <w:rFonts w:ascii="Book Antiqua" w:eastAsia="Times New Roman" w:hAnsi="Book Antiqua" w:cs="Calibri"/>
                <w:sz w:val="24"/>
                <w:szCs w:val="24"/>
              </w:rPr>
              <w:fldChar w:fldCharType="end"/>
            </w:r>
          </w:p>
        </w:tc>
      </w:tr>
      <w:tr w:rsidR="001339DB" w:rsidRPr="001339DB" w:rsidTr="00411545">
        <w:trPr>
          <w:trHeight w:val="285"/>
        </w:trPr>
        <w:tc>
          <w:tcPr>
            <w:tcW w:w="2093" w:type="dxa"/>
            <w:gridSpan w:val="2"/>
            <w:tcBorders>
              <w:top w:val="nil"/>
              <w:left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p>
        </w:tc>
        <w:tc>
          <w:tcPr>
            <w:tcW w:w="1276" w:type="dxa"/>
            <w:gridSpan w:val="2"/>
            <w:tcBorders>
              <w:top w:val="nil"/>
              <w:left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p>
        </w:tc>
        <w:tc>
          <w:tcPr>
            <w:tcW w:w="992" w:type="dxa"/>
            <w:tcBorders>
              <w:top w:val="nil"/>
              <w:left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p>
        </w:tc>
        <w:tc>
          <w:tcPr>
            <w:tcW w:w="1417" w:type="dxa"/>
            <w:tcBorders>
              <w:top w:val="nil"/>
              <w:left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p>
        </w:tc>
        <w:tc>
          <w:tcPr>
            <w:tcW w:w="1418" w:type="dxa"/>
            <w:tcBorders>
              <w:top w:val="nil"/>
              <w:left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p>
        </w:tc>
        <w:tc>
          <w:tcPr>
            <w:tcW w:w="1417" w:type="dxa"/>
            <w:tcBorders>
              <w:top w:val="nil"/>
              <w:left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p>
        </w:tc>
      </w:tr>
      <w:tr w:rsidR="001339DB" w:rsidRPr="001339DB" w:rsidTr="00411545">
        <w:trPr>
          <w:trHeight w:val="285"/>
        </w:trPr>
        <w:tc>
          <w:tcPr>
            <w:tcW w:w="3369" w:type="dxa"/>
            <w:gridSpan w:val="4"/>
            <w:tcBorders>
              <w:left w:val="nil"/>
              <w:bottom w:val="single" w:sz="4" w:space="0" w:color="auto"/>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b/>
                <w:bCs/>
                <w:sz w:val="24"/>
                <w:szCs w:val="24"/>
              </w:rPr>
            </w:pPr>
            <w:r w:rsidRPr="001339DB">
              <w:rPr>
                <w:rFonts w:ascii="Book Antiqua" w:eastAsia="Times New Roman" w:hAnsi="Book Antiqua" w:cs="Calibri"/>
                <w:b/>
                <w:bCs/>
                <w:sz w:val="24"/>
                <w:szCs w:val="24"/>
              </w:rPr>
              <w:t>Test accuracy for F</w:t>
            </w:r>
            <w:r w:rsidR="00D96EE7">
              <w:rPr>
                <w:rFonts w:ascii="Book Antiqua" w:hAnsi="Book Antiqua" w:cs="Calibri" w:hint="eastAsia"/>
                <w:b/>
                <w:bCs/>
                <w:sz w:val="24"/>
                <w:szCs w:val="24"/>
                <w:lang w:eastAsia="zh-CN"/>
              </w:rPr>
              <w:t xml:space="preserve"> </w:t>
            </w:r>
            <w:r w:rsidRPr="001339DB">
              <w:rPr>
                <w:rFonts w:ascii="Book Antiqua" w:eastAsia="Times New Roman" w:hAnsi="Book Antiqua" w:cs="Calibri"/>
                <w:b/>
                <w:bCs/>
                <w:sz w:val="24"/>
                <w:szCs w:val="24"/>
              </w:rPr>
              <w:t>=</w:t>
            </w:r>
            <w:r w:rsidR="00D96EE7">
              <w:rPr>
                <w:rFonts w:ascii="Book Antiqua" w:hAnsi="Book Antiqua" w:cs="Calibri" w:hint="eastAsia"/>
                <w:b/>
                <w:bCs/>
                <w:sz w:val="24"/>
                <w:szCs w:val="24"/>
                <w:lang w:eastAsia="zh-CN"/>
              </w:rPr>
              <w:t xml:space="preserve"> </w:t>
            </w:r>
            <w:r w:rsidRPr="001339DB">
              <w:rPr>
                <w:rFonts w:ascii="Book Antiqua" w:eastAsia="Times New Roman" w:hAnsi="Book Antiqua" w:cs="Calibri"/>
                <w:b/>
                <w:bCs/>
                <w:sz w:val="24"/>
                <w:szCs w:val="24"/>
              </w:rPr>
              <w:t>4 (%)</w:t>
            </w:r>
          </w:p>
        </w:tc>
        <w:tc>
          <w:tcPr>
            <w:tcW w:w="992" w:type="dxa"/>
            <w:tcBorders>
              <w:left w:val="nil"/>
              <w:bottom w:val="single" w:sz="4" w:space="0" w:color="auto"/>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p>
        </w:tc>
        <w:tc>
          <w:tcPr>
            <w:tcW w:w="1417" w:type="dxa"/>
            <w:tcBorders>
              <w:left w:val="nil"/>
              <w:bottom w:val="single" w:sz="4" w:space="0" w:color="auto"/>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 </w:t>
            </w:r>
          </w:p>
        </w:tc>
        <w:tc>
          <w:tcPr>
            <w:tcW w:w="1418" w:type="dxa"/>
            <w:tcBorders>
              <w:left w:val="nil"/>
              <w:bottom w:val="single" w:sz="4" w:space="0" w:color="auto"/>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 </w:t>
            </w:r>
          </w:p>
        </w:tc>
        <w:tc>
          <w:tcPr>
            <w:tcW w:w="1417" w:type="dxa"/>
            <w:tcBorders>
              <w:left w:val="nil"/>
              <w:bottom w:val="single" w:sz="4" w:space="0" w:color="auto"/>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 </w:t>
            </w:r>
          </w:p>
        </w:tc>
      </w:tr>
      <w:tr w:rsidR="001339DB" w:rsidRPr="001339DB" w:rsidTr="00411545">
        <w:trPr>
          <w:trHeight w:val="285"/>
        </w:trPr>
        <w:tc>
          <w:tcPr>
            <w:tcW w:w="2093" w:type="dxa"/>
            <w:gridSpan w:val="2"/>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ELF Sensitivity</w:t>
            </w:r>
          </w:p>
        </w:tc>
        <w:tc>
          <w:tcPr>
            <w:tcW w:w="1276" w:type="dxa"/>
            <w:gridSpan w:val="2"/>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p>
        </w:tc>
        <w:tc>
          <w:tcPr>
            <w:tcW w:w="992"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90</w:t>
            </w:r>
          </w:p>
        </w:tc>
        <w:tc>
          <w:tcPr>
            <w:tcW w:w="1417"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84−94</w:t>
            </w:r>
          </w:p>
        </w:tc>
        <w:tc>
          <w:tcPr>
            <w:tcW w:w="1418"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w:t>
            </w:r>
          </w:p>
        </w:tc>
        <w:tc>
          <w:tcPr>
            <w:tcW w:w="1417"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fldChar w:fldCharType="begin" w:fldLock="1"/>
            </w:r>
            <w:r w:rsidRPr="001339DB">
              <w:rPr>
                <w:rFonts w:ascii="Book Antiqua" w:eastAsia="Times New Roman" w:hAnsi="Book Antiqua" w:cs="Calibri"/>
                <w:sz w:val="24"/>
                <w:szCs w:val="24"/>
              </w:rPr>
              <w:instrText>ADDIN CSL_CITATION { "citationItems" : [ { "id" : "ITEM-1", "itemData" : { "DOI" : "10.1111/j.1365-2036.2010.04500.x", "ISSN" : "1365-2036", "PMID" : "21083589", "abstract" : "Liver biopsy is the reference standard to assess liver fibrosis in chronic hepatitis C.", "author" : [ { "dropping-particle" : "", "family" : "Martinez", "given" : "S M", "non-dropping-particle" : "", "parse-names" : false, "suffix" : "" }, { "dropping-particle" : "", "family" : "Fern\u00e1ndez-Varo", "given" : "G", "non-dropping-particle" : "", "parse-names" : false, "suffix" : "" }, { "dropping-particle" : "", "family" : "Gonz\u00e1lez", "given" : "P", "non-dropping-particle" : "", "parse-names" : false, "suffix" : "" }, { "dropping-particle" : "", "family" : "Sampson", "given" : "E", "non-dropping-particle" : "", "parse-names" : false, "suffix" : "" }, { "dropping-particle" : "", "family" : "Bruguera", "given" : "M", "non-dropping-particle" : "", "parse-names" : false, "suffix" : "" }, { "dropping-particle" : "", "family" : "Navasa", "given" : "M", "non-dropping-particle" : "", "parse-names" : false, "suffix" : "" }, { "dropping-particle" : "", "family" : "Jim\u00e9nez", "given" : "W", "non-dropping-particle" : "", "parse-names" : false, "suffix" : "" }, { "dropping-particle" : "", "family" : "S\u00e1nchez-Tapias", "given" : "J M", "non-dropping-particle" : "", "parse-names" : false, "suffix" : "" }, { "dropping-particle" : "", "family" : "Forns", "given" : "X", "non-dropping-particle" : "", "parse-names" : false, "suffix" : "" } ], "container-title" : "Alimentary pharmacology &amp; therapeutics", "id" : "ITEM-1", "issue" : "1", "issued" : { "date-parts" : [ [ "2011" ] ] }, "page" : "138-148", "title" : "Assessment of liver fibrosis before and after antiviral therapy by different serum marker panels in patients with chronic hepatitis C.", "type" : "article-journal", "volume" : "33" }, "uris" : [ "http://www.mendeley.com/documents/?uuid=b63eae26-e87c-42a3-bf0a-b626d2de15bd" ] } ], "mendeley" : { "formattedCitation" : "[26]", "plainTextFormattedCitation" : "[26]", "previouslyFormattedCitation" : "[26]" }, "properties" : { "noteIndex" : 0 }, "schema" : "https://github.com/citation-style-language/schema/raw/master/csl-citation.json" }</w:instrText>
            </w:r>
            <w:r w:rsidRPr="001339DB">
              <w:rPr>
                <w:rFonts w:ascii="Book Antiqua" w:eastAsia="Times New Roman" w:hAnsi="Book Antiqua" w:cs="Calibri"/>
                <w:sz w:val="24"/>
                <w:szCs w:val="24"/>
              </w:rPr>
              <w:fldChar w:fldCharType="separate"/>
            </w:r>
            <w:r w:rsidRPr="001339DB">
              <w:rPr>
                <w:rFonts w:ascii="Book Antiqua" w:eastAsia="Times New Roman" w:hAnsi="Book Antiqua" w:cs="Calibri"/>
                <w:noProof/>
                <w:sz w:val="24"/>
                <w:szCs w:val="24"/>
              </w:rPr>
              <w:t>[26]</w:t>
            </w:r>
            <w:r w:rsidRPr="001339DB">
              <w:rPr>
                <w:rFonts w:ascii="Book Antiqua" w:eastAsia="Times New Roman" w:hAnsi="Book Antiqua" w:cs="Calibri"/>
                <w:sz w:val="24"/>
                <w:szCs w:val="24"/>
              </w:rPr>
              <w:fldChar w:fldCharType="end"/>
            </w:r>
          </w:p>
        </w:tc>
      </w:tr>
      <w:tr w:rsidR="001339DB" w:rsidRPr="001339DB" w:rsidTr="00411545">
        <w:trPr>
          <w:trHeight w:val="285"/>
        </w:trPr>
        <w:tc>
          <w:tcPr>
            <w:tcW w:w="2093" w:type="dxa"/>
            <w:gridSpan w:val="2"/>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ELF</w:t>
            </w:r>
            <w:r w:rsidR="00C731E9">
              <w:rPr>
                <w:rFonts w:ascii="Book Antiqua" w:eastAsia="Times New Roman" w:hAnsi="Book Antiqua" w:cs="Calibri"/>
                <w:sz w:val="24"/>
                <w:szCs w:val="24"/>
              </w:rPr>
              <w:t xml:space="preserve"> </w:t>
            </w:r>
            <w:r w:rsidRPr="001339DB">
              <w:rPr>
                <w:rFonts w:ascii="Book Antiqua" w:eastAsia="Times New Roman" w:hAnsi="Book Antiqua" w:cs="Calibri"/>
                <w:sz w:val="24"/>
                <w:szCs w:val="24"/>
              </w:rPr>
              <w:t>Specificity</w:t>
            </w:r>
          </w:p>
        </w:tc>
        <w:tc>
          <w:tcPr>
            <w:tcW w:w="1276" w:type="dxa"/>
            <w:gridSpan w:val="2"/>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p>
        </w:tc>
        <w:tc>
          <w:tcPr>
            <w:tcW w:w="992"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53</w:t>
            </w:r>
          </w:p>
        </w:tc>
        <w:tc>
          <w:tcPr>
            <w:tcW w:w="1417"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46−59</w:t>
            </w:r>
          </w:p>
        </w:tc>
        <w:tc>
          <w:tcPr>
            <w:tcW w:w="1418"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w:t>
            </w:r>
          </w:p>
        </w:tc>
        <w:tc>
          <w:tcPr>
            <w:tcW w:w="1417"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fldChar w:fldCharType="begin" w:fldLock="1"/>
            </w:r>
            <w:r w:rsidRPr="001339DB">
              <w:rPr>
                <w:rFonts w:ascii="Book Antiqua" w:eastAsia="Times New Roman" w:hAnsi="Book Antiqua" w:cs="Calibri"/>
                <w:sz w:val="24"/>
                <w:szCs w:val="24"/>
              </w:rPr>
              <w:instrText>ADDIN CSL_CITATION { "citationItems" : [ { "id" : "ITEM-1", "itemData" : { "DOI" : "10.1111/j.1365-2036.2010.04500.x", "ISSN" : "1365-2036", "PMID" : "21083589", "abstract" : "Liver biopsy is the reference standard to assess liver fibrosis in chronic hepatitis C.", "author" : [ { "dropping-particle" : "", "family" : "Martinez", "given" : "S M", "non-dropping-particle" : "", "parse-names" : false, "suffix" : "" }, { "dropping-particle" : "", "family" : "Fern\u00e1ndez-Varo", "given" : "G", "non-dropping-particle" : "", "parse-names" : false, "suffix" : "" }, { "dropping-particle" : "", "family" : "Gonz\u00e1lez", "given" : "P", "non-dropping-particle" : "", "parse-names" : false, "suffix" : "" }, { "dropping-particle" : "", "family" : "Sampson", "given" : "E", "non-dropping-particle" : "", "parse-names" : false, "suffix" : "" }, { "dropping-particle" : "", "family" : "Bruguera", "given" : "M", "non-dropping-particle" : "", "parse-names" : false, "suffix" : "" }, { "dropping-particle" : "", "family" : "Navasa", "given" : "M", "non-dropping-particle" : "", "parse-names" : false, "suffix" : "" }, { "dropping-particle" : "", "family" : "Jim\u00e9nez", "given" : "W", "non-dropping-particle" : "", "parse-names" : false, "suffix" : "" }, { "dropping-particle" : "", "family" : "S\u00e1nchez-Tapias", "given" : "J M", "non-dropping-particle" : "", "parse-names" : false, "suffix" : "" }, { "dropping-particle" : "", "family" : "Forns", "given" : "X", "non-dropping-particle" : "", "parse-names" : false, "suffix" : "" } ], "container-title" : "Alimentary pharmacology &amp; therapeutics", "id" : "ITEM-1", "issue" : "1", "issued" : { "date-parts" : [ [ "2011" ] ] }, "page" : "138-148", "title" : "Assessment of liver fibrosis before and after antiviral therapy by different serum marker panels in patients with chronic hepatitis C.", "type" : "article-journal", "volume" : "33" }, "uris" : [ "http://www.mendeley.com/documents/?uuid=b63eae26-e87c-42a3-bf0a-b626d2de15bd" ] } ], "mendeley" : { "formattedCitation" : "[26]", "plainTextFormattedCitation" : "[26]", "previouslyFormattedCitation" : "[26]" }, "properties" : { "noteIndex" : 0 }, "schema" : "https://github.com/citation-style-language/schema/raw/master/csl-citation.json" }</w:instrText>
            </w:r>
            <w:r w:rsidRPr="001339DB">
              <w:rPr>
                <w:rFonts w:ascii="Book Antiqua" w:eastAsia="Times New Roman" w:hAnsi="Book Antiqua" w:cs="Calibri"/>
                <w:sz w:val="24"/>
                <w:szCs w:val="24"/>
              </w:rPr>
              <w:fldChar w:fldCharType="separate"/>
            </w:r>
            <w:r w:rsidRPr="001339DB">
              <w:rPr>
                <w:rFonts w:ascii="Book Antiqua" w:eastAsia="Times New Roman" w:hAnsi="Book Antiqua" w:cs="Calibri"/>
                <w:noProof/>
                <w:sz w:val="24"/>
                <w:szCs w:val="24"/>
              </w:rPr>
              <w:t>[26]</w:t>
            </w:r>
            <w:r w:rsidRPr="001339DB">
              <w:rPr>
                <w:rFonts w:ascii="Book Antiqua" w:eastAsia="Times New Roman" w:hAnsi="Book Antiqua" w:cs="Calibri"/>
                <w:sz w:val="24"/>
                <w:szCs w:val="24"/>
              </w:rPr>
              <w:fldChar w:fldCharType="end"/>
            </w:r>
          </w:p>
        </w:tc>
      </w:tr>
      <w:tr w:rsidR="001339DB" w:rsidRPr="001339DB" w:rsidTr="00411545">
        <w:trPr>
          <w:trHeight w:val="285"/>
        </w:trPr>
        <w:tc>
          <w:tcPr>
            <w:tcW w:w="2093" w:type="dxa"/>
            <w:gridSpan w:val="2"/>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LSM Sensitivity (HCV)</w:t>
            </w:r>
          </w:p>
        </w:tc>
        <w:tc>
          <w:tcPr>
            <w:tcW w:w="1276" w:type="dxa"/>
            <w:gridSpan w:val="2"/>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p>
        </w:tc>
        <w:tc>
          <w:tcPr>
            <w:tcW w:w="992"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84</w:t>
            </w:r>
          </w:p>
        </w:tc>
        <w:tc>
          <w:tcPr>
            <w:tcW w:w="1417"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72−91</w:t>
            </w:r>
          </w:p>
        </w:tc>
        <w:tc>
          <w:tcPr>
            <w:tcW w:w="1418"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w:t>
            </w:r>
          </w:p>
        </w:tc>
        <w:tc>
          <w:tcPr>
            <w:tcW w:w="1417"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fldChar w:fldCharType="begin" w:fldLock="1"/>
            </w:r>
            <w:r w:rsidRPr="001339DB">
              <w:rPr>
                <w:rFonts w:ascii="Book Antiqua" w:eastAsia="Times New Roman" w:hAnsi="Book Antiqua" w:cs="Calibri"/>
                <w:sz w:val="24"/>
                <w:szCs w:val="24"/>
              </w:rPr>
              <w:instrText>ADDIN CSL_CITATION { "citationItems" : [ { "id" : "ITEM-1", "itemData" : { "DOI" : "10.3310/hta19090", "ISSN" : "1366-5278", "author" : [ { "dropping-particle" : "", "family" : "Crossan", "given" : "Catriona", "non-dropping-particle" : "", "parse-names" : false, "suffix" : "" }, { "dropping-particle" : "", "family" : "Tsochatzis", "given" : "Emmanuel a", "non-dropping-particle" : "", "parse-names" : false, "suffix" : "" }, { "dropping-particle" : "", "family" : "Longworth", "given" : "Louise", "non-dropping-particle" : "", "parse-names" : false, "suffix" : "" }, { "dropping-particle" : "", "family" : "Gurusamy", "given" : "Kurinchi", "non-dropping-particle" : "", "parse-names" : false, "suffix" : "" }, { "dropping-particle" : "", "family" : "Davidson", "given" : "Brian", "non-dropping-particle" : "", "parse-names" : false, "suffix" : "" }, { "dropping-particle" : "", "family" : "Rodr\u00edguez-Per\u00e1lvarez", "given" : "Manuel", "non-dropping-particle" : "", "parse-names" : false, "suffix" : "" }, { "dropping-particle" : "", "family" : "Mantzoukis", "given" : "Konstantinos", "non-dropping-particle" : "", "parse-names" : false, "suffix" : "" }, { "dropping-particle" : "", "family" : "O\u2019Brien", "given" : "Julia", "non-dropping-particle" : "", "parse-names" : false, "suffix" : "" }, { "dropping-particle" : "", "family" : "Thalassinos", "given" : "Evangelos", "non-dropping-particle" : "", "parse-names" : false, "suffix" : "" }, { "dropping-particle" : "", "family" : "Papastergiou", "given" : "Vassilios", "non-dropping-particle" : "", "parse-names" : false, "suffix" : "" }, { "dropping-particle" : "", "family" : "Burroughs", "given" : "Andrew", "non-dropping-particle" : "", "parse-names" : false, "suffix" : "" } ], "container-title" : "Health technology assessment (NHS)", "id" : "ITEM-1", "issue" : "9", "issued" : { "date-parts" : [ [ "2015" ] ] }, "page" : "1-410", "title" : "Cost-effectiveness of non-invasive methods for assessment and monitoring of liver fibrosis and cirrhosis in patients with chronic liver disease: systematic review and economic evaluation", "type" : "article-journal", "volume" : "19" }, "uris" : [ "http://www.mendeley.com/documents/?uuid=5b57a84e-a9dc-4bfa-a1f0-171621d56a8e" ] } ], "mendeley" : { "formattedCitation" : "[15]", "plainTextFormattedCitation" : "[15]", "previouslyFormattedCitation" : "[15]" }, "properties" : { "noteIndex" : 0 }, "schema" : "https://github.com/citation-style-language/schema/raw/master/csl-citation.json" }</w:instrText>
            </w:r>
            <w:r w:rsidRPr="001339DB">
              <w:rPr>
                <w:rFonts w:ascii="Book Antiqua" w:eastAsia="Times New Roman" w:hAnsi="Book Antiqua" w:cs="Calibri"/>
                <w:sz w:val="24"/>
                <w:szCs w:val="24"/>
              </w:rPr>
              <w:fldChar w:fldCharType="separate"/>
            </w:r>
            <w:r w:rsidRPr="001339DB">
              <w:rPr>
                <w:rFonts w:ascii="Book Antiqua" w:eastAsia="Times New Roman" w:hAnsi="Book Antiqua" w:cs="Calibri"/>
                <w:noProof/>
                <w:sz w:val="24"/>
                <w:szCs w:val="24"/>
              </w:rPr>
              <w:t>[15]</w:t>
            </w:r>
            <w:r w:rsidRPr="001339DB">
              <w:rPr>
                <w:rFonts w:ascii="Book Antiqua" w:eastAsia="Times New Roman" w:hAnsi="Book Antiqua" w:cs="Calibri"/>
                <w:sz w:val="24"/>
                <w:szCs w:val="24"/>
              </w:rPr>
              <w:fldChar w:fldCharType="end"/>
            </w:r>
          </w:p>
        </w:tc>
      </w:tr>
      <w:tr w:rsidR="001339DB" w:rsidRPr="001339DB" w:rsidTr="00411545">
        <w:trPr>
          <w:trHeight w:val="285"/>
        </w:trPr>
        <w:tc>
          <w:tcPr>
            <w:tcW w:w="2093" w:type="dxa"/>
            <w:gridSpan w:val="2"/>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LSM</w:t>
            </w:r>
            <w:r w:rsidR="00C731E9">
              <w:rPr>
                <w:rFonts w:ascii="Book Antiqua" w:eastAsia="Times New Roman" w:hAnsi="Book Antiqua" w:cs="Calibri"/>
                <w:sz w:val="24"/>
                <w:szCs w:val="24"/>
              </w:rPr>
              <w:t xml:space="preserve"> </w:t>
            </w:r>
            <w:r w:rsidRPr="001339DB">
              <w:rPr>
                <w:rFonts w:ascii="Book Antiqua" w:eastAsia="Times New Roman" w:hAnsi="Book Antiqua" w:cs="Calibri"/>
                <w:sz w:val="24"/>
                <w:szCs w:val="24"/>
              </w:rPr>
              <w:t>Specificity (HCV)</w:t>
            </w:r>
          </w:p>
        </w:tc>
        <w:tc>
          <w:tcPr>
            <w:tcW w:w="1276" w:type="dxa"/>
            <w:gridSpan w:val="2"/>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p>
        </w:tc>
        <w:tc>
          <w:tcPr>
            <w:tcW w:w="992"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77</w:t>
            </w:r>
          </w:p>
        </w:tc>
        <w:tc>
          <w:tcPr>
            <w:tcW w:w="1417"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50−92</w:t>
            </w:r>
          </w:p>
        </w:tc>
        <w:tc>
          <w:tcPr>
            <w:tcW w:w="1418"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w:t>
            </w:r>
          </w:p>
        </w:tc>
        <w:tc>
          <w:tcPr>
            <w:tcW w:w="1417"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fldChar w:fldCharType="begin" w:fldLock="1"/>
            </w:r>
            <w:r w:rsidRPr="001339DB">
              <w:rPr>
                <w:rFonts w:ascii="Book Antiqua" w:eastAsia="Times New Roman" w:hAnsi="Book Antiqua" w:cs="Calibri"/>
                <w:sz w:val="24"/>
                <w:szCs w:val="24"/>
              </w:rPr>
              <w:instrText>ADDIN CSL_CITATION { "citationItems" : [ { "id" : "ITEM-1", "itemData" : { "DOI" : "10.3310/hta19090", "ISSN" : "1366-5278", "author" : [ { "dropping-particle" : "", "family" : "Crossan", "given" : "Catriona", "non-dropping-particle" : "", "parse-names" : false, "suffix" : "" }, { "dropping-particle" : "", "family" : "Tsochatzis", "given" : "Emmanuel a", "non-dropping-particle" : "", "parse-names" : false, "suffix" : "" }, { "dropping-particle" : "", "family" : "Longworth", "given" : "Louise", "non-dropping-particle" : "", "parse-names" : false, "suffix" : "" }, { "dropping-particle" : "", "family" : "Gurusamy", "given" : "Kurinchi", "non-dropping-particle" : "", "parse-names" : false, "suffix" : "" }, { "dropping-particle" : "", "family" : "Davidson", "given" : "Brian", "non-dropping-particle" : "", "parse-names" : false, "suffix" : "" }, { "dropping-particle" : "", "family" : "Rodr\u00edguez-Per\u00e1lvarez", "given" : "Manuel", "non-dropping-particle" : "", "parse-names" : false, "suffix" : "" }, { "dropping-particle" : "", "family" : "Mantzoukis", "given" : "Konstantinos", "non-dropping-particle" : "", "parse-names" : false, "suffix" : "" }, { "dropping-particle" : "", "family" : "O\u2019Brien", "given" : "Julia", "non-dropping-particle" : "", "parse-names" : false, "suffix" : "" }, { "dropping-particle" : "", "family" : "Thalassinos", "given" : "Evangelos", "non-dropping-particle" : "", "parse-names" : false, "suffix" : "" }, { "dropping-particle" : "", "family" : "Papastergiou", "given" : "Vassilios", "non-dropping-particle" : "", "parse-names" : false, "suffix" : "" }, { "dropping-particle" : "", "family" : "Burroughs", "given" : "Andrew", "non-dropping-particle" : "", "parse-names" : false, "suffix" : "" } ], "container-title" : "Health technology assessment (NHS)", "id" : "ITEM-1", "issue" : "9", "issued" : { "date-parts" : [ [ "2015" ] ] }, "page" : "1-410", "title" : "Cost-effectiveness of non-invasive methods for assessment and monitoring of liver fibrosis and cirrhosis in patients with chronic liver disease: systematic review and economic evaluation", "type" : "article-journal", "volume" : "19" }, "uris" : [ "http://www.mendeley.com/documents/?uuid=5b57a84e-a9dc-4bfa-a1f0-171621d56a8e" ] } ], "mendeley" : { "formattedCitation" : "[15]", "plainTextFormattedCitation" : "[15]", "previouslyFormattedCitation" : "[15]" }, "properties" : { "noteIndex" : 0 }, "schema" : "https://github.com/citation-style-language/schema/raw/master/csl-citation.json" }</w:instrText>
            </w:r>
            <w:r w:rsidRPr="001339DB">
              <w:rPr>
                <w:rFonts w:ascii="Book Antiqua" w:eastAsia="Times New Roman" w:hAnsi="Book Antiqua" w:cs="Calibri"/>
                <w:sz w:val="24"/>
                <w:szCs w:val="24"/>
              </w:rPr>
              <w:fldChar w:fldCharType="separate"/>
            </w:r>
            <w:r w:rsidRPr="001339DB">
              <w:rPr>
                <w:rFonts w:ascii="Book Antiqua" w:eastAsia="Times New Roman" w:hAnsi="Book Antiqua" w:cs="Calibri"/>
                <w:noProof/>
                <w:sz w:val="24"/>
                <w:szCs w:val="24"/>
              </w:rPr>
              <w:t>[15]</w:t>
            </w:r>
            <w:r w:rsidRPr="001339DB">
              <w:rPr>
                <w:rFonts w:ascii="Book Antiqua" w:eastAsia="Times New Roman" w:hAnsi="Book Antiqua" w:cs="Calibri"/>
                <w:sz w:val="24"/>
                <w:szCs w:val="24"/>
              </w:rPr>
              <w:fldChar w:fldCharType="end"/>
            </w:r>
          </w:p>
        </w:tc>
      </w:tr>
      <w:tr w:rsidR="001339DB" w:rsidRPr="001339DB" w:rsidTr="00411545">
        <w:trPr>
          <w:trHeight w:val="285"/>
        </w:trPr>
        <w:tc>
          <w:tcPr>
            <w:tcW w:w="2093" w:type="dxa"/>
            <w:gridSpan w:val="2"/>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LSM Sensitivity (ALD)</w:t>
            </w:r>
          </w:p>
        </w:tc>
        <w:tc>
          <w:tcPr>
            <w:tcW w:w="1276" w:type="dxa"/>
            <w:gridSpan w:val="2"/>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p>
        </w:tc>
        <w:tc>
          <w:tcPr>
            <w:tcW w:w="992"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86</w:t>
            </w:r>
          </w:p>
        </w:tc>
        <w:tc>
          <w:tcPr>
            <w:tcW w:w="1417"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76−92</w:t>
            </w:r>
          </w:p>
        </w:tc>
        <w:tc>
          <w:tcPr>
            <w:tcW w:w="1418"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w:t>
            </w:r>
          </w:p>
        </w:tc>
        <w:tc>
          <w:tcPr>
            <w:tcW w:w="1417"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fldChar w:fldCharType="begin" w:fldLock="1"/>
            </w:r>
            <w:r w:rsidRPr="001339DB">
              <w:rPr>
                <w:rFonts w:ascii="Book Antiqua" w:eastAsia="Times New Roman" w:hAnsi="Book Antiqua" w:cs="Calibri"/>
                <w:sz w:val="24"/>
                <w:szCs w:val="24"/>
              </w:rPr>
              <w:instrText>ADDIN CSL_CITATION { "citationItems" : [ { "id" : "ITEM-1", "itemData" : { "DOI" : "10.3310/hta19090", "ISSN" : "1366-5278", "author" : [ { "dropping-particle" : "", "family" : "Crossan", "given" : "Catriona", "non-dropping-particle" : "", "parse-names" : false, "suffix" : "" }, { "dropping-particle" : "", "family" : "Tsochatzis", "given" : "Emmanuel a", "non-dropping-particle" : "", "parse-names" : false, "suffix" : "" }, { "dropping-particle" : "", "family" : "Longworth", "given" : "Louise", "non-dropping-particle" : "", "parse-names" : false, "suffix" : "" }, { "dropping-particle" : "", "family" : "Gurusamy", "given" : "Kurinchi", "non-dropping-particle" : "", "parse-names" : false, "suffix" : "" }, { "dropping-particle" : "", "family" : "Davidson", "given" : "Brian", "non-dropping-particle" : "", "parse-names" : false, "suffix" : "" }, { "dropping-particle" : "", "family" : "Rodr\u00edguez-Per\u00e1lvarez", "given" : "Manuel", "non-dropping-particle" : "", "parse-names" : false, "suffix" : "" }, { "dropping-particle" : "", "family" : "Mantzoukis", "given" : "Konstantinos", "non-dropping-particle" : "", "parse-names" : false, "suffix" : "" }, { "dropping-particle" : "", "family" : "O\u2019Brien", "given" : "Julia", "non-dropping-particle" : "", "parse-names" : false, "suffix" : "" }, { "dropping-particle" : "", "family" : "Thalassinos", "given" : "Evangelos", "non-dropping-particle" : "", "parse-names" : false, "suffix" : "" }, { "dropping-particle" : "", "family" : "Papastergiou", "given" : "Vassilios", "non-dropping-particle" : "", "parse-names" : false, "suffix" : "" }, { "dropping-particle" : "", "family" : "Burroughs", "given" : "Andrew", "non-dropping-particle" : "", "parse-names" : false, "suffix" : "" } ], "container-title" : "Health technology assessment (NHS)", "id" : "ITEM-1", "issue" : "9", "issued" : { "date-parts" : [ [ "2015" ] ] }, "page" : "1-410", "title" : "Cost-effectiveness of non-invasive methods for assessment and monitoring of liver fibrosis and cirrhosis in patients with chronic liver disease: systematic review and economic evaluation", "type" : "article-journal", "volume" : "19" }, "uris" : [ "http://www.mendeley.com/documents/?uuid=5b57a84e-a9dc-4bfa-a1f0-171621d56a8e" ] } ], "mendeley" : { "formattedCitation" : "[15]", "plainTextFormattedCitation" : "[15]", "previouslyFormattedCitation" : "[15]" }, "properties" : { "noteIndex" : 0 }, "schema" : "https://github.com/citation-style-language/schema/raw/master/csl-citation.json" }</w:instrText>
            </w:r>
            <w:r w:rsidRPr="001339DB">
              <w:rPr>
                <w:rFonts w:ascii="Book Antiqua" w:eastAsia="Times New Roman" w:hAnsi="Book Antiqua" w:cs="Calibri"/>
                <w:sz w:val="24"/>
                <w:szCs w:val="24"/>
              </w:rPr>
              <w:fldChar w:fldCharType="separate"/>
            </w:r>
            <w:r w:rsidRPr="001339DB">
              <w:rPr>
                <w:rFonts w:ascii="Book Antiqua" w:eastAsia="Times New Roman" w:hAnsi="Book Antiqua" w:cs="Calibri"/>
                <w:noProof/>
                <w:sz w:val="24"/>
                <w:szCs w:val="24"/>
              </w:rPr>
              <w:t>[15]</w:t>
            </w:r>
            <w:r w:rsidRPr="001339DB">
              <w:rPr>
                <w:rFonts w:ascii="Book Antiqua" w:eastAsia="Times New Roman" w:hAnsi="Book Antiqua" w:cs="Calibri"/>
                <w:sz w:val="24"/>
                <w:szCs w:val="24"/>
              </w:rPr>
              <w:fldChar w:fldCharType="end"/>
            </w:r>
          </w:p>
        </w:tc>
      </w:tr>
      <w:tr w:rsidR="001339DB" w:rsidRPr="001339DB" w:rsidTr="00411545">
        <w:trPr>
          <w:trHeight w:val="285"/>
        </w:trPr>
        <w:tc>
          <w:tcPr>
            <w:tcW w:w="2093" w:type="dxa"/>
            <w:gridSpan w:val="2"/>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LSM</w:t>
            </w:r>
            <w:r w:rsidR="00C731E9">
              <w:rPr>
                <w:rFonts w:ascii="Book Antiqua" w:eastAsia="Times New Roman" w:hAnsi="Book Antiqua" w:cs="Calibri"/>
                <w:sz w:val="24"/>
                <w:szCs w:val="24"/>
              </w:rPr>
              <w:t xml:space="preserve"> </w:t>
            </w:r>
            <w:r w:rsidRPr="001339DB">
              <w:rPr>
                <w:rFonts w:ascii="Book Antiqua" w:eastAsia="Times New Roman" w:hAnsi="Book Antiqua" w:cs="Calibri"/>
                <w:sz w:val="24"/>
                <w:szCs w:val="24"/>
              </w:rPr>
              <w:t xml:space="preserve">Specificity </w:t>
            </w:r>
            <w:r w:rsidRPr="001339DB">
              <w:rPr>
                <w:rFonts w:ascii="Book Antiqua" w:eastAsia="Times New Roman" w:hAnsi="Book Antiqua" w:cs="Calibri"/>
                <w:sz w:val="24"/>
                <w:szCs w:val="24"/>
              </w:rPr>
              <w:lastRenderedPageBreak/>
              <w:t>(ALD)</w:t>
            </w:r>
          </w:p>
        </w:tc>
        <w:tc>
          <w:tcPr>
            <w:tcW w:w="1276" w:type="dxa"/>
            <w:gridSpan w:val="2"/>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p>
        </w:tc>
        <w:tc>
          <w:tcPr>
            <w:tcW w:w="992"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83</w:t>
            </w:r>
          </w:p>
        </w:tc>
        <w:tc>
          <w:tcPr>
            <w:tcW w:w="1417"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74−89</w:t>
            </w:r>
          </w:p>
        </w:tc>
        <w:tc>
          <w:tcPr>
            <w:tcW w:w="1418"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w:t>
            </w:r>
          </w:p>
        </w:tc>
        <w:tc>
          <w:tcPr>
            <w:tcW w:w="1417"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fldChar w:fldCharType="begin" w:fldLock="1"/>
            </w:r>
            <w:r w:rsidRPr="001339DB">
              <w:rPr>
                <w:rFonts w:ascii="Book Antiqua" w:eastAsia="Times New Roman" w:hAnsi="Book Antiqua" w:cs="Calibri"/>
                <w:sz w:val="24"/>
                <w:szCs w:val="24"/>
              </w:rPr>
              <w:instrText>ADDIN CSL_CITATION { "citationItems" : [ { "id" : "ITEM-1", "itemData" : { "DOI" : "10.3310/hta19090", "ISSN" : "1366-5278", "author" : [ { "dropping-particle" : "", "family" : "Crossan", "given" : "Catriona", "non-dropping-particle" : "", "parse-names" : false, "suffix" : "" }, { "dropping-particle" : "", "family" : "Tsochatzis", "given" : "Emmanuel a", "non-dropping-particle" : "", "parse-names" : false, "suffix" : "" }, { "dropping-particle" : "", "family" : "Longworth", "given" : "Louise", "non-dropping-particle" : "", "parse-names" : false, "suffix" : "" }, { "dropping-particle" : "", "family" : "Gurusamy", "given" : "Kurinchi", "non-dropping-particle" : "", "parse-names" : false, "suffix" : "" }, { "dropping-particle" : "", "family" : "Davidson", "given" : "Brian", "non-dropping-particle" : "", "parse-names" : false, "suffix" : "" }, { "dropping-particle" : "", "family" : "Rodr\u00edguez-Per\u00e1lvarez", "given" : "Manuel", "non-dropping-particle" : "", "parse-names" : false, "suffix" : "" }, { "dropping-particle" : "", "family" : "Mantzoukis", "given" : "Konstantinos", "non-dropping-particle" : "", "parse-names" : false, "suffix" : "" }, { "dropping-particle" : "", "family" : "O\u2019Brien", "given" : "Julia", "non-dropping-particle" : "", "parse-names" : false, "suffix" : "" }, { "dropping-particle" : "", "family" : "Thalassinos", "given" : "Evangelos", "non-dropping-particle" : "", "parse-names" : false, "suffix" : "" }, { "dropping-particle" : "", "family" : "Papastergiou", "given" : "Vassilios", "non-dropping-particle" : "", "parse-names" : false, "suffix" : "" }, { "dropping-particle" : "", "family" : "Burroughs", "given" : "Andrew", "non-dropping-particle" : "", "parse-names" : false, "suffix" : "" } ], "container-title" : "Health technology assessment (NHS)", "id" : "ITEM-1", "issue" : "9", "issued" : { "date-parts" : [ [ "2015" ] ] }, "page" : "1-410", "title" : "Cost-effectiveness of non-invasive methods for assessment and monitoring of liver fibrosis and cirrhosis in patients with chronic liver disease: systematic review and economic evaluation", "type" : "article-journal", "volume" : "19" }, "uris" : [ "http://www.mendeley.com/documents/?uuid=5b57a84e-a9dc-4bfa-a1f0-171621d56a8e" ] } ], "mendeley" : { "formattedCitation" : "[15]", "plainTextFormattedCitation" : "[15]", "previouslyFormattedCitation" : "[15]" }, "properties" : { "noteIndex" : 0 }, "schema" : "https://github.com/citation-style-language/schema/raw/master/csl-citation.json" }</w:instrText>
            </w:r>
            <w:r w:rsidRPr="001339DB">
              <w:rPr>
                <w:rFonts w:ascii="Book Antiqua" w:eastAsia="Times New Roman" w:hAnsi="Book Antiqua" w:cs="Calibri"/>
                <w:sz w:val="24"/>
                <w:szCs w:val="24"/>
              </w:rPr>
              <w:fldChar w:fldCharType="separate"/>
            </w:r>
            <w:r w:rsidRPr="001339DB">
              <w:rPr>
                <w:rFonts w:ascii="Book Antiqua" w:eastAsia="Times New Roman" w:hAnsi="Book Antiqua" w:cs="Calibri"/>
                <w:noProof/>
                <w:sz w:val="24"/>
                <w:szCs w:val="24"/>
              </w:rPr>
              <w:t>[15]</w:t>
            </w:r>
            <w:r w:rsidRPr="001339DB">
              <w:rPr>
                <w:rFonts w:ascii="Book Antiqua" w:eastAsia="Times New Roman" w:hAnsi="Book Antiqua" w:cs="Calibri"/>
                <w:sz w:val="24"/>
                <w:szCs w:val="24"/>
              </w:rPr>
              <w:fldChar w:fldCharType="end"/>
            </w:r>
          </w:p>
        </w:tc>
      </w:tr>
      <w:tr w:rsidR="001339DB" w:rsidRPr="001339DB" w:rsidTr="00411545">
        <w:trPr>
          <w:trHeight w:val="285"/>
        </w:trPr>
        <w:tc>
          <w:tcPr>
            <w:tcW w:w="2093" w:type="dxa"/>
            <w:gridSpan w:val="2"/>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Biopsy Sensitivity</w:t>
            </w:r>
          </w:p>
        </w:tc>
        <w:tc>
          <w:tcPr>
            <w:tcW w:w="1276" w:type="dxa"/>
            <w:gridSpan w:val="2"/>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p>
        </w:tc>
        <w:tc>
          <w:tcPr>
            <w:tcW w:w="992"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90</w:t>
            </w:r>
          </w:p>
        </w:tc>
        <w:tc>
          <w:tcPr>
            <w:tcW w:w="1417"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85−95</w:t>
            </w:r>
          </w:p>
        </w:tc>
        <w:tc>
          <w:tcPr>
            <w:tcW w:w="1418"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U(85;95)</w:t>
            </w:r>
          </w:p>
        </w:tc>
        <w:tc>
          <w:tcPr>
            <w:tcW w:w="1417"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 xml:space="preserve">Based on </w:t>
            </w:r>
            <w:r w:rsidRPr="001339DB">
              <w:rPr>
                <w:rFonts w:ascii="Book Antiqua" w:eastAsia="Times New Roman" w:hAnsi="Book Antiqua" w:cs="Calibri"/>
                <w:sz w:val="24"/>
                <w:szCs w:val="24"/>
              </w:rPr>
              <w:fldChar w:fldCharType="begin" w:fldLock="1"/>
            </w:r>
            <w:r w:rsidRPr="001339DB">
              <w:rPr>
                <w:rFonts w:ascii="Book Antiqua" w:eastAsia="Times New Roman" w:hAnsi="Book Antiqua" w:cs="Calibri"/>
                <w:sz w:val="24"/>
                <w:szCs w:val="24"/>
              </w:rPr>
              <w:instrText>ADDIN CSL_CITATION { "citationItems" : [ { "id" : "ITEM-1", "itemData" : { "DOI" : "10.1016/j.jhep.2008.07.039", "ISBN" : "0168-8278 (Print) 0168-8278 (Linking)", "ISSN" : "01688278", "PMID" : "19012989", "abstract" : "Background/Aims: Alternatives to liver biopsy for staging liver disease caused by hepatitis C virus (HCV) have not appeared accurate enough for widespread clinical use. We characterized the magnitude of the impact of error in the \"gold standard\" on the observed diagnostic accuracy of surrogate markers. Methods: We calculated the area under the receiver operating characteristic curve (AUROC) for a surrogate marker against the gold standard (biopsy) for a range of possible performances of each test (biopsy and marker) against truth and a gradient of clinically significant disease prevalence. Results: In the 'best' scenario where liver biopsy accuracy is highest (sensitivity and specificity of biopsy are 90%) and the prevalence of significant disease 40%, the calculated AUROC would be 0.90 for a perfect marker (99% actual accuracy) which is within the range of what has already been observed. With lower biopsy sensitivity and specificity, AUROC determinations &gt;0.90 could not be achieved even for a marker that perfectly measured disease. Conclusions: We demonstrate that error in the liver biopsy result itself makes it impossible to distinguish a perfect surrogate from ones that are now judged by some as clinically unacceptable. An alternative gold standard is needed to assess the accuracy of tests used to stage HCV-related liver disease. \u00a9 2008 European Association for the Study of the Liver.", "author" : [ { "dropping-particle" : "", "family" : "Mehta", "given" : "Shruti H.", "non-dropping-particle" : "", "parse-names" : false, "suffix" : "" }, { "dropping-particle" : "", "family" : "Lau", "given" : "Bryan", "non-dropping-particle" : "", "parse-names" : false, "suffix" : "" }, { "dropping-particle" : "", "family" : "Afdhal", "given" : "Nezam H.", "non-dropping-particle" : "", "parse-names" : false, "suffix" : "" }, { "dropping-particle" : "", "family" : "Thomas", "given" : "David L.", "non-dropping-particle" : "", "parse-names" : false, "suffix" : "" } ], "container-title" : "Journal of Hepatology", "id" : "ITEM-1", "issue" : "1", "issued" : { "date-parts" : [ [ "2009" ] ] }, "page" : "36-41", "publisher" : "European Association for the Study of the Liver", "title" : "Exceeding the limits of liver histology markers", "type" : "article-journal", "volume" : "50" }, "uris" : [ "http://www.mendeley.com/documents/?uuid=f915fd92-2838-4b7c-a2c7-1892ac180ddc" ] } ], "mendeley" : { "formattedCitation" : "[25]", "plainTextFormattedCitation" : "[25]", "previouslyFormattedCitation" : "[25]" }, "properties" : { "noteIndex" : 0 }, "schema" : "https://github.com/citation-style-language/schema/raw/master/csl-citation.json" }</w:instrText>
            </w:r>
            <w:r w:rsidRPr="001339DB">
              <w:rPr>
                <w:rFonts w:ascii="Book Antiqua" w:eastAsia="Times New Roman" w:hAnsi="Book Antiqua" w:cs="Calibri"/>
                <w:sz w:val="24"/>
                <w:szCs w:val="24"/>
              </w:rPr>
              <w:fldChar w:fldCharType="separate"/>
            </w:r>
            <w:r w:rsidRPr="001339DB">
              <w:rPr>
                <w:rFonts w:ascii="Book Antiqua" w:eastAsia="Times New Roman" w:hAnsi="Book Antiqua" w:cs="Calibri"/>
                <w:noProof/>
                <w:sz w:val="24"/>
                <w:szCs w:val="24"/>
              </w:rPr>
              <w:t>[25]</w:t>
            </w:r>
            <w:r w:rsidRPr="001339DB">
              <w:rPr>
                <w:rFonts w:ascii="Book Antiqua" w:eastAsia="Times New Roman" w:hAnsi="Book Antiqua" w:cs="Calibri"/>
                <w:sz w:val="24"/>
                <w:szCs w:val="24"/>
              </w:rPr>
              <w:fldChar w:fldCharType="end"/>
            </w:r>
          </w:p>
        </w:tc>
      </w:tr>
      <w:tr w:rsidR="001339DB" w:rsidRPr="001339DB" w:rsidTr="00411545">
        <w:trPr>
          <w:trHeight w:val="285"/>
        </w:trPr>
        <w:tc>
          <w:tcPr>
            <w:tcW w:w="2093" w:type="dxa"/>
            <w:gridSpan w:val="2"/>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Biopsy</w:t>
            </w:r>
            <w:r w:rsidR="00C731E9">
              <w:rPr>
                <w:rFonts w:ascii="Book Antiqua" w:eastAsia="Times New Roman" w:hAnsi="Book Antiqua" w:cs="Calibri"/>
                <w:sz w:val="24"/>
                <w:szCs w:val="24"/>
              </w:rPr>
              <w:t xml:space="preserve"> </w:t>
            </w:r>
            <w:r w:rsidRPr="001339DB">
              <w:rPr>
                <w:rFonts w:ascii="Book Antiqua" w:eastAsia="Times New Roman" w:hAnsi="Book Antiqua" w:cs="Calibri"/>
                <w:sz w:val="24"/>
                <w:szCs w:val="24"/>
              </w:rPr>
              <w:t>Specificity</w:t>
            </w:r>
          </w:p>
        </w:tc>
        <w:tc>
          <w:tcPr>
            <w:tcW w:w="1276" w:type="dxa"/>
            <w:gridSpan w:val="2"/>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p>
        </w:tc>
        <w:tc>
          <w:tcPr>
            <w:tcW w:w="992"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90</w:t>
            </w:r>
          </w:p>
        </w:tc>
        <w:tc>
          <w:tcPr>
            <w:tcW w:w="1417"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85−95</w:t>
            </w:r>
          </w:p>
        </w:tc>
        <w:tc>
          <w:tcPr>
            <w:tcW w:w="1418"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U(85;95)</w:t>
            </w:r>
          </w:p>
        </w:tc>
        <w:tc>
          <w:tcPr>
            <w:tcW w:w="1417"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 xml:space="preserve">Based on </w:t>
            </w:r>
            <w:r w:rsidRPr="001339DB">
              <w:rPr>
                <w:rFonts w:ascii="Book Antiqua" w:eastAsia="Times New Roman" w:hAnsi="Book Antiqua" w:cs="Calibri"/>
                <w:sz w:val="24"/>
                <w:szCs w:val="24"/>
              </w:rPr>
              <w:fldChar w:fldCharType="begin" w:fldLock="1"/>
            </w:r>
            <w:r w:rsidRPr="001339DB">
              <w:rPr>
                <w:rFonts w:ascii="Book Antiqua" w:eastAsia="Times New Roman" w:hAnsi="Book Antiqua" w:cs="Calibri"/>
                <w:sz w:val="24"/>
                <w:szCs w:val="24"/>
              </w:rPr>
              <w:instrText>ADDIN CSL_CITATION { "citationItems" : [ { "id" : "ITEM-1", "itemData" : { "DOI" : "10.1016/j.jhep.2008.07.039", "ISBN" : "0168-8278 (Print) 0168-8278 (Linking)", "ISSN" : "01688278", "PMID" : "19012989", "abstract" : "Background/Aims: Alternatives to liver biopsy for staging liver disease caused by hepatitis C virus (HCV) have not appeared accurate enough for widespread clinical use. We characterized the magnitude of the impact of error in the \"gold standard\" on the observed diagnostic accuracy of surrogate markers. Methods: We calculated the area under the receiver operating characteristic curve (AUROC) for a surrogate marker against the gold standard (biopsy) for a range of possible performances of each test (biopsy and marker) against truth and a gradient of clinically significant disease prevalence. Results: In the 'best' scenario where liver biopsy accuracy is highest (sensitivity and specificity of biopsy are 90%) and the prevalence of significant disease 40%, the calculated AUROC would be 0.90 for a perfect marker (99% actual accuracy) which is within the range of what has already been observed. With lower biopsy sensitivity and specificity, AUROC determinations &gt;0.90 could not be achieved even for a marker that perfectly measured disease. Conclusions: We demonstrate that error in the liver biopsy result itself makes it impossible to distinguish a perfect surrogate from ones that are now judged by some as clinically unacceptable. An alternative gold standard is needed to assess the accuracy of tests used to stage HCV-related liver disease. \u00a9 2008 European Association for the Study of the Liver.", "author" : [ { "dropping-particle" : "", "family" : "Mehta", "given" : "Shruti H.", "non-dropping-particle" : "", "parse-names" : false, "suffix" : "" }, { "dropping-particle" : "", "family" : "Lau", "given" : "Bryan", "non-dropping-particle" : "", "parse-names" : false, "suffix" : "" }, { "dropping-particle" : "", "family" : "Afdhal", "given" : "Nezam H.", "non-dropping-particle" : "", "parse-names" : false, "suffix" : "" }, { "dropping-particle" : "", "family" : "Thomas", "given" : "David L.", "non-dropping-particle" : "", "parse-names" : false, "suffix" : "" } ], "container-title" : "Journal of Hepatology", "id" : "ITEM-1", "issue" : "1", "issued" : { "date-parts" : [ [ "2009" ] ] }, "page" : "36-41", "publisher" : "European Association for the Study of the Liver", "title" : "Exceeding the limits of liver histology markers", "type" : "article-journal", "volume" : "50" }, "uris" : [ "http://www.mendeley.com/documents/?uuid=f915fd92-2838-4b7c-a2c7-1892ac180ddc" ] } ], "mendeley" : { "formattedCitation" : "[25]", "plainTextFormattedCitation" : "[25]", "previouslyFormattedCitation" : "[25]" }, "properties" : { "noteIndex" : 0 }, "schema" : "https://github.com/citation-style-language/schema/raw/master/csl-citation.json" }</w:instrText>
            </w:r>
            <w:r w:rsidRPr="001339DB">
              <w:rPr>
                <w:rFonts w:ascii="Book Antiqua" w:eastAsia="Times New Roman" w:hAnsi="Book Antiqua" w:cs="Calibri"/>
                <w:sz w:val="24"/>
                <w:szCs w:val="24"/>
              </w:rPr>
              <w:fldChar w:fldCharType="separate"/>
            </w:r>
            <w:r w:rsidRPr="001339DB">
              <w:rPr>
                <w:rFonts w:ascii="Book Antiqua" w:eastAsia="Times New Roman" w:hAnsi="Book Antiqua" w:cs="Calibri"/>
                <w:noProof/>
                <w:sz w:val="24"/>
                <w:szCs w:val="24"/>
              </w:rPr>
              <w:t>[25]</w:t>
            </w:r>
            <w:r w:rsidRPr="001339DB">
              <w:rPr>
                <w:rFonts w:ascii="Book Antiqua" w:eastAsia="Times New Roman" w:hAnsi="Book Antiqua" w:cs="Calibri"/>
                <w:sz w:val="24"/>
                <w:szCs w:val="24"/>
              </w:rPr>
              <w:fldChar w:fldCharType="end"/>
            </w:r>
          </w:p>
        </w:tc>
      </w:tr>
      <w:tr w:rsidR="001339DB" w:rsidRPr="001339DB" w:rsidTr="00411545">
        <w:trPr>
          <w:trHeight w:val="285"/>
        </w:trPr>
        <w:tc>
          <w:tcPr>
            <w:tcW w:w="2093" w:type="dxa"/>
            <w:gridSpan w:val="2"/>
            <w:tcBorders>
              <w:top w:val="nil"/>
              <w:left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p>
        </w:tc>
        <w:tc>
          <w:tcPr>
            <w:tcW w:w="1276" w:type="dxa"/>
            <w:gridSpan w:val="2"/>
            <w:tcBorders>
              <w:top w:val="nil"/>
              <w:left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p>
        </w:tc>
        <w:tc>
          <w:tcPr>
            <w:tcW w:w="992" w:type="dxa"/>
            <w:tcBorders>
              <w:top w:val="nil"/>
              <w:left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p>
        </w:tc>
        <w:tc>
          <w:tcPr>
            <w:tcW w:w="1417" w:type="dxa"/>
            <w:tcBorders>
              <w:top w:val="nil"/>
              <w:left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p>
        </w:tc>
        <w:tc>
          <w:tcPr>
            <w:tcW w:w="1418" w:type="dxa"/>
            <w:tcBorders>
              <w:top w:val="nil"/>
              <w:left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p>
        </w:tc>
        <w:tc>
          <w:tcPr>
            <w:tcW w:w="1417" w:type="dxa"/>
            <w:tcBorders>
              <w:top w:val="nil"/>
              <w:left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p>
        </w:tc>
      </w:tr>
      <w:tr w:rsidR="001339DB" w:rsidRPr="001339DB" w:rsidTr="00411545">
        <w:trPr>
          <w:trHeight w:val="285"/>
        </w:trPr>
        <w:tc>
          <w:tcPr>
            <w:tcW w:w="2093" w:type="dxa"/>
            <w:gridSpan w:val="2"/>
            <w:tcBorders>
              <w:left w:val="nil"/>
              <w:bottom w:val="single" w:sz="4" w:space="0" w:color="auto"/>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b/>
                <w:bCs/>
                <w:sz w:val="24"/>
                <w:szCs w:val="24"/>
              </w:rPr>
            </w:pPr>
            <w:r w:rsidRPr="001339DB">
              <w:rPr>
                <w:rFonts w:ascii="Book Antiqua" w:eastAsia="Times New Roman" w:hAnsi="Book Antiqua" w:cs="Calibri"/>
                <w:b/>
                <w:bCs/>
                <w:sz w:val="24"/>
                <w:szCs w:val="24"/>
              </w:rPr>
              <w:t>Other Parameters</w:t>
            </w:r>
          </w:p>
        </w:tc>
        <w:tc>
          <w:tcPr>
            <w:tcW w:w="1276" w:type="dxa"/>
            <w:gridSpan w:val="2"/>
            <w:tcBorders>
              <w:left w:val="nil"/>
              <w:bottom w:val="single" w:sz="4" w:space="0" w:color="auto"/>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p>
        </w:tc>
        <w:tc>
          <w:tcPr>
            <w:tcW w:w="992" w:type="dxa"/>
            <w:tcBorders>
              <w:left w:val="nil"/>
              <w:bottom w:val="single" w:sz="4" w:space="0" w:color="auto"/>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p>
        </w:tc>
        <w:tc>
          <w:tcPr>
            <w:tcW w:w="1417" w:type="dxa"/>
            <w:tcBorders>
              <w:left w:val="nil"/>
              <w:bottom w:val="single" w:sz="4" w:space="0" w:color="auto"/>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p>
        </w:tc>
        <w:tc>
          <w:tcPr>
            <w:tcW w:w="1418" w:type="dxa"/>
            <w:tcBorders>
              <w:left w:val="nil"/>
              <w:bottom w:val="single" w:sz="4" w:space="0" w:color="auto"/>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p>
        </w:tc>
        <w:tc>
          <w:tcPr>
            <w:tcW w:w="1417" w:type="dxa"/>
            <w:tcBorders>
              <w:left w:val="nil"/>
              <w:bottom w:val="single" w:sz="4" w:space="0" w:color="auto"/>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p>
        </w:tc>
      </w:tr>
      <w:tr w:rsidR="001339DB" w:rsidRPr="001339DB" w:rsidTr="00411545">
        <w:trPr>
          <w:trHeight w:val="300"/>
        </w:trPr>
        <w:tc>
          <w:tcPr>
            <w:tcW w:w="3369" w:type="dxa"/>
            <w:gridSpan w:val="4"/>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Relative risk of mortality for drinkers</w:t>
            </w:r>
          </w:p>
        </w:tc>
        <w:tc>
          <w:tcPr>
            <w:tcW w:w="992"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2.0</w:t>
            </w:r>
          </w:p>
        </w:tc>
        <w:tc>
          <w:tcPr>
            <w:tcW w:w="1417"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1.0−4.0</w:t>
            </w:r>
          </w:p>
        </w:tc>
        <w:tc>
          <w:tcPr>
            <w:tcW w:w="1418"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U(1.0;4.0)</w:t>
            </w:r>
          </w:p>
        </w:tc>
        <w:tc>
          <w:tcPr>
            <w:tcW w:w="1417" w:type="dxa"/>
            <w:tcBorders>
              <w:top w:val="nil"/>
              <w:left w:val="nil"/>
              <w:bottom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Assumption</w:t>
            </w:r>
          </w:p>
        </w:tc>
      </w:tr>
      <w:tr w:rsidR="001339DB" w:rsidRPr="001339DB" w:rsidTr="00411545">
        <w:trPr>
          <w:trHeight w:val="285"/>
        </w:trPr>
        <w:tc>
          <w:tcPr>
            <w:tcW w:w="3369" w:type="dxa"/>
            <w:gridSpan w:val="4"/>
            <w:tcBorders>
              <w:top w:val="nil"/>
              <w:left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Relative risk of DC for F4 abstainers</w:t>
            </w:r>
          </w:p>
        </w:tc>
        <w:tc>
          <w:tcPr>
            <w:tcW w:w="992" w:type="dxa"/>
            <w:tcBorders>
              <w:top w:val="nil"/>
              <w:left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0.33</w:t>
            </w:r>
          </w:p>
        </w:tc>
        <w:tc>
          <w:tcPr>
            <w:tcW w:w="1417" w:type="dxa"/>
            <w:tcBorders>
              <w:top w:val="nil"/>
              <w:left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0.33−1.0</w:t>
            </w:r>
          </w:p>
        </w:tc>
        <w:tc>
          <w:tcPr>
            <w:tcW w:w="1418" w:type="dxa"/>
            <w:tcBorders>
              <w:top w:val="nil"/>
              <w:left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U(0.33;1.0)</w:t>
            </w:r>
          </w:p>
        </w:tc>
        <w:tc>
          <w:tcPr>
            <w:tcW w:w="1417" w:type="dxa"/>
            <w:tcBorders>
              <w:top w:val="nil"/>
              <w:left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 xml:space="preserve">Based on </w:t>
            </w:r>
            <w:r w:rsidRPr="001339DB">
              <w:rPr>
                <w:rFonts w:ascii="Book Antiqua" w:eastAsia="Times New Roman" w:hAnsi="Book Antiqua" w:cs="Calibri"/>
                <w:sz w:val="24"/>
                <w:szCs w:val="24"/>
              </w:rPr>
              <w:fldChar w:fldCharType="begin" w:fldLock="1"/>
            </w:r>
            <w:r w:rsidRPr="001339DB">
              <w:rPr>
                <w:rFonts w:ascii="Book Antiqua" w:eastAsia="Times New Roman" w:hAnsi="Book Antiqua" w:cs="Calibri"/>
                <w:sz w:val="24"/>
                <w:szCs w:val="24"/>
              </w:rPr>
              <w:instrText>ADDIN CSL_CITATION { "citationItems" : [ { "id" : "ITEM-1", "itemData" : { "DOI" : "10.1111/j.1365-2036.2004.01881.x", "ISSN" : "0269-2813", "PMID" : "15043511", "abstract" : "Alcoholic liver disease, including acute alcoholic hepatitis and alcoholic cirrhosis, is a major cause of morbidity and mortality in the Western world. Abstinence remains the cornerstone of management of all forms of alcoholic liver disease. Recent research, which has elucidated the mechanisms of alcohol-induced liver injury, offers the prospect of advances in the management of alcoholic liver disease. We review the most recent data on the efficacy of treatment of acute alcoholic injury, including nutritional support, corticosteroids, anti-inflammatory agents and antioxidants, and agents that are directed against the progression to fibrosis, such as colchicines, propylthiouracil and antioxidants. Although these therapies offer a tantalizing glimpse into a future that may include therapies that directly alter the process of injury and repair in the liver, none has been shown consistently to improve the course of alcoholic liver damage. Consequently, liver transplantation remains an ultimate option for selected patients with liver failure due to chronic alcoholic liver damage.", "author" : [ { "dropping-particle" : "", "family" : "Tome", "given" : "S", "non-dropping-particle" : "", "parse-names" : false, "suffix" : "" }, { "dropping-particle" : "", "family" : "Lucey", "given" : "M R", "non-dropping-particle" : "", "parse-names" : false, "suffix" : "" } ], "container-title" : "Alimentary pharmacology &amp; therapeutics", "id" : "ITEM-1", "issue" : "7", "issued" : { "date-parts" : [ [ "2004" ] ] }, "page" : "707-714", "title" : "Review article: current management of alcoholic liver disease.", "type" : "article-journal", "volume" : "19" }, "uris" : [ "http://www.mendeley.com/documents/?uuid=a38f1542-31ad-453d-a8a3-ea3d99414971" ] } ], "mendeley" : { "formattedCitation" : "[36]", "plainTextFormattedCitation" : "[36]", "previouslyFormattedCitation" : "[36]" }, "properties" : { "noteIndex" : 0 }, "schema" : "https://github.com/citation-style-language/schema/raw/master/csl-citation.json" }</w:instrText>
            </w:r>
            <w:r w:rsidRPr="001339DB">
              <w:rPr>
                <w:rFonts w:ascii="Book Antiqua" w:eastAsia="Times New Roman" w:hAnsi="Book Antiqua" w:cs="Calibri"/>
                <w:sz w:val="24"/>
                <w:szCs w:val="24"/>
              </w:rPr>
              <w:fldChar w:fldCharType="separate"/>
            </w:r>
            <w:r w:rsidRPr="001339DB">
              <w:rPr>
                <w:rFonts w:ascii="Book Antiqua" w:eastAsia="Times New Roman" w:hAnsi="Book Antiqua" w:cs="Calibri"/>
                <w:noProof/>
                <w:sz w:val="24"/>
                <w:szCs w:val="24"/>
              </w:rPr>
              <w:t>[36]</w:t>
            </w:r>
            <w:r w:rsidRPr="001339DB">
              <w:rPr>
                <w:rFonts w:ascii="Book Antiqua" w:eastAsia="Times New Roman" w:hAnsi="Book Antiqua" w:cs="Calibri"/>
                <w:sz w:val="24"/>
                <w:szCs w:val="24"/>
              </w:rPr>
              <w:fldChar w:fldCharType="end"/>
            </w:r>
          </w:p>
        </w:tc>
      </w:tr>
      <w:tr w:rsidR="001339DB" w:rsidRPr="001339DB" w:rsidTr="00411545">
        <w:trPr>
          <w:trHeight w:val="285"/>
        </w:trPr>
        <w:tc>
          <w:tcPr>
            <w:tcW w:w="3369" w:type="dxa"/>
            <w:gridSpan w:val="4"/>
            <w:tcBorders>
              <w:top w:val="nil"/>
              <w:left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Relative risk of HCC for F4 abstainers</w:t>
            </w:r>
          </w:p>
        </w:tc>
        <w:tc>
          <w:tcPr>
            <w:tcW w:w="992" w:type="dxa"/>
            <w:tcBorders>
              <w:top w:val="nil"/>
              <w:left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0.33</w:t>
            </w:r>
          </w:p>
        </w:tc>
        <w:tc>
          <w:tcPr>
            <w:tcW w:w="1417" w:type="dxa"/>
            <w:tcBorders>
              <w:top w:val="nil"/>
              <w:left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0.33−1.0</w:t>
            </w:r>
          </w:p>
        </w:tc>
        <w:tc>
          <w:tcPr>
            <w:tcW w:w="1418" w:type="dxa"/>
            <w:tcBorders>
              <w:top w:val="nil"/>
              <w:left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U(0.33;1.0)</w:t>
            </w:r>
          </w:p>
        </w:tc>
        <w:tc>
          <w:tcPr>
            <w:tcW w:w="1417" w:type="dxa"/>
            <w:tcBorders>
              <w:top w:val="nil"/>
              <w:left w:val="nil"/>
              <w:right w:val="nil"/>
            </w:tcBorders>
            <w:shd w:val="clear" w:color="auto" w:fill="auto"/>
            <w:vAlign w:val="bottom"/>
            <w:hideMark/>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 xml:space="preserve"> Based on </w:t>
            </w:r>
            <w:r w:rsidRPr="001339DB">
              <w:rPr>
                <w:rFonts w:ascii="Book Antiqua" w:eastAsia="Times New Roman" w:hAnsi="Book Antiqua" w:cs="Calibri"/>
                <w:sz w:val="24"/>
                <w:szCs w:val="24"/>
              </w:rPr>
              <w:fldChar w:fldCharType="begin" w:fldLock="1"/>
            </w:r>
            <w:r w:rsidRPr="001339DB">
              <w:rPr>
                <w:rFonts w:ascii="Book Antiqua" w:eastAsia="Times New Roman" w:hAnsi="Book Antiqua" w:cs="Calibri"/>
                <w:sz w:val="24"/>
                <w:szCs w:val="24"/>
              </w:rPr>
              <w:instrText>ADDIN CSL_CITATION { "citationItems" : [ { "id" : "ITEM-1", "itemData" : { "DOI" : "10.1111/j.1365-2036.2004.01881.x", "ISSN" : "0269-2813", "PMID" : "15043511", "abstract" : "Alcoholic liver disease, including acute alcoholic hepatitis and alcoholic cirrhosis, is a major cause of morbidity and mortality in the Western world. Abstinence remains the cornerstone of management of all forms of alcoholic liver disease. Recent research, which has elucidated the mechanisms of alcohol-induced liver injury, offers the prospect of advances in the management of alcoholic liver disease. We review the most recent data on the efficacy of treatment of acute alcoholic injury, including nutritional support, corticosteroids, anti-inflammatory agents and antioxidants, and agents that are directed against the progression to fibrosis, such as colchicines, propylthiouracil and antioxidants. Although these therapies offer a tantalizing glimpse into a future that may include therapies that directly alter the process of injury and repair in the liver, none has been shown consistently to improve the course of alcoholic liver damage. Consequently, liver transplantation remains an ultimate option for selected patients with liver failure due to chronic alcoholic liver damage.", "author" : [ { "dropping-particle" : "", "family" : "Tome", "given" : "S", "non-dropping-particle" : "", "parse-names" : false, "suffix" : "" }, { "dropping-particle" : "", "family" : "Lucey", "given" : "M R", "non-dropping-particle" : "", "parse-names" : false, "suffix" : "" } ], "container-title" : "Alimentary pharmacology &amp; therapeutics", "id" : "ITEM-1", "issue" : "7", "issued" : { "date-parts" : [ [ "2004" ] ] }, "page" : "707-714", "title" : "Review article: current management of alcoholic liver disease.", "type" : "article-journal", "volume" : "19" }, "uris" : [ "http://www.mendeley.com/documents/?uuid=a38f1542-31ad-453d-a8a3-ea3d99414971" ] } ], "mendeley" : { "formattedCitation" : "[36]", "plainTextFormattedCitation" : "[36]", "previouslyFormattedCitation" : "[36]" }, "properties" : { "noteIndex" : 0 }, "schema" : "https://github.com/citation-style-language/schema/raw/master/csl-citation.json" }</w:instrText>
            </w:r>
            <w:r w:rsidRPr="001339DB">
              <w:rPr>
                <w:rFonts w:ascii="Book Antiqua" w:eastAsia="Times New Roman" w:hAnsi="Book Antiqua" w:cs="Calibri"/>
                <w:sz w:val="24"/>
                <w:szCs w:val="24"/>
              </w:rPr>
              <w:fldChar w:fldCharType="separate"/>
            </w:r>
            <w:r w:rsidRPr="001339DB">
              <w:rPr>
                <w:rFonts w:ascii="Book Antiqua" w:eastAsia="Times New Roman" w:hAnsi="Book Antiqua" w:cs="Calibri"/>
                <w:noProof/>
                <w:sz w:val="24"/>
                <w:szCs w:val="24"/>
              </w:rPr>
              <w:t>[36]</w:t>
            </w:r>
            <w:r w:rsidRPr="001339DB">
              <w:rPr>
                <w:rFonts w:ascii="Book Antiqua" w:eastAsia="Times New Roman" w:hAnsi="Book Antiqua" w:cs="Calibri"/>
                <w:sz w:val="24"/>
                <w:szCs w:val="24"/>
              </w:rPr>
              <w:fldChar w:fldCharType="end"/>
            </w:r>
          </w:p>
        </w:tc>
      </w:tr>
      <w:tr w:rsidR="001339DB" w:rsidRPr="001339DB" w:rsidTr="00411545">
        <w:trPr>
          <w:trHeight w:val="285"/>
        </w:trPr>
        <w:tc>
          <w:tcPr>
            <w:tcW w:w="3369" w:type="dxa"/>
            <w:gridSpan w:val="4"/>
            <w:tcBorders>
              <w:left w:val="nil"/>
              <w:right w:val="nil"/>
            </w:tcBorders>
            <w:shd w:val="clear" w:color="auto" w:fill="auto"/>
            <w:vAlign w:val="bottom"/>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Cohort’s initial age (years)</w:t>
            </w:r>
          </w:p>
        </w:tc>
        <w:tc>
          <w:tcPr>
            <w:tcW w:w="992" w:type="dxa"/>
            <w:tcBorders>
              <w:left w:val="nil"/>
              <w:right w:val="nil"/>
            </w:tcBorders>
            <w:shd w:val="clear" w:color="auto" w:fill="auto"/>
            <w:vAlign w:val="bottom"/>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40</w:t>
            </w:r>
          </w:p>
        </w:tc>
        <w:tc>
          <w:tcPr>
            <w:tcW w:w="1417" w:type="dxa"/>
            <w:tcBorders>
              <w:left w:val="nil"/>
              <w:right w:val="nil"/>
            </w:tcBorders>
            <w:shd w:val="clear" w:color="auto" w:fill="auto"/>
            <w:vAlign w:val="bottom"/>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30−50</w:t>
            </w:r>
          </w:p>
        </w:tc>
        <w:tc>
          <w:tcPr>
            <w:tcW w:w="1418" w:type="dxa"/>
            <w:tcBorders>
              <w:left w:val="nil"/>
              <w:right w:val="nil"/>
            </w:tcBorders>
            <w:shd w:val="clear" w:color="auto" w:fill="auto"/>
            <w:vAlign w:val="bottom"/>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γ(40;10)</w:t>
            </w:r>
          </w:p>
        </w:tc>
        <w:tc>
          <w:tcPr>
            <w:tcW w:w="1417" w:type="dxa"/>
            <w:tcBorders>
              <w:left w:val="nil"/>
              <w:right w:val="nil"/>
            </w:tcBorders>
            <w:shd w:val="clear" w:color="auto" w:fill="auto"/>
            <w:vAlign w:val="bottom"/>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Assumption</w:t>
            </w:r>
          </w:p>
        </w:tc>
      </w:tr>
      <w:tr w:rsidR="001339DB" w:rsidRPr="001339DB" w:rsidTr="00411545">
        <w:trPr>
          <w:trHeight w:val="285"/>
        </w:trPr>
        <w:tc>
          <w:tcPr>
            <w:tcW w:w="3369" w:type="dxa"/>
            <w:gridSpan w:val="4"/>
            <w:tcBorders>
              <w:left w:val="nil"/>
              <w:right w:val="nil"/>
            </w:tcBorders>
            <w:shd w:val="clear" w:color="auto" w:fill="auto"/>
            <w:vAlign w:val="bottom"/>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Prevalence of LF (</w:t>
            </w:r>
            <w:r w:rsidRPr="001339DB">
              <w:rPr>
                <w:rFonts w:ascii="Book Antiqua" w:eastAsia="Times New Roman" w:hAnsi="Book Antiqua" w:cs="Calibri"/>
                <w:bCs/>
                <w:sz w:val="24"/>
                <w:szCs w:val="24"/>
              </w:rPr>
              <w:t>F≥2) (%)</w:t>
            </w:r>
          </w:p>
        </w:tc>
        <w:tc>
          <w:tcPr>
            <w:tcW w:w="992" w:type="dxa"/>
            <w:tcBorders>
              <w:left w:val="nil"/>
              <w:right w:val="nil"/>
            </w:tcBorders>
            <w:shd w:val="clear" w:color="auto" w:fill="auto"/>
            <w:vAlign w:val="bottom"/>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53</w:t>
            </w:r>
          </w:p>
        </w:tc>
        <w:tc>
          <w:tcPr>
            <w:tcW w:w="1417" w:type="dxa"/>
            <w:tcBorders>
              <w:left w:val="nil"/>
              <w:right w:val="nil"/>
            </w:tcBorders>
            <w:shd w:val="clear" w:color="auto" w:fill="auto"/>
            <w:vAlign w:val="bottom"/>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40−66</w:t>
            </w:r>
          </w:p>
        </w:tc>
        <w:tc>
          <w:tcPr>
            <w:tcW w:w="1418" w:type="dxa"/>
            <w:tcBorders>
              <w:left w:val="nil"/>
              <w:right w:val="nil"/>
            </w:tcBorders>
            <w:shd w:val="clear" w:color="auto" w:fill="auto"/>
            <w:vAlign w:val="bottom"/>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U(40;66)</w:t>
            </w:r>
          </w:p>
        </w:tc>
        <w:tc>
          <w:tcPr>
            <w:tcW w:w="1417" w:type="dxa"/>
            <w:tcBorders>
              <w:left w:val="nil"/>
              <w:right w:val="nil"/>
            </w:tcBorders>
            <w:shd w:val="clear" w:color="auto" w:fill="auto"/>
            <w:vAlign w:val="bottom"/>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Assumption</w:t>
            </w:r>
          </w:p>
        </w:tc>
      </w:tr>
      <w:tr w:rsidR="001339DB" w:rsidRPr="001339DB" w:rsidTr="00411545">
        <w:trPr>
          <w:trHeight w:val="285"/>
        </w:trPr>
        <w:tc>
          <w:tcPr>
            <w:tcW w:w="3369" w:type="dxa"/>
            <w:gridSpan w:val="4"/>
            <w:tcBorders>
              <w:left w:val="nil"/>
              <w:right w:val="nil"/>
            </w:tcBorders>
            <w:shd w:val="clear" w:color="auto" w:fill="auto"/>
            <w:vAlign w:val="bottom"/>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Prevalence of cirrhosis (</w:t>
            </w:r>
            <w:r w:rsidRPr="001339DB">
              <w:rPr>
                <w:rFonts w:ascii="Book Antiqua" w:eastAsia="Times New Roman" w:hAnsi="Book Antiqua" w:cs="Calibri"/>
                <w:bCs/>
                <w:sz w:val="24"/>
                <w:szCs w:val="24"/>
              </w:rPr>
              <w:t>F=4) (%)</w:t>
            </w:r>
          </w:p>
        </w:tc>
        <w:tc>
          <w:tcPr>
            <w:tcW w:w="992" w:type="dxa"/>
            <w:tcBorders>
              <w:left w:val="nil"/>
              <w:right w:val="nil"/>
            </w:tcBorders>
            <w:shd w:val="clear" w:color="auto" w:fill="auto"/>
            <w:vAlign w:val="bottom"/>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20</w:t>
            </w:r>
          </w:p>
        </w:tc>
        <w:tc>
          <w:tcPr>
            <w:tcW w:w="1417" w:type="dxa"/>
            <w:tcBorders>
              <w:left w:val="nil"/>
              <w:right w:val="nil"/>
            </w:tcBorders>
            <w:shd w:val="clear" w:color="auto" w:fill="auto"/>
            <w:vAlign w:val="bottom"/>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14−27</w:t>
            </w:r>
          </w:p>
        </w:tc>
        <w:tc>
          <w:tcPr>
            <w:tcW w:w="1418" w:type="dxa"/>
            <w:tcBorders>
              <w:left w:val="nil"/>
              <w:right w:val="nil"/>
            </w:tcBorders>
            <w:shd w:val="clear" w:color="auto" w:fill="auto"/>
            <w:vAlign w:val="bottom"/>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U(14;27)</w:t>
            </w:r>
          </w:p>
        </w:tc>
        <w:tc>
          <w:tcPr>
            <w:tcW w:w="1417" w:type="dxa"/>
            <w:tcBorders>
              <w:left w:val="nil"/>
              <w:right w:val="nil"/>
            </w:tcBorders>
            <w:shd w:val="clear" w:color="auto" w:fill="auto"/>
            <w:vAlign w:val="bottom"/>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Assumption</w:t>
            </w:r>
          </w:p>
        </w:tc>
      </w:tr>
      <w:tr w:rsidR="001339DB" w:rsidRPr="001339DB" w:rsidTr="00411545">
        <w:trPr>
          <w:trHeight w:val="285"/>
        </w:trPr>
        <w:tc>
          <w:tcPr>
            <w:tcW w:w="3369" w:type="dxa"/>
            <w:gridSpan w:val="4"/>
            <w:tcBorders>
              <w:left w:val="nil"/>
              <w:right w:val="nil"/>
            </w:tcBorders>
            <w:shd w:val="clear" w:color="auto" w:fill="auto"/>
            <w:vAlign w:val="bottom"/>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Death probability related to biopsy (%)</w:t>
            </w:r>
          </w:p>
        </w:tc>
        <w:tc>
          <w:tcPr>
            <w:tcW w:w="992" w:type="dxa"/>
            <w:tcBorders>
              <w:left w:val="nil"/>
              <w:right w:val="nil"/>
            </w:tcBorders>
            <w:shd w:val="clear" w:color="auto" w:fill="auto"/>
            <w:vAlign w:val="bottom"/>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0.09</w:t>
            </w:r>
          </w:p>
        </w:tc>
        <w:tc>
          <w:tcPr>
            <w:tcW w:w="1417" w:type="dxa"/>
            <w:tcBorders>
              <w:left w:val="nil"/>
              <w:right w:val="nil"/>
            </w:tcBorders>
            <w:shd w:val="clear" w:color="auto" w:fill="auto"/>
            <w:vAlign w:val="bottom"/>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0.06−0.12</w:t>
            </w:r>
          </w:p>
        </w:tc>
        <w:tc>
          <w:tcPr>
            <w:tcW w:w="1418" w:type="dxa"/>
            <w:tcBorders>
              <w:left w:val="nil"/>
              <w:right w:val="nil"/>
            </w:tcBorders>
            <w:shd w:val="clear" w:color="auto" w:fill="auto"/>
            <w:vAlign w:val="bottom"/>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β(0.09;0.01)</w:t>
            </w:r>
          </w:p>
        </w:tc>
        <w:tc>
          <w:tcPr>
            <w:tcW w:w="1417" w:type="dxa"/>
            <w:tcBorders>
              <w:left w:val="nil"/>
              <w:right w:val="nil"/>
            </w:tcBorders>
            <w:shd w:val="clear" w:color="auto" w:fill="auto"/>
            <w:vAlign w:val="bottom"/>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fldChar w:fldCharType="begin" w:fldLock="1"/>
            </w:r>
            <w:r w:rsidRPr="001339DB">
              <w:rPr>
                <w:rFonts w:ascii="Book Antiqua" w:eastAsia="Times New Roman" w:hAnsi="Book Antiqua" w:cs="Calibri"/>
                <w:sz w:val="24"/>
                <w:szCs w:val="24"/>
              </w:rPr>
              <w:instrText>ADDIN CSL_CITATION { "citationItems" : [ { "id" : "ITEM-1", "itemData" : { "DOI" : "10.3310/hta16040", "ISBN" : "1366-5278 (Print)\\r1366-5278 (Linking)", "ISSN" : "20464924", "PMID" : "22333291", "abstract" : "BACKGROUND: Excessive alcohol consumption may lead to the development of alcohol-related liver disease (ALD). Liver biopsy may be used in patients with suspected ALD to confirm the diagnosis, exclude other or additional liver pathologies, and provide accurate staging of the degree of liver injury in order to enable the prediction of prognosis and inform treatment decisions. However, as it is an invasive procedure that carries the risk of morbidity and mortality, current UK guidance recommends that biopsy is not required to confirm the diagnosis in patients with a high clinical suspicion of ALD in whom blood tests have excluded other causes of liver disease, unless it is necessary to confirm a diagnosis of acute alcoholic hepatitis in order to inform specific treatment decisions.\\n\\nOBJECTIVES: To evaluate the diagnostic accuracy, cost-effectiveness, and effect on patient outcomes of four non-invasive tests for liver fibrosis [the Enhanced Liver Fibrosis (ELF\u2122) test (Siemens Healthcare Diagnostic Inc., Tarrytown, NY, USA), FibroTest (BioPredictive, Paris, France), FibroMAX (BioPredictive, Paris, France) and transient elastography (FibroScan(\u00ae); produced by EchoSens, Paris, France and distributed in the UK by Artemis Medical Ltd, Kent, UK)] in patients suspected of having ALD.\\n\\nDATA SOURCES: A systematic review was undertaken to identify studies reporting the diagnostic and prognostic accuracy of the ELF test, FibroTest, FibroMAX, and FibroScan for the identification of liver fibrosis and associated conditions in patients with suspected ALD. The following databases were searched in January 2010: MEDLINE (from 1950 to January 2010), MEDLINE In-Process &amp; Other Non-Indexed Citations (from 1950 to January 2010), EMBASE (from 1980 to January 2010), Cochrane Database of Systematic Reviews (from 1996 to January 2010), Cochrane Central Register of Controlled Trials (from 1898 to January 2010), Cochrane Methodology Register (from 1904 to January 2010), Database of Abstracts of Reviews of Effects (from 1995 to January 2010), HTA Database (from 1995 to January 2010), NHS Economic Evaluation Database (from 1995 to January 2010), Cumulative Index to Nursing and Allied Health Literature (from 1982 to January 2010), Web of Knowledge and Science Citation Index (from 1969 to January 2010).\\n\\nREVIEW METHODS: Study quality was assessed using the QUADAS (Quality Assessment of Diagnostic Accuracy Studies) checklist. Owing to the heterogeneity of the studies, no formal meta\u2026", "author" : [ { "dropping-particle" : "", "family" : "Stevenson", "given" : "M.", "non-dropping-particle" : "", "parse-names" : false, "suffix" : "" }, { "dropping-particle" : "", "family" : "Lloyd-Jones", "given" : "M.", "non-dropping-particle" : "", "parse-names" : false, "suffix" : "" }, { "dropping-particle" : "", "family" : "Morgan", "given" : "M. Y.", "non-dropping-particle" : "", "parse-names" : false, "suffix" : "" }, { "dropping-particle" : "", "family" : "Wong", "given" : "R.", "non-dropping-particle" : "", "parse-names" : false, "suffix" : "" } ], "container-title" : "Health technology assessment (NHS)", "id" : "ITEM-1", "issue" : "4", "issued" : { "date-parts" : [ [ "2012" ] ] }, "page" : "1-174", "title" : "Non-invasive diagnostic assessment tools for the detection of liver fibrosis in patients with suspected alcohol-related liver disease: a systematic review and economic evaluation.", "type" : "article-journal", "volume" : "16" }, "uris" : [ "http://www.mendeley.com/documents/?uuid=0bc97fb0-6980-4836-8f8f-46ba6f4020ac" ] } ], "mendeley" : { "formattedCitation" : "[28]", "plainTextFormattedCitation" : "[28]", "previouslyFormattedCitation" : "[28]" }, "properties" : { "noteIndex" : 0 }, "schema" : "https://github.com/citation-style-language/schema/raw/master/csl-citation.json" }</w:instrText>
            </w:r>
            <w:r w:rsidRPr="001339DB">
              <w:rPr>
                <w:rFonts w:ascii="Book Antiqua" w:eastAsia="Times New Roman" w:hAnsi="Book Antiqua" w:cs="Calibri"/>
                <w:sz w:val="24"/>
                <w:szCs w:val="24"/>
              </w:rPr>
              <w:fldChar w:fldCharType="separate"/>
            </w:r>
            <w:r w:rsidRPr="001339DB">
              <w:rPr>
                <w:rFonts w:ascii="Book Antiqua" w:eastAsia="Times New Roman" w:hAnsi="Book Antiqua" w:cs="Calibri"/>
                <w:noProof/>
                <w:sz w:val="24"/>
                <w:szCs w:val="24"/>
              </w:rPr>
              <w:t>[28]</w:t>
            </w:r>
            <w:r w:rsidRPr="001339DB">
              <w:rPr>
                <w:rFonts w:ascii="Book Antiqua" w:eastAsia="Times New Roman" w:hAnsi="Book Antiqua" w:cs="Calibri"/>
                <w:sz w:val="24"/>
                <w:szCs w:val="24"/>
              </w:rPr>
              <w:fldChar w:fldCharType="end"/>
            </w:r>
          </w:p>
        </w:tc>
      </w:tr>
      <w:tr w:rsidR="001339DB" w:rsidRPr="001339DB" w:rsidTr="00411545">
        <w:trPr>
          <w:trHeight w:val="285"/>
        </w:trPr>
        <w:tc>
          <w:tcPr>
            <w:tcW w:w="3369" w:type="dxa"/>
            <w:gridSpan w:val="4"/>
            <w:tcBorders>
              <w:left w:val="nil"/>
              <w:bottom w:val="single" w:sz="4" w:space="0" w:color="auto"/>
              <w:right w:val="nil"/>
            </w:tcBorders>
            <w:shd w:val="clear" w:color="auto" w:fill="auto"/>
            <w:vAlign w:val="bottom"/>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Prob. of nonfatal adverse event related to biopsy (%)</w:t>
            </w:r>
          </w:p>
        </w:tc>
        <w:tc>
          <w:tcPr>
            <w:tcW w:w="992" w:type="dxa"/>
            <w:tcBorders>
              <w:left w:val="nil"/>
              <w:bottom w:val="single" w:sz="4" w:space="0" w:color="auto"/>
              <w:right w:val="nil"/>
            </w:tcBorders>
            <w:shd w:val="clear" w:color="auto" w:fill="auto"/>
            <w:vAlign w:val="bottom"/>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0.72</w:t>
            </w:r>
          </w:p>
        </w:tc>
        <w:tc>
          <w:tcPr>
            <w:tcW w:w="1417" w:type="dxa"/>
            <w:tcBorders>
              <w:left w:val="nil"/>
              <w:bottom w:val="single" w:sz="4" w:space="0" w:color="auto"/>
              <w:right w:val="nil"/>
            </w:tcBorders>
            <w:shd w:val="clear" w:color="auto" w:fill="auto"/>
            <w:vAlign w:val="bottom"/>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w:t>
            </w:r>
          </w:p>
        </w:tc>
        <w:tc>
          <w:tcPr>
            <w:tcW w:w="1418" w:type="dxa"/>
            <w:tcBorders>
              <w:left w:val="nil"/>
              <w:bottom w:val="single" w:sz="4" w:space="0" w:color="auto"/>
              <w:right w:val="nil"/>
            </w:tcBorders>
            <w:shd w:val="clear" w:color="auto" w:fill="auto"/>
            <w:vAlign w:val="bottom"/>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t>–</w:t>
            </w:r>
          </w:p>
        </w:tc>
        <w:tc>
          <w:tcPr>
            <w:tcW w:w="1417" w:type="dxa"/>
            <w:tcBorders>
              <w:left w:val="nil"/>
              <w:bottom w:val="single" w:sz="4" w:space="0" w:color="auto"/>
              <w:right w:val="nil"/>
            </w:tcBorders>
            <w:shd w:val="clear" w:color="auto" w:fill="auto"/>
            <w:vAlign w:val="bottom"/>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r w:rsidRPr="001339DB">
              <w:rPr>
                <w:rFonts w:ascii="Book Antiqua" w:eastAsia="Times New Roman" w:hAnsi="Book Antiqua" w:cs="Calibri"/>
                <w:sz w:val="24"/>
                <w:szCs w:val="24"/>
              </w:rPr>
              <w:fldChar w:fldCharType="begin" w:fldLock="1"/>
            </w:r>
            <w:r w:rsidRPr="001339DB">
              <w:rPr>
                <w:rFonts w:ascii="Book Antiqua" w:eastAsia="Times New Roman" w:hAnsi="Book Antiqua" w:cs="Calibri"/>
                <w:sz w:val="24"/>
                <w:szCs w:val="24"/>
              </w:rPr>
              <w:instrText>ADDIN CSL_CITATION { "citationItems" : [ { "id" : "ITEM-1", "itemData" : { "DOI" : "10.3310/hta16040", "ISBN" : "1366-5278 (Print)\\r1366-5278 (Linking)", "ISSN" : "20464924", "PMID" : "22333291", "abstract" : "BACKGROUND: Excessive alcohol consumption may lead to the development of alcohol-related liver disease (ALD). Liver biopsy may be used in patients with suspected ALD to confirm the diagnosis, exclude other or additional liver pathologies, and provide accurate staging of the degree of liver injury in order to enable the prediction of prognosis and inform treatment decisions. However, as it is an invasive procedure that carries the risk of morbidity and mortality, current UK guidance recommends that biopsy is not required to confirm the diagnosis in patients with a high clinical suspicion of ALD in whom blood tests have excluded other causes of liver disease, unless it is necessary to confirm a diagnosis of acute alcoholic hepatitis in order to inform specific treatment decisions.\\n\\nOBJECTIVES: To evaluate the diagnostic accuracy, cost-effectiveness, and effect on patient outcomes of four non-invasive tests for liver fibrosis [the Enhanced Liver Fibrosis (ELF\u2122) test (Siemens Healthcare Diagnostic Inc., Tarrytown, NY, USA), FibroTest (BioPredictive, Paris, France), FibroMAX (BioPredictive, Paris, France) and transient elastography (FibroScan(\u00ae); produced by EchoSens, Paris, France and distributed in the UK by Artemis Medical Ltd, Kent, UK)] in patients suspected of having ALD.\\n\\nDATA SOURCES: A systematic review was undertaken to identify studies reporting the diagnostic and prognostic accuracy of the ELF test, FibroTest, FibroMAX, and FibroScan for the identification of liver fibrosis and associated conditions in patients with suspected ALD. The following databases were searched in January 2010: MEDLINE (from 1950 to January 2010), MEDLINE In-Process &amp; Other Non-Indexed Citations (from 1950 to January 2010), EMBASE (from 1980 to January 2010), Cochrane Database of Systematic Reviews (from 1996 to January 2010), Cochrane Central Register of Controlled Trials (from 1898 to January 2010), Cochrane Methodology Register (from 1904 to January 2010), Database of Abstracts of Reviews of Effects (from 1995 to January 2010), HTA Database (from 1995 to January 2010), NHS Economic Evaluation Database (from 1995 to January 2010), Cumulative Index to Nursing and Allied Health Literature (from 1982 to January 2010), Web of Knowledge and Science Citation Index (from 1969 to January 2010).\\n\\nREVIEW METHODS: Study quality was assessed using the QUADAS (Quality Assessment of Diagnostic Accuracy Studies) checklist. Owing to the heterogeneity of the studies, no formal meta\u2026", "author" : [ { "dropping-particle" : "", "family" : "Stevenson", "given" : "M.", "non-dropping-particle" : "", "parse-names" : false, "suffix" : "" }, { "dropping-particle" : "", "family" : "Lloyd-Jones", "given" : "M.", "non-dropping-particle" : "", "parse-names" : false, "suffix" : "" }, { "dropping-particle" : "", "family" : "Morgan", "given" : "M. Y.", "non-dropping-particle" : "", "parse-names" : false, "suffix" : "" }, { "dropping-particle" : "", "family" : "Wong", "given" : "R.", "non-dropping-particle" : "", "parse-names" : false, "suffix" : "" } ], "container-title" : "Health technology assessment (NHS)", "id" : "ITEM-1", "issue" : "4", "issued" : { "date-parts" : [ [ "2012" ] ] }, "page" : "1-174", "title" : "Non-invasive diagnostic assessment tools for the detection of liver fibrosis in patients with suspected alcohol-related liver disease: a systematic review and economic evaluation.", "type" : "article-journal", "volume" : "16" }, "uris" : [ "http://www.mendeley.com/documents/?uuid=0bc97fb0-6980-4836-8f8f-46ba6f4020ac" ] } ], "mendeley" : { "formattedCitation" : "[28]", "plainTextFormattedCitation" : "[28]", "previouslyFormattedCitation" : "[28]" }, "properties" : { "noteIndex" : 0 }, "schema" : "https://github.com/citation-style-language/schema/raw/master/csl-citation.json" }</w:instrText>
            </w:r>
            <w:r w:rsidRPr="001339DB">
              <w:rPr>
                <w:rFonts w:ascii="Book Antiqua" w:eastAsia="Times New Roman" w:hAnsi="Book Antiqua" w:cs="Calibri"/>
                <w:sz w:val="24"/>
                <w:szCs w:val="24"/>
              </w:rPr>
              <w:fldChar w:fldCharType="separate"/>
            </w:r>
            <w:r w:rsidRPr="001339DB">
              <w:rPr>
                <w:rFonts w:ascii="Book Antiqua" w:eastAsia="Times New Roman" w:hAnsi="Book Antiqua" w:cs="Calibri"/>
                <w:noProof/>
                <w:sz w:val="24"/>
                <w:szCs w:val="24"/>
              </w:rPr>
              <w:t>[28]</w:t>
            </w:r>
            <w:r w:rsidRPr="001339DB">
              <w:rPr>
                <w:rFonts w:ascii="Book Antiqua" w:eastAsia="Times New Roman" w:hAnsi="Book Antiqua" w:cs="Calibri"/>
                <w:sz w:val="24"/>
                <w:szCs w:val="24"/>
              </w:rPr>
              <w:fldChar w:fldCharType="end"/>
            </w:r>
          </w:p>
        </w:tc>
      </w:tr>
      <w:tr w:rsidR="001339DB" w:rsidRPr="001339DB" w:rsidTr="00411545">
        <w:trPr>
          <w:trHeight w:val="285"/>
        </w:trPr>
        <w:tc>
          <w:tcPr>
            <w:tcW w:w="8613" w:type="dxa"/>
            <w:gridSpan w:val="8"/>
            <w:tcBorders>
              <w:top w:val="single" w:sz="4" w:space="0" w:color="auto"/>
              <w:left w:val="nil"/>
              <w:right w:val="nil"/>
            </w:tcBorders>
            <w:shd w:val="clear" w:color="auto" w:fill="auto"/>
            <w:vAlign w:val="bottom"/>
          </w:tcPr>
          <w:p w:rsidR="00D96EE7" w:rsidRPr="00D96EE7" w:rsidRDefault="00D96EE7" w:rsidP="00D96EE7">
            <w:pPr>
              <w:adjustRightInd w:val="0"/>
              <w:snapToGrid w:val="0"/>
              <w:spacing w:after="0" w:line="360" w:lineRule="auto"/>
              <w:jc w:val="both"/>
              <w:rPr>
                <w:rFonts w:ascii="Book Antiqua" w:hAnsi="Book Antiqua" w:cs="Calibri"/>
                <w:sz w:val="24"/>
                <w:szCs w:val="24"/>
                <w:lang w:eastAsia="zh-CN"/>
              </w:rPr>
            </w:pPr>
            <w:r w:rsidRPr="00D96EE7">
              <w:rPr>
                <w:rFonts w:ascii="Book Antiqua" w:eastAsia="Times New Roman" w:hAnsi="Book Antiqua" w:cs="Calibri"/>
                <w:sz w:val="24"/>
                <w:szCs w:val="24"/>
                <w:vertAlign w:val="superscript"/>
              </w:rPr>
              <w:t>1</w:t>
            </w:r>
            <w:r w:rsidRPr="00D96EE7">
              <w:rPr>
                <w:rFonts w:ascii="Book Antiqua" w:eastAsia="Times New Roman" w:hAnsi="Book Antiqua" w:cs="Calibri"/>
                <w:sz w:val="24"/>
                <w:szCs w:val="24"/>
              </w:rPr>
              <w:t>PSA: probabilistic sensitivity analysis. In beta (β) and gamma (γ) distributions, parameters correspond to mean and standard deviation. In uniform (U) distributions, parameters correspond to minimum and maximum values.</w:t>
            </w:r>
            <w:r>
              <w:rPr>
                <w:rFonts w:ascii="Book Antiqua" w:hAnsi="Book Antiqua" w:cs="Calibri" w:hint="eastAsia"/>
                <w:sz w:val="24"/>
                <w:szCs w:val="24"/>
                <w:lang w:eastAsia="zh-CN"/>
              </w:rPr>
              <w:t xml:space="preserve"> </w:t>
            </w:r>
            <w:r w:rsidR="00411545" w:rsidRPr="001339DB">
              <w:rPr>
                <w:rFonts w:ascii="Book Antiqua" w:eastAsia="Times New Roman" w:hAnsi="Book Antiqua" w:cs="Calibri"/>
                <w:sz w:val="24"/>
                <w:szCs w:val="24"/>
              </w:rPr>
              <w:t>F0-F1: no fibrosis or mild fibrosis; F2-F3: moderate or severe fibrosis; F4: cirrhosis</w:t>
            </w:r>
            <w:r>
              <w:rPr>
                <w:rFonts w:ascii="Book Antiqua" w:hAnsi="Book Antiqua" w:cs="Calibri" w:hint="eastAsia"/>
                <w:sz w:val="24"/>
                <w:szCs w:val="24"/>
                <w:lang w:eastAsia="zh-CN"/>
              </w:rPr>
              <w:t xml:space="preserve">. </w:t>
            </w:r>
            <w:r w:rsidRPr="00D96EE7">
              <w:rPr>
                <w:rFonts w:ascii="Book Antiqua" w:hAnsi="Book Antiqua" w:cs="Calibri"/>
                <w:sz w:val="24"/>
                <w:szCs w:val="24"/>
                <w:lang w:eastAsia="zh-CN"/>
              </w:rPr>
              <w:t xml:space="preserve">ELF: Enhanced Liver Fibrosis test; LSM: Liver stiffness </w:t>
            </w:r>
            <w:r w:rsidRPr="00D96EE7">
              <w:rPr>
                <w:rFonts w:ascii="Book Antiqua" w:hAnsi="Book Antiqua" w:cs="Calibri"/>
                <w:sz w:val="24"/>
                <w:szCs w:val="24"/>
                <w:lang w:eastAsia="zh-CN"/>
              </w:rPr>
              <w:lastRenderedPageBreak/>
              <w:t>measurement</w:t>
            </w:r>
            <w:r w:rsidRPr="00D96EE7">
              <w:rPr>
                <w:rFonts w:ascii="Book Antiqua" w:hAnsi="Book Antiqua" w:cs="Calibri" w:hint="eastAsia"/>
                <w:sz w:val="24"/>
                <w:szCs w:val="24"/>
                <w:lang w:eastAsia="zh-CN"/>
              </w:rPr>
              <w:t>;</w:t>
            </w:r>
            <w:r>
              <w:rPr>
                <w:rFonts w:ascii="Book Antiqua" w:hAnsi="Book Antiqua" w:cs="Calibri"/>
                <w:sz w:val="24"/>
                <w:szCs w:val="24"/>
                <w:lang w:eastAsia="zh-CN"/>
              </w:rPr>
              <w:t xml:space="preserve"> </w:t>
            </w:r>
            <w:r w:rsidRPr="00D96EE7">
              <w:rPr>
                <w:rFonts w:ascii="Book Antiqua" w:hAnsi="Book Antiqua" w:cs="Calibri"/>
                <w:sz w:val="24"/>
                <w:szCs w:val="24"/>
                <w:lang w:eastAsia="zh-CN"/>
              </w:rPr>
              <w:t>LF: Liver fibrosis</w:t>
            </w:r>
            <w:r>
              <w:rPr>
                <w:rFonts w:ascii="Book Antiqua" w:hAnsi="Book Antiqua" w:cs="Calibri" w:hint="eastAsia"/>
                <w:sz w:val="24"/>
                <w:szCs w:val="24"/>
                <w:lang w:eastAsia="zh-CN"/>
              </w:rPr>
              <w:t xml:space="preserve">; </w:t>
            </w:r>
            <w:r w:rsidRPr="00D96EE7">
              <w:rPr>
                <w:rFonts w:ascii="Book Antiqua" w:hAnsi="Book Antiqua" w:cs="Calibri"/>
                <w:sz w:val="24"/>
                <w:szCs w:val="24"/>
                <w:lang w:eastAsia="zh-CN"/>
              </w:rPr>
              <w:t>DC: Decompensated cirrhosis; HCC: Hepatocellular carcinoma; LTX: Liver transplantation.</w:t>
            </w:r>
          </w:p>
          <w:p w:rsidR="00411545" w:rsidRPr="00D96EE7" w:rsidRDefault="00411545" w:rsidP="001339DB">
            <w:pPr>
              <w:adjustRightInd w:val="0"/>
              <w:snapToGrid w:val="0"/>
              <w:spacing w:after="0" w:line="360" w:lineRule="auto"/>
              <w:jc w:val="both"/>
              <w:rPr>
                <w:rFonts w:ascii="Book Antiqua" w:hAnsi="Book Antiqua" w:cs="Calibri"/>
                <w:sz w:val="24"/>
                <w:szCs w:val="24"/>
                <w:lang w:eastAsia="zh-CN"/>
              </w:rPr>
            </w:pPr>
          </w:p>
          <w:p w:rsidR="00411545" w:rsidRPr="001339DB" w:rsidRDefault="00411545" w:rsidP="001339DB">
            <w:pPr>
              <w:adjustRightInd w:val="0"/>
              <w:snapToGrid w:val="0"/>
              <w:spacing w:after="0" w:line="360" w:lineRule="auto"/>
              <w:jc w:val="both"/>
              <w:rPr>
                <w:rFonts w:ascii="Book Antiqua" w:eastAsia="Times New Roman" w:hAnsi="Book Antiqua" w:cs="Calibri"/>
                <w:sz w:val="24"/>
                <w:szCs w:val="24"/>
              </w:rPr>
            </w:pPr>
          </w:p>
        </w:tc>
      </w:tr>
    </w:tbl>
    <w:p w:rsidR="00411545" w:rsidRPr="001339DB" w:rsidRDefault="00411545" w:rsidP="001339DB">
      <w:pPr>
        <w:adjustRightInd w:val="0"/>
        <w:snapToGrid w:val="0"/>
        <w:spacing w:after="0" w:line="360" w:lineRule="auto"/>
        <w:jc w:val="both"/>
        <w:rPr>
          <w:rFonts w:ascii="Book Antiqua" w:hAnsi="Book Antiqua"/>
          <w:b/>
          <w:sz w:val="24"/>
          <w:szCs w:val="24"/>
          <w:u w:val="single"/>
        </w:rPr>
      </w:pPr>
      <w:r w:rsidRPr="001339DB">
        <w:rPr>
          <w:rFonts w:ascii="Book Antiqua" w:hAnsi="Book Antiqua"/>
          <w:b/>
          <w:sz w:val="24"/>
          <w:szCs w:val="24"/>
          <w:u w:val="single"/>
        </w:rPr>
        <w:lastRenderedPageBreak/>
        <w:br w:type="page"/>
      </w:r>
    </w:p>
    <w:p w:rsidR="00411545" w:rsidRPr="00D96EE7" w:rsidRDefault="00411545" w:rsidP="001339DB">
      <w:pPr>
        <w:adjustRightInd w:val="0"/>
        <w:snapToGrid w:val="0"/>
        <w:spacing w:after="0" w:line="360" w:lineRule="auto"/>
        <w:jc w:val="both"/>
        <w:rPr>
          <w:rFonts w:ascii="Book Antiqua" w:eastAsia="Century Gothic" w:hAnsi="Book Antiqua" w:cs="Times New Roman"/>
          <w:b/>
          <w:sz w:val="24"/>
          <w:szCs w:val="24"/>
        </w:rPr>
      </w:pPr>
      <w:r w:rsidRPr="00D96EE7">
        <w:rPr>
          <w:rFonts w:ascii="Book Antiqua" w:eastAsia="Century Gothic" w:hAnsi="Book Antiqua" w:cs="Times New Roman"/>
          <w:b/>
          <w:sz w:val="24"/>
          <w:szCs w:val="24"/>
        </w:rPr>
        <w:lastRenderedPageBreak/>
        <w:t xml:space="preserve">Table 3 Diagnostic accuracy, health outcomes and costs in </w:t>
      </w:r>
      <w:r w:rsidR="00C731E9" w:rsidRPr="00C731E9">
        <w:rPr>
          <w:rFonts w:ascii="Book Antiqua" w:eastAsia="Century Gothic" w:hAnsi="Book Antiqua" w:cs="Times New Roman"/>
          <w:b/>
          <w:sz w:val="24"/>
          <w:szCs w:val="24"/>
        </w:rPr>
        <w:t xml:space="preserve">hepatitis C virus </w:t>
      </w:r>
      <w:r w:rsidRPr="00D96EE7">
        <w:rPr>
          <w:rFonts w:ascii="Book Antiqua" w:eastAsia="Century Gothic" w:hAnsi="Book Antiqua" w:cs="Times New Roman"/>
          <w:b/>
          <w:sz w:val="24"/>
          <w:szCs w:val="24"/>
        </w:rPr>
        <w:t>patients</w:t>
      </w:r>
    </w:p>
    <w:tbl>
      <w:tblPr>
        <w:tblW w:w="7371" w:type="dxa"/>
        <w:tblLook w:val="04A0" w:firstRow="1" w:lastRow="0" w:firstColumn="1" w:lastColumn="0" w:noHBand="0" w:noVBand="1"/>
      </w:tblPr>
      <w:tblGrid>
        <w:gridCol w:w="2977"/>
        <w:gridCol w:w="1111"/>
        <w:gridCol w:w="993"/>
        <w:gridCol w:w="1247"/>
        <w:gridCol w:w="1043"/>
      </w:tblGrid>
      <w:tr w:rsidR="001339DB" w:rsidRPr="00C731E9" w:rsidTr="00C731E9">
        <w:trPr>
          <w:trHeight w:val="300"/>
        </w:trPr>
        <w:tc>
          <w:tcPr>
            <w:tcW w:w="2977" w:type="dxa"/>
            <w:tcBorders>
              <w:top w:val="single" w:sz="4" w:space="0" w:color="auto"/>
              <w:left w:val="nil"/>
              <w:bottom w:val="single" w:sz="4" w:space="0" w:color="auto"/>
              <w:right w:val="nil"/>
            </w:tcBorders>
            <w:shd w:val="clear" w:color="auto" w:fill="auto"/>
            <w:noWrap/>
            <w:vAlign w:val="bottom"/>
          </w:tcPr>
          <w:p w:rsidR="00411545" w:rsidRPr="00C731E9" w:rsidRDefault="00411545" w:rsidP="00D96EE7">
            <w:pPr>
              <w:adjustRightInd w:val="0"/>
              <w:snapToGrid w:val="0"/>
              <w:spacing w:after="0" w:line="360" w:lineRule="auto"/>
              <w:rPr>
                <w:rFonts w:ascii="Book Antiqua" w:eastAsia="Times New Roman" w:hAnsi="Book Antiqua" w:cs="Calibri"/>
                <w:b/>
                <w:bCs/>
                <w:sz w:val="24"/>
                <w:szCs w:val="24"/>
              </w:rPr>
            </w:pPr>
            <w:r w:rsidRPr="00C731E9">
              <w:rPr>
                <w:rFonts w:ascii="Book Antiqua" w:eastAsia="Times New Roman" w:hAnsi="Book Antiqua" w:cs="Calibri"/>
                <w:b/>
                <w:bCs/>
                <w:sz w:val="24"/>
                <w:szCs w:val="24"/>
              </w:rPr>
              <w:t>Diagnostic accuracy (%)</w:t>
            </w:r>
            <w:r w:rsidR="00D96EE7" w:rsidRPr="00C731E9">
              <w:rPr>
                <w:rFonts w:ascii="Book Antiqua" w:eastAsia="Times New Roman" w:hAnsi="Book Antiqua" w:cs="Calibri"/>
                <w:b/>
                <w:bCs/>
                <w:sz w:val="24"/>
                <w:szCs w:val="24"/>
                <w:vertAlign w:val="superscript"/>
              </w:rPr>
              <w:t>1</w:t>
            </w:r>
          </w:p>
        </w:tc>
        <w:tc>
          <w:tcPr>
            <w:tcW w:w="1275" w:type="dxa"/>
            <w:tcBorders>
              <w:top w:val="single" w:sz="4" w:space="0" w:color="auto"/>
              <w:left w:val="nil"/>
              <w:bottom w:val="single" w:sz="4" w:space="0" w:color="auto"/>
              <w:right w:val="nil"/>
            </w:tcBorders>
            <w:vAlign w:val="bottom"/>
          </w:tcPr>
          <w:p w:rsidR="00411545" w:rsidRPr="00C731E9" w:rsidRDefault="00411545" w:rsidP="00D96EE7">
            <w:pPr>
              <w:adjustRightInd w:val="0"/>
              <w:snapToGrid w:val="0"/>
              <w:spacing w:after="0" w:line="360" w:lineRule="auto"/>
              <w:jc w:val="center"/>
              <w:rPr>
                <w:rFonts w:ascii="Book Antiqua" w:eastAsia="Times New Roman" w:hAnsi="Book Antiqua" w:cs="Calibri"/>
                <w:b/>
                <w:bCs/>
                <w:sz w:val="24"/>
                <w:szCs w:val="24"/>
              </w:rPr>
            </w:pPr>
          </w:p>
        </w:tc>
        <w:tc>
          <w:tcPr>
            <w:tcW w:w="993" w:type="dxa"/>
            <w:tcBorders>
              <w:top w:val="single" w:sz="4" w:space="0" w:color="auto"/>
              <w:left w:val="nil"/>
              <w:bottom w:val="single" w:sz="4" w:space="0" w:color="auto"/>
              <w:right w:val="nil"/>
            </w:tcBorders>
            <w:shd w:val="clear" w:color="auto" w:fill="auto"/>
            <w:noWrap/>
            <w:vAlign w:val="bottom"/>
          </w:tcPr>
          <w:p w:rsidR="00411545" w:rsidRPr="00C731E9" w:rsidRDefault="00411545" w:rsidP="00D96EE7">
            <w:pPr>
              <w:adjustRightInd w:val="0"/>
              <w:snapToGrid w:val="0"/>
              <w:spacing w:after="0" w:line="360" w:lineRule="auto"/>
              <w:jc w:val="center"/>
              <w:rPr>
                <w:rFonts w:ascii="Book Antiqua" w:eastAsia="Times New Roman" w:hAnsi="Book Antiqua" w:cs="Calibri"/>
                <w:b/>
                <w:bCs/>
                <w:sz w:val="24"/>
                <w:szCs w:val="24"/>
              </w:rPr>
            </w:pPr>
            <w:r w:rsidRPr="00C731E9">
              <w:rPr>
                <w:rFonts w:ascii="Book Antiqua" w:eastAsia="Times New Roman" w:hAnsi="Book Antiqua" w:cs="Calibri"/>
                <w:b/>
                <w:bCs/>
                <w:sz w:val="24"/>
                <w:szCs w:val="24"/>
              </w:rPr>
              <w:t>Biopsy</w:t>
            </w:r>
          </w:p>
        </w:tc>
        <w:tc>
          <w:tcPr>
            <w:tcW w:w="1134" w:type="dxa"/>
            <w:tcBorders>
              <w:top w:val="single" w:sz="4" w:space="0" w:color="auto"/>
              <w:left w:val="nil"/>
              <w:bottom w:val="single" w:sz="4" w:space="0" w:color="auto"/>
              <w:right w:val="nil"/>
            </w:tcBorders>
            <w:shd w:val="clear" w:color="auto" w:fill="auto"/>
            <w:noWrap/>
            <w:vAlign w:val="bottom"/>
          </w:tcPr>
          <w:p w:rsidR="00411545" w:rsidRPr="00C731E9" w:rsidRDefault="00411545" w:rsidP="00D96EE7">
            <w:pPr>
              <w:adjustRightInd w:val="0"/>
              <w:snapToGrid w:val="0"/>
              <w:spacing w:after="0" w:line="360" w:lineRule="auto"/>
              <w:jc w:val="center"/>
              <w:rPr>
                <w:rFonts w:ascii="Book Antiqua" w:eastAsia="Times New Roman" w:hAnsi="Book Antiqua" w:cs="Calibri"/>
                <w:b/>
                <w:bCs/>
                <w:sz w:val="24"/>
                <w:szCs w:val="24"/>
              </w:rPr>
            </w:pPr>
            <w:r w:rsidRPr="00C731E9">
              <w:rPr>
                <w:rFonts w:ascii="Book Antiqua" w:eastAsia="Times New Roman" w:hAnsi="Book Antiqua" w:cs="Calibri"/>
                <w:b/>
                <w:bCs/>
                <w:sz w:val="24"/>
                <w:szCs w:val="24"/>
              </w:rPr>
              <w:t>ELF/LSM</w:t>
            </w:r>
          </w:p>
        </w:tc>
        <w:tc>
          <w:tcPr>
            <w:tcW w:w="992" w:type="dxa"/>
            <w:tcBorders>
              <w:top w:val="single" w:sz="4" w:space="0" w:color="auto"/>
              <w:left w:val="nil"/>
              <w:bottom w:val="single" w:sz="4" w:space="0" w:color="auto"/>
              <w:right w:val="nil"/>
            </w:tcBorders>
            <w:shd w:val="clear" w:color="auto" w:fill="auto"/>
            <w:noWrap/>
            <w:vAlign w:val="bottom"/>
          </w:tcPr>
          <w:p w:rsidR="00411545" w:rsidRPr="00C731E9" w:rsidRDefault="00411545" w:rsidP="00D96EE7">
            <w:pPr>
              <w:adjustRightInd w:val="0"/>
              <w:snapToGrid w:val="0"/>
              <w:spacing w:after="0" w:line="360" w:lineRule="auto"/>
              <w:jc w:val="center"/>
              <w:rPr>
                <w:rFonts w:ascii="Book Antiqua" w:eastAsia="Times New Roman" w:hAnsi="Book Antiqua" w:cs="Calibri"/>
                <w:b/>
                <w:bCs/>
                <w:sz w:val="24"/>
                <w:szCs w:val="24"/>
              </w:rPr>
            </w:pPr>
            <w:r w:rsidRPr="00C731E9">
              <w:rPr>
                <w:rFonts w:ascii="Book Antiqua" w:eastAsia="Times New Roman" w:hAnsi="Book Antiqua" w:cs="Calibri"/>
                <w:b/>
                <w:bCs/>
                <w:sz w:val="24"/>
                <w:szCs w:val="24"/>
              </w:rPr>
              <w:t>ELF</w:t>
            </w:r>
          </w:p>
        </w:tc>
      </w:tr>
      <w:tr w:rsidR="001339DB" w:rsidRPr="001339DB" w:rsidTr="00C731E9">
        <w:trPr>
          <w:trHeight w:val="300"/>
        </w:trPr>
        <w:tc>
          <w:tcPr>
            <w:tcW w:w="2977" w:type="dxa"/>
            <w:tcBorders>
              <w:top w:val="single" w:sz="4" w:space="0" w:color="auto"/>
              <w:left w:val="nil"/>
              <w:bottom w:val="nil"/>
              <w:right w:val="nil"/>
            </w:tcBorders>
            <w:shd w:val="clear" w:color="auto" w:fill="auto"/>
            <w:noWrap/>
            <w:vAlign w:val="bottom"/>
            <w:hideMark/>
          </w:tcPr>
          <w:p w:rsidR="00411545" w:rsidRPr="00C731E9" w:rsidRDefault="00411545" w:rsidP="00D96EE7">
            <w:pPr>
              <w:adjustRightInd w:val="0"/>
              <w:snapToGrid w:val="0"/>
              <w:spacing w:after="0" w:line="360" w:lineRule="auto"/>
              <w:rPr>
                <w:rFonts w:ascii="Book Antiqua" w:eastAsia="Times New Roman" w:hAnsi="Book Antiqua" w:cs="Calibri"/>
                <w:bCs/>
                <w:sz w:val="24"/>
                <w:szCs w:val="24"/>
              </w:rPr>
            </w:pPr>
            <w:r w:rsidRPr="00C731E9">
              <w:rPr>
                <w:rFonts w:ascii="Book Antiqua" w:eastAsia="Times New Roman" w:hAnsi="Book Antiqua" w:cs="Calibri"/>
                <w:bCs/>
                <w:sz w:val="24"/>
                <w:szCs w:val="24"/>
              </w:rPr>
              <w:t>Liver Fibrosis (F</w:t>
            </w:r>
            <w:r w:rsidR="00D96EE7" w:rsidRPr="00C731E9">
              <w:rPr>
                <w:rFonts w:ascii="Book Antiqua" w:hAnsi="Book Antiqua" w:cs="Calibri" w:hint="eastAsia"/>
                <w:bCs/>
                <w:sz w:val="24"/>
                <w:szCs w:val="24"/>
                <w:lang w:eastAsia="zh-CN"/>
              </w:rPr>
              <w:t xml:space="preserve"> </w:t>
            </w:r>
            <w:r w:rsidRPr="00C731E9">
              <w:rPr>
                <w:rFonts w:ascii="Book Antiqua" w:eastAsia="Times New Roman" w:hAnsi="Book Antiqua" w:cs="Calibri"/>
                <w:bCs/>
                <w:sz w:val="24"/>
                <w:szCs w:val="24"/>
              </w:rPr>
              <w:t>≥</w:t>
            </w:r>
            <w:r w:rsidR="00D96EE7" w:rsidRPr="00C731E9">
              <w:rPr>
                <w:rFonts w:ascii="Book Antiqua" w:hAnsi="Book Antiqua" w:cs="Calibri" w:hint="eastAsia"/>
                <w:bCs/>
                <w:sz w:val="24"/>
                <w:szCs w:val="24"/>
                <w:lang w:eastAsia="zh-CN"/>
              </w:rPr>
              <w:t xml:space="preserve"> </w:t>
            </w:r>
            <w:r w:rsidRPr="00C731E9">
              <w:rPr>
                <w:rFonts w:ascii="Book Antiqua" w:eastAsia="Times New Roman" w:hAnsi="Book Antiqua" w:cs="Calibri"/>
                <w:bCs/>
                <w:sz w:val="24"/>
                <w:szCs w:val="24"/>
              </w:rPr>
              <w:t>2)</w:t>
            </w:r>
          </w:p>
        </w:tc>
        <w:tc>
          <w:tcPr>
            <w:tcW w:w="1275" w:type="dxa"/>
            <w:tcBorders>
              <w:top w:val="single" w:sz="4" w:space="0" w:color="auto"/>
              <w:left w:val="nil"/>
              <w:bottom w:val="nil"/>
              <w:right w:val="nil"/>
            </w:tcBorders>
            <w:vAlign w:val="bottom"/>
          </w:tcPr>
          <w:p w:rsidR="00411545" w:rsidRPr="001339DB" w:rsidRDefault="00411545" w:rsidP="00D96EE7">
            <w:pPr>
              <w:adjustRightInd w:val="0"/>
              <w:snapToGrid w:val="0"/>
              <w:spacing w:after="0" w:line="360" w:lineRule="auto"/>
              <w:jc w:val="center"/>
              <w:rPr>
                <w:rFonts w:ascii="Book Antiqua" w:eastAsia="Times New Roman" w:hAnsi="Book Antiqua" w:cs="Calibri"/>
                <w:b/>
                <w:bCs/>
                <w:sz w:val="24"/>
                <w:szCs w:val="24"/>
              </w:rPr>
            </w:pPr>
          </w:p>
        </w:tc>
        <w:tc>
          <w:tcPr>
            <w:tcW w:w="993" w:type="dxa"/>
            <w:tcBorders>
              <w:top w:val="single" w:sz="4" w:space="0" w:color="auto"/>
              <w:left w:val="nil"/>
              <w:bottom w:val="nil"/>
              <w:right w:val="nil"/>
            </w:tcBorders>
            <w:shd w:val="clear" w:color="auto" w:fill="auto"/>
            <w:noWrap/>
            <w:vAlign w:val="bottom"/>
          </w:tcPr>
          <w:p w:rsidR="00411545" w:rsidRPr="001339DB" w:rsidRDefault="00411545" w:rsidP="00D96EE7">
            <w:pPr>
              <w:adjustRightInd w:val="0"/>
              <w:snapToGrid w:val="0"/>
              <w:spacing w:after="0" w:line="360" w:lineRule="auto"/>
              <w:jc w:val="center"/>
              <w:rPr>
                <w:rFonts w:ascii="Book Antiqua" w:eastAsia="Times New Roman" w:hAnsi="Book Antiqua" w:cs="Calibri"/>
                <w:b/>
                <w:bCs/>
                <w:sz w:val="24"/>
                <w:szCs w:val="24"/>
              </w:rPr>
            </w:pPr>
          </w:p>
        </w:tc>
        <w:tc>
          <w:tcPr>
            <w:tcW w:w="1134" w:type="dxa"/>
            <w:tcBorders>
              <w:top w:val="single" w:sz="4" w:space="0" w:color="auto"/>
              <w:left w:val="nil"/>
              <w:bottom w:val="nil"/>
              <w:right w:val="nil"/>
            </w:tcBorders>
            <w:shd w:val="clear" w:color="auto" w:fill="auto"/>
            <w:noWrap/>
            <w:vAlign w:val="bottom"/>
          </w:tcPr>
          <w:p w:rsidR="00411545" w:rsidRPr="001339DB" w:rsidRDefault="00411545" w:rsidP="00D96EE7">
            <w:pPr>
              <w:adjustRightInd w:val="0"/>
              <w:snapToGrid w:val="0"/>
              <w:spacing w:after="0" w:line="360" w:lineRule="auto"/>
              <w:jc w:val="center"/>
              <w:rPr>
                <w:rFonts w:ascii="Book Antiqua" w:eastAsia="Times New Roman" w:hAnsi="Book Antiqua" w:cs="Calibri"/>
                <w:b/>
                <w:bCs/>
                <w:sz w:val="24"/>
                <w:szCs w:val="24"/>
              </w:rPr>
            </w:pPr>
          </w:p>
        </w:tc>
        <w:tc>
          <w:tcPr>
            <w:tcW w:w="992" w:type="dxa"/>
            <w:tcBorders>
              <w:top w:val="single" w:sz="4" w:space="0" w:color="auto"/>
              <w:left w:val="nil"/>
              <w:bottom w:val="nil"/>
              <w:right w:val="nil"/>
            </w:tcBorders>
            <w:shd w:val="clear" w:color="auto" w:fill="auto"/>
            <w:noWrap/>
            <w:vAlign w:val="bottom"/>
          </w:tcPr>
          <w:p w:rsidR="00411545" w:rsidRPr="001339DB" w:rsidRDefault="00411545" w:rsidP="00D96EE7">
            <w:pPr>
              <w:adjustRightInd w:val="0"/>
              <w:snapToGrid w:val="0"/>
              <w:spacing w:after="0" w:line="360" w:lineRule="auto"/>
              <w:jc w:val="center"/>
              <w:rPr>
                <w:rFonts w:ascii="Book Antiqua" w:eastAsia="Times New Roman" w:hAnsi="Book Antiqua" w:cs="Calibri"/>
                <w:b/>
                <w:bCs/>
                <w:sz w:val="24"/>
                <w:szCs w:val="24"/>
              </w:rPr>
            </w:pPr>
          </w:p>
        </w:tc>
      </w:tr>
      <w:tr w:rsidR="001339DB" w:rsidRPr="001339DB" w:rsidTr="00411545">
        <w:trPr>
          <w:trHeight w:val="300"/>
        </w:trPr>
        <w:tc>
          <w:tcPr>
            <w:tcW w:w="2977" w:type="dxa"/>
            <w:tcBorders>
              <w:top w:val="nil"/>
              <w:left w:val="nil"/>
              <w:bottom w:val="nil"/>
              <w:right w:val="nil"/>
            </w:tcBorders>
            <w:shd w:val="clear" w:color="auto" w:fill="auto"/>
            <w:noWrap/>
            <w:vAlign w:val="bottom"/>
            <w:hideMark/>
          </w:tcPr>
          <w:p w:rsidR="00411545" w:rsidRPr="00C731E9" w:rsidRDefault="00411545" w:rsidP="00D96EE7">
            <w:pPr>
              <w:adjustRightInd w:val="0"/>
              <w:snapToGrid w:val="0"/>
              <w:spacing w:after="0" w:line="360" w:lineRule="auto"/>
              <w:rPr>
                <w:rFonts w:ascii="Book Antiqua" w:eastAsia="Times New Roman" w:hAnsi="Book Antiqua" w:cs="Calibri"/>
                <w:sz w:val="24"/>
                <w:szCs w:val="24"/>
              </w:rPr>
            </w:pPr>
            <w:r w:rsidRPr="00C731E9">
              <w:rPr>
                <w:rFonts w:ascii="Book Antiqua" w:eastAsia="Times New Roman" w:hAnsi="Book Antiqua" w:cs="Calibri"/>
                <w:sz w:val="24"/>
                <w:szCs w:val="24"/>
              </w:rPr>
              <w:t>TP</w:t>
            </w:r>
          </w:p>
        </w:tc>
        <w:tc>
          <w:tcPr>
            <w:tcW w:w="1275" w:type="dxa"/>
            <w:tcBorders>
              <w:top w:val="nil"/>
              <w:left w:val="nil"/>
              <w:bottom w:val="nil"/>
              <w:right w:val="nil"/>
            </w:tcBorders>
            <w:vAlign w:val="bottom"/>
          </w:tcPr>
          <w:p w:rsidR="00411545" w:rsidRPr="001339DB" w:rsidRDefault="00411545" w:rsidP="00D96EE7">
            <w:pPr>
              <w:adjustRightInd w:val="0"/>
              <w:snapToGrid w:val="0"/>
              <w:spacing w:after="0" w:line="360" w:lineRule="auto"/>
              <w:jc w:val="center"/>
              <w:rPr>
                <w:rFonts w:ascii="Book Antiqua" w:eastAsia="Times New Roman" w:hAnsi="Book Antiqua" w:cs="Calibri"/>
                <w:sz w:val="24"/>
                <w:szCs w:val="24"/>
              </w:rPr>
            </w:pPr>
          </w:p>
        </w:tc>
        <w:tc>
          <w:tcPr>
            <w:tcW w:w="993" w:type="dxa"/>
            <w:tcBorders>
              <w:top w:val="nil"/>
              <w:left w:val="nil"/>
              <w:bottom w:val="nil"/>
              <w:right w:val="nil"/>
            </w:tcBorders>
            <w:shd w:val="clear" w:color="auto" w:fill="auto"/>
            <w:noWrap/>
            <w:vAlign w:val="bottom"/>
            <w:hideMark/>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47.7</w:t>
            </w:r>
          </w:p>
        </w:tc>
        <w:tc>
          <w:tcPr>
            <w:tcW w:w="1134" w:type="dxa"/>
            <w:tcBorders>
              <w:top w:val="nil"/>
              <w:left w:val="nil"/>
              <w:bottom w:val="nil"/>
              <w:right w:val="nil"/>
            </w:tcBorders>
            <w:shd w:val="clear" w:color="auto" w:fill="auto"/>
            <w:noWrap/>
            <w:vAlign w:val="bottom"/>
            <w:hideMark/>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37.7</w:t>
            </w:r>
          </w:p>
        </w:tc>
        <w:tc>
          <w:tcPr>
            <w:tcW w:w="992" w:type="dxa"/>
            <w:tcBorders>
              <w:top w:val="nil"/>
              <w:left w:val="nil"/>
              <w:bottom w:val="nil"/>
              <w:right w:val="nil"/>
            </w:tcBorders>
            <w:shd w:val="clear" w:color="auto" w:fill="auto"/>
            <w:noWrap/>
            <w:vAlign w:val="bottom"/>
            <w:hideMark/>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47.7</w:t>
            </w:r>
          </w:p>
        </w:tc>
      </w:tr>
      <w:tr w:rsidR="001339DB" w:rsidRPr="001339DB" w:rsidTr="00411545">
        <w:trPr>
          <w:trHeight w:val="300"/>
        </w:trPr>
        <w:tc>
          <w:tcPr>
            <w:tcW w:w="2977" w:type="dxa"/>
            <w:tcBorders>
              <w:top w:val="nil"/>
              <w:left w:val="nil"/>
              <w:bottom w:val="nil"/>
              <w:right w:val="nil"/>
            </w:tcBorders>
            <w:shd w:val="clear" w:color="auto" w:fill="auto"/>
            <w:noWrap/>
            <w:vAlign w:val="bottom"/>
            <w:hideMark/>
          </w:tcPr>
          <w:p w:rsidR="00411545" w:rsidRPr="00C731E9" w:rsidRDefault="00411545" w:rsidP="00D96EE7">
            <w:pPr>
              <w:adjustRightInd w:val="0"/>
              <w:snapToGrid w:val="0"/>
              <w:spacing w:after="0" w:line="360" w:lineRule="auto"/>
              <w:rPr>
                <w:rFonts w:ascii="Book Antiqua" w:eastAsia="Times New Roman" w:hAnsi="Book Antiqua" w:cs="Calibri"/>
                <w:sz w:val="24"/>
                <w:szCs w:val="24"/>
              </w:rPr>
            </w:pPr>
            <w:r w:rsidRPr="00C731E9">
              <w:rPr>
                <w:rFonts w:ascii="Book Antiqua" w:eastAsia="Times New Roman" w:hAnsi="Book Antiqua" w:cs="Calibri"/>
                <w:sz w:val="24"/>
                <w:szCs w:val="24"/>
              </w:rPr>
              <w:t>FN</w:t>
            </w:r>
          </w:p>
        </w:tc>
        <w:tc>
          <w:tcPr>
            <w:tcW w:w="1275" w:type="dxa"/>
            <w:tcBorders>
              <w:top w:val="nil"/>
              <w:left w:val="nil"/>
              <w:bottom w:val="nil"/>
              <w:right w:val="nil"/>
            </w:tcBorders>
            <w:vAlign w:val="bottom"/>
          </w:tcPr>
          <w:p w:rsidR="00411545" w:rsidRPr="001339DB" w:rsidRDefault="00411545" w:rsidP="00D96EE7">
            <w:pPr>
              <w:adjustRightInd w:val="0"/>
              <w:snapToGrid w:val="0"/>
              <w:spacing w:after="0" w:line="360" w:lineRule="auto"/>
              <w:jc w:val="center"/>
              <w:rPr>
                <w:rFonts w:ascii="Book Antiqua" w:eastAsia="Times New Roman" w:hAnsi="Book Antiqua" w:cs="Calibri"/>
                <w:sz w:val="24"/>
                <w:szCs w:val="24"/>
              </w:rPr>
            </w:pPr>
          </w:p>
        </w:tc>
        <w:tc>
          <w:tcPr>
            <w:tcW w:w="993" w:type="dxa"/>
            <w:tcBorders>
              <w:top w:val="nil"/>
              <w:left w:val="nil"/>
              <w:bottom w:val="nil"/>
              <w:right w:val="nil"/>
            </w:tcBorders>
            <w:shd w:val="clear" w:color="auto" w:fill="auto"/>
            <w:noWrap/>
            <w:vAlign w:val="bottom"/>
            <w:hideMark/>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5.3</w:t>
            </w:r>
          </w:p>
        </w:tc>
        <w:tc>
          <w:tcPr>
            <w:tcW w:w="1134" w:type="dxa"/>
            <w:tcBorders>
              <w:top w:val="nil"/>
              <w:left w:val="nil"/>
              <w:bottom w:val="nil"/>
              <w:right w:val="nil"/>
            </w:tcBorders>
            <w:shd w:val="clear" w:color="auto" w:fill="auto"/>
            <w:noWrap/>
            <w:vAlign w:val="bottom"/>
            <w:hideMark/>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15.3</w:t>
            </w:r>
          </w:p>
        </w:tc>
        <w:tc>
          <w:tcPr>
            <w:tcW w:w="992" w:type="dxa"/>
            <w:tcBorders>
              <w:top w:val="nil"/>
              <w:left w:val="nil"/>
              <w:bottom w:val="nil"/>
              <w:right w:val="nil"/>
            </w:tcBorders>
            <w:shd w:val="clear" w:color="auto" w:fill="auto"/>
            <w:noWrap/>
            <w:vAlign w:val="bottom"/>
            <w:hideMark/>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5.3</w:t>
            </w:r>
          </w:p>
        </w:tc>
      </w:tr>
      <w:tr w:rsidR="001339DB" w:rsidRPr="001339DB" w:rsidTr="00411545">
        <w:trPr>
          <w:trHeight w:val="300"/>
        </w:trPr>
        <w:tc>
          <w:tcPr>
            <w:tcW w:w="2977" w:type="dxa"/>
            <w:tcBorders>
              <w:top w:val="nil"/>
              <w:left w:val="nil"/>
              <w:bottom w:val="nil"/>
              <w:right w:val="nil"/>
            </w:tcBorders>
            <w:shd w:val="clear" w:color="auto" w:fill="auto"/>
            <w:noWrap/>
            <w:vAlign w:val="bottom"/>
            <w:hideMark/>
          </w:tcPr>
          <w:p w:rsidR="00411545" w:rsidRPr="00C731E9" w:rsidRDefault="00411545" w:rsidP="00D96EE7">
            <w:pPr>
              <w:adjustRightInd w:val="0"/>
              <w:snapToGrid w:val="0"/>
              <w:spacing w:after="0" w:line="360" w:lineRule="auto"/>
              <w:rPr>
                <w:rFonts w:ascii="Book Antiqua" w:eastAsia="Times New Roman" w:hAnsi="Book Antiqua" w:cs="Calibri"/>
                <w:sz w:val="24"/>
                <w:szCs w:val="24"/>
              </w:rPr>
            </w:pPr>
            <w:r w:rsidRPr="00C731E9">
              <w:rPr>
                <w:rFonts w:ascii="Book Antiqua" w:eastAsia="Times New Roman" w:hAnsi="Book Antiqua" w:cs="Calibri"/>
                <w:sz w:val="24"/>
                <w:szCs w:val="24"/>
              </w:rPr>
              <w:t>TN</w:t>
            </w:r>
          </w:p>
        </w:tc>
        <w:tc>
          <w:tcPr>
            <w:tcW w:w="1275" w:type="dxa"/>
            <w:tcBorders>
              <w:top w:val="nil"/>
              <w:left w:val="nil"/>
              <w:bottom w:val="nil"/>
              <w:right w:val="nil"/>
            </w:tcBorders>
            <w:vAlign w:val="bottom"/>
          </w:tcPr>
          <w:p w:rsidR="00411545" w:rsidRPr="001339DB" w:rsidRDefault="00411545" w:rsidP="00D96EE7">
            <w:pPr>
              <w:adjustRightInd w:val="0"/>
              <w:snapToGrid w:val="0"/>
              <w:spacing w:after="0" w:line="360" w:lineRule="auto"/>
              <w:jc w:val="center"/>
              <w:rPr>
                <w:rFonts w:ascii="Book Antiqua" w:eastAsia="Times New Roman" w:hAnsi="Book Antiqua" w:cs="Calibri"/>
                <w:sz w:val="24"/>
                <w:szCs w:val="24"/>
              </w:rPr>
            </w:pPr>
          </w:p>
        </w:tc>
        <w:tc>
          <w:tcPr>
            <w:tcW w:w="993" w:type="dxa"/>
            <w:tcBorders>
              <w:top w:val="nil"/>
              <w:left w:val="nil"/>
              <w:bottom w:val="nil"/>
              <w:right w:val="nil"/>
            </w:tcBorders>
            <w:shd w:val="clear" w:color="auto" w:fill="auto"/>
            <w:noWrap/>
            <w:vAlign w:val="bottom"/>
            <w:hideMark/>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42.3</w:t>
            </w:r>
          </w:p>
        </w:tc>
        <w:tc>
          <w:tcPr>
            <w:tcW w:w="1134" w:type="dxa"/>
            <w:tcBorders>
              <w:top w:val="nil"/>
              <w:left w:val="nil"/>
              <w:bottom w:val="nil"/>
              <w:right w:val="nil"/>
            </w:tcBorders>
            <w:shd w:val="clear" w:color="auto" w:fill="auto"/>
            <w:noWrap/>
            <w:vAlign w:val="bottom"/>
            <w:hideMark/>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44.5</w:t>
            </w:r>
          </w:p>
        </w:tc>
        <w:tc>
          <w:tcPr>
            <w:tcW w:w="992" w:type="dxa"/>
            <w:tcBorders>
              <w:top w:val="nil"/>
              <w:left w:val="nil"/>
              <w:bottom w:val="nil"/>
              <w:right w:val="nil"/>
            </w:tcBorders>
            <w:shd w:val="clear" w:color="auto" w:fill="auto"/>
            <w:noWrap/>
            <w:vAlign w:val="bottom"/>
            <w:hideMark/>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24.4</w:t>
            </w:r>
          </w:p>
        </w:tc>
      </w:tr>
      <w:tr w:rsidR="001339DB" w:rsidRPr="001339DB" w:rsidTr="00411545">
        <w:trPr>
          <w:trHeight w:val="300"/>
        </w:trPr>
        <w:tc>
          <w:tcPr>
            <w:tcW w:w="2977" w:type="dxa"/>
            <w:tcBorders>
              <w:top w:val="nil"/>
              <w:left w:val="nil"/>
              <w:bottom w:val="nil"/>
              <w:right w:val="nil"/>
            </w:tcBorders>
            <w:shd w:val="clear" w:color="auto" w:fill="auto"/>
            <w:noWrap/>
            <w:vAlign w:val="bottom"/>
            <w:hideMark/>
          </w:tcPr>
          <w:p w:rsidR="00411545" w:rsidRPr="00C731E9" w:rsidRDefault="00411545" w:rsidP="00D96EE7">
            <w:pPr>
              <w:adjustRightInd w:val="0"/>
              <w:snapToGrid w:val="0"/>
              <w:spacing w:after="0" w:line="360" w:lineRule="auto"/>
              <w:rPr>
                <w:rFonts w:ascii="Book Antiqua" w:eastAsia="Times New Roman" w:hAnsi="Book Antiqua" w:cs="Calibri"/>
                <w:sz w:val="24"/>
                <w:szCs w:val="24"/>
              </w:rPr>
            </w:pPr>
            <w:r w:rsidRPr="00C731E9">
              <w:rPr>
                <w:rFonts w:ascii="Book Antiqua" w:eastAsia="Times New Roman" w:hAnsi="Book Antiqua" w:cs="Calibri"/>
                <w:sz w:val="24"/>
                <w:szCs w:val="24"/>
              </w:rPr>
              <w:t>FP</w:t>
            </w:r>
          </w:p>
        </w:tc>
        <w:tc>
          <w:tcPr>
            <w:tcW w:w="1275" w:type="dxa"/>
            <w:tcBorders>
              <w:top w:val="nil"/>
              <w:left w:val="nil"/>
              <w:bottom w:val="nil"/>
              <w:right w:val="nil"/>
            </w:tcBorders>
            <w:vAlign w:val="bottom"/>
          </w:tcPr>
          <w:p w:rsidR="00411545" w:rsidRPr="001339DB" w:rsidRDefault="00411545" w:rsidP="00D96EE7">
            <w:pPr>
              <w:adjustRightInd w:val="0"/>
              <w:snapToGrid w:val="0"/>
              <w:spacing w:after="0" w:line="360" w:lineRule="auto"/>
              <w:jc w:val="center"/>
              <w:rPr>
                <w:rFonts w:ascii="Book Antiqua" w:eastAsia="Times New Roman" w:hAnsi="Book Antiqua" w:cs="Calibri"/>
                <w:sz w:val="24"/>
                <w:szCs w:val="24"/>
              </w:rPr>
            </w:pPr>
          </w:p>
        </w:tc>
        <w:tc>
          <w:tcPr>
            <w:tcW w:w="993" w:type="dxa"/>
            <w:tcBorders>
              <w:top w:val="nil"/>
              <w:left w:val="nil"/>
              <w:bottom w:val="nil"/>
              <w:right w:val="nil"/>
            </w:tcBorders>
            <w:shd w:val="clear" w:color="auto" w:fill="auto"/>
            <w:noWrap/>
            <w:vAlign w:val="bottom"/>
            <w:hideMark/>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4.7</w:t>
            </w:r>
          </w:p>
        </w:tc>
        <w:tc>
          <w:tcPr>
            <w:tcW w:w="1134" w:type="dxa"/>
            <w:tcBorders>
              <w:top w:val="nil"/>
              <w:left w:val="nil"/>
              <w:bottom w:val="nil"/>
              <w:right w:val="nil"/>
            </w:tcBorders>
            <w:shd w:val="clear" w:color="auto" w:fill="auto"/>
            <w:noWrap/>
            <w:vAlign w:val="bottom"/>
            <w:hideMark/>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2.5</w:t>
            </w:r>
          </w:p>
        </w:tc>
        <w:tc>
          <w:tcPr>
            <w:tcW w:w="992" w:type="dxa"/>
            <w:tcBorders>
              <w:top w:val="nil"/>
              <w:left w:val="nil"/>
              <w:bottom w:val="nil"/>
              <w:right w:val="nil"/>
            </w:tcBorders>
            <w:shd w:val="clear" w:color="auto" w:fill="auto"/>
            <w:noWrap/>
            <w:vAlign w:val="bottom"/>
            <w:hideMark/>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22.6</w:t>
            </w:r>
          </w:p>
        </w:tc>
      </w:tr>
      <w:tr w:rsidR="001339DB" w:rsidRPr="001339DB" w:rsidTr="00411545">
        <w:trPr>
          <w:trHeight w:val="300"/>
        </w:trPr>
        <w:tc>
          <w:tcPr>
            <w:tcW w:w="2977" w:type="dxa"/>
            <w:tcBorders>
              <w:top w:val="nil"/>
              <w:left w:val="nil"/>
              <w:bottom w:val="nil"/>
              <w:right w:val="nil"/>
            </w:tcBorders>
            <w:shd w:val="clear" w:color="auto" w:fill="auto"/>
            <w:noWrap/>
            <w:vAlign w:val="bottom"/>
            <w:hideMark/>
          </w:tcPr>
          <w:p w:rsidR="00411545" w:rsidRPr="00C731E9" w:rsidRDefault="00411545" w:rsidP="00D96EE7">
            <w:pPr>
              <w:adjustRightInd w:val="0"/>
              <w:snapToGrid w:val="0"/>
              <w:spacing w:after="0" w:line="360" w:lineRule="auto"/>
              <w:rPr>
                <w:rFonts w:ascii="Book Antiqua" w:eastAsia="Times New Roman" w:hAnsi="Book Antiqua" w:cs="Calibri"/>
                <w:bCs/>
                <w:sz w:val="24"/>
                <w:szCs w:val="24"/>
              </w:rPr>
            </w:pPr>
            <w:r w:rsidRPr="00C731E9">
              <w:rPr>
                <w:rFonts w:ascii="Book Antiqua" w:eastAsia="Times New Roman" w:hAnsi="Book Antiqua" w:cs="Calibri"/>
                <w:bCs/>
                <w:sz w:val="24"/>
                <w:szCs w:val="24"/>
              </w:rPr>
              <w:t>Cirrhosis (F4)</w:t>
            </w:r>
          </w:p>
        </w:tc>
        <w:tc>
          <w:tcPr>
            <w:tcW w:w="1275" w:type="dxa"/>
            <w:tcBorders>
              <w:top w:val="nil"/>
              <w:left w:val="nil"/>
              <w:bottom w:val="nil"/>
              <w:right w:val="nil"/>
            </w:tcBorders>
            <w:vAlign w:val="bottom"/>
          </w:tcPr>
          <w:p w:rsidR="00411545" w:rsidRPr="001339DB" w:rsidRDefault="00411545" w:rsidP="00D96EE7">
            <w:pPr>
              <w:adjustRightInd w:val="0"/>
              <w:snapToGrid w:val="0"/>
              <w:spacing w:after="0" w:line="360" w:lineRule="auto"/>
              <w:jc w:val="center"/>
              <w:rPr>
                <w:rFonts w:ascii="Book Antiqua" w:eastAsia="Times New Roman" w:hAnsi="Book Antiqua" w:cs="Calibri"/>
                <w:b/>
                <w:bCs/>
                <w:sz w:val="24"/>
                <w:szCs w:val="24"/>
              </w:rPr>
            </w:pPr>
          </w:p>
        </w:tc>
        <w:tc>
          <w:tcPr>
            <w:tcW w:w="993" w:type="dxa"/>
            <w:tcBorders>
              <w:top w:val="nil"/>
              <w:left w:val="nil"/>
              <w:bottom w:val="nil"/>
              <w:right w:val="nil"/>
            </w:tcBorders>
            <w:shd w:val="clear" w:color="auto" w:fill="auto"/>
            <w:noWrap/>
            <w:vAlign w:val="bottom"/>
          </w:tcPr>
          <w:p w:rsidR="00411545" w:rsidRPr="001339DB" w:rsidRDefault="00411545" w:rsidP="00D96EE7">
            <w:pPr>
              <w:adjustRightInd w:val="0"/>
              <w:snapToGrid w:val="0"/>
              <w:spacing w:after="0" w:line="360" w:lineRule="auto"/>
              <w:jc w:val="center"/>
              <w:rPr>
                <w:rFonts w:ascii="Book Antiqua" w:eastAsia="Times New Roman" w:hAnsi="Book Antiqua" w:cs="Calibri"/>
                <w:b/>
                <w:bCs/>
                <w:sz w:val="24"/>
                <w:szCs w:val="24"/>
              </w:rPr>
            </w:pPr>
          </w:p>
        </w:tc>
        <w:tc>
          <w:tcPr>
            <w:tcW w:w="1134" w:type="dxa"/>
            <w:tcBorders>
              <w:top w:val="nil"/>
              <w:left w:val="nil"/>
              <w:bottom w:val="nil"/>
              <w:right w:val="nil"/>
            </w:tcBorders>
            <w:shd w:val="clear" w:color="auto" w:fill="auto"/>
            <w:noWrap/>
            <w:vAlign w:val="bottom"/>
          </w:tcPr>
          <w:p w:rsidR="00411545" w:rsidRPr="001339DB" w:rsidRDefault="00411545" w:rsidP="00D96EE7">
            <w:pPr>
              <w:adjustRightInd w:val="0"/>
              <w:snapToGrid w:val="0"/>
              <w:spacing w:after="0" w:line="360" w:lineRule="auto"/>
              <w:jc w:val="center"/>
              <w:rPr>
                <w:rFonts w:ascii="Book Antiqua" w:eastAsia="Times New Roman" w:hAnsi="Book Antiqua" w:cs="Calibri"/>
                <w:b/>
                <w:bCs/>
                <w:sz w:val="24"/>
                <w:szCs w:val="24"/>
              </w:rPr>
            </w:pPr>
          </w:p>
        </w:tc>
        <w:tc>
          <w:tcPr>
            <w:tcW w:w="992" w:type="dxa"/>
            <w:tcBorders>
              <w:top w:val="nil"/>
              <w:left w:val="nil"/>
              <w:bottom w:val="nil"/>
              <w:right w:val="nil"/>
            </w:tcBorders>
            <w:shd w:val="clear" w:color="auto" w:fill="auto"/>
            <w:noWrap/>
            <w:vAlign w:val="bottom"/>
          </w:tcPr>
          <w:p w:rsidR="00411545" w:rsidRPr="001339DB" w:rsidRDefault="00411545" w:rsidP="00D96EE7">
            <w:pPr>
              <w:adjustRightInd w:val="0"/>
              <w:snapToGrid w:val="0"/>
              <w:spacing w:after="0" w:line="360" w:lineRule="auto"/>
              <w:jc w:val="center"/>
              <w:rPr>
                <w:rFonts w:ascii="Book Antiqua" w:eastAsia="Times New Roman" w:hAnsi="Book Antiqua" w:cs="Calibri"/>
                <w:b/>
                <w:bCs/>
                <w:sz w:val="24"/>
                <w:szCs w:val="24"/>
              </w:rPr>
            </w:pPr>
          </w:p>
        </w:tc>
      </w:tr>
      <w:tr w:rsidR="001339DB" w:rsidRPr="001339DB" w:rsidTr="00411545">
        <w:trPr>
          <w:trHeight w:val="300"/>
        </w:trPr>
        <w:tc>
          <w:tcPr>
            <w:tcW w:w="2977" w:type="dxa"/>
            <w:tcBorders>
              <w:top w:val="nil"/>
              <w:left w:val="nil"/>
              <w:bottom w:val="nil"/>
              <w:right w:val="nil"/>
            </w:tcBorders>
            <w:shd w:val="clear" w:color="auto" w:fill="auto"/>
            <w:noWrap/>
            <w:vAlign w:val="bottom"/>
            <w:hideMark/>
          </w:tcPr>
          <w:p w:rsidR="00411545" w:rsidRPr="00C731E9" w:rsidRDefault="00411545" w:rsidP="00D96EE7">
            <w:pPr>
              <w:adjustRightInd w:val="0"/>
              <w:snapToGrid w:val="0"/>
              <w:spacing w:after="0" w:line="360" w:lineRule="auto"/>
              <w:rPr>
                <w:rFonts w:ascii="Book Antiqua" w:eastAsia="Times New Roman" w:hAnsi="Book Antiqua" w:cs="Calibri"/>
                <w:sz w:val="24"/>
                <w:szCs w:val="24"/>
              </w:rPr>
            </w:pPr>
            <w:r w:rsidRPr="00C731E9">
              <w:rPr>
                <w:rFonts w:ascii="Book Antiqua" w:eastAsia="Times New Roman" w:hAnsi="Book Antiqua" w:cs="Calibri"/>
                <w:sz w:val="24"/>
                <w:szCs w:val="24"/>
              </w:rPr>
              <w:t>TP</w:t>
            </w:r>
          </w:p>
        </w:tc>
        <w:tc>
          <w:tcPr>
            <w:tcW w:w="1275" w:type="dxa"/>
            <w:tcBorders>
              <w:top w:val="nil"/>
              <w:left w:val="nil"/>
              <w:bottom w:val="nil"/>
              <w:right w:val="nil"/>
            </w:tcBorders>
            <w:vAlign w:val="bottom"/>
          </w:tcPr>
          <w:p w:rsidR="00411545" w:rsidRPr="001339DB" w:rsidRDefault="00411545" w:rsidP="00D96EE7">
            <w:pPr>
              <w:adjustRightInd w:val="0"/>
              <w:snapToGrid w:val="0"/>
              <w:spacing w:after="0" w:line="360" w:lineRule="auto"/>
              <w:jc w:val="center"/>
              <w:rPr>
                <w:rFonts w:ascii="Book Antiqua" w:eastAsia="Times New Roman" w:hAnsi="Book Antiqua" w:cs="Calibri"/>
                <w:sz w:val="24"/>
                <w:szCs w:val="24"/>
              </w:rPr>
            </w:pPr>
          </w:p>
        </w:tc>
        <w:tc>
          <w:tcPr>
            <w:tcW w:w="993" w:type="dxa"/>
            <w:tcBorders>
              <w:top w:val="nil"/>
              <w:left w:val="nil"/>
              <w:bottom w:val="nil"/>
              <w:right w:val="nil"/>
            </w:tcBorders>
            <w:shd w:val="clear" w:color="auto" w:fill="auto"/>
            <w:noWrap/>
            <w:vAlign w:val="bottom"/>
            <w:hideMark/>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18.1</w:t>
            </w:r>
          </w:p>
        </w:tc>
        <w:tc>
          <w:tcPr>
            <w:tcW w:w="1134" w:type="dxa"/>
            <w:tcBorders>
              <w:top w:val="nil"/>
              <w:left w:val="nil"/>
              <w:bottom w:val="nil"/>
              <w:right w:val="nil"/>
            </w:tcBorders>
            <w:shd w:val="clear" w:color="auto" w:fill="auto"/>
            <w:noWrap/>
            <w:vAlign w:val="bottom"/>
            <w:hideMark/>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15.2</w:t>
            </w:r>
          </w:p>
        </w:tc>
        <w:tc>
          <w:tcPr>
            <w:tcW w:w="992" w:type="dxa"/>
            <w:tcBorders>
              <w:top w:val="nil"/>
              <w:left w:val="nil"/>
              <w:bottom w:val="nil"/>
              <w:right w:val="nil"/>
            </w:tcBorders>
            <w:shd w:val="clear" w:color="auto" w:fill="auto"/>
            <w:noWrap/>
            <w:vAlign w:val="bottom"/>
            <w:hideMark/>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18.1</w:t>
            </w:r>
          </w:p>
        </w:tc>
      </w:tr>
      <w:tr w:rsidR="001339DB" w:rsidRPr="001339DB" w:rsidTr="00411545">
        <w:trPr>
          <w:trHeight w:val="300"/>
        </w:trPr>
        <w:tc>
          <w:tcPr>
            <w:tcW w:w="2977" w:type="dxa"/>
            <w:tcBorders>
              <w:top w:val="nil"/>
              <w:left w:val="nil"/>
              <w:bottom w:val="nil"/>
              <w:right w:val="nil"/>
            </w:tcBorders>
            <w:shd w:val="clear" w:color="auto" w:fill="auto"/>
            <w:noWrap/>
            <w:vAlign w:val="bottom"/>
            <w:hideMark/>
          </w:tcPr>
          <w:p w:rsidR="00411545" w:rsidRPr="00C731E9" w:rsidRDefault="00411545" w:rsidP="00D96EE7">
            <w:pPr>
              <w:adjustRightInd w:val="0"/>
              <w:snapToGrid w:val="0"/>
              <w:spacing w:after="0" w:line="360" w:lineRule="auto"/>
              <w:rPr>
                <w:rFonts w:ascii="Book Antiqua" w:eastAsia="Times New Roman" w:hAnsi="Book Antiqua" w:cs="Calibri"/>
                <w:sz w:val="24"/>
                <w:szCs w:val="24"/>
              </w:rPr>
            </w:pPr>
            <w:r w:rsidRPr="00C731E9">
              <w:rPr>
                <w:rFonts w:ascii="Book Antiqua" w:eastAsia="Times New Roman" w:hAnsi="Book Antiqua" w:cs="Calibri"/>
                <w:sz w:val="24"/>
                <w:szCs w:val="24"/>
              </w:rPr>
              <w:t>FN</w:t>
            </w:r>
          </w:p>
        </w:tc>
        <w:tc>
          <w:tcPr>
            <w:tcW w:w="1275" w:type="dxa"/>
            <w:tcBorders>
              <w:top w:val="nil"/>
              <w:left w:val="nil"/>
              <w:bottom w:val="nil"/>
              <w:right w:val="nil"/>
            </w:tcBorders>
            <w:vAlign w:val="bottom"/>
          </w:tcPr>
          <w:p w:rsidR="00411545" w:rsidRPr="001339DB" w:rsidRDefault="00411545" w:rsidP="00D96EE7">
            <w:pPr>
              <w:adjustRightInd w:val="0"/>
              <w:snapToGrid w:val="0"/>
              <w:spacing w:after="0" w:line="360" w:lineRule="auto"/>
              <w:jc w:val="center"/>
              <w:rPr>
                <w:rFonts w:ascii="Book Antiqua" w:eastAsia="Times New Roman" w:hAnsi="Book Antiqua" w:cs="Calibri"/>
                <w:sz w:val="24"/>
                <w:szCs w:val="24"/>
              </w:rPr>
            </w:pPr>
          </w:p>
        </w:tc>
        <w:tc>
          <w:tcPr>
            <w:tcW w:w="993" w:type="dxa"/>
            <w:tcBorders>
              <w:top w:val="nil"/>
              <w:left w:val="nil"/>
              <w:bottom w:val="nil"/>
              <w:right w:val="nil"/>
            </w:tcBorders>
            <w:shd w:val="clear" w:color="auto" w:fill="auto"/>
            <w:noWrap/>
            <w:vAlign w:val="bottom"/>
            <w:hideMark/>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2.0</w:t>
            </w:r>
          </w:p>
        </w:tc>
        <w:tc>
          <w:tcPr>
            <w:tcW w:w="1134" w:type="dxa"/>
            <w:tcBorders>
              <w:top w:val="nil"/>
              <w:left w:val="nil"/>
              <w:bottom w:val="nil"/>
              <w:right w:val="nil"/>
            </w:tcBorders>
            <w:shd w:val="clear" w:color="auto" w:fill="auto"/>
            <w:noWrap/>
            <w:vAlign w:val="bottom"/>
            <w:hideMark/>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4.9</w:t>
            </w:r>
          </w:p>
        </w:tc>
        <w:tc>
          <w:tcPr>
            <w:tcW w:w="992" w:type="dxa"/>
            <w:tcBorders>
              <w:top w:val="nil"/>
              <w:left w:val="nil"/>
              <w:bottom w:val="nil"/>
              <w:right w:val="nil"/>
            </w:tcBorders>
            <w:shd w:val="clear" w:color="auto" w:fill="auto"/>
            <w:noWrap/>
            <w:vAlign w:val="bottom"/>
            <w:hideMark/>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2.0</w:t>
            </w:r>
          </w:p>
        </w:tc>
      </w:tr>
      <w:tr w:rsidR="001339DB" w:rsidRPr="001339DB" w:rsidTr="00411545">
        <w:trPr>
          <w:trHeight w:val="300"/>
        </w:trPr>
        <w:tc>
          <w:tcPr>
            <w:tcW w:w="2977" w:type="dxa"/>
            <w:tcBorders>
              <w:top w:val="nil"/>
              <w:left w:val="nil"/>
              <w:bottom w:val="nil"/>
              <w:right w:val="nil"/>
            </w:tcBorders>
            <w:shd w:val="clear" w:color="auto" w:fill="auto"/>
            <w:noWrap/>
            <w:vAlign w:val="bottom"/>
            <w:hideMark/>
          </w:tcPr>
          <w:p w:rsidR="00411545" w:rsidRPr="00C731E9" w:rsidRDefault="00411545" w:rsidP="00D96EE7">
            <w:pPr>
              <w:adjustRightInd w:val="0"/>
              <w:snapToGrid w:val="0"/>
              <w:spacing w:after="0" w:line="360" w:lineRule="auto"/>
              <w:rPr>
                <w:rFonts w:ascii="Book Antiqua" w:eastAsia="Times New Roman" w:hAnsi="Book Antiqua" w:cs="Calibri"/>
                <w:sz w:val="24"/>
                <w:szCs w:val="24"/>
              </w:rPr>
            </w:pPr>
            <w:r w:rsidRPr="00C731E9">
              <w:rPr>
                <w:rFonts w:ascii="Book Antiqua" w:eastAsia="Times New Roman" w:hAnsi="Book Antiqua" w:cs="Calibri"/>
                <w:sz w:val="24"/>
                <w:szCs w:val="24"/>
              </w:rPr>
              <w:t>TN</w:t>
            </w:r>
          </w:p>
        </w:tc>
        <w:tc>
          <w:tcPr>
            <w:tcW w:w="1275" w:type="dxa"/>
            <w:tcBorders>
              <w:top w:val="nil"/>
              <w:left w:val="nil"/>
              <w:bottom w:val="nil"/>
              <w:right w:val="nil"/>
            </w:tcBorders>
            <w:vAlign w:val="bottom"/>
          </w:tcPr>
          <w:p w:rsidR="00411545" w:rsidRPr="001339DB" w:rsidRDefault="00411545" w:rsidP="00D96EE7">
            <w:pPr>
              <w:adjustRightInd w:val="0"/>
              <w:snapToGrid w:val="0"/>
              <w:spacing w:after="0" w:line="360" w:lineRule="auto"/>
              <w:jc w:val="center"/>
              <w:rPr>
                <w:rFonts w:ascii="Book Antiqua" w:eastAsia="Times New Roman" w:hAnsi="Book Antiqua" w:cs="Calibri"/>
                <w:sz w:val="24"/>
                <w:szCs w:val="24"/>
              </w:rPr>
            </w:pPr>
          </w:p>
        </w:tc>
        <w:tc>
          <w:tcPr>
            <w:tcW w:w="993" w:type="dxa"/>
            <w:tcBorders>
              <w:top w:val="nil"/>
              <w:left w:val="nil"/>
              <w:bottom w:val="nil"/>
              <w:right w:val="nil"/>
            </w:tcBorders>
            <w:shd w:val="clear" w:color="auto" w:fill="auto"/>
            <w:noWrap/>
            <w:vAlign w:val="bottom"/>
            <w:hideMark/>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71.9</w:t>
            </w:r>
          </w:p>
        </w:tc>
        <w:tc>
          <w:tcPr>
            <w:tcW w:w="1134" w:type="dxa"/>
            <w:tcBorders>
              <w:top w:val="nil"/>
              <w:left w:val="nil"/>
              <w:bottom w:val="nil"/>
              <w:right w:val="nil"/>
            </w:tcBorders>
            <w:shd w:val="clear" w:color="auto" w:fill="auto"/>
            <w:noWrap/>
            <w:vAlign w:val="bottom"/>
            <w:hideMark/>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71.2</w:t>
            </w:r>
          </w:p>
        </w:tc>
        <w:tc>
          <w:tcPr>
            <w:tcW w:w="992" w:type="dxa"/>
            <w:tcBorders>
              <w:top w:val="nil"/>
              <w:left w:val="nil"/>
              <w:bottom w:val="nil"/>
              <w:right w:val="nil"/>
            </w:tcBorders>
            <w:shd w:val="clear" w:color="auto" w:fill="auto"/>
            <w:noWrap/>
            <w:vAlign w:val="bottom"/>
            <w:hideMark/>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42.3</w:t>
            </w:r>
          </w:p>
        </w:tc>
      </w:tr>
      <w:tr w:rsidR="001339DB" w:rsidRPr="001339DB" w:rsidTr="00C731E9">
        <w:trPr>
          <w:trHeight w:val="300"/>
        </w:trPr>
        <w:tc>
          <w:tcPr>
            <w:tcW w:w="2977" w:type="dxa"/>
            <w:tcBorders>
              <w:top w:val="nil"/>
              <w:left w:val="nil"/>
              <w:bottom w:val="single" w:sz="4" w:space="0" w:color="auto"/>
              <w:right w:val="nil"/>
            </w:tcBorders>
            <w:shd w:val="clear" w:color="auto" w:fill="auto"/>
            <w:noWrap/>
            <w:vAlign w:val="bottom"/>
            <w:hideMark/>
          </w:tcPr>
          <w:p w:rsidR="00411545" w:rsidRPr="00C731E9" w:rsidRDefault="00411545" w:rsidP="00D96EE7">
            <w:pPr>
              <w:adjustRightInd w:val="0"/>
              <w:snapToGrid w:val="0"/>
              <w:spacing w:after="0" w:line="360" w:lineRule="auto"/>
              <w:rPr>
                <w:rFonts w:ascii="Book Antiqua" w:eastAsia="Times New Roman" w:hAnsi="Book Antiqua" w:cs="Calibri"/>
                <w:sz w:val="24"/>
                <w:szCs w:val="24"/>
              </w:rPr>
            </w:pPr>
            <w:r w:rsidRPr="00C731E9">
              <w:rPr>
                <w:rFonts w:ascii="Book Antiqua" w:eastAsia="Times New Roman" w:hAnsi="Book Antiqua" w:cs="Calibri"/>
                <w:sz w:val="24"/>
                <w:szCs w:val="24"/>
              </w:rPr>
              <w:t>FP</w:t>
            </w:r>
          </w:p>
        </w:tc>
        <w:tc>
          <w:tcPr>
            <w:tcW w:w="1275" w:type="dxa"/>
            <w:tcBorders>
              <w:top w:val="nil"/>
              <w:left w:val="nil"/>
              <w:bottom w:val="single" w:sz="4" w:space="0" w:color="auto"/>
              <w:right w:val="nil"/>
            </w:tcBorders>
            <w:vAlign w:val="bottom"/>
          </w:tcPr>
          <w:p w:rsidR="00411545" w:rsidRPr="001339DB" w:rsidRDefault="00411545" w:rsidP="00D96EE7">
            <w:pPr>
              <w:adjustRightInd w:val="0"/>
              <w:snapToGrid w:val="0"/>
              <w:spacing w:after="0" w:line="360" w:lineRule="auto"/>
              <w:jc w:val="center"/>
              <w:rPr>
                <w:rFonts w:ascii="Book Antiqua" w:eastAsia="Times New Roman" w:hAnsi="Book Antiqua" w:cs="Calibri"/>
                <w:sz w:val="24"/>
                <w:szCs w:val="24"/>
              </w:rPr>
            </w:pPr>
          </w:p>
        </w:tc>
        <w:tc>
          <w:tcPr>
            <w:tcW w:w="993" w:type="dxa"/>
            <w:tcBorders>
              <w:top w:val="nil"/>
              <w:left w:val="nil"/>
              <w:bottom w:val="single" w:sz="4" w:space="0" w:color="auto"/>
              <w:right w:val="nil"/>
            </w:tcBorders>
            <w:shd w:val="clear" w:color="auto" w:fill="auto"/>
            <w:noWrap/>
            <w:vAlign w:val="bottom"/>
            <w:hideMark/>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8.0</w:t>
            </w:r>
          </w:p>
        </w:tc>
        <w:tc>
          <w:tcPr>
            <w:tcW w:w="1134" w:type="dxa"/>
            <w:tcBorders>
              <w:top w:val="nil"/>
              <w:left w:val="nil"/>
              <w:bottom w:val="single" w:sz="4" w:space="0" w:color="auto"/>
              <w:right w:val="nil"/>
            </w:tcBorders>
            <w:shd w:val="clear" w:color="auto" w:fill="auto"/>
            <w:noWrap/>
            <w:vAlign w:val="bottom"/>
            <w:hideMark/>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8.6</w:t>
            </w:r>
          </w:p>
        </w:tc>
        <w:tc>
          <w:tcPr>
            <w:tcW w:w="992" w:type="dxa"/>
            <w:tcBorders>
              <w:top w:val="nil"/>
              <w:left w:val="nil"/>
              <w:bottom w:val="single" w:sz="4" w:space="0" w:color="auto"/>
              <w:right w:val="nil"/>
            </w:tcBorders>
            <w:shd w:val="clear" w:color="auto" w:fill="auto"/>
            <w:noWrap/>
            <w:vAlign w:val="bottom"/>
            <w:hideMark/>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37.5</w:t>
            </w:r>
          </w:p>
        </w:tc>
      </w:tr>
      <w:tr w:rsidR="001339DB" w:rsidRPr="00C731E9" w:rsidTr="00C731E9">
        <w:trPr>
          <w:trHeight w:val="300"/>
        </w:trPr>
        <w:tc>
          <w:tcPr>
            <w:tcW w:w="2977" w:type="dxa"/>
            <w:tcBorders>
              <w:top w:val="single" w:sz="4" w:space="0" w:color="auto"/>
              <w:left w:val="nil"/>
              <w:bottom w:val="single" w:sz="4" w:space="0" w:color="auto"/>
              <w:right w:val="nil"/>
            </w:tcBorders>
            <w:shd w:val="clear" w:color="auto" w:fill="auto"/>
            <w:noWrap/>
            <w:vAlign w:val="bottom"/>
          </w:tcPr>
          <w:p w:rsidR="00411545" w:rsidRPr="00C731E9" w:rsidRDefault="00411545" w:rsidP="00D96EE7">
            <w:pPr>
              <w:adjustRightInd w:val="0"/>
              <w:snapToGrid w:val="0"/>
              <w:spacing w:after="0" w:line="360" w:lineRule="auto"/>
              <w:rPr>
                <w:rFonts w:ascii="Book Antiqua" w:eastAsia="Times New Roman" w:hAnsi="Book Antiqua" w:cs="Calibri"/>
                <w:b/>
                <w:sz w:val="24"/>
                <w:szCs w:val="24"/>
              </w:rPr>
            </w:pPr>
            <w:r w:rsidRPr="00C731E9">
              <w:rPr>
                <w:rFonts w:ascii="Book Antiqua" w:eastAsia="Times New Roman" w:hAnsi="Book Antiqua" w:cs="Calibri"/>
                <w:b/>
                <w:sz w:val="24"/>
                <w:szCs w:val="24"/>
              </w:rPr>
              <w:t>Frequency of events (%)</w:t>
            </w:r>
          </w:p>
        </w:tc>
        <w:tc>
          <w:tcPr>
            <w:tcW w:w="1275" w:type="dxa"/>
            <w:tcBorders>
              <w:top w:val="single" w:sz="4" w:space="0" w:color="auto"/>
              <w:left w:val="nil"/>
              <w:bottom w:val="single" w:sz="4" w:space="0" w:color="auto"/>
              <w:right w:val="nil"/>
            </w:tcBorders>
            <w:vAlign w:val="bottom"/>
          </w:tcPr>
          <w:p w:rsidR="00411545" w:rsidRPr="00C731E9" w:rsidRDefault="00411545" w:rsidP="00D96EE7">
            <w:pPr>
              <w:adjustRightInd w:val="0"/>
              <w:snapToGrid w:val="0"/>
              <w:spacing w:after="0" w:line="360" w:lineRule="auto"/>
              <w:jc w:val="center"/>
              <w:rPr>
                <w:rFonts w:ascii="Book Antiqua" w:eastAsia="Times New Roman" w:hAnsi="Book Antiqua" w:cs="Calibri"/>
                <w:b/>
                <w:bCs/>
                <w:sz w:val="24"/>
                <w:szCs w:val="24"/>
              </w:rPr>
            </w:pPr>
            <w:r w:rsidRPr="00C731E9">
              <w:rPr>
                <w:rFonts w:ascii="Book Antiqua" w:eastAsia="Times New Roman" w:hAnsi="Book Antiqua" w:cs="Calibri"/>
                <w:b/>
                <w:bCs/>
                <w:sz w:val="24"/>
                <w:szCs w:val="24"/>
              </w:rPr>
              <w:t>No testing</w:t>
            </w:r>
          </w:p>
        </w:tc>
        <w:tc>
          <w:tcPr>
            <w:tcW w:w="993" w:type="dxa"/>
            <w:tcBorders>
              <w:top w:val="single" w:sz="4" w:space="0" w:color="auto"/>
              <w:left w:val="nil"/>
              <w:bottom w:val="single" w:sz="4" w:space="0" w:color="auto"/>
              <w:right w:val="nil"/>
            </w:tcBorders>
            <w:shd w:val="clear" w:color="auto" w:fill="auto"/>
            <w:noWrap/>
            <w:vAlign w:val="bottom"/>
          </w:tcPr>
          <w:p w:rsidR="00411545" w:rsidRPr="00C731E9" w:rsidRDefault="00411545" w:rsidP="00D96EE7">
            <w:pPr>
              <w:adjustRightInd w:val="0"/>
              <w:snapToGrid w:val="0"/>
              <w:spacing w:after="0" w:line="360" w:lineRule="auto"/>
              <w:jc w:val="center"/>
              <w:rPr>
                <w:rFonts w:ascii="Book Antiqua" w:eastAsia="Times New Roman" w:hAnsi="Book Antiqua" w:cs="Calibri"/>
                <w:b/>
                <w:bCs/>
                <w:sz w:val="24"/>
                <w:szCs w:val="24"/>
              </w:rPr>
            </w:pPr>
            <w:r w:rsidRPr="00C731E9">
              <w:rPr>
                <w:rFonts w:ascii="Book Antiqua" w:eastAsia="Times New Roman" w:hAnsi="Book Antiqua" w:cs="Calibri"/>
                <w:b/>
                <w:bCs/>
                <w:sz w:val="24"/>
                <w:szCs w:val="24"/>
              </w:rPr>
              <w:t>Single</w:t>
            </w:r>
          </w:p>
          <w:p w:rsidR="00411545" w:rsidRPr="00C731E9" w:rsidRDefault="00411545" w:rsidP="00D96EE7">
            <w:pPr>
              <w:adjustRightInd w:val="0"/>
              <w:snapToGrid w:val="0"/>
              <w:spacing w:after="0" w:line="360" w:lineRule="auto"/>
              <w:jc w:val="center"/>
              <w:rPr>
                <w:rFonts w:ascii="Book Antiqua" w:eastAsia="Times New Roman" w:hAnsi="Book Antiqua" w:cs="Calibri"/>
                <w:b/>
                <w:bCs/>
                <w:sz w:val="24"/>
                <w:szCs w:val="24"/>
              </w:rPr>
            </w:pPr>
            <w:r w:rsidRPr="00C731E9">
              <w:rPr>
                <w:rFonts w:ascii="Book Antiqua" w:eastAsia="Times New Roman" w:hAnsi="Book Antiqua" w:cs="Calibri"/>
                <w:b/>
                <w:bCs/>
                <w:sz w:val="24"/>
                <w:szCs w:val="24"/>
              </w:rPr>
              <w:t>Biopsy</w:t>
            </w:r>
          </w:p>
        </w:tc>
        <w:tc>
          <w:tcPr>
            <w:tcW w:w="1134" w:type="dxa"/>
            <w:tcBorders>
              <w:top w:val="single" w:sz="4" w:space="0" w:color="auto"/>
              <w:left w:val="nil"/>
              <w:bottom w:val="single" w:sz="4" w:space="0" w:color="auto"/>
              <w:right w:val="nil"/>
            </w:tcBorders>
            <w:shd w:val="clear" w:color="auto" w:fill="auto"/>
            <w:noWrap/>
            <w:vAlign w:val="bottom"/>
          </w:tcPr>
          <w:p w:rsidR="00411545" w:rsidRPr="00C731E9" w:rsidRDefault="00411545" w:rsidP="00D96EE7">
            <w:pPr>
              <w:adjustRightInd w:val="0"/>
              <w:snapToGrid w:val="0"/>
              <w:spacing w:after="0" w:line="360" w:lineRule="auto"/>
              <w:jc w:val="center"/>
              <w:rPr>
                <w:rFonts w:ascii="Book Antiqua" w:eastAsia="Times New Roman" w:hAnsi="Book Antiqua" w:cs="Calibri"/>
                <w:b/>
                <w:bCs/>
                <w:sz w:val="24"/>
                <w:szCs w:val="24"/>
              </w:rPr>
            </w:pPr>
            <w:r w:rsidRPr="00C731E9">
              <w:rPr>
                <w:rFonts w:ascii="Book Antiqua" w:eastAsia="Times New Roman" w:hAnsi="Book Antiqua" w:cs="Calibri"/>
                <w:b/>
                <w:bCs/>
                <w:sz w:val="24"/>
                <w:szCs w:val="24"/>
              </w:rPr>
              <w:t>Annual</w:t>
            </w:r>
          </w:p>
          <w:p w:rsidR="00411545" w:rsidRPr="00C731E9" w:rsidRDefault="00411545" w:rsidP="00D96EE7">
            <w:pPr>
              <w:adjustRightInd w:val="0"/>
              <w:snapToGrid w:val="0"/>
              <w:spacing w:after="0" w:line="360" w:lineRule="auto"/>
              <w:jc w:val="center"/>
              <w:rPr>
                <w:rFonts w:ascii="Book Antiqua" w:eastAsia="Times New Roman" w:hAnsi="Book Antiqua" w:cs="Calibri"/>
                <w:b/>
                <w:bCs/>
                <w:sz w:val="24"/>
                <w:szCs w:val="24"/>
              </w:rPr>
            </w:pPr>
            <w:r w:rsidRPr="00C731E9">
              <w:rPr>
                <w:rFonts w:ascii="Book Antiqua" w:eastAsia="Times New Roman" w:hAnsi="Book Antiqua" w:cs="Calibri"/>
                <w:b/>
                <w:bCs/>
                <w:sz w:val="24"/>
                <w:szCs w:val="24"/>
              </w:rPr>
              <w:t>ELF/LSM</w:t>
            </w:r>
          </w:p>
        </w:tc>
        <w:tc>
          <w:tcPr>
            <w:tcW w:w="992" w:type="dxa"/>
            <w:tcBorders>
              <w:top w:val="single" w:sz="4" w:space="0" w:color="auto"/>
              <w:left w:val="nil"/>
              <w:bottom w:val="single" w:sz="4" w:space="0" w:color="auto"/>
              <w:right w:val="nil"/>
            </w:tcBorders>
            <w:shd w:val="clear" w:color="auto" w:fill="auto"/>
            <w:noWrap/>
            <w:vAlign w:val="bottom"/>
          </w:tcPr>
          <w:p w:rsidR="00411545" w:rsidRPr="00C731E9" w:rsidRDefault="00411545" w:rsidP="00D96EE7">
            <w:pPr>
              <w:adjustRightInd w:val="0"/>
              <w:snapToGrid w:val="0"/>
              <w:spacing w:after="0" w:line="360" w:lineRule="auto"/>
              <w:jc w:val="center"/>
              <w:rPr>
                <w:rFonts w:ascii="Book Antiqua" w:eastAsia="Times New Roman" w:hAnsi="Book Antiqua" w:cs="Calibri"/>
                <w:b/>
                <w:bCs/>
                <w:sz w:val="24"/>
                <w:szCs w:val="24"/>
              </w:rPr>
            </w:pPr>
            <w:r w:rsidRPr="00C731E9">
              <w:rPr>
                <w:rFonts w:ascii="Book Antiqua" w:eastAsia="Times New Roman" w:hAnsi="Book Antiqua" w:cs="Calibri"/>
                <w:b/>
                <w:bCs/>
                <w:sz w:val="24"/>
                <w:szCs w:val="24"/>
              </w:rPr>
              <w:t>Annual</w:t>
            </w:r>
          </w:p>
          <w:p w:rsidR="00411545" w:rsidRPr="00C731E9" w:rsidRDefault="00411545" w:rsidP="00D96EE7">
            <w:pPr>
              <w:adjustRightInd w:val="0"/>
              <w:snapToGrid w:val="0"/>
              <w:spacing w:after="0" w:line="360" w:lineRule="auto"/>
              <w:jc w:val="center"/>
              <w:rPr>
                <w:rFonts w:ascii="Book Antiqua" w:eastAsia="Times New Roman" w:hAnsi="Book Antiqua" w:cs="Calibri"/>
                <w:b/>
                <w:bCs/>
                <w:sz w:val="24"/>
                <w:szCs w:val="24"/>
              </w:rPr>
            </w:pPr>
            <w:r w:rsidRPr="00C731E9">
              <w:rPr>
                <w:rFonts w:ascii="Book Antiqua" w:eastAsia="Times New Roman" w:hAnsi="Book Antiqua" w:cs="Calibri"/>
                <w:b/>
                <w:bCs/>
                <w:sz w:val="24"/>
                <w:szCs w:val="24"/>
              </w:rPr>
              <w:t>ELF</w:t>
            </w:r>
          </w:p>
        </w:tc>
      </w:tr>
      <w:tr w:rsidR="001339DB" w:rsidRPr="001339DB" w:rsidTr="00C731E9">
        <w:trPr>
          <w:trHeight w:val="300"/>
        </w:trPr>
        <w:tc>
          <w:tcPr>
            <w:tcW w:w="2977" w:type="dxa"/>
            <w:tcBorders>
              <w:top w:val="single" w:sz="4" w:space="0" w:color="auto"/>
              <w:left w:val="nil"/>
              <w:bottom w:val="nil"/>
              <w:right w:val="nil"/>
            </w:tcBorders>
            <w:shd w:val="clear" w:color="auto" w:fill="auto"/>
            <w:noWrap/>
            <w:vAlign w:val="bottom"/>
          </w:tcPr>
          <w:p w:rsidR="00411545" w:rsidRPr="00C731E9" w:rsidRDefault="00411545" w:rsidP="00D96EE7">
            <w:pPr>
              <w:adjustRightInd w:val="0"/>
              <w:snapToGrid w:val="0"/>
              <w:spacing w:after="0" w:line="360" w:lineRule="auto"/>
              <w:rPr>
                <w:rFonts w:ascii="Book Antiqua" w:eastAsia="Times New Roman" w:hAnsi="Book Antiqua" w:cs="Calibri"/>
                <w:sz w:val="24"/>
                <w:szCs w:val="24"/>
              </w:rPr>
            </w:pPr>
            <w:r w:rsidRPr="00C731E9">
              <w:rPr>
                <w:rFonts w:ascii="Book Antiqua" w:eastAsia="Times New Roman" w:hAnsi="Book Antiqua" w:cs="Calibri"/>
                <w:sz w:val="24"/>
                <w:szCs w:val="24"/>
              </w:rPr>
              <w:t>Compensated cirrhosis (new cases)</w:t>
            </w:r>
          </w:p>
        </w:tc>
        <w:tc>
          <w:tcPr>
            <w:tcW w:w="1275" w:type="dxa"/>
            <w:tcBorders>
              <w:top w:val="single" w:sz="4" w:space="0" w:color="auto"/>
              <w:left w:val="nil"/>
              <w:bottom w:val="nil"/>
              <w:right w:val="nil"/>
            </w:tcBorders>
            <w:vAlign w:val="bottom"/>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40.4</w:t>
            </w:r>
          </w:p>
        </w:tc>
        <w:tc>
          <w:tcPr>
            <w:tcW w:w="993" w:type="dxa"/>
            <w:tcBorders>
              <w:top w:val="single" w:sz="4" w:space="0" w:color="auto"/>
              <w:left w:val="nil"/>
              <w:bottom w:val="nil"/>
              <w:right w:val="nil"/>
            </w:tcBorders>
            <w:shd w:val="clear" w:color="auto" w:fill="auto"/>
            <w:noWrap/>
            <w:vAlign w:val="bottom"/>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16.8</w:t>
            </w:r>
          </w:p>
        </w:tc>
        <w:tc>
          <w:tcPr>
            <w:tcW w:w="1134" w:type="dxa"/>
            <w:tcBorders>
              <w:top w:val="single" w:sz="4" w:space="0" w:color="auto"/>
              <w:left w:val="nil"/>
              <w:bottom w:val="nil"/>
              <w:right w:val="nil"/>
            </w:tcBorders>
            <w:shd w:val="clear" w:color="auto" w:fill="auto"/>
            <w:noWrap/>
            <w:vAlign w:val="bottom"/>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0.9</w:t>
            </w:r>
          </w:p>
        </w:tc>
        <w:tc>
          <w:tcPr>
            <w:tcW w:w="992" w:type="dxa"/>
            <w:tcBorders>
              <w:top w:val="single" w:sz="4" w:space="0" w:color="auto"/>
              <w:left w:val="nil"/>
              <w:bottom w:val="nil"/>
              <w:right w:val="nil"/>
            </w:tcBorders>
            <w:shd w:val="clear" w:color="auto" w:fill="auto"/>
            <w:noWrap/>
            <w:vAlign w:val="bottom"/>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0.2</w:t>
            </w:r>
          </w:p>
        </w:tc>
      </w:tr>
      <w:tr w:rsidR="001339DB" w:rsidRPr="001339DB" w:rsidTr="00411545">
        <w:trPr>
          <w:trHeight w:val="300"/>
        </w:trPr>
        <w:tc>
          <w:tcPr>
            <w:tcW w:w="2977" w:type="dxa"/>
            <w:tcBorders>
              <w:top w:val="nil"/>
              <w:left w:val="nil"/>
              <w:bottom w:val="nil"/>
              <w:right w:val="nil"/>
            </w:tcBorders>
            <w:shd w:val="clear" w:color="auto" w:fill="auto"/>
            <w:noWrap/>
            <w:vAlign w:val="bottom"/>
          </w:tcPr>
          <w:p w:rsidR="00411545" w:rsidRPr="00C731E9" w:rsidRDefault="00411545" w:rsidP="00D96EE7">
            <w:pPr>
              <w:adjustRightInd w:val="0"/>
              <w:snapToGrid w:val="0"/>
              <w:spacing w:after="0" w:line="360" w:lineRule="auto"/>
              <w:rPr>
                <w:rFonts w:ascii="Book Antiqua" w:eastAsia="Times New Roman" w:hAnsi="Book Antiqua" w:cs="Calibri"/>
                <w:sz w:val="24"/>
                <w:szCs w:val="24"/>
              </w:rPr>
            </w:pPr>
            <w:r w:rsidRPr="00C731E9">
              <w:rPr>
                <w:rFonts w:ascii="Book Antiqua" w:eastAsia="Times New Roman" w:hAnsi="Book Antiqua" w:cs="Calibri"/>
                <w:sz w:val="24"/>
                <w:szCs w:val="24"/>
              </w:rPr>
              <w:t>Decompensated cirrhosis</w:t>
            </w:r>
          </w:p>
        </w:tc>
        <w:tc>
          <w:tcPr>
            <w:tcW w:w="1275" w:type="dxa"/>
            <w:tcBorders>
              <w:top w:val="nil"/>
              <w:left w:val="nil"/>
              <w:bottom w:val="nil"/>
              <w:right w:val="nil"/>
            </w:tcBorders>
            <w:vAlign w:val="bottom"/>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24.7</w:t>
            </w:r>
          </w:p>
        </w:tc>
        <w:tc>
          <w:tcPr>
            <w:tcW w:w="993" w:type="dxa"/>
            <w:tcBorders>
              <w:top w:val="nil"/>
              <w:left w:val="nil"/>
              <w:bottom w:val="nil"/>
              <w:right w:val="nil"/>
            </w:tcBorders>
            <w:shd w:val="clear" w:color="auto" w:fill="auto"/>
            <w:noWrap/>
            <w:vAlign w:val="bottom"/>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7.0</w:t>
            </w:r>
          </w:p>
        </w:tc>
        <w:tc>
          <w:tcPr>
            <w:tcW w:w="1134" w:type="dxa"/>
            <w:tcBorders>
              <w:top w:val="nil"/>
              <w:left w:val="nil"/>
              <w:bottom w:val="nil"/>
              <w:right w:val="nil"/>
            </w:tcBorders>
            <w:shd w:val="clear" w:color="auto" w:fill="auto"/>
            <w:noWrap/>
            <w:vAlign w:val="bottom"/>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0.3</w:t>
            </w:r>
          </w:p>
        </w:tc>
        <w:tc>
          <w:tcPr>
            <w:tcW w:w="992" w:type="dxa"/>
            <w:tcBorders>
              <w:top w:val="nil"/>
              <w:left w:val="nil"/>
              <w:bottom w:val="nil"/>
              <w:right w:val="nil"/>
            </w:tcBorders>
            <w:shd w:val="clear" w:color="auto" w:fill="auto"/>
            <w:noWrap/>
            <w:vAlign w:val="bottom"/>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0.1</w:t>
            </w:r>
          </w:p>
        </w:tc>
      </w:tr>
      <w:tr w:rsidR="001339DB" w:rsidRPr="001339DB" w:rsidTr="00411545">
        <w:trPr>
          <w:trHeight w:val="300"/>
        </w:trPr>
        <w:tc>
          <w:tcPr>
            <w:tcW w:w="2977" w:type="dxa"/>
            <w:tcBorders>
              <w:top w:val="nil"/>
              <w:left w:val="nil"/>
              <w:right w:val="nil"/>
            </w:tcBorders>
            <w:shd w:val="clear" w:color="auto" w:fill="auto"/>
            <w:noWrap/>
            <w:vAlign w:val="bottom"/>
          </w:tcPr>
          <w:p w:rsidR="00411545" w:rsidRPr="00C731E9" w:rsidRDefault="00411545" w:rsidP="00D96EE7">
            <w:pPr>
              <w:adjustRightInd w:val="0"/>
              <w:snapToGrid w:val="0"/>
              <w:spacing w:after="0" w:line="360" w:lineRule="auto"/>
              <w:rPr>
                <w:rFonts w:ascii="Book Antiqua" w:eastAsia="Times New Roman" w:hAnsi="Book Antiqua" w:cs="Calibri"/>
                <w:sz w:val="24"/>
                <w:szCs w:val="24"/>
              </w:rPr>
            </w:pPr>
            <w:r w:rsidRPr="00C731E9">
              <w:rPr>
                <w:rFonts w:ascii="Book Antiqua" w:eastAsia="Times New Roman" w:hAnsi="Book Antiqua" w:cs="Calibri"/>
                <w:sz w:val="24"/>
                <w:szCs w:val="24"/>
              </w:rPr>
              <w:t>Hepatocellular carcinoma</w:t>
            </w:r>
          </w:p>
        </w:tc>
        <w:tc>
          <w:tcPr>
            <w:tcW w:w="1275" w:type="dxa"/>
            <w:tcBorders>
              <w:top w:val="nil"/>
              <w:left w:val="nil"/>
              <w:right w:val="nil"/>
            </w:tcBorders>
            <w:vAlign w:val="bottom"/>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25.6</w:t>
            </w:r>
          </w:p>
        </w:tc>
        <w:tc>
          <w:tcPr>
            <w:tcW w:w="993" w:type="dxa"/>
            <w:tcBorders>
              <w:top w:val="nil"/>
              <w:left w:val="nil"/>
              <w:right w:val="nil"/>
            </w:tcBorders>
            <w:shd w:val="clear" w:color="auto" w:fill="auto"/>
            <w:noWrap/>
            <w:vAlign w:val="bottom"/>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7.2</w:t>
            </w:r>
          </w:p>
        </w:tc>
        <w:tc>
          <w:tcPr>
            <w:tcW w:w="1134" w:type="dxa"/>
            <w:tcBorders>
              <w:top w:val="nil"/>
              <w:left w:val="nil"/>
              <w:right w:val="nil"/>
            </w:tcBorders>
            <w:shd w:val="clear" w:color="auto" w:fill="auto"/>
            <w:noWrap/>
            <w:vAlign w:val="bottom"/>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0.3</w:t>
            </w:r>
          </w:p>
        </w:tc>
        <w:tc>
          <w:tcPr>
            <w:tcW w:w="992" w:type="dxa"/>
            <w:tcBorders>
              <w:top w:val="nil"/>
              <w:left w:val="nil"/>
              <w:right w:val="nil"/>
            </w:tcBorders>
            <w:shd w:val="clear" w:color="auto" w:fill="auto"/>
            <w:noWrap/>
            <w:vAlign w:val="bottom"/>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0.1</w:t>
            </w:r>
          </w:p>
        </w:tc>
      </w:tr>
      <w:tr w:rsidR="001339DB" w:rsidRPr="001339DB" w:rsidTr="00C731E9">
        <w:trPr>
          <w:trHeight w:val="300"/>
        </w:trPr>
        <w:tc>
          <w:tcPr>
            <w:tcW w:w="2977" w:type="dxa"/>
            <w:tcBorders>
              <w:top w:val="nil"/>
              <w:left w:val="nil"/>
              <w:bottom w:val="single" w:sz="4" w:space="0" w:color="auto"/>
              <w:right w:val="nil"/>
            </w:tcBorders>
            <w:shd w:val="clear" w:color="auto" w:fill="auto"/>
            <w:noWrap/>
            <w:vAlign w:val="bottom"/>
          </w:tcPr>
          <w:p w:rsidR="00411545" w:rsidRPr="00C731E9" w:rsidRDefault="00411545" w:rsidP="00D96EE7">
            <w:pPr>
              <w:adjustRightInd w:val="0"/>
              <w:snapToGrid w:val="0"/>
              <w:spacing w:after="0" w:line="360" w:lineRule="auto"/>
              <w:rPr>
                <w:rFonts w:ascii="Book Antiqua" w:eastAsia="Times New Roman" w:hAnsi="Book Antiqua" w:cs="Calibri"/>
                <w:sz w:val="24"/>
                <w:szCs w:val="24"/>
              </w:rPr>
            </w:pPr>
            <w:r w:rsidRPr="00C731E9">
              <w:rPr>
                <w:rFonts w:ascii="Book Antiqua" w:eastAsia="Times New Roman" w:hAnsi="Book Antiqua" w:cs="Calibri"/>
                <w:sz w:val="24"/>
                <w:szCs w:val="24"/>
              </w:rPr>
              <w:t>Fibrosis-related death</w:t>
            </w:r>
          </w:p>
        </w:tc>
        <w:tc>
          <w:tcPr>
            <w:tcW w:w="1275" w:type="dxa"/>
            <w:tcBorders>
              <w:top w:val="nil"/>
              <w:left w:val="nil"/>
              <w:bottom w:val="single" w:sz="4" w:space="0" w:color="auto"/>
              <w:right w:val="nil"/>
            </w:tcBorders>
            <w:vAlign w:val="bottom"/>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47.9</w:t>
            </w:r>
          </w:p>
        </w:tc>
        <w:tc>
          <w:tcPr>
            <w:tcW w:w="993" w:type="dxa"/>
            <w:tcBorders>
              <w:top w:val="nil"/>
              <w:left w:val="nil"/>
              <w:bottom w:val="single" w:sz="4" w:space="0" w:color="auto"/>
              <w:right w:val="nil"/>
            </w:tcBorders>
            <w:shd w:val="clear" w:color="auto" w:fill="auto"/>
            <w:noWrap/>
            <w:vAlign w:val="bottom"/>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13.5</w:t>
            </w:r>
          </w:p>
        </w:tc>
        <w:tc>
          <w:tcPr>
            <w:tcW w:w="1134" w:type="dxa"/>
            <w:tcBorders>
              <w:top w:val="nil"/>
              <w:left w:val="nil"/>
              <w:bottom w:val="single" w:sz="4" w:space="0" w:color="auto"/>
              <w:right w:val="nil"/>
            </w:tcBorders>
            <w:shd w:val="clear" w:color="auto" w:fill="auto"/>
            <w:noWrap/>
            <w:vAlign w:val="bottom"/>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0.6</w:t>
            </w:r>
          </w:p>
        </w:tc>
        <w:tc>
          <w:tcPr>
            <w:tcW w:w="992" w:type="dxa"/>
            <w:tcBorders>
              <w:top w:val="nil"/>
              <w:left w:val="nil"/>
              <w:bottom w:val="single" w:sz="4" w:space="0" w:color="auto"/>
              <w:right w:val="nil"/>
            </w:tcBorders>
            <w:shd w:val="clear" w:color="auto" w:fill="auto"/>
            <w:noWrap/>
            <w:vAlign w:val="bottom"/>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0.2</w:t>
            </w:r>
          </w:p>
        </w:tc>
      </w:tr>
      <w:tr w:rsidR="001339DB" w:rsidRPr="00C731E9" w:rsidTr="00C731E9">
        <w:trPr>
          <w:trHeight w:val="300"/>
        </w:trPr>
        <w:tc>
          <w:tcPr>
            <w:tcW w:w="2977" w:type="dxa"/>
            <w:tcBorders>
              <w:top w:val="single" w:sz="4" w:space="0" w:color="auto"/>
              <w:left w:val="nil"/>
              <w:bottom w:val="single" w:sz="4" w:space="0" w:color="auto"/>
              <w:right w:val="nil"/>
            </w:tcBorders>
            <w:shd w:val="clear" w:color="auto" w:fill="auto"/>
            <w:noWrap/>
            <w:vAlign w:val="bottom"/>
          </w:tcPr>
          <w:p w:rsidR="00411545" w:rsidRPr="00C731E9" w:rsidRDefault="00411545" w:rsidP="00D96EE7">
            <w:pPr>
              <w:adjustRightInd w:val="0"/>
              <w:snapToGrid w:val="0"/>
              <w:spacing w:after="0" w:line="360" w:lineRule="auto"/>
              <w:rPr>
                <w:rFonts w:ascii="Book Antiqua" w:eastAsia="Times New Roman" w:hAnsi="Book Antiqua" w:cs="Calibri"/>
                <w:b/>
                <w:sz w:val="24"/>
                <w:szCs w:val="24"/>
              </w:rPr>
            </w:pPr>
            <w:r w:rsidRPr="00C731E9">
              <w:rPr>
                <w:rFonts w:ascii="Book Antiqua" w:eastAsia="Times New Roman" w:hAnsi="Book Antiqua" w:cs="Calibri"/>
                <w:b/>
                <w:sz w:val="24"/>
                <w:szCs w:val="24"/>
              </w:rPr>
              <w:t>QALYs, Costs and ICER</w:t>
            </w:r>
          </w:p>
        </w:tc>
        <w:tc>
          <w:tcPr>
            <w:tcW w:w="1275" w:type="dxa"/>
            <w:tcBorders>
              <w:top w:val="single" w:sz="4" w:space="0" w:color="auto"/>
              <w:left w:val="nil"/>
              <w:bottom w:val="single" w:sz="4" w:space="0" w:color="auto"/>
              <w:right w:val="nil"/>
            </w:tcBorders>
            <w:vAlign w:val="bottom"/>
          </w:tcPr>
          <w:p w:rsidR="00411545" w:rsidRPr="00C731E9" w:rsidRDefault="00411545" w:rsidP="00D96EE7">
            <w:pPr>
              <w:adjustRightInd w:val="0"/>
              <w:snapToGrid w:val="0"/>
              <w:spacing w:after="0" w:line="360" w:lineRule="auto"/>
              <w:jc w:val="center"/>
              <w:rPr>
                <w:rFonts w:ascii="Book Antiqua" w:eastAsia="Times New Roman" w:hAnsi="Book Antiqua" w:cs="Calibri"/>
                <w:b/>
                <w:bCs/>
                <w:sz w:val="24"/>
                <w:szCs w:val="24"/>
              </w:rPr>
            </w:pPr>
            <w:r w:rsidRPr="00C731E9">
              <w:rPr>
                <w:rFonts w:ascii="Book Antiqua" w:eastAsia="Times New Roman" w:hAnsi="Book Antiqua" w:cs="Calibri"/>
                <w:b/>
                <w:bCs/>
                <w:sz w:val="24"/>
                <w:szCs w:val="24"/>
              </w:rPr>
              <w:t>No testing</w:t>
            </w:r>
          </w:p>
        </w:tc>
        <w:tc>
          <w:tcPr>
            <w:tcW w:w="993" w:type="dxa"/>
            <w:tcBorders>
              <w:top w:val="single" w:sz="4" w:space="0" w:color="auto"/>
              <w:left w:val="nil"/>
              <w:bottom w:val="single" w:sz="4" w:space="0" w:color="auto"/>
              <w:right w:val="nil"/>
            </w:tcBorders>
            <w:shd w:val="clear" w:color="auto" w:fill="auto"/>
            <w:noWrap/>
            <w:vAlign w:val="bottom"/>
          </w:tcPr>
          <w:p w:rsidR="00411545" w:rsidRPr="00C731E9" w:rsidRDefault="00411545" w:rsidP="00D96EE7">
            <w:pPr>
              <w:adjustRightInd w:val="0"/>
              <w:snapToGrid w:val="0"/>
              <w:spacing w:after="0" w:line="360" w:lineRule="auto"/>
              <w:jc w:val="center"/>
              <w:rPr>
                <w:rFonts w:ascii="Book Antiqua" w:eastAsia="Times New Roman" w:hAnsi="Book Antiqua" w:cs="Calibri"/>
                <w:b/>
                <w:bCs/>
                <w:sz w:val="24"/>
                <w:szCs w:val="24"/>
              </w:rPr>
            </w:pPr>
            <w:r w:rsidRPr="00C731E9">
              <w:rPr>
                <w:rFonts w:ascii="Book Antiqua" w:eastAsia="Times New Roman" w:hAnsi="Book Antiqua" w:cs="Calibri"/>
                <w:b/>
                <w:bCs/>
                <w:sz w:val="24"/>
                <w:szCs w:val="24"/>
              </w:rPr>
              <w:t>Single</w:t>
            </w:r>
          </w:p>
          <w:p w:rsidR="00411545" w:rsidRPr="00C731E9" w:rsidRDefault="00411545" w:rsidP="00D96EE7">
            <w:pPr>
              <w:adjustRightInd w:val="0"/>
              <w:snapToGrid w:val="0"/>
              <w:spacing w:after="0" w:line="360" w:lineRule="auto"/>
              <w:jc w:val="center"/>
              <w:rPr>
                <w:rFonts w:ascii="Book Antiqua" w:eastAsia="Times New Roman" w:hAnsi="Book Antiqua" w:cs="Calibri"/>
                <w:b/>
                <w:bCs/>
                <w:sz w:val="24"/>
                <w:szCs w:val="24"/>
              </w:rPr>
            </w:pPr>
            <w:r w:rsidRPr="00C731E9">
              <w:rPr>
                <w:rFonts w:ascii="Book Antiqua" w:eastAsia="Times New Roman" w:hAnsi="Book Antiqua" w:cs="Calibri"/>
                <w:b/>
                <w:bCs/>
                <w:sz w:val="24"/>
                <w:szCs w:val="24"/>
              </w:rPr>
              <w:t>Biopsy</w:t>
            </w:r>
          </w:p>
        </w:tc>
        <w:tc>
          <w:tcPr>
            <w:tcW w:w="1134" w:type="dxa"/>
            <w:tcBorders>
              <w:top w:val="single" w:sz="4" w:space="0" w:color="auto"/>
              <w:left w:val="nil"/>
              <w:bottom w:val="single" w:sz="4" w:space="0" w:color="auto"/>
              <w:right w:val="nil"/>
            </w:tcBorders>
            <w:shd w:val="clear" w:color="auto" w:fill="auto"/>
            <w:noWrap/>
            <w:vAlign w:val="bottom"/>
          </w:tcPr>
          <w:p w:rsidR="00411545" w:rsidRPr="00C731E9" w:rsidRDefault="00411545" w:rsidP="00D96EE7">
            <w:pPr>
              <w:adjustRightInd w:val="0"/>
              <w:snapToGrid w:val="0"/>
              <w:spacing w:after="0" w:line="360" w:lineRule="auto"/>
              <w:jc w:val="center"/>
              <w:rPr>
                <w:rFonts w:ascii="Book Antiqua" w:eastAsia="Times New Roman" w:hAnsi="Book Antiqua" w:cs="Calibri"/>
                <w:b/>
                <w:bCs/>
                <w:sz w:val="24"/>
                <w:szCs w:val="24"/>
              </w:rPr>
            </w:pPr>
            <w:r w:rsidRPr="00C731E9">
              <w:rPr>
                <w:rFonts w:ascii="Book Antiqua" w:eastAsia="Times New Roman" w:hAnsi="Book Antiqua" w:cs="Calibri"/>
                <w:b/>
                <w:bCs/>
                <w:sz w:val="24"/>
                <w:szCs w:val="24"/>
              </w:rPr>
              <w:t>Annual</w:t>
            </w:r>
          </w:p>
          <w:p w:rsidR="00411545" w:rsidRPr="00C731E9" w:rsidRDefault="00411545" w:rsidP="00D96EE7">
            <w:pPr>
              <w:adjustRightInd w:val="0"/>
              <w:snapToGrid w:val="0"/>
              <w:spacing w:after="0" w:line="360" w:lineRule="auto"/>
              <w:jc w:val="center"/>
              <w:rPr>
                <w:rFonts w:ascii="Book Antiqua" w:eastAsia="Times New Roman" w:hAnsi="Book Antiqua" w:cs="Calibri"/>
                <w:b/>
                <w:bCs/>
                <w:sz w:val="24"/>
                <w:szCs w:val="24"/>
              </w:rPr>
            </w:pPr>
            <w:r w:rsidRPr="00C731E9">
              <w:rPr>
                <w:rFonts w:ascii="Book Antiqua" w:eastAsia="Times New Roman" w:hAnsi="Book Antiqua" w:cs="Calibri"/>
                <w:b/>
                <w:bCs/>
                <w:sz w:val="24"/>
                <w:szCs w:val="24"/>
              </w:rPr>
              <w:t>ELF/LSM</w:t>
            </w:r>
          </w:p>
        </w:tc>
        <w:tc>
          <w:tcPr>
            <w:tcW w:w="992" w:type="dxa"/>
            <w:tcBorders>
              <w:top w:val="single" w:sz="4" w:space="0" w:color="auto"/>
              <w:left w:val="nil"/>
              <w:bottom w:val="single" w:sz="4" w:space="0" w:color="auto"/>
              <w:right w:val="nil"/>
            </w:tcBorders>
            <w:shd w:val="clear" w:color="auto" w:fill="auto"/>
            <w:noWrap/>
            <w:vAlign w:val="bottom"/>
          </w:tcPr>
          <w:p w:rsidR="00411545" w:rsidRPr="00C731E9" w:rsidRDefault="00411545" w:rsidP="00D96EE7">
            <w:pPr>
              <w:adjustRightInd w:val="0"/>
              <w:snapToGrid w:val="0"/>
              <w:spacing w:after="0" w:line="360" w:lineRule="auto"/>
              <w:jc w:val="center"/>
              <w:rPr>
                <w:rFonts w:ascii="Book Antiqua" w:eastAsia="Times New Roman" w:hAnsi="Book Antiqua" w:cs="Calibri"/>
                <w:b/>
                <w:bCs/>
                <w:sz w:val="24"/>
                <w:szCs w:val="24"/>
              </w:rPr>
            </w:pPr>
            <w:r w:rsidRPr="00C731E9">
              <w:rPr>
                <w:rFonts w:ascii="Book Antiqua" w:eastAsia="Times New Roman" w:hAnsi="Book Antiqua" w:cs="Calibri"/>
                <w:b/>
                <w:bCs/>
                <w:sz w:val="24"/>
                <w:szCs w:val="24"/>
              </w:rPr>
              <w:t>Annual</w:t>
            </w:r>
          </w:p>
          <w:p w:rsidR="00411545" w:rsidRPr="00C731E9" w:rsidRDefault="00411545" w:rsidP="00D96EE7">
            <w:pPr>
              <w:adjustRightInd w:val="0"/>
              <w:snapToGrid w:val="0"/>
              <w:spacing w:after="0" w:line="360" w:lineRule="auto"/>
              <w:jc w:val="center"/>
              <w:rPr>
                <w:rFonts w:ascii="Book Antiqua" w:eastAsia="Times New Roman" w:hAnsi="Book Antiqua" w:cs="Calibri"/>
                <w:b/>
                <w:bCs/>
                <w:sz w:val="24"/>
                <w:szCs w:val="24"/>
              </w:rPr>
            </w:pPr>
            <w:r w:rsidRPr="00C731E9">
              <w:rPr>
                <w:rFonts w:ascii="Book Antiqua" w:eastAsia="Times New Roman" w:hAnsi="Book Antiqua" w:cs="Calibri"/>
                <w:b/>
                <w:bCs/>
                <w:sz w:val="24"/>
                <w:szCs w:val="24"/>
              </w:rPr>
              <w:t>ELF</w:t>
            </w:r>
          </w:p>
        </w:tc>
      </w:tr>
      <w:tr w:rsidR="001339DB" w:rsidRPr="001339DB" w:rsidTr="00C731E9">
        <w:trPr>
          <w:trHeight w:val="300"/>
        </w:trPr>
        <w:tc>
          <w:tcPr>
            <w:tcW w:w="2977" w:type="dxa"/>
            <w:tcBorders>
              <w:top w:val="single" w:sz="4" w:space="0" w:color="auto"/>
              <w:left w:val="nil"/>
              <w:bottom w:val="nil"/>
              <w:right w:val="nil"/>
            </w:tcBorders>
            <w:shd w:val="clear" w:color="auto" w:fill="auto"/>
            <w:noWrap/>
            <w:vAlign w:val="bottom"/>
            <w:hideMark/>
          </w:tcPr>
          <w:p w:rsidR="00411545" w:rsidRPr="00C731E9" w:rsidRDefault="00411545" w:rsidP="00D96EE7">
            <w:pPr>
              <w:adjustRightInd w:val="0"/>
              <w:snapToGrid w:val="0"/>
              <w:spacing w:after="0" w:line="360" w:lineRule="auto"/>
              <w:rPr>
                <w:rFonts w:ascii="Book Antiqua" w:eastAsia="Times New Roman" w:hAnsi="Book Antiqua" w:cs="Calibri"/>
                <w:sz w:val="24"/>
                <w:szCs w:val="24"/>
              </w:rPr>
            </w:pPr>
            <w:r w:rsidRPr="00C731E9">
              <w:rPr>
                <w:rFonts w:ascii="Book Antiqua" w:eastAsia="Times New Roman" w:hAnsi="Book Antiqua" w:cs="Calibri"/>
                <w:sz w:val="24"/>
                <w:szCs w:val="24"/>
              </w:rPr>
              <w:t>QALYs</w:t>
            </w:r>
          </w:p>
        </w:tc>
        <w:tc>
          <w:tcPr>
            <w:tcW w:w="1275" w:type="dxa"/>
            <w:tcBorders>
              <w:top w:val="single" w:sz="4" w:space="0" w:color="auto"/>
              <w:left w:val="nil"/>
              <w:bottom w:val="nil"/>
              <w:right w:val="nil"/>
            </w:tcBorders>
            <w:vAlign w:val="bottom"/>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12.36</w:t>
            </w:r>
          </w:p>
        </w:tc>
        <w:tc>
          <w:tcPr>
            <w:tcW w:w="993" w:type="dxa"/>
            <w:tcBorders>
              <w:top w:val="single" w:sz="4" w:space="0" w:color="auto"/>
              <w:left w:val="nil"/>
              <w:bottom w:val="nil"/>
              <w:right w:val="nil"/>
            </w:tcBorders>
            <w:shd w:val="clear" w:color="auto" w:fill="auto"/>
            <w:noWrap/>
            <w:vAlign w:val="bottom"/>
            <w:hideMark/>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15.27</w:t>
            </w:r>
          </w:p>
        </w:tc>
        <w:tc>
          <w:tcPr>
            <w:tcW w:w="1134" w:type="dxa"/>
            <w:tcBorders>
              <w:top w:val="single" w:sz="4" w:space="0" w:color="auto"/>
              <w:left w:val="nil"/>
              <w:bottom w:val="nil"/>
              <w:right w:val="nil"/>
            </w:tcBorders>
            <w:shd w:val="clear" w:color="auto" w:fill="auto"/>
            <w:noWrap/>
            <w:vAlign w:val="bottom"/>
            <w:hideMark/>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16.33</w:t>
            </w:r>
          </w:p>
        </w:tc>
        <w:tc>
          <w:tcPr>
            <w:tcW w:w="992" w:type="dxa"/>
            <w:tcBorders>
              <w:top w:val="single" w:sz="4" w:space="0" w:color="auto"/>
              <w:left w:val="nil"/>
              <w:bottom w:val="nil"/>
              <w:right w:val="nil"/>
            </w:tcBorders>
            <w:shd w:val="clear" w:color="auto" w:fill="auto"/>
            <w:noWrap/>
            <w:vAlign w:val="bottom"/>
            <w:hideMark/>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16.75</w:t>
            </w:r>
          </w:p>
        </w:tc>
      </w:tr>
      <w:tr w:rsidR="001339DB" w:rsidRPr="001339DB" w:rsidTr="00411545">
        <w:trPr>
          <w:trHeight w:val="300"/>
        </w:trPr>
        <w:tc>
          <w:tcPr>
            <w:tcW w:w="2977" w:type="dxa"/>
            <w:tcBorders>
              <w:top w:val="nil"/>
              <w:left w:val="nil"/>
              <w:bottom w:val="nil"/>
              <w:right w:val="nil"/>
            </w:tcBorders>
            <w:shd w:val="clear" w:color="auto" w:fill="auto"/>
            <w:noWrap/>
            <w:vAlign w:val="bottom"/>
            <w:hideMark/>
          </w:tcPr>
          <w:p w:rsidR="00411545" w:rsidRPr="00C731E9" w:rsidRDefault="00411545" w:rsidP="00D96EE7">
            <w:pPr>
              <w:adjustRightInd w:val="0"/>
              <w:snapToGrid w:val="0"/>
              <w:spacing w:after="0" w:line="360" w:lineRule="auto"/>
              <w:rPr>
                <w:rFonts w:ascii="Book Antiqua" w:eastAsia="Times New Roman" w:hAnsi="Book Antiqua" w:cs="Calibri"/>
                <w:sz w:val="24"/>
                <w:szCs w:val="24"/>
              </w:rPr>
            </w:pPr>
            <w:r w:rsidRPr="00C731E9">
              <w:rPr>
                <w:rFonts w:ascii="Book Antiqua" w:eastAsia="Times New Roman" w:hAnsi="Book Antiqua" w:cs="Calibri"/>
                <w:sz w:val="24"/>
                <w:szCs w:val="24"/>
              </w:rPr>
              <w:t>Cost per patient (€)</w:t>
            </w:r>
          </w:p>
        </w:tc>
        <w:tc>
          <w:tcPr>
            <w:tcW w:w="1275" w:type="dxa"/>
            <w:tcBorders>
              <w:top w:val="nil"/>
              <w:left w:val="nil"/>
              <w:bottom w:val="nil"/>
              <w:right w:val="nil"/>
            </w:tcBorders>
            <w:vAlign w:val="bottom"/>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24 353</w:t>
            </w:r>
          </w:p>
        </w:tc>
        <w:tc>
          <w:tcPr>
            <w:tcW w:w="993" w:type="dxa"/>
            <w:tcBorders>
              <w:top w:val="nil"/>
              <w:left w:val="nil"/>
              <w:bottom w:val="nil"/>
              <w:right w:val="nil"/>
            </w:tcBorders>
            <w:shd w:val="clear" w:color="auto" w:fill="auto"/>
            <w:noWrap/>
            <w:vAlign w:val="bottom"/>
            <w:hideMark/>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43 447</w:t>
            </w:r>
          </w:p>
        </w:tc>
        <w:tc>
          <w:tcPr>
            <w:tcW w:w="1134" w:type="dxa"/>
            <w:tcBorders>
              <w:top w:val="nil"/>
              <w:left w:val="nil"/>
              <w:bottom w:val="nil"/>
              <w:right w:val="nil"/>
            </w:tcBorders>
            <w:shd w:val="clear" w:color="auto" w:fill="auto"/>
            <w:noWrap/>
            <w:vAlign w:val="bottom"/>
            <w:hideMark/>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57 691</w:t>
            </w:r>
          </w:p>
        </w:tc>
        <w:tc>
          <w:tcPr>
            <w:tcW w:w="992" w:type="dxa"/>
            <w:tcBorders>
              <w:top w:val="nil"/>
              <w:left w:val="nil"/>
              <w:bottom w:val="nil"/>
              <w:right w:val="nil"/>
            </w:tcBorders>
            <w:shd w:val="clear" w:color="auto" w:fill="auto"/>
            <w:noWrap/>
            <w:vAlign w:val="bottom"/>
            <w:hideMark/>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60 443</w:t>
            </w:r>
          </w:p>
        </w:tc>
      </w:tr>
      <w:tr w:rsidR="001339DB" w:rsidRPr="001339DB" w:rsidTr="00411545">
        <w:trPr>
          <w:trHeight w:val="300"/>
        </w:trPr>
        <w:tc>
          <w:tcPr>
            <w:tcW w:w="2977" w:type="dxa"/>
            <w:tcBorders>
              <w:top w:val="nil"/>
              <w:left w:val="nil"/>
              <w:right w:val="nil"/>
            </w:tcBorders>
            <w:shd w:val="clear" w:color="auto" w:fill="auto"/>
            <w:noWrap/>
            <w:vAlign w:val="bottom"/>
          </w:tcPr>
          <w:p w:rsidR="00411545" w:rsidRPr="00C731E9" w:rsidRDefault="00411545" w:rsidP="00D96EE7">
            <w:pPr>
              <w:adjustRightInd w:val="0"/>
              <w:snapToGrid w:val="0"/>
              <w:spacing w:after="0" w:line="360" w:lineRule="auto"/>
              <w:rPr>
                <w:rFonts w:ascii="Book Antiqua" w:eastAsia="Times New Roman" w:hAnsi="Book Antiqua" w:cs="Calibri"/>
                <w:sz w:val="24"/>
                <w:szCs w:val="24"/>
              </w:rPr>
            </w:pPr>
            <w:r w:rsidRPr="00C731E9">
              <w:rPr>
                <w:rFonts w:ascii="Book Antiqua" w:eastAsia="Times New Roman" w:hAnsi="Book Antiqua" w:cs="Calibri"/>
                <w:sz w:val="24"/>
                <w:szCs w:val="24"/>
              </w:rPr>
              <w:t>ICER relative to “no testing”</w:t>
            </w:r>
          </w:p>
        </w:tc>
        <w:tc>
          <w:tcPr>
            <w:tcW w:w="1275" w:type="dxa"/>
            <w:tcBorders>
              <w:top w:val="nil"/>
              <w:left w:val="nil"/>
              <w:right w:val="nil"/>
            </w:tcBorders>
            <w:vAlign w:val="bottom"/>
          </w:tcPr>
          <w:p w:rsidR="00411545" w:rsidRPr="001339DB" w:rsidRDefault="00411545" w:rsidP="00D96EE7">
            <w:pPr>
              <w:adjustRightInd w:val="0"/>
              <w:snapToGrid w:val="0"/>
              <w:spacing w:after="0" w:line="360" w:lineRule="auto"/>
              <w:jc w:val="center"/>
              <w:rPr>
                <w:rFonts w:ascii="Book Antiqua" w:eastAsia="Times New Roman" w:hAnsi="Book Antiqua" w:cs="Calibri"/>
                <w:sz w:val="24"/>
                <w:szCs w:val="24"/>
              </w:rPr>
            </w:pPr>
          </w:p>
        </w:tc>
        <w:tc>
          <w:tcPr>
            <w:tcW w:w="993" w:type="dxa"/>
            <w:tcBorders>
              <w:top w:val="nil"/>
              <w:left w:val="nil"/>
              <w:right w:val="nil"/>
            </w:tcBorders>
            <w:shd w:val="clear" w:color="auto" w:fill="auto"/>
            <w:noWrap/>
            <w:vAlign w:val="bottom"/>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6 561</w:t>
            </w:r>
          </w:p>
        </w:tc>
        <w:tc>
          <w:tcPr>
            <w:tcW w:w="1134" w:type="dxa"/>
            <w:tcBorders>
              <w:top w:val="nil"/>
              <w:left w:val="nil"/>
              <w:right w:val="nil"/>
            </w:tcBorders>
            <w:shd w:val="clear" w:color="auto" w:fill="auto"/>
            <w:noWrap/>
            <w:vAlign w:val="bottom"/>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8 397</w:t>
            </w:r>
          </w:p>
        </w:tc>
        <w:tc>
          <w:tcPr>
            <w:tcW w:w="992" w:type="dxa"/>
            <w:tcBorders>
              <w:top w:val="nil"/>
              <w:left w:val="nil"/>
              <w:right w:val="nil"/>
            </w:tcBorders>
            <w:shd w:val="clear" w:color="auto" w:fill="auto"/>
            <w:noWrap/>
            <w:vAlign w:val="bottom"/>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8 221</w:t>
            </w:r>
          </w:p>
        </w:tc>
      </w:tr>
      <w:tr w:rsidR="001339DB" w:rsidRPr="001339DB" w:rsidTr="00411545">
        <w:trPr>
          <w:trHeight w:val="300"/>
        </w:trPr>
        <w:tc>
          <w:tcPr>
            <w:tcW w:w="2977" w:type="dxa"/>
            <w:tcBorders>
              <w:left w:val="nil"/>
              <w:bottom w:val="single" w:sz="4" w:space="0" w:color="auto"/>
              <w:right w:val="nil"/>
            </w:tcBorders>
            <w:shd w:val="clear" w:color="auto" w:fill="auto"/>
            <w:noWrap/>
            <w:vAlign w:val="bottom"/>
          </w:tcPr>
          <w:p w:rsidR="00411545" w:rsidRPr="00C731E9" w:rsidRDefault="00411545" w:rsidP="00D96EE7">
            <w:pPr>
              <w:adjustRightInd w:val="0"/>
              <w:snapToGrid w:val="0"/>
              <w:spacing w:after="0" w:line="360" w:lineRule="auto"/>
              <w:rPr>
                <w:rFonts w:ascii="Book Antiqua" w:eastAsia="Times New Roman" w:hAnsi="Book Antiqua" w:cs="Calibri"/>
                <w:sz w:val="24"/>
                <w:szCs w:val="24"/>
              </w:rPr>
            </w:pPr>
            <w:r w:rsidRPr="00C731E9">
              <w:rPr>
                <w:rFonts w:ascii="Book Antiqua" w:eastAsia="Times New Roman" w:hAnsi="Book Antiqua" w:cs="Calibri"/>
                <w:sz w:val="24"/>
                <w:szCs w:val="24"/>
              </w:rPr>
              <w:t>ICER relative to biopsy</w:t>
            </w:r>
          </w:p>
        </w:tc>
        <w:tc>
          <w:tcPr>
            <w:tcW w:w="1275" w:type="dxa"/>
            <w:tcBorders>
              <w:left w:val="nil"/>
              <w:bottom w:val="single" w:sz="4" w:space="0" w:color="auto"/>
              <w:right w:val="nil"/>
            </w:tcBorders>
            <w:vAlign w:val="bottom"/>
          </w:tcPr>
          <w:p w:rsidR="00411545" w:rsidRPr="001339DB" w:rsidRDefault="00411545" w:rsidP="00D96EE7">
            <w:pPr>
              <w:adjustRightInd w:val="0"/>
              <w:snapToGrid w:val="0"/>
              <w:spacing w:after="0" w:line="360" w:lineRule="auto"/>
              <w:jc w:val="center"/>
              <w:rPr>
                <w:rFonts w:ascii="Book Antiqua" w:eastAsia="Times New Roman" w:hAnsi="Book Antiqua" w:cs="Calibri"/>
                <w:sz w:val="24"/>
                <w:szCs w:val="24"/>
              </w:rPr>
            </w:pPr>
          </w:p>
        </w:tc>
        <w:tc>
          <w:tcPr>
            <w:tcW w:w="993" w:type="dxa"/>
            <w:tcBorders>
              <w:left w:val="nil"/>
              <w:bottom w:val="single" w:sz="4" w:space="0" w:color="auto"/>
              <w:right w:val="nil"/>
            </w:tcBorders>
            <w:shd w:val="clear" w:color="auto" w:fill="auto"/>
            <w:noWrap/>
            <w:vAlign w:val="bottom"/>
          </w:tcPr>
          <w:p w:rsidR="00411545" w:rsidRPr="001339DB" w:rsidRDefault="00411545" w:rsidP="00D96EE7">
            <w:pPr>
              <w:adjustRightInd w:val="0"/>
              <w:snapToGrid w:val="0"/>
              <w:spacing w:after="0" w:line="360" w:lineRule="auto"/>
              <w:jc w:val="center"/>
              <w:rPr>
                <w:rFonts w:ascii="Book Antiqua" w:eastAsia="Times New Roman" w:hAnsi="Book Antiqua" w:cs="Calibri"/>
                <w:sz w:val="24"/>
                <w:szCs w:val="24"/>
              </w:rPr>
            </w:pPr>
          </w:p>
        </w:tc>
        <w:tc>
          <w:tcPr>
            <w:tcW w:w="1134" w:type="dxa"/>
            <w:tcBorders>
              <w:left w:val="nil"/>
              <w:bottom w:val="single" w:sz="4" w:space="0" w:color="auto"/>
              <w:right w:val="nil"/>
            </w:tcBorders>
            <w:shd w:val="clear" w:color="auto" w:fill="auto"/>
            <w:noWrap/>
            <w:vAlign w:val="bottom"/>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13 438</w:t>
            </w:r>
          </w:p>
        </w:tc>
        <w:tc>
          <w:tcPr>
            <w:tcW w:w="992" w:type="dxa"/>
            <w:tcBorders>
              <w:left w:val="nil"/>
              <w:bottom w:val="single" w:sz="4" w:space="0" w:color="auto"/>
              <w:right w:val="nil"/>
            </w:tcBorders>
            <w:shd w:val="clear" w:color="auto" w:fill="auto"/>
            <w:noWrap/>
            <w:vAlign w:val="bottom"/>
          </w:tcPr>
          <w:p w:rsidR="00411545" w:rsidRPr="001339DB" w:rsidRDefault="00411545" w:rsidP="00D96EE7">
            <w:pPr>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11 484</w:t>
            </w:r>
          </w:p>
        </w:tc>
      </w:tr>
      <w:tr w:rsidR="00411545" w:rsidRPr="001339DB" w:rsidTr="00411545">
        <w:trPr>
          <w:trHeight w:val="300"/>
        </w:trPr>
        <w:tc>
          <w:tcPr>
            <w:tcW w:w="7371" w:type="dxa"/>
            <w:gridSpan w:val="5"/>
            <w:tcBorders>
              <w:top w:val="single" w:sz="4" w:space="0" w:color="auto"/>
              <w:left w:val="nil"/>
              <w:right w:val="nil"/>
            </w:tcBorders>
          </w:tcPr>
          <w:p w:rsidR="00411545" w:rsidRPr="00C731E9" w:rsidRDefault="00C731E9" w:rsidP="001339DB">
            <w:pPr>
              <w:adjustRightInd w:val="0"/>
              <w:snapToGrid w:val="0"/>
              <w:spacing w:after="0" w:line="360" w:lineRule="auto"/>
              <w:jc w:val="both"/>
              <w:rPr>
                <w:rFonts w:ascii="Book Antiqua" w:hAnsi="Book Antiqua" w:cs="Times New Roman"/>
                <w:sz w:val="24"/>
                <w:szCs w:val="24"/>
                <w:lang w:eastAsia="zh-CN"/>
              </w:rPr>
            </w:pPr>
            <w:r w:rsidRPr="00C731E9">
              <w:rPr>
                <w:rFonts w:ascii="Book Antiqua" w:eastAsia="Century Gothic" w:hAnsi="Book Antiqua" w:cs="Times New Roman"/>
                <w:sz w:val="24"/>
                <w:szCs w:val="24"/>
                <w:vertAlign w:val="superscript"/>
              </w:rPr>
              <w:t>1</w:t>
            </w:r>
            <w:r w:rsidRPr="00C731E9">
              <w:rPr>
                <w:rFonts w:ascii="Book Antiqua" w:eastAsia="Century Gothic" w:hAnsi="Book Antiqua" w:cs="Times New Roman"/>
                <w:sz w:val="24"/>
                <w:szCs w:val="24"/>
              </w:rPr>
              <w:t>Percentage of cases detected on first test. Initial prevalence: liver fibrosis = 53%; cirrhosis = 20%.</w:t>
            </w:r>
            <w:r>
              <w:rPr>
                <w:rFonts w:ascii="Book Antiqua" w:hAnsi="Book Antiqua" w:cs="Times New Roman" w:hint="eastAsia"/>
                <w:sz w:val="24"/>
                <w:szCs w:val="24"/>
                <w:lang w:eastAsia="zh-CN"/>
              </w:rPr>
              <w:t xml:space="preserve"> </w:t>
            </w:r>
            <w:r w:rsidRPr="00C731E9">
              <w:rPr>
                <w:rFonts w:ascii="Book Antiqua" w:hAnsi="Book Antiqua" w:cs="Times New Roman"/>
                <w:sz w:val="24"/>
                <w:szCs w:val="24"/>
                <w:lang w:eastAsia="zh-CN"/>
              </w:rPr>
              <w:t xml:space="preserve">TP: True positives; FN: False </w:t>
            </w:r>
            <w:r w:rsidRPr="00C731E9">
              <w:rPr>
                <w:rFonts w:ascii="Book Antiqua" w:hAnsi="Book Antiqua" w:cs="Times New Roman"/>
                <w:sz w:val="24"/>
                <w:szCs w:val="24"/>
                <w:lang w:eastAsia="zh-CN"/>
              </w:rPr>
              <w:lastRenderedPageBreak/>
              <w:t>negatives; TN: True negatives; FP: False positives</w:t>
            </w:r>
            <w:r w:rsidRPr="00C731E9">
              <w:rPr>
                <w:rFonts w:ascii="Book Antiqua" w:hAnsi="Book Antiqua" w:cs="Times New Roman" w:hint="eastAsia"/>
                <w:sz w:val="24"/>
                <w:szCs w:val="24"/>
                <w:lang w:eastAsia="zh-CN"/>
              </w:rPr>
              <w:t>;</w:t>
            </w:r>
            <w:r w:rsidRPr="00C731E9">
              <w:rPr>
                <w:rFonts w:ascii="Book Antiqua" w:hAnsi="Book Antiqua" w:cs="Times New Roman"/>
                <w:sz w:val="24"/>
                <w:szCs w:val="24"/>
                <w:lang w:eastAsia="zh-CN"/>
              </w:rPr>
              <w:t xml:space="preserve"> QALY: Quality-adjusted life year</w:t>
            </w:r>
            <w:r w:rsidRPr="00C731E9">
              <w:rPr>
                <w:rFonts w:ascii="Book Antiqua" w:hAnsi="Book Antiqua" w:cs="Times New Roman" w:hint="eastAsia"/>
                <w:sz w:val="24"/>
                <w:szCs w:val="24"/>
                <w:lang w:eastAsia="zh-CN"/>
              </w:rPr>
              <w:t>;</w:t>
            </w:r>
            <w:r w:rsidRPr="00C731E9">
              <w:rPr>
                <w:rFonts w:ascii="Book Antiqua" w:hAnsi="Book Antiqua" w:cs="Times New Roman"/>
                <w:sz w:val="24"/>
                <w:szCs w:val="24"/>
                <w:lang w:eastAsia="zh-CN"/>
              </w:rPr>
              <w:t xml:space="preserve"> ICER: Incremental cost-effectiveness ratio (€ per QALY)</w:t>
            </w:r>
            <w:r>
              <w:rPr>
                <w:rFonts w:ascii="Book Antiqua" w:hAnsi="Book Antiqua" w:cs="Times New Roman" w:hint="eastAsia"/>
                <w:sz w:val="24"/>
                <w:szCs w:val="24"/>
                <w:lang w:eastAsia="zh-CN"/>
              </w:rPr>
              <w:t>;</w:t>
            </w:r>
            <w:r w:rsidRPr="00C731E9">
              <w:rPr>
                <w:rFonts w:ascii="Book Antiqua" w:hAnsi="Book Antiqua" w:cs="Times New Roman"/>
                <w:sz w:val="24"/>
                <w:szCs w:val="24"/>
                <w:lang w:eastAsia="zh-CN"/>
              </w:rPr>
              <w:t xml:space="preserve"> </w:t>
            </w:r>
            <w:r w:rsidR="00411545" w:rsidRPr="001339DB">
              <w:rPr>
                <w:rFonts w:ascii="Book Antiqua" w:eastAsia="Century Gothic" w:hAnsi="Book Antiqua" w:cs="Times New Roman"/>
                <w:sz w:val="24"/>
                <w:szCs w:val="24"/>
              </w:rPr>
              <w:t xml:space="preserve">ELF: Enhanced Liver Fibrosis test; LSM: </w:t>
            </w:r>
            <w:r w:rsidRPr="001339DB">
              <w:rPr>
                <w:rFonts w:ascii="Book Antiqua" w:eastAsia="Century Gothic" w:hAnsi="Book Antiqua" w:cs="Times New Roman"/>
                <w:sz w:val="24"/>
                <w:szCs w:val="24"/>
              </w:rPr>
              <w:t xml:space="preserve">Liver </w:t>
            </w:r>
            <w:r w:rsidR="00411545" w:rsidRPr="001339DB">
              <w:rPr>
                <w:rFonts w:ascii="Book Antiqua" w:eastAsia="Century Gothic" w:hAnsi="Book Antiqua" w:cs="Times New Roman"/>
                <w:sz w:val="24"/>
                <w:szCs w:val="24"/>
              </w:rPr>
              <w:t>stiffness</w:t>
            </w:r>
            <w:r>
              <w:rPr>
                <w:rFonts w:ascii="Book Antiqua" w:eastAsia="Century Gothic" w:hAnsi="Book Antiqua" w:cs="Times New Roman"/>
                <w:sz w:val="24"/>
                <w:szCs w:val="24"/>
              </w:rPr>
              <w:t xml:space="preserve"> measurement</w:t>
            </w:r>
            <w:r>
              <w:rPr>
                <w:rFonts w:ascii="Book Antiqua" w:hAnsi="Book Antiqua" w:cs="Times New Roman" w:hint="eastAsia"/>
                <w:sz w:val="24"/>
                <w:szCs w:val="24"/>
                <w:lang w:eastAsia="zh-CN"/>
              </w:rPr>
              <w:t>.</w:t>
            </w:r>
          </w:p>
          <w:p w:rsidR="00411545" w:rsidRPr="001339DB" w:rsidRDefault="00411545" w:rsidP="00C731E9">
            <w:pPr>
              <w:adjustRightInd w:val="0"/>
              <w:snapToGrid w:val="0"/>
              <w:spacing w:after="0" w:line="360" w:lineRule="auto"/>
              <w:jc w:val="both"/>
              <w:rPr>
                <w:rFonts w:ascii="Book Antiqua" w:eastAsia="Times New Roman" w:hAnsi="Book Antiqua" w:cs="Calibri"/>
                <w:sz w:val="24"/>
                <w:szCs w:val="24"/>
              </w:rPr>
            </w:pPr>
          </w:p>
        </w:tc>
      </w:tr>
    </w:tbl>
    <w:p w:rsidR="00411545" w:rsidRPr="001339DB" w:rsidRDefault="00411545" w:rsidP="001339DB">
      <w:pPr>
        <w:adjustRightInd w:val="0"/>
        <w:snapToGrid w:val="0"/>
        <w:spacing w:after="0" w:line="360" w:lineRule="auto"/>
        <w:jc w:val="both"/>
        <w:rPr>
          <w:rFonts w:ascii="Book Antiqua" w:hAnsi="Book Antiqua"/>
          <w:sz w:val="24"/>
          <w:szCs w:val="24"/>
        </w:rPr>
      </w:pPr>
    </w:p>
    <w:p w:rsidR="00411545" w:rsidRPr="001339DB" w:rsidRDefault="00411545" w:rsidP="001339DB">
      <w:pPr>
        <w:adjustRightInd w:val="0"/>
        <w:snapToGrid w:val="0"/>
        <w:spacing w:after="0" w:line="360" w:lineRule="auto"/>
        <w:jc w:val="both"/>
        <w:rPr>
          <w:rFonts w:ascii="Book Antiqua" w:hAnsi="Book Antiqua"/>
          <w:b/>
          <w:sz w:val="24"/>
          <w:szCs w:val="24"/>
          <w:u w:val="single"/>
        </w:rPr>
      </w:pPr>
      <w:r w:rsidRPr="001339DB">
        <w:rPr>
          <w:rFonts w:ascii="Book Antiqua" w:hAnsi="Book Antiqua"/>
          <w:b/>
          <w:sz w:val="24"/>
          <w:szCs w:val="24"/>
          <w:u w:val="single"/>
        </w:rPr>
        <w:br w:type="page"/>
      </w:r>
    </w:p>
    <w:p w:rsidR="00411545" w:rsidRPr="00C731E9" w:rsidRDefault="00411545" w:rsidP="001339DB">
      <w:pPr>
        <w:adjustRightInd w:val="0"/>
        <w:snapToGrid w:val="0"/>
        <w:spacing w:after="0" w:line="360" w:lineRule="auto"/>
        <w:jc w:val="both"/>
        <w:rPr>
          <w:rFonts w:ascii="Book Antiqua" w:eastAsia="Century Gothic" w:hAnsi="Book Antiqua" w:cs="Times New Roman"/>
          <w:b/>
          <w:sz w:val="24"/>
          <w:szCs w:val="24"/>
        </w:rPr>
      </w:pPr>
      <w:r w:rsidRPr="00C731E9">
        <w:rPr>
          <w:rFonts w:ascii="Book Antiqua" w:eastAsia="Century Gothic" w:hAnsi="Book Antiqua" w:cs="Times New Roman"/>
          <w:b/>
          <w:sz w:val="24"/>
          <w:szCs w:val="24"/>
        </w:rPr>
        <w:lastRenderedPageBreak/>
        <w:t>Table 4 Diagnostic accuracy, health outcomes and costs in ALD patients</w:t>
      </w:r>
    </w:p>
    <w:tbl>
      <w:tblPr>
        <w:tblW w:w="7371" w:type="dxa"/>
        <w:tblLook w:val="04A0" w:firstRow="1" w:lastRow="0" w:firstColumn="1" w:lastColumn="0" w:noHBand="0" w:noVBand="1"/>
      </w:tblPr>
      <w:tblGrid>
        <w:gridCol w:w="2977"/>
        <w:gridCol w:w="1111"/>
        <w:gridCol w:w="993"/>
        <w:gridCol w:w="1247"/>
        <w:gridCol w:w="1043"/>
      </w:tblGrid>
      <w:tr w:rsidR="001339DB" w:rsidRPr="001339DB" w:rsidTr="00411545">
        <w:trPr>
          <w:trHeight w:val="300"/>
        </w:trPr>
        <w:tc>
          <w:tcPr>
            <w:tcW w:w="2977" w:type="dxa"/>
            <w:tcBorders>
              <w:top w:val="single" w:sz="4" w:space="0" w:color="auto"/>
              <w:left w:val="nil"/>
              <w:right w:val="nil"/>
            </w:tcBorders>
            <w:shd w:val="clear" w:color="auto" w:fill="auto"/>
            <w:noWrap/>
            <w:vAlign w:val="bottom"/>
          </w:tcPr>
          <w:p w:rsidR="00411545" w:rsidRPr="00C731E9" w:rsidRDefault="00411545" w:rsidP="00C731E9">
            <w:pPr>
              <w:keepNext/>
              <w:adjustRightInd w:val="0"/>
              <w:snapToGrid w:val="0"/>
              <w:spacing w:after="0" w:line="360" w:lineRule="auto"/>
              <w:rPr>
                <w:rFonts w:ascii="Book Antiqua" w:eastAsia="Times New Roman" w:hAnsi="Book Antiqua" w:cs="Calibri"/>
                <w:b/>
                <w:bCs/>
                <w:sz w:val="24"/>
                <w:szCs w:val="24"/>
              </w:rPr>
            </w:pPr>
            <w:r w:rsidRPr="00C731E9">
              <w:rPr>
                <w:rFonts w:ascii="Book Antiqua" w:eastAsia="Times New Roman" w:hAnsi="Book Antiqua" w:cs="Calibri"/>
                <w:b/>
                <w:bCs/>
                <w:sz w:val="24"/>
                <w:szCs w:val="24"/>
              </w:rPr>
              <w:t>Diagnostic accuracy (%)</w:t>
            </w:r>
            <w:r w:rsidR="00D96EE7" w:rsidRPr="00C731E9">
              <w:rPr>
                <w:rFonts w:ascii="Book Antiqua" w:eastAsia="Times New Roman" w:hAnsi="Book Antiqua" w:cs="Calibri"/>
                <w:b/>
                <w:bCs/>
                <w:sz w:val="24"/>
                <w:szCs w:val="24"/>
                <w:vertAlign w:val="superscript"/>
              </w:rPr>
              <w:t>1</w:t>
            </w:r>
          </w:p>
        </w:tc>
        <w:tc>
          <w:tcPr>
            <w:tcW w:w="1275" w:type="dxa"/>
            <w:tcBorders>
              <w:top w:val="single" w:sz="4" w:space="0" w:color="auto"/>
              <w:left w:val="nil"/>
              <w:right w:val="nil"/>
            </w:tcBorders>
            <w:vAlign w:val="bottom"/>
          </w:tcPr>
          <w:p w:rsidR="00411545" w:rsidRPr="001339DB" w:rsidRDefault="00411545" w:rsidP="001339DB">
            <w:pPr>
              <w:keepNext/>
              <w:adjustRightInd w:val="0"/>
              <w:snapToGrid w:val="0"/>
              <w:spacing w:after="0" w:line="360" w:lineRule="auto"/>
              <w:jc w:val="both"/>
              <w:rPr>
                <w:rFonts w:ascii="Book Antiqua" w:eastAsia="Times New Roman" w:hAnsi="Book Antiqua" w:cs="Calibri"/>
                <w:b/>
                <w:bCs/>
                <w:sz w:val="24"/>
                <w:szCs w:val="24"/>
              </w:rPr>
            </w:pPr>
          </w:p>
        </w:tc>
        <w:tc>
          <w:tcPr>
            <w:tcW w:w="993" w:type="dxa"/>
            <w:tcBorders>
              <w:top w:val="single" w:sz="4" w:space="0" w:color="auto"/>
              <w:left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Times New Roman" w:hAnsi="Book Antiqua" w:cs="Calibri"/>
                <w:b/>
                <w:bCs/>
                <w:sz w:val="24"/>
                <w:szCs w:val="24"/>
              </w:rPr>
            </w:pPr>
            <w:r w:rsidRPr="001339DB">
              <w:rPr>
                <w:rFonts w:ascii="Book Antiqua" w:eastAsia="Times New Roman" w:hAnsi="Book Antiqua" w:cs="Calibri"/>
                <w:b/>
                <w:bCs/>
                <w:sz w:val="24"/>
                <w:szCs w:val="24"/>
              </w:rPr>
              <w:t>Biopsy</w:t>
            </w:r>
          </w:p>
        </w:tc>
        <w:tc>
          <w:tcPr>
            <w:tcW w:w="1134" w:type="dxa"/>
            <w:tcBorders>
              <w:top w:val="single" w:sz="4" w:space="0" w:color="auto"/>
              <w:left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Times New Roman" w:hAnsi="Book Antiqua" w:cs="Calibri"/>
                <w:b/>
                <w:bCs/>
                <w:sz w:val="24"/>
                <w:szCs w:val="24"/>
              </w:rPr>
            </w:pPr>
            <w:r w:rsidRPr="001339DB">
              <w:rPr>
                <w:rFonts w:ascii="Book Antiqua" w:eastAsia="Times New Roman" w:hAnsi="Book Antiqua" w:cs="Calibri"/>
                <w:b/>
                <w:bCs/>
                <w:sz w:val="24"/>
                <w:szCs w:val="24"/>
              </w:rPr>
              <w:t>ELF/LSM</w:t>
            </w:r>
          </w:p>
        </w:tc>
        <w:tc>
          <w:tcPr>
            <w:tcW w:w="992" w:type="dxa"/>
            <w:tcBorders>
              <w:top w:val="single" w:sz="4" w:space="0" w:color="auto"/>
              <w:left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Times New Roman" w:hAnsi="Book Antiqua" w:cs="Calibri"/>
                <w:b/>
                <w:bCs/>
                <w:sz w:val="24"/>
                <w:szCs w:val="24"/>
              </w:rPr>
            </w:pPr>
            <w:r w:rsidRPr="001339DB">
              <w:rPr>
                <w:rFonts w:ascii="Book Antiqua" w:eastAsia="Times New Roman" w:hAnsi="Book Antiqua" w:cs="Calibri"/>
                <w:b/>
                <w:bCs/>
                <w:sz w:val="24"/>
                <w:szCs w:val="24"/>
              </w:rPr>
              <w:t>ELF</w:t>
            </w:r>
          </w:p>
        </w:tc>
      </w:tr>
      <w:tr w:rsidR="001339DB" w:rsidRPr="001339DB" w:rsidTr="00411545">
        <w:trPr>
          <w:trHeight w:val="300"/>
        </w:trPr>
        <w:tc>
          <w:tcPr>
            <w:tcW w:w="2977" w:type="dxa"/>
            <w:tcBorders>
              <w:left w:val="nil"/>
              <w:bottom w:val="nil"/>
              <w:right w:val="nil"/>
            </w:tcBorders>
            <w:shd w:val="clear" w:color="auto" w:fill="auto"/>
            <w:noWrap/>
            <w:vAlign w:val="bottom"/>
            <w:hideMark/>
          </w:tcPr>
          <w:p w:rsidR="00411545" w:rsidRPr="00C731E9" w:rsidRDefault="00411545" w:rsidP="00C731E9">
            <w:pPr>
              <w:keepNext/>
              <w:adjustRightInd w:val="0"/>
              <w:snapToGrid w:val="0"/>
              <w:spacing w:after="0" w:line="360" w:lineRule="auto"/>
              <w:rPr>
                <w:rFonts w:ascii="Book Antiqua" w:eastAsia="Times New Roman" w:hAnsi="Book Antiqua" w:cs="Calibri"/>
                <w:bCs/>
                <w:sz w:val="24"/>
                <w:szCs w:val="24"/>
              </w:rPr>
            </w:pPr>
            <w:r w:rsidRPr="00C731E9">
              <w:rPr>
                <w:rFonts w:ascii="Book Antiqua" w:eastAsia="Times New Roman" w:hAnsi="Book Antiqua" w:cs="Calibri"/>
                <w:bCs/>
                <w:sz w:val="24"/>
                <w:szCs w:val="24"/>
              </w:rPr>
              <w:t>Liver Fibrosis (F</w:t>
            </w:r>
            <w:r w:rsidR="00C731E9">
              <w:rPr>
                <w:rFonts w:ascii="Book Antiqua" w:hAnsi="Book Antiqua" w:cs="Calibri" w:hint="eastAsia"/>
                <w:bCs/>
                <w:sz w:val="24"/>
                <w:szCs w:val="24"/>
                <w:lang w:eastAsia="zh-CN"/>
              </w:rPr>
              <w:t xml:space="preserve"> </w:t>
            </w:r>
            <w:r w:rsidRPr="00C731E9">
              <w:rPr>
                <w:rFonts w:ascii="Book Antiqua" w:eastAsia="Times New Roman" w:hAnsi="Book Antiqua" w:cs="Calibri"/>
                <w:bCs/>
                <w:sz w:val="24"/>
                <w:szCs w:val="24"/>
              </w:rPr>
              <w:t>≥</w:t>
            </w:r>
            <w:r w:rsidR="00C731E9">
              <w:rPr>
                <w:rFonts w:ascii="Book Antiqua" w:hAnsi="Book Antiqua" w:cs="Calibri" w:hint="eastAsia"/>
                <w:bCs/>
                <w:sz w:val="24"/>
                <w:szCs w:val="24"/>
                <w:lang w:eastAsia="zh-CN"/>
              </w:rPr>
              <w:t xml:space="preserve"> </w:t>
            </w:r>
            <w:r w:rsidRPr="00C731E9">
              <w:rPr>
                <w:rFonts w:ascii="Book Antiqua" w:eastAsia="Times New Roman" w:hAnsi="Book Antiqua" w:cs="Calibri"/>
                <w:bCs/>
                <w:sz w:val="24"/>
                <w:szCs w:val="24"/>
              </w:rPr>
              <w:t>2)</w:t>
            </w:r>
          </w:p>
        </w:tc>
        <w:tc>
          <w:tcPr>
            <w:tcW w:w="1275" w:type="dxa"/>
            <w:tcBorders>
              <w:left w:val="nil"/>
              <w:bottom w:val="nil"/>
              <w:right w:val="nil"/>
            </w:tcBorders>
            <w:vAlign w:val="bottom"/>
          </w:tcPr>
          <w:p w:rsidR="00411545" w:rsidRPr="001339DB" w:rsidRDefault="00411545" w:rsidP="001339DB">
            <w:pPr>
              <w:keepNext/>
              <w:adjustRightInd w:val="0"/>
              <w:snapToGrid w:val="0"/>
              <w:spacing w:after="0" w:line="360" w:lineRule="auto"/>
              <w:jc w:val="both"/>
              <w:rPr>
                <w:rFonts w:ascii="Book Antiqua" w:eastAsia="Times New Roman" w:hAnsi="Book Antiqua" w:cs="Calibri"/>
                <w:b/>
                <w:bCs/>
                <w:sz w:val="24"/>
                <w:szCs w:val="24"/>
              </w:rPr>
            </w:pPr>
          </w:p>
        </w:tc>
        <w:tc>
          <w:tcPr>
            <w:tcW w:w="993" w:type="dxa"/>
            <w:tcBorders>
              <w:left w:val="nil"/>
              <w:bottom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Times New Roman" w:hAnsi="Book Antiqua" w:cs="Calibri"/>
                <w:b/>
                <w:bCs/>
                <w:sz w:val="24"/>
                <w:szCs w:val="24"/>
              </w:rPr>
            </w:pPr>
          </w:p>
        </w:tc>
        <w:tc>
          <w:tcPr>
            <w:tcW w:w="1134" w:type="dxa"/>
            <w:tcBorders>
              <w:left w:val="nil"/>
              <w:bottom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Times New Roman" w:hAnsi="Book Antiqua" w:cs="Calibri"/>
                <w:b/>
                <w:bCs/>
                <w:sz w:val="24"/>
                <w:szCs w:val="24"/>
              </w:rPr>
            </w:pPr>
          </w:p>
        </w:tc>
        <w:tc>
          <w:tcPr>
            <w:tcW w:w="992" w:type="dxa"/>
            <w:tcBorders>
              <w:left w:val="nil"/>
              <w:bottom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Times New Roman" w:hAnsi="Book Antiqua" w:cs="Calibri"/>
                <w:b/>
                <w:bCs/>
                <w:sz w:val="24"/>
                <w:szCs w:val="24"/>
              </w:rPr>
            </w:pPr>
          </w:p>
        </w:tc>
      </w:tr>
      <w:tr w:rsidR="001339DB" w:rsidRPr="001339DB" w:rsidTr="00411545">
        <w:trPr>
          <w:trHeight w:val="300"/>
        </w:trPr>
        <w:tc>
          <w:tcPr>
            <w:tcW w:w="2977" w:type="dxa"/>
            <w:tcBorders>
              <w:top w:val="nil"/>
              <w:left w:val="nil"/>
              <w:bottom w:val="nil"/>
              <w:right w:val="nil"/>
            </w:tcBorders>
            <w:shd w:val="clear" w:color="auto" w:fill="auto"/>
            <w:noWrap/>
            <w:vAlign w:val="bottom"/>
            <w:hideMark/>
          </w:tcPr>
          <w:p w:rsidR="00411545" w:rsidRPr="00C731E9" w:rsidRDefault="00411545" w:rsidP="00C731E9">
            <w:pPr>
              <w:keepNext/>
              <w:adjustRightInd w:val="0"/>
              <w:snapToGrid w:val="0"/>
              <w:spacing w:after="0" w:line="360" w:lineRule="auto"/>
              <w:rPr>
                <w:rFonts w:ascii="Book Antiqua" w:eastAsia="Times New Roman" w:hAnsi="Book Antiqua" w:cs="Calibri"/>
                <w:sz w:val="24"/>
                <w:szCs w:val="24"/>
              </w:rPr>
            </w:pPr>
            <w:r w:rsidRPr="00C731E9">
              <w:rPr>
                <w:rFonts w:ascii="Book Antiqua" w:eastAsia="Times New Roman" w:hAnsi="Book Antiqua" w:cs="Calibri"/>
                <w:sz w:val="24"/>
                <w:szCs w:val="24"/>
              </w:rPr>
              <w:t>TP</w:t>
            </w:r>
          </w:p>
        </w:tc>
        <w:tc>
          <w:tcPr>
            <w:tcW w:w="1275" w:type="dxa"/>
            <w:tcBorders>
              <w:top w:val="nil"/>
              <w:left w:val="nil"/>
              <w:bottom w:val="nil"/>
              <w:right w:val="nil"/>
            </w:tcBorders>
            <w:vAlign w:val="bottom"/>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p>
        </w:tc>
        <w:tc>
          <w:tcPr>
            <w:tcW w:w="993" w:type="dxa"/>
            <w:tcBorders>
              <w:top w:val="nil"/>
              <w:left w:val="nil"/>
              <w:bottom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47.7</w:t>
            </w:r>
          </w:p>
        </w:tc>
        <w:tc>
          <w:tcPr>
            <w:tcW w:w="1134" w:type="dxa"/>
            <w:tcBorders>
              <w:top w:val="nil"/>
              <w:left w:val="nil"/>
              <w:bottom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38.6</w:t>
            </w:r>
          </w:p>
        </w:tc>
        <w:tc>
          <w:tcPr>
            <w:tcW w:w="992" w:type="dxa"/>
            <w:tcBorders>
              <w:top w:val="nil"/>
              <w:left w:val="nil"/>
              <w:bottom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47.7</w:t>
            </w:r>
          </w:p>
        </w:tc>
      </w:tr>
      <w:tr w:rsidR="001339DB" w:rsidRPr="001339DB" w:rsidTr="00411545">
        <w:trPr>
          <w:trHeight w:val="300"/>
        </w:trPr>
        <w:tc>
          <w:tcPr>
            <w:tcW w:w="2977" w:type="dxa"/>
            <w:tcBorders>
              <w:top w:val="nil"/>
              <w:left w:val="nil"/>
              <w:bottom w:val="nil"/>
              <w:right w:val="nil"/>
            </w:tcBorders>
            <w:shd w:val="clear" w:color="auto" w:fill="auto"/>
            <w:noWrap/>
            <w:vAlign w:val="bottom"/>
            <w:hideMark/>
          </w:tcPr>
          <w:p w:rsidR="00411545" w:rsidRPr="00C731E9" w:rsidRDefault="00411545" w:rsidP="00C731E9">
            <w:pPr>
              <w:keepNext/>
              <w:adjustRightInd w:val="0"/>
              <w:snapToGrid w:val="0"/>
              <w:spacing w:after="0" w:line="360" w:lineRule="auto"/>
              <w:rPr>
                <w:rFonts w:ascii="Book Antiqua" w:eastAsia="Times New Roman" w:hAnsi="Book Antiqua" w:cs="Calibri"/>
                <w:sz w:val="24"/>
                <w:szCs w:val="24"/>
              </w:rPr>
            </w:pPr>
            <w:r w:rsidRPr="00C731E9">
              <w:rPr>
                <w:rFonts w:ascii="Book Antiqua" w:eastAsia="Times New Roman" w:hAnsi="Book Antiqua" w:cs="Calibri"/>
                <w:sz w:val="24"/>
                <w:szCs w:val="24"/>
              </w:rPr>
              <w:t>FN</w:t>
            </w:r>
          </w:p>
        </w:tc>
        <w:tc>
          <w:tcPr>
            <w:tcW w:w="1275" w:type="dxa"/>
            <w:tcBorders>
              <w:top w:val="nil"/>
              <w:left w:val="nil"/>
              <w:bottom w:val="nil"/>
              <w:right w:val="nil"/>
            </w:tcBorders>
            <w:vAlign w:val="bottom"/>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p>
        </w:tc>
        <w:tc>
          <w:tcPr>
            <w:tcW w:w="993" w:type="dxa"/>
            <w:tcBorders>
              <w:top w:val="nil"/>
              <w:left w:val="nil"/>
              <w:bottom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5.3</w:t>
            </w:r>
          </w:p>
        </w:tc>
        <w:tc>
          <w:tcPr>
            <w:tcW w:w="1134" w:type="dxa"/>
            <w:tcBorders>
              <w:top w:val="nil"/>
              <w:left w:val="nil"/>
              <w:bottom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14.4</w:t>
            </w:r>
          </w:p>
        </w:tc>
        <w:tc>
          <w:tcPr>
            <w:tcW w:w="992" w:type="dxa"/>
            <w:tcBorders>
              <w:top w:val="nil"/>
              <w:left w:val="nil"/>
              <w:bottom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5.3</w:t>
            </w:r>
          </w:p>
        </w:tc>
      </w:tr>
      <w:tr w:rsidR="001339DB" w:rsidRPr="001339DB" w:rsidTr="00411545">
        <w:trPr>
          <w:trHeight w:val="300"/>
        </w:trPr>
        <w:tc>
          <w:tcPr>
            <w:tcW w:w="2977" w:type="dxa"/>
            <w:tcBorders>
              <w:top w:val="nil"/>
              <w:left w:val="nil"/>
              <w:bottom w:val="nil"/>
              <w:right w:val="nil"/>
            </w:tcBorders>
            <w:shd w:val="clear" w:color="auto" w:fill="auto"/>
            <w:noWrap/>
            <w:vAlign w:val="bottom"/>
            <w:hideMark/>
          </w:tcPr>
          <w:p w:rsidR="00411545" w:rsidRPr="00C731E9" w:rsidRDefault="00411545" w:rsidP="00C731E9">
            <w:pPr>
              <w:keepNext/>
              <w:adjustRightInd w:val="0"/>
              <w:snapToGrid w:val="0"/>
              <w:spacing w:after="0" w:line="360" w:lineRule="auto"/>
              <w:rPr>
                <w:rFonts w:ascii="Book Antiqua" w:eastAsia="Times New Roman" w:hAnsi="Book Antiqua" w:cs="Calibri"/>
                <w:sz w:val="24"/>
                <w:szCs w:val="24"/>
              </w:rPr>
            </w:pPr>
            <w:r w:rsidRPr="00C731E9">
              <w:rPr>
                <w:rFonts w:ascii="Book Antiqua" w:eastAsia="Times New Roman" w:hAnsi="Book Antiqua" w:cs="Calibri"/>
                <w:sz w:val="24"/>
                <w:szCs w:val="24"/>
              </w:rPr>
              <w:t>TN</w:t>
            </w:r>
          </w:p>
        </w:tc>
        <w:tc>
          <w:tcPr>
            <w:tcW w:w="1275" w:type="dxa"/>
            <w:tcBorders>
              <w:top w:val="nil"/>
              <w:left w:val="nil"/>
              <w:bottom w:val="nil"/>
              <w:right w:val="nil"/>
            </w:tcBorders>
            <w:vAlign w:val="bottom"/>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p>
        </w:tc>
        <w:tc>
          <w:tcPr>
            <w:tcW w:w="993" w:type="dxa"/>
            <w:tcBorders>
              <w:top w:val="nil"/>
              <w:left w:val="nil"/>
              <w:bottom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42.3</w:t>
            </w:r>
          </w:p>
        </w:tc>
        <w:tc>
          <w:tcPr>
            <w:tcW w:w="1134" w:type="dxa"/>
            <w:tcBorders>
              <w:top w:val="nil"/>
              <w:left w:val="nil"/>
              <w:bottom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45.2</w:t>
            </w:r>
          </w:p>
        </w:tc>
        <w:tc>
          <w:tcPr>
            <w:tcW w:w="992" w:type="dxa"/>
            <w:tcBorders>
              <w:top w:val="nil"/>
              <w:left w:val="nil"/>
              <w:bottom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24.4</w:t>
            </w:r>
          </w:p>
        </w:tc>
      </w:tr>
      <w:tr w:rsidR="001339DB" w:rsidRPr="001339DB" w:rsidTr="00411545">
        <w:trPr>
          <w:trHeight w:val="300"/>
        </w:trPr>
        <w:tc>
          <w:tcPr>
            <w:tcW w:w="2977" w:type="dxa"/>
            <w:tcBorders>
              <w:top w:val="nil"/>
              <w:left w:val="nil"/>
              <w:bottom w:val="nil"/>
              <w:right w:val="nil"/>
            </w:tcBorders>
            <w:shd w:val="clear" w:color="auto" w:fill="auto"/>
            <w:noWrap/>
            <w:vAlign w:val="bottom"/>
            <w:hideMark/>
          </w:tcPr>
          <w:p w:rsidR="00411545" w:rsidRPr="00C731E9" w:rsidRDefault="00411545" w:rsidP="00C731E9">
            <w:pPr>
              <w:keepNext/>
              <w:adjustRightInd w:val="0"/>
              <w:snapToGrid w:val="0"/>
              <w:spacing w:after="0" w:line="360" w:lineRule="auto"/>
              <w:rPr>
                <w:rFonts w:ascii="Book Antiqua" w:eastAsia="Times New Roman" w:hAnsi="Book Antiqua" w:cs="Calibri"/>
                <w:sz w:val="24"/>
                <w:szCs w:val="24"/>
              </w:rPr>
            </w:pPr>
            <w:r w:rsidRPr="00C731E9">
              <w:rPr>
                <w:rFonts w:ascii="Book Antiqua" w:eastAsia="Times New Roman" w:hAnsi="Book Antiqua" w:cs="Calibri"/>
                <w:sz w:val="24"/>
                <w:szCs w:val="24"/>
              </w:rPr>
              <w:t>FP</w:t>
            </w:r>
          </w:p>
        </w:tc>
        <w:tc>
          <w:tcPr>
            <w:tcW w:w="1275" w:type="dxa"/>
            <w:tcBorders>
              <w:top w:val="nil"/>
              <w:left w:val="nil"/>
              <w:bottom w:val="nil"/>
              <w:right w:val="nil"/>
            </w:tcBorders>
            <w:vAlign w:val="bottom"/>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p>
        </w:tc>
        <w:tc>
          <w:tcPr>
            <w:tcW w:w="993" w:type="dxa"/>
            <w:tcBorders>
              <w:top w:val="nil"/>
              <w:left w:val="nil"/>
              <w:bottom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4.7</w:t>
            </w:r>
          </w:p>
        </w:tc>
        <w:tc>
          <w:tcPr>
            <w:tcW w:w="1134" w:type="dxa"/>
            <w:tcBorders>
              <w:top w:val="nil"/>
              <w:left w:val="nil"/>
              <w:bottom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1.8</w:t>
            </w:r>
          </w:p>
        </w:tc>
        <w:tc>
          <w:tcPr>
            <w:tcW w:w="992" w:type="dxa"/>
            <w:tcBorders>
              <w:top w:val="nil"/>
              <w:left w:val="nil"/>
              <w:bottom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22.6</w:t>
            </w:r>
          </w:p>
        </w:tc>
      </w:tr>
      <w:tr w:rsidR="001339DB" w:rsidRPr="001339DB" w:rsidTr="00411545">
        <w:trPr>
          <w:trHeight w:val="300"/>
        </w:trPr>
        <w:tc>
          <w:tcPr>
            <w:tcW w:w="2977" w:type="dxa"/>
            <w:tcBorders>
              <w:top w:val="nil"/>
              <w:left w:val="nil"/>
              <w:bottom w:val="nil"/>
              <w:right w:val="nil"/>
            </w:tcBorders>
            <w:shd w:val="clear" w:color="auto" w:fill="auto"/>
            <w:noWrap/>
            <w:vAlign w:val="bottom"/>
            <w:hideMark/>
          </w:tcPr>
          <w:p w:rsidR="00411545" w:rsidRPr="00C731E9" w:rsidRDefault="00411545" w:rsidP="00C731E9">
            <w:pPr>
              <w:keepNext/>
              <w:adjustRightInd w:val="0"/>
              <w:snapToGrid w:val="0"/>
              <w:spacing w:after="0" w:line="360" w:lineRule="auto"/>
              <w:rPr>
                <w:rFonts w:ascii="Book Antiqua" w:eastAsia="Times New Roman" w:hAnsi="Book Antiqua" w:cs="Calibri"/>
                <w:bCs/>
                <w:sz w:val="24"/>
                <w:szCs w:val="24"/>
              </w:rPr>
            </w:pPr>
            <w:r w:rsidRPr="00C731E9">
              <w:rPr>
                <w:rFonts w:ascii="Book Antiqua" w:eastAsia="Times New Roman" w:hAnsi="Book Antiqua" w:cs="Calibri"/>
                <w:bCs/>
                <w:sz w:val="24"/>
                <w:szCs w:val="24"/>
              </w:rPr>
              <w:t>Cirrhosis (F4)</w:t>
            </w:r>
          </w:p>
        </w:tc>
        <w:tc>
          <w:tcPr>
            <w:tcW w:w="1275" w:type="dxa"/>
            <w:tcBorders>
              <w:top w:val="nil"/>
              <w:left w:val="nil"/>
              <w:bottom w:val="nil"/>
              <w:right w:val="nil"/>
            </w:tcBorders>
            <w:vAlign w:val="bottom"/>
          </w:tcPr>
          <w:p w:rsidR="00411545" w:rsidRPr="001339DB" w:rsidRDefault="00411545" w:rsidP="001339DB">
            <w:pPr>
              <w:keepNext/>
              <w:adjustRightInd w:val="0"/>
              <w:snapToGrid w:val="0"/>
              <w:spacing w:after="0" w:line="360" w:lineRule="auto"/>
              <w:jc w:val="both"/>
              <w:rPr>
                <w:rFonts w:ascii="Book Antiqua" w:eastAsia="Times New Roman" w:hAnsi="Book Antiqua" w:cs="Calibri"/>
                <w:b/>
                <w:bCs/>
                <w:sz w:val="24"/>
                <w:szCs w:val="24"/>
              </w:rPr>
            </w:pPr>
          </w:p>
        </w:tc>
        <w:tc>
          <w:tcPr>
            <w:tcW w:w="993" w:type="dxa"/>
            <w:tcBorders>
              <w:top w:val="nil"/>
              <w:left w:val="nil"/>
              <w:bottom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Times New Roman" w:hAnsi="Book Antiqua" w:cs="Calibri"/>
                <w:b/>
                <w:bCs/>
                <w:sz w:val="24"/>
                <w:szCs w:val="24"/>
              </w:rPr>
            </w:pPr>
          </w:p>
        </w:tc>
        <w:tc>
          <w:tcPr>
            <w:tcW w:w="1134" w:type="dxa"/>
            <w:tcBorders>
              <w:top w:val="nil"/>
              <w:left w:val="nil"/>
              <w:bottom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Times New Roman" w:hAnsi="Book Antiqua" w:cs="Calibri"/>
                <w:b/>
                <w:bCs/>
                <w:sz w:val="24"/>
                <w:szCs w:val="24"/>
              </w:rPr>
            </w:pPr>
          </w:p>
        </w:tc>
        <w:tc>
          <w:tcPr>
            <w:tcW w:w="992" w:type="dxa"/>
            <w:tcBorders>
              <w:top w:val="nil"/>
              <w:left w:val="nil"/>
              <w:bottom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Times New Roman" w:hAnsi="Book Antiqua" w:cs="Calibri"/>
                <w:b/>
                <w:bCs/>
                <w:sz w:val="24"/>
                <w:szCs w:val="24"/>
              </w:rPr>
            </w:pPr>
          </w:p>
        </w:tc>
      </w:tr>
      <w:tr w:rsidR="001339DB" w:rsidRPr="001339DB" w:rsidTr="00411545">
        <w:trPr>
          <w:trHeight w:val="300"/>
        </w:trPr>
        <w:tc>
          <w:tcPr>
            <w:tcW w:w="2977" w:type="dxa"/>
            <w:tcBorders>
              <w:top w:val="nil"/>
              <w:left w:val="nil"/>
              <w:bottom w:val="nil"/>
              <w:right w:val="nil"/>
            </w:tcBorders>
            <w:shd w:val="clear" w:color="auto" w:fill="auto"/>
            <w:noWrap/>
            <w:vAlign w:val="bottom"/>
            <w:hideMark/>
          </w:tcPr>
          <w:p w:rsidR="00411545" w:rsidRPr="00C731E9" w:rsidRDefault="00411545" w:rsidP="00C731E9">
            <w:pPr>
              <w:keepNext/>
              <w:adjustRightInd w:val="0"/>
              <w:snapToGrid w:val="0"/>
              <w:spacing w:after="0" w:line="360" w:lineRule="auto"/>
              <w:rPr>
                <w:rFonts w:ascii="Book Antiqua" w:eastAsia="Times New Roman" w:hAnsi="Book Antiqua" w:cs="Calibri"/>
                <w:sz w:val="24"/>
                <w:szCs w:val="24"/>
              </w:rPr>
            </w:pPr>
            <w:r w:rsidRPr="00C731E9">
              <w:rPr>
                <w:rFonts w:ascii="Book Antiqua" w:eastAsia="Times New Roman" w:hAnsi="Book Antiqua" w:cs="Calibri"/>
                <w:sz w:val="24"/>
                <w:szCs w:val="24"/>
              </w:rPr>
              <w:t>TP</w:t>
            </w:r>
          </w:p>
        </w:tc>
        <w:tc>
          <w:tcPr>
            <w:tcW w:w="1275" w:type="dxa"/>
            <w:tcBorders>
              <w:top w:val="nil"/>
              <w:left w:val="nil"/>
              <w:bottom w:val="nil"/>
              <w:right w:val="nil"/>
            </w:tcBorders>
            <w:vAlign w:val="bottom"/>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p>
        </w:tc>
        <w:tc>
          <w:tcPr>
            <w:tcW w:w="993" w:type="dxa"/>
            <w:tcBorders>
              <w:top w:val="nil"/>
              <w:left w:val="nil"/>
              <w:bottom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18.1</w:t>
            </w:r>
          </w:p>
        </w:tc>
        <w:tc>
          <w:tcPr>
            <w:tcW w:w="1134" w:type="dxa"/>
            <w:tcBorders>
              <w:top w:val="nil"/>
              <w:left w:val="nil"/>
              <w:bottom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15.6</w:t>
            </w:r>
          </w:p>
        </w:tc>
        <w:tc>
          <w:tcPr>
            <w:tcW w:w="992" w:type="dxa"/>
            <w:tcBorders>
              <w:top w:val="nil"/>
              <w:left w:val="nil"/>
              <w:bottom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18.1</w:t>
            </w:r>
          </w:p>
        </w:tc>
      </w:tr>
      <w:tr w:rsidR="001339DB" w:rsidRPr="001339DB" w:rsidTr="00411545">
        <w:trPr>
          <w:trHeight w:val="300"/>
        </w:trPr>
        <w:tc>
          <w:tcPr>
            <w:tcW w:w="2977" w:type="dxa"/>
            <w:tcBorders>
              <w:top w:val="nil"/>
              <w:left w:val="nil"/>
              <w:bottom w:val="nil"/>
              <w:right w:val="nil"/>
            </w:tcBorders>
            <w:shd w:val="clear" w:color="auto" w:fill="auto"/>
            <w:noWrap/>
            <w:vAlign w:val="bottom"/>
            <w:hideMark/>
          </w:tcPr>
          <w:p w:rsidR="00411545" w:rsidRPr="00C731E9" w:rsidRDefault="00411545" w:rsidP="00C731E9">
            <w:pPr>
              <w:keepNext/>
              <w:adjustRightInd w:val="0"/>
              <w:snapToGrid w:val="0"/>
              <w:spacing w:after="0" w:line="360" w:lineRule="auto"/>
              <w:rPr>
                <w:rFonts w:ascii="Book Antiqua" w:eastAsia="Times New Roman" w:hAnsi="Book Antiqua" w:cs="Calibri"/>
                <w:sz w:val="24"/>
                <w:szCs w:val="24"/>
              </w:rPr>
            </w:pPr>
            <w:r w:rsidRPr="00C731E9">
              <w:rPr>
                <w:rFonts w:ascii="Book Antiqua" w:eastAsia="Times New Roman" w:hAnsi="Book Antiqua" w:cs="Calibri"/>
                <w:sz w:val="24"/>
                <w:szCs w:val="24"/>
              </w:rPr>
              <w:t>FN</w:t>
            </w:r>
          </w:p>
        </w:tc>
        <w:tc>
          <w:tcPr>
            <w:tcW w:w="1275" w:type="dxa"/>
            <w:tcBorders>
              <w:top w:val="nil"/>
              <w:left w:val="nil"/>
              <w:bottom w:val="nil"/>
              <w:right w:val="nil"/>
            </w:tcBorders>
            <w:vAlign w:val="bottom"/>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p>
        </w:tc>
        <w:tc>
          <w:tcPr>
            <w:tcW w:w="993" w:type="dxa"/>
            <w:tcBorders>
              <w:top w:val="nil"/>
              <w:left w:val="nil"/>
              <w:bottom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2.0</w:t>
            </w:r>
          </w:p>
        </w:tc>
        <w:tc>
          <w:tcPr>
            <w:tcW w:w="1134" w:type="dxa"/>
            <w:tcBorders>
              <w:top w:val="nil"/>
              <w:left w:val="nil"/>
              <w:bottom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4.5</w:t>
            </w:r>
          </w:p>
        </w:tc>
        <w:tc>
          <w:tcPr>
            <w:tcW w:w="992" w:type="dxa"/>
            <w:tcBorders>
              <w:top w:val="nil"/>
              <w:left w:val="nil"/>
              <w:bottom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2.0</w:t>
            </w:r>
          </w:p>
        </w:tc>
      </w:tr>
      <w:tr w:rsidR="001339DB" w:rsidRPr="001339DB" w:rsidTr="00411545">
        <w:trPr>
          <w:trHeight w:val="300"/>
        </w:trPr>
        <w:tc>
          <w:tcPr>
            <w:tcW w:w="2977" w:type="dxa"/>
            <w:tcBorders>
              <w:top w:val="nil"/>
              <w:left w:val="nil"/>
              <w:bottom w:val="nil"/>
              <w:right w:val="nil"/>
            </w:tcBorders>
            <w:shd w:val="clear" w:color="auto" w:fill="auto"/>
            <w:noWrap/>
            <w:vAlign w:val="bottom"/>
            <w:hideMark/>
          </w:tcPr>
          <w:p w:rsidR="00411545" w:rsidRPr="00C731E9" w:rsidRDefault="00411545" w:rsidP="00C731E9">
            <w:pPr>
              <w:keepNext/>
              <w:adjustRightInd w:val="0"/>
              <w:snapToGrid w:val="0"/>
              <w:spacing w:after="0" w:line="360" w:lineRule="auto"/>
              <w:rPr>
                <w:rFonts w:ascii="Book Antiqua" w:eastAsia="Times New Roman" w:hAnsi="Book Antiqua" w:cs="Calibri"/>
                <w:sz w:val="24"/>
                <w:szCs w:val="24"/>
              </w:rPr>
            </w:pPr>
            <w:r w:rsidRPr="00C731E9">
              <w:rPr>
                <w:rFonts w:ascii="Book Antiqua" w:eastAsia="Times New Roman" w:hAnsi="Book Antiqua" w:cs="Calibri"/>
                <w:sz w:val="24"/>
                <w:szCs w:val="24"/>
              </w:rPr>
              <w:t>TN</w:t>
            </w:r>
          </w:p>
        </w:tc>
        <w:tc>
          <w:tcPr>
            <w:tcW w:w="1275" w:type="dxa"/>
            <w:tcBorders>
              <w:top w:val="nil"/>
              <w:left w:val="nil"/>
              <w:bottom w:val="nil"/>
              <w:right w:val="nil"/>
            </w:tcBorders>
            <w:vAlign w:val="bottom"/>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p>
        </w:tc>
        <w:tc>
          <w:tcPr>
            <w:tcW w:w="993" w:type="dxa"/>
            <w:tcBorders>
              <w:top w:val="nil"/>
              <w:left w:val="nil"/>
              <w:bottom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71.9</w:t>
            </w:r>
          </w:p>
        </w:tc>
        <w:tc>
          <w:tcPr>
            <w:tcW w:w="1134" w:type="dxa"/>
            <w:tcBorders>
              <w:top w:val="nil"/>
              <w:left w:val="nil"/>
              <w:bottom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73.5</w:t>
            </w:r>
          </w:p>
        </w:tc>
        <w:tc>
          <w:tcPr>
            <w:tcW w:w="992" w:type="dxa"/>
            <w:tcBorders>
              <w:top w:val="nil"/>
              <w:left w:val="nil"/>
              <w:bottom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42.3</w:t>
            </w:r>
          </w:p>
        </w:tc>
      </w:tr>
      <w:tr w:rsidR="001339DB" w:rsidRPr="001339DB" w:rsidTr="00411545">
        <w:trPr>
          <w:trHeight w:val="300"/>
        </w:trPr>
        <w:tc>
          <w:tcPr>
            <w:tcW w:w="2977" w:type="dxa"/>
            <w:tcBorders>
              <w:top w:val="nil"/>
              <w:left w:val="nil"/>
              <w:bottom w:val="single" w:sz="4" w:space="0" w:color="auto"/>
              <w:right w:val="nil"/>
            </w:tcBorders>
            <w:shd w:val="clear" w:color="auto" w:fill="auto"/>
            <w:noWrap/>
            <w:vAlign w:val="bottom"/>
            <w:hideMark/>
          </w:tcPr>
          <w:p w:rsidR="00411545" w:rsidRPr="00C731E9" w:rsidRDefault="00411545" w:rsidP="00C731E9">
            <w:pPr>
              <w:keepNext/>
              <w:adjustRightInd w:val="0"/>
              <w:snapToGrid w:val="0"/>
              <w:spacing w:after="0" w:line="360" w:lineRule="auto"/>
              <w:rPr>
                <w:rFonts w:ascii="Book Antiqua" w:eastAsia="Times New Roman" w:hAnsi="Book Antiqua" w:cs="Calibri"/>
                <w:sz w:val="24"/>
                <w:szCs w:val="24"/>
              </w:rPr>
            </w:pPr>
            <w:r w:rsidRPr="00C731E9">
              <w:rPr>
                <w:rFonts w:ascii="Book Antiqua" w:eastAsia="Times New Roman" w:hAnsi="Book Antiqua" w:cs="Calibri"/>
                <w:sz w:val="24"/>
                <w:szCs w:val="24"/>
              </w:rPr>
              <w:t>FP</w:t>
            </w:r>
          </w:p>
        </w:tc>
        <w:tc>
          <w:tcPr>
            <w:tcW w:w="1275" w:type="dxa"/>
            <w:tcBorders>
              <w:top w:val="nil"/>
              <w:left w:val="nil"/>
              <w:bottom w:val="single" w:sz="4" w:space="0" w:color="auto"/>
              <w:right w:val="nil"/>
            </w:tcBorders>
            <w:vAlign w:val="bottom"/>
          </w:tcPr>
          <w:p w:rsidR="00411545" w:rsidRPr="001339DB" w:rsidRDefault="00411545" w:rsidP="001339DB">
            <w:pPr>
              <w:keepNext/>
              <w:adjustRightInd w:val="0"/>
              <w:snapToGrid w:val="0"/>
              <w:spacing w:after="0" w:line="360" w:lineRule="auto"/>
              <w:jc w:val="both"/>
              <w:rPr>
                <w:rFonts w:ascii="Book Antiqua" w:eastAsia="Times New Roman" w:hAnsi="Book Antiqua" w:cs="Calibri"/>
                <w:sz w:val="24"/>
                <w:szCs w:val="24"/>
              </w:rPr>
            </w:pPr>
          </w:p>
        </w:tc>
        <w:tc>
          <w:tcPr>
            <w:tcW w:w="993" w:type="dxa"/>
            <w:tcBorders>
              <w:top w:val="nil"/>
              <w:left w:val="nil"/>
              <w:bottom w:val="single" w:sz="4" w:space="0" w:color="auto"/>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8.0</w:t>
            </w:r>
          </w:p>
        </w:tc>
        <w:tc>
          <w:tcPr>
            <w:tcW w:w="1134" w:type="dxa"/>
            <w:tcBorders>
              <w:top w:val="nil"/>
              <w:left w:val="nil"/>
              <w:bottom w:val="single" w:sz="4" w:space="0" w:color="auto"/>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6.4</w:t>
            </w:r>
          </w:p>
        </w:tc>
        <w:tc>
          <w:tcPr>
            <w:tcW w:w="992" w:type="dxa"/>
            <w:tcBorders>
              <w:top w:val="nil"/>
              <w:left w:val="nil"/>
              <w:bottom w:val="single" w:sz="4" w:space="0" w:color="auto"/>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37.5</w:t>
            </w:r>
          </w:p>
        </w:tc>
      </w:tr>
      <w:tr w:rsidR="001339DB" w:rsidRPr="001339DB" w:rsidTr="00411545">
        <w:trPr>
          <w:trHeight w:val="300"/>
        </w:trPr>
        <w:tc>
          <w:tcPr>
            <w:tcW w:w="2977" w:type="dxa"/>
            <w:tcBorders>
              <w:top w:val="nil"/>
              <w:left w:val="nil"/>
              <w:bottom w:val="nil"/>
              <w:right w:val="nil"/>
            </w:tcBorders>
            <w:shd w:val="clear" w:color="auto" w:fill="auto"/>
            <w:noWrap/>
            <w:vAlign w:val="bottom"/>
          </w:tcPr>
          <w:p w:rsidR="00411545" w:rsidRPr="00C731E9" w:rsidRDefault="00411545" w:rsidP="00C731E9">
            <w:pPr>
              <w:keepNext/>
              <w:adjustRightInd w:val="0"/>
              <w:snapToGrid w:val="0"/>
              <w:spacing w:after="0" w:line="360" w:lineRule="auto"/>
              <w:rPr>
                <w:rFonts w:ascii="Book Antiqua" w:eastAsia="Times New Roman" w:hAnsi="Book Antiqua" w:cs="Calibri"/>
                <w:b/>
                <w:sz w:val="24"/>
                <w:szCs w:val="24"/>
              </w:rPr>
            </w:pPr>
            <w:r w:rsidRPr="00C731E9">
              <w:rPr>
                <w:rFonts w:ascii="Book Antiqua" w:eastAsia="Times New Roman" w:hAnsi="Book Antiqua" w:cs="Calibri"/>
                <w:b/>
                <w:sz w:val="24"/>
                <w:szCs w:val="24"/>
              </w:rPr>
              <w:t>Frequency of events (%)</w:t>
            </w:r>
          </w:p>
        </w:tc>
        <w:tc>
          <w:tcPr>
            <w:tcW w:w="1275" w:type="dxa"/>
            <w:tcBorders>
              <w:top w:val="nil"/>
              <w:left w:val="nil"/>
              <w:bottom w:val="nil"/>
              <w:right w:val="nil"/>
            </w:tcBorders>
            <w:vAlign w:val="bottom"/>
          </w:tcPr>
          <w:p w:rsidR="00411545" w:rsidRPr="001339DB" w:rsidRDefault="00411545" w:rsidP="001339DB">
            <w:pPr>
              <w:keepNext/>
              <w:adjustRightInd w:val="0"/>
              <w:snapToGrid w:val="0"/>
              <w:spacing w:after="0" w:line="360" w:lineRule="auto"/>
              <w:jc w:val="both"/>
              <w:rPr>
                <w:rFonts w:ascii="Book Antiqua" w:eastAsia="Times New Roman" w:hAnsi="Book Antiqua" w:cs="Calibri"/>
                <w:b/>
                <w:bCs/>
                <w:sz w:val="24"/>
                <w:szCs w:val="24"/>
              </w:rPr>
            </w:pPr>
            <w:r w:rsidRPr="001339DB">
              <w:rPr>
                <w:rFonts w:ascii="Book Antiqua" w:eastAsia="Times New Roman" w:hAnsi="Book Antiqua" w:cs="Calibri"/>
                <w:b/>
                <w:bCs/>
                <w:sz w:val="24"/>
                <w:szCs w:val="24"/>
              </w:rPr>
              <w:t>No testing</w:t>
            </w:r>
          </w:p>
        </w:tc>
        <w:tc>
          <w:tcPr>
            <w:tcW w:w="993" w:type="dxa"/>
            <w:tcBorders>
              <w:top w:val="nil"/>
              <w:left w:val="nil"/>
              <w:bottom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Times New Roman" w:hAnsi="Book Antiqua" w:cs="Calibri"/>
                <w:b/>
                <w:bCs/>
                <w:sz w:val="24"/>
                <w:szCs w:val="24"/>
              </w:rPr>
            </w:pPr>
            <w:r w:rsidRPr="001339DB">
              <w:rPr>
                <w:rFonts w:ascii="Book Antiqua" w:eastAsia="Times New Roman" w:hAnsi="Book Antiqua" w:cs="Calibri"/>
                <w:b/>
                <w:bCs/>
                <w:sz w:val="24"/>
                <w:szCs w:val="24"/>
              </w:rPr>
              <w:t>Single</w:t>
            </w:r>
          </w:p>
          <w:p w:rsidR="00411545" w:rsidRPr="001339DB" w:rsidRDefault="00411545" w:rsidP="00C731E9">
            <w:pPr>
              <w:keepNext/>
              <w:adjustRightInd w:val="0"/>
              <w:snapToGrid w:val="0"/>
              <w:spacing w:after="0" w:line="360" w:lineRule="auto"/>
              <w:jc w:val="center"/>
              <w:rPr>
                <w:rFonts w:ascii="Book Antiqua" w:eastAsia="Times New Roman" w:hAnsi="Book Antiqua" w:cs="Calibri"/>
                <w:b/>
                <w:bCs/>
                <w:sz w:val="24"/>
                <w:szCs w:val="24"/>
              </w:rPr>
            </w:pPr>
            <w:r w:rsidRPr="001339DB">
              <w:rPr>
                <w:rFonts w:ascii="Book Antiqua" w:eastAsia="Times New Roman" w:hAnsi="Book Antiqua" w:cs="Calibri"/>
                <w:b/>
                <w:bCs/>
                <w:sz w:val="24"/>
                <w:szCs w:val="24"/>
              </w:rPr>
              <w:t>Biopsy</w:t>
            </w:r>
          </w:p>
        </w:tc>
        <w:tc>
          <w:tcPr>
            <w:tcW w:w="1134" w:type="dxa"/>
            <w:tcBorders>
              <w:top w:val="nil"/>
              <w:left w:val="nil"/>
              <w:bottom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Times New Roman" w:hAnsi="Book Antiqua" w:cs="Calibri"/>
                <w:b/>
                <w:bCs/>
                <w:sz w:val="24"/>
                <w:szCs w:val="24"/>
              </w:rPr>
            </w:pPr>
            <w:r w:rsidRPr="001339DB">
              <w:rPr>
                <w:rFonts w:ascii="Book Antiqua" w:eastAsia="Times New Roman" w:hAnsi="Book Antiqua" w:cs="Calibri"/>
                <w:b/>
                <w:bCs/>
                <w:sz w:val="24"/>
                <w:szCs w:val="24"/>
              </w:rPr>
              <w:t>Annual</w:t>
            </w:r>
          </w:p>
          <w:p w:rsidR="00411545" w:rsidRPr="001339DB" w:rsidRDefault="00411545" w:rsidP="00C731E9">
            <w:pPr>
              <w:keepNext/>
              <w:adjustRightInd w:val="0"/>
              <w:snapToGrid w:val="0"/>
              <w:spacing w:after="0" w:line="360" w:lineRule="auto"/>
              <w:jc w:val="center"/>
              <w:rPr>
                <w:rFonts w:ascii="Book Antiqua" w:eastAsia="Times New Roman" w:hAnsi="Book Antiqua" w:cs="Calibri"/>
                <w:b/>
                <w:bCs/>
                <w:sz w:val="24"/>
                <w:szCs w:val="24"/>
              </w:rPr>
            </w:pPr>
            <w:r w:rsidRPr="001339DB">
              <w:rPr>
                <w:rFonts w:ascii="Book Antiqua" w:eastAsia="Times New Roman" w:hAnsi="Book Antiqua" w:cs="Calibri"/>
                <w:b/>
                <w:bCs/>
                <w:sz w:val="24"/>
                <w:szCs w:val="24"/>
              </w:rPr>
              <w:t>ELF/LSM</w:t>
            </w:r>
          </w:p>
        </w:tc>
        <w:tc>
          <w:tcPr>
            <w:tcW w:w="992" w:type="dxa"/>
            <w:tcBorders>
              <w:top w:val="nil"/>
              <w:left w:val="nil"/>
              <w:bottom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Times New Roman" w:hAnsi="Book Antiqua" w:cs="Calibri"/>
                <w:b/>
                <w:bCs/>
                <w:sz w:val="24"/>
                <w:szCs w:val="24"/>
              </w:rPr>
            </w:pPr>
            <w:r w:rsidRPr="001339DB">
              <w:rPr>
                <w:rFonts w:ascii="Book Antiqua" w:eastAsia="Times New Roman" w:hAnsi="Book Antiqua" w:cs="Calibri"/>
                <w:b/>
                <w:bCs/>
                <w:sz w:val="24"/>
                <w:szCs w:val="24"/>
              </w:rPr>
              <w:t>Annual</w:t>
            </w:r>
          </w:p>
          <w:p w:rsidR="00411545" w:rsidRPr="001339DB" w:rsidRDefault="00411545" w:rsidP="00C731E9">
            <w:pPr>
              <w:keepNext/>
              <w:adjustRightInd w:val="0"/>
              <w:snapToGrid w:val="0"/>
              <w:spacing w:after="0" w:line="360" w:lineRule="auto"/>
              <w:jc w:val="center"/>
              <w:rPr>
                <w:rFonts w:ascii="Book Antiqua" w:eastAsia="Times New Roman" w:hAnsi="Book Antiqua" w:cs="Calibri"/>
                <w:b/>
                <w:bCs/>
                <w:sz w:val="24"/>
                <w:szCs w:val="24"/>
              </w:rPr>
            </w:pPr>
            <w:r w:rsidRPr="001339DB">
              <w:rPr>
                <w:rFonts w:ascii="Book Antiqua" w:eastAsia="Times New Roman" w:hAnsi="Book Antiqua" w:cs="Calibri"/>
                <w:b/>
                <w:bCs/>
                <w:sz w:val="24"/>
                <w:szCs w:val="24"/>
              </w:rPr>
              <w:t>ELF</w:t>
            </w:r>
          </w:p>
        </w:tc>
      </w:tr>
      <w:tr w:rsidR="001339DB" w:rsidRPr="001339DB" w:rsidTr="00411545">
        <w:trPr>
          <w:trHeight w:val="300"/>
        </w:trPr>
        <w:tc>
          <w:tcPr>
            <w:tcW w:w="2977" w:type="dxa"/>
            <w:tcBorders>
              <w:top w:val="nil"/>
              <w:left w:val="nil"/>
              <w:bottom w:val="nil"/>
              <w:right w:val="nil"/>
            </w:tcBorders>
            <w:shd w:val="clear" w:color="auto" w:fill="auto"/>
            <w:noWrap/>
            <w:vAlign w:val="bottom"/>
          </w:tcPr>
          <w:p w:rsidR="00411545" w:rsidRPr="00C731E9" w:rsidRDefault="00411545" w:rsidP="00C731E9">
            <w:pPr>
              <w:keepNext/>
              <w:adjustRightInd w:val="0"/>
              <w:snapToGrid w:val="0"/>
              <w:spacing w:after="0" w:line="360" w:lineRule="auto"/>
              <w:rPr>
                <w:rFonts w:ascii="Book Antiqua" w:eastAsia="Times New Roman" w:hAnsi="Book Antiqua" w:cs="Calibri"/>
                <w:sz w:val="24"/>
                <w:szCs w:val="24"/>
              </w:rPr>
            </w:pPr>
            <w:r w:rsidRPr="00C731E9">
              <w:rPr>
                <w:rFonts w:ascii="Book Antiqua" w:eastAsia="Times New Roman" w:hAnsi="Book Antiqua" w:cs="Calibri"/>
                <w:sz w:val="24"/>
                <w:szCs w:val="24"/>
              </w:rPr>
              <w:t>Compensated cirrhosis (new cases)</w:t>
            </w:r>
          </w:p>
        </w:tc>
        <w:tc>
          <w:tcPr>
            <w:tcW w:w="1275" w:type="dxa"/>
            <w:tcBorders>
              <w:top w:val="nil"/>
              <w:left w:val="nil"/>
              <w:bottom w:val="nil"/>
              <w:right w:val="nil"/>
            </w:tcBorders>
            <w:vAlign w:val="bottom"/>
          </w:tcPr>
          <w:p w:rsidR="00411545" w:rsidRPr="001339DB" w:rsidRDefault="00411545" w:rsidP="001339DB">
            <w:pPr>
              <w:keepNext/>
              <w:adjustRightInd w:val="0"/>
              <w:snapToGrid w:val="0"/>
              <w:spacing w:after="0" w:line="360" w:lineRule="auto"/>
              <w:jc w:val="both"/>
              <w:rPr>
                <w:rFonts w:ascii="Book Antiqua" w:eastAsia="Century Gothic" w:hAnsi="Book Antiqua" w:cs="Times New Roman"/>
                <w:sz w:val="24"/>
                <w:szCs w:val="24"/>
              </w:rPr>
            </w:pPr>
            <w:r w:rsidRPr="001339DB">
              <w:rPr>
                <w:rFonts w:ascii="Book Antiqua" w:eastAsia="Century Gothic" w:hAnsi="Book Antiqua" w:cs="Times New Roman"/>
                <w:sz w:val="24"/>
                <w:szCs w:val="24"/>
              </w:rPr>
              <w:t>51.8</w:t>
            </w:r>
          </w:p>
        </w:tc>
        <w:tc>
          <w:tcPr>
            <w:tcW w:w="993" w:type="dxa"/>
            <w:tcBorders>
              <w:top w:val="nil"/>
              <w:left w:val="nil"/>
              <w:bottom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49.7</w:t>
            </w:r>
          </w:p>
        </w:tc>
        <w:tc>
          <w:tcPr>
            <w:tcW w:w="1134" w:type="dxa"/>
            <w:tcBorders>
              <w:top w:val="nil"/>
              <w:left w:val="nil"/>
              <w:bottom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39.0</w:t>
            </w:r>
          </w:p>
        </w:tc>
        <w:tc>
          <w:tcPr>
            <w:tcW w:w="992" w:type="dxa"/>
            <w:tcBorders>
              <w:top w:val="nil"/>
              <w:left w:val="nil"/>
              <w:bottom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27.8</w:t>
            </w:r>
          </w:p>
        </w:tc>
      </w:tr>
      <w:tr w:rsidR="001339DB" w:rsidRPr="001339DB" w:rsidTr="00411545">
        <w:trPr>
          <w:trHeight w:val="300"/>
        </w:trPr>
        <w:tc>
          <w:tcPr>
            <w:tcW w:w="2977" w:type="dxa"/>
            <w:tcBorders>
              <w:top w:val="nil"/>
              <w:left w:val="nil"/>
              <w:bottom w:val="nil"/>
              <w:right w:val="nil"/>
            </w:tcBorders>
            <w:shd w:val="clear" w:color="auto" w:fill="auto"/>
            <w:noWrap/>
            <w:vAlign w:val="bottom"/>
          </w:tcPr>
          <w:p w:rsidR="00411545" w:rsidRPr="00C731E9" w:rsidRDefault="00411545" w:rsidP="00C731E9">
            <w:pPr>
              <w:keepNext/>
              <w:adjustRightInd w:val="0"/>
              <w:snapToGrid w:val="0"/>
              <w:spacing w:after="0" w:line="360" w:lineRule="auto"/>
              <w:rPr>
                <w:rFonts w:ascii="Book Antiqua" w:eastAsia="Times New Roman" w:hAnsi="Book Antiqua" w:cs="Calibri"/>
                <w:sz w:val="24"/>
                <w:szCs w:val="24"/>
              </w:rPr>
            </w:pPr>
            <w:r w:rsidRPr="00C731E9">
              <w:rPr>
                <w:rFonts w:ascii="Book Antiqua" w:eastAsia="Times New Roman" w:hAnsi="Book Antiqua" w:cs="Calibri"/>
                <w:sz w:val="24"/>
                <w:szCs w:val="24"/>
              </w:rPr>
              <w:t>Decompensated cirrhosis</w:t>
            </w:r>
          </w:p>
        </w:tc>
        <w:tc>
          <w:tcPr>
            <w:tcW w:w="1275" w:type="dxa"/>
            <w:tcBorders>
              <w:top w:val="nil"/>
              <w:left w:val="nil"/>
              <w:bottom w:val="nil"/>
              <w:right w:val="nil"/>
            </w:tcBorders>
            <w:vAlign w:val="bottom"/>
          </w:tcPr>
          <w:p w:rsidR="00411545" w:rsidRPr="001339DB" w:rsidRDefault="00411545" w:rsidP="001339DB">
            <w:pPr>
              <w:keepNext/>
              <w:adjustRightInd w:val="0"/>
              <w:snapToGrid w:val="0"/>
              <w:spacing w:after="0" w:line="360" w:lineRule="auto"/>
              <w:jc w:val="both"/>
              <w:rPr>
                <w:rFonts w:ascii="Book Antiqua" w:eastAsia="Century Gothic" w:hAnsi="Book Antiqua" w:cs="Times New Roman"/>
                <w:sz w:val="24"/>
                <w:szCs w:val="24"/>
              </w:rPr>
            </w:pPr>
            <w:r w:rsidRPr="001339DB">
              <w:rPr>
                <w:rFonts w:ascii="Book Antiqua" w:eastAsia="Century Gothic" w:hAnsi="Book Antiqua" w:cs="Times New Roman"/>
                <w:sz w:val="24"/>
                <w:szCs w:val="24"/>
              </w:rPr>
              <w:t>64.7</w:t>
            </w:r>
          </w:p>
        </w:tc>
        <w:tc>
          <w:tcPr>
            <w:tcW w:w="993" w:type="dxa"/>
            <w:tcBorders>
              <w:top w:val="nil"/>
              <w:left w:val="nil"/>
              <w:bottom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61.4</w:t>
            </w:r>
          </w:p>
        </w:tc>
        <w:tc>
          <w:tcPr>
            <w:tcW w:w="1134" w:type="dxa"/>
            <w:tcBorders>
              <w:top w:val="nil"/>
              <w:left w:val="nil"/>
              <w:bottom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38.7</w:t>
            </w:r>
          </w:p>
        </w:tc>
        <w:tc>
          <w:tcPr>
            <w:tcW w:w="992" w:type="dxa"/>
            <w:tcBorders>
              <w:top w:val="nil"/>
              <w:left w:val="nil"/>
              <w:bottom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Calibri"/>
                <w:sz w:val="24"/>
                <w:szCs w:val="24"/>
              </w:rPr>
            </w:pPr>
            <w:r w:rsidRPr="001339DB">
              <w:rPr>
                <w:rFonts w:ascii="Book Antiqua" w:eastAsia="Century Gothic" w:hAnsi="Book Antiqua" w:cs="Calibri"/>
                <w:sz w:val="24"/>
                <w:szCs w:val="24"/>
              </w:rPr>
              <w:t>30.2</w:t>
            </w:r>
          </w:p>
        </w:tc>
      </w:tr>
      <w:tr w:rsidR="001339DB" w:rsidRPr="001339DB" w:rsidTr="00411545">
        <w:trPr>
          <w:trHeight w:val="300"/>
        </w:trPr>
        <w:tc>
          <w:tcPr>
            <w:tcW w:w="2977" w:type="dxa"/>
            <w:tcBorders>
              <w:top w:val="nil"/>
              <w:left w:val="nil"/>
              <w:right w:val="nil"/>
            </w:tcBorders>
            <w:shd w:val="clear" w:color="auto" w:fill="auto"/>
            <w:noWrap/>
            <w:vAlign w:val="bottom"/>
          </w:tcPr>
          <w:p w:rsidR="00411545" w:rsidRPr="00C731E9" w:rsidRDefault="00411545" w:rsidP="00C731E9">
            <w:pPr>
              <w:keepNext/>
              <w:adjustRightInd w:val="0"/>
              <w:snapToGrid w:val="0"/>
              <w:spacing w:after="0" w:line="360" w:lineRule="auto"/>
              <w:rPr>
                <w:rFonts w:ascii="Book Antiqua" w:eastAsia="Times New Roman" w:hAnsi="Book Antiqua" w:cs="Calibri"/>
                <w:sz w:val="24"/>
                <w:szCs w:val="24"/>
              </w:rPr>
            </w:pPr>
            <w:r w:rsidRPr="00C731E9">
              <w:rPr>
                <w:rFonts w:ascii="Book Antiqua" w:eastAsia="Times New Roman" w:hAnsi="Book Antiqua" w:cs="Calibri"/>
                <w:sz w:val="24"/>
                <w:szCs w:val="24"/>
              </w:rPr>
              <w:t>Hepatocellular carcinoma</w:t>
            </w:r>
          </w:p>
        </w:tc>
        <w:tc>
          <w:tcPr>
            <w:tcW w:w="1275" w:type="dxa"/>
            <w:tcBorders>
              <w:top w:val="nil"/>
              <w:left w:val="nil"/>
              <w:right w:val="nil"/>
            </w:tcBorders>
            <w:vAlign w:val="bottom"/>
          </w:tcPr>
          <w:p w:rsidR="00411545" w:rsidRPr="001339DB" w:rsidRDefault="00411545" w:rsidP="001339DB">
            <w:pPr>
              <w:keepNext/>
              <w:adjustRightInd w:val="0"/>
              <w:snapToGrid w:val="0"/>
              <w:spacing w:after="0" w:line="360" w:lineRule="auto"/>
              <w:jc w:val="both"/>
              <w:rPr>
                <w:rFonts w:ascii="Book Antiqua" w:eastAsia="Century Gothic" w:hAnsi="Book Antiqua" w:cs="Times New Roman"/>
                <w:sz w:val="24"/>
                <w:szCs w:val="24"/>
              </w:rPr>
            </w:pPr>
            <w:r w:rsidRPr="001339DB">
              <w:rPr>
                <w:rFonts w:ascii="Book Antiqua" w:eastAsia="Century Gothic" w:hAnsi="Book Antiqua" w:cs="Times New Roman"/>
                <w:sz w:val="24"/>
                <w:szCs w:val="24"/>
              </w:rPr>
              <w:t>10.2</w:t>
            </w:r>
          </w:p>
        </w:tc>
        <w:tc>
          <w:tcPr>
            <w:tcW w:w="993" w:type="dxa"/>
            <w:tcBorders>
              <w:top w:val="nil"/>
              <w:left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9.8</w:t>
            </w:r>
          </w:p>
        </w:tc>
        <w:tc>
          <w:tcPr>
            <w:tcW w:w="1134" w:type="dxa"/>
            <w:tcBorders>
              <w:top w:val="nil"/>
              <w:left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7.3</w:t>
            </w:r>
          </w:p>
        </w:tc>
        <w:tc>
          <w:tcPr>
            <w:tcW w:w="992" w:type="dxa"/>
            <w:tcBorders>
              <w:top w:val="nil"/>
              <w:left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Calibri"/>
                <w:sz w:val="24"/>
                <w:szCs w:val="24"/>
              </w:rPr>
            </w:pPr>
            <w:r w:rsidRPr="001339DB">
              <w:rPr>
                <w:rFonts w:ascii="Book Antiqua" w:eastAsia="Century Gothic" w:hAnsi="Book Antiqua" w:cs="Calibri"/>
                <w:sz w:val="24"/>
                <w:szCs w:val="24"/>
              </w:rPr>
              <w:t>5.8</w:t>
            </w:r>
          </w:p>
        </w:tc>
      </w:tr>
      <w:tr w:rsidR="001339DB" w:rsidRPr="001339DB" w:rsidTr="00411545">
        <w:trPr>
          <w:trHeight w:val="300"/>
        </w:trPr>
        <w:tc>
          <w:tcPr>
            <w:tcW w:w="2977" w:type="dxa"/>
            <w:tcBorders>
              <w:top w:val="nil"/>
              <w:left w:val="nil"/>
              <w:bottom w:val="single" w:sz="4" w:space="0" w:color="auto"/>
              <w:right w:val="nil"/>
            </w:tcBorders>
            <w:shd w:val="clear" w:color="auto" w:fill="auto"/>
            <w:noWrap/>
            <w:vAlign w:val="bottom"/>
          </w:tcPr>
          <w:p w:rsidR="00411545" w:rsidRPr="00C731E9" w:rsidRDefault="00411545" w:rsidP="00C731E9">
            <w:pPr>
              <w:keepNext/>
              <w:adjustRightInd w:val="0"/>
              <w:snapToGrid w:val="0"/>
              <w:spacing w:after="0" w:line="360" w:lineRule="auto"/>
              <w:rPr>
                <w:rFonts w:ascii="Book Antiqua" w:eastAsia="Times New Roman" w:hAnsi="Book Antiqua" w:cs="Calibri"/>
                <w:sz w:val="24"/>
                <w:szCs w:val="24"/>
              </w:rPr>
            </w:pPr>
            <w:r w:rsidRPr="00C731E9">
              <w:rPr>
                <w:rFonts w:ascii="Book Antiqua" w:eastAsia="Times New Roman" w:hAnsi="Book Antiqua" w:cs="Calibri"/>
                <w:sz w:val="24"/>
                <w:szCs w:val="24"/>
              </w:rPr>
              <w:t>Fibrosis-related death</w:t>
            </w:r>
          </w:p>
        </w:tc>
        <w:tc>
          <w:tcPr>
            <w:tcW w:w="1275" w:type="dxa"/>
            <w:tcBorders>
              <w:top w:val="nil"/>
              <w:left w:val="nil"/>
              <w:bottom w:val="single" w:sz="4" w:space="0" w:color="auto"/>
              <w:right w:val="nil"/>
            </w:tcBorders>
            <w:vAlign w:val="bottom"/>
          </w:tcPr>
          <w:p w:rsidR="00411545" w:rsidRPr="001339DB" w:rsidRDefault="00411545" w:rsidP="001339DB">
            <w:pPr>
              <w:keepNext/>
              <w:adjustRightInd w:val="0"/>
              <w:snapToGrid w:val="0"/>
              <w:spacing w:after="0" w:line="360" w:lineRule="auto"/>
              <w:jc w:val="both"/>
              <w:rPr>
                <w:rFonts w:ascii="Book Antiqua" w:eastAsia="Century Gothic" w:hAnsi="Book Antiqua" w:cs="Times New Roman"/>
                <w:sz w:val="24"/>
                <w:szCs w:val="24"/>
              </w:rPr>
            </w:pPr>
            <w:r w:rsidRPr="001339DB">
              <w:rPr>
                <w:rFonts w:ascii="Book Antiqua" w:eastAsia="Century Gothic" w:hAnsi="Book Antiqua" w:cs="Times New Roman"/>
                <w:sz w:val="24"/>
                <w:szCs w:val="24"/>
              </w:rPr>
              <w:t>68.8</w:t>
            </w:r>
          </w:p>
        </w:tc>
        <w:tc>
          <w:tcPr>
            <w:tcW w:w="993" w:type="dxa"/>
            <w:tcBorders>
              <w:top w:val="nil"/>
              <w:left w:val="nil"/>
              <w:bottom w:val="single" w:sz="4" w:space="0" w:color="auto"/>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66.5</w:t>
            </w:r>
          </w:p>
        </w:tc>
        <w:tc>
          <w:tcPr>
            <w:tcW w:w="1134" w:type="dxa"/>
            <w:tcBorders>
              <w:top w:val="nil"/>
              <w:left w:val="nil"/>
              <w:bottom w:val="single" w:sz="4" w:space="0" w:color="auto"/>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54.8</w:t>
            </w:r>
          </w:p>
        </w:tc>
        <w:tc>
          <w:tcPr>
            <w:tcW w:w="992" w:type="dxa"/>
            <w:tcBorders>
              <w:top w:val="nil"/>
              <w:left w:val="nil"/>
              <w:bottom w:val="single" w:sz="4" w:space="0" w:color="auto"/>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Times New Roman"/>
                <w:sz w:val="24"/>
                <w:szCs w:val="24"/>
              </w:rPr>
            </w:pPr>
            <w:r w:rsidRPr="001339DB">
              <w:rPr>
                <w:rFonts w:ascii="Book Antiqua" w:eastAsia="Century Gothic" w:hAnsi="Book Antiqua" w:cs="Times New Roman"/>
                <w:sz w:val="24"/>
                <w:szCs w:val="24"/>
              </w:rPr>
              <w:t>44.4</w:t>
            </w:r>
          </w:p>
        </w:tc>
      </w:tr>
      <w:tr w:rsidR="001339DB" w:rsidRPr="001339DB" w:rsidTr="00411545">
        <w:trPr>
          <w:trHeight w:val="300"/>
        </w:trPr>
        <w:tc>
          <w:tcPr>
            <w:tcW w:w="2977" w:type="dxa"/>
            <w:tcBorders>
              <w:top w:val="nil"/>
              <w:left w:val="nil"/>
              <w:bottom w:val="nil"/>
              <w:right w:val="nil"/>
            </w:tcBorders>
            <w:shd w:val="clear" w:color="auto" w:fill="auto"/>
            <w:noWrap/>
            <w:vAlign w:val="bottom"/>
          </w:tcPr>
          <w:p w:rsidR="00411545" w:rsidRPr="00C731E9" w:rsidRDefault="00411545" w:rsidP="00C731E9">
            <w:pPr>
              <w:keepNext/>
              <w:adjustRightInd w:val="0"/>
              <w:snapToGrid w:val="0"/>
              <w:spacing w:after="0" w:line="360" w:lineRule="auto"/>
              <w:rPr>
                <w:rFonts w:ascii="Book Antiqua" w:eastAsia="Times New Roman" w:hAnsi="Book Antiqua" w:cs="Calibri"/>
                <w:b/>
                <w:sz w:val="24"/>
                <w:szCs w:val="24"/>
              </w:rPr>
            </w:pPr>
            <w:r w:rsidRPr="00C731E9">
              <w:rPr>
                <w:rFonts w:ascii="Book Antiqua" w:eastAsia="Times New Roman" w:hAnsi="Book Antiqua" w:cs="Calibri"/>
                <w:b/>
                <w:sz w:val="24"/>
                <w:szCs w:val="24"/>
              </w:rPr>
              <w:t>QALYs, Costs and ICER</w:t>
            </w:r>
          </w:p>
        </w:tc>
        <w:tc>
          <w:tcPr>
            <w:tcW w:w="1275" w:type="dxa"/>
            <w:tcBorders>
              <w:top w:val="nil"/>
              <w:left w:val="nil"/>
              <w:bottom w:val="nil"/>
              <w:right w:val="nil"/>
            </w:tcBorders>
            <w:vAlign w:val="bottom"/>
          </w:tcPr>
          <w:p w:rsidR="00411545" w:rsidRPr="001339DB" w:rsidRDefault="00411545" w:rsidP="001339DB">
            <w:pPr>
              <w:keepNext/>
              <w:adjustRightInd w:val="0"/>
              <w:snapToGrid w:val="0"/>
              <w:spacing w:after="0" w:line="360" w:lineRule="auto"/>
              <w:jc w:val="both"/>
              <w:rPr>
                <w:rFonts w:ascii="Book Antiqua" w:eastAsia="Times New Roman" w:hAnsi="Book Antiqua" w:cs="Calibri"/>
                <w:b/>
                <w:bCs/>
                <w:sz w:val="24"/>
                <w:szCs w:val="24"/>
              </w:rPr>
            </w:pPr>
            <w:r w:rsidRPr="001339DB">
              <w:rPr>
                <w:rFonts w:ascii="Book Antiqua" w:eastAsia="Times New Roman" w:hAnsi="Book Antiqua" w:cs="Calibri"/>
                <w:b/>
                <w:bCs/>
                <w:sz w:val="24"/>
                <w:szCs w:val="24"/>
              </w:rPr>
              <w:t>No testing</w:t>
            </w:r>
          </w:p>
        </w:tc>
        <w:tc>
          <w:tcPr>
            <w:tcW w:w="993" w:type="dxa"/>
            <w:tcBorders>
              <w:top w:val="nil"/>
              <w:left w:val="nil"/>
              <w:bottom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Times New Roman" w:hAnsi="Book Antiqua" w:cs="Calibri"/>
                <w:b/>
                <w:bCs/>
                <w:sz w:val="24"/>
                <w:szCs w:val="24"/>
              </w:rPr>
            </w:pPr>
            <w:r w:rsidRPr="001339DB">
              <w:rPr>
                <w:rFonts w:ascii="Book Antiqua" w:eastAsia="Times New Roman" w:hAnsi="Book Antiqua" w:cs="Calibri"/>
                <w:b/>
                <w:bCs/>
                <w:sz w:val="24"/>
                <w:szCs w:val="24"/>
              </w:rPr>
              <w:t>Single</w:t>
            </w:r>
          </w:p>
          <w:p w:rsidR="00411545" w:rsidRPr="001339DB" w:rsidRDefault="00411545" w:rsidP="00C731E9">
            <w:pPr>
              <w:keepNext/>
              <w:adjustRightInd w:val="0"/>
              <w:snapToGrid w:val="0"/>
              <w:spacing w:after="0" w:line="360" w:lineRule="auto"/>
              <w:jc w:val="center"/>
              <w:rPr>
                <w:rFonts w:ascii="Book Antiqua" w:eastAsia="Times New Roman" w:hAnsi="Book Antiqua" w:cs="Calibri"/>
                <w:b/>
                <w:bCs/>
                <w:sz w:val="24"/>
                <w:szCs w:val="24"/>
              </w:rPr>
            </w:pPr>
            <w:r w:rsidRPr="001339DB">
              <w:rPr>
                <w:rFonts w:ascii="Book Antiqua" w:eastAsia="Times New Roman" w:hAnsi="Book Antiqua" w:cs="Calibri"/>
                <w:b/>
                <w:bCs/>
                <w:sz w:val="24"/>
                <w:szCs w:val="24"/>
              </w:rPr>
              <w:t>Biopsy</w:t>
            </w:r>
          </w:p>
        </w:tc>
        <w:tc>
          <w:tcPr>
            <w:tcW w:w="1134" w:type="dxa"/>
            <w:tcBorders>
              <w:top w:val="nil"/>
              <w:left w:val="nil"/>
              <w:bottom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Times New Roman" w:hAnsi="Book Antiqua" w:cs="Calibri"/>
                <w:b/>
                <w:bCs/>
                <w:sz w:val="24"/>
                <w:szCs w:val="24"/>
              </w:rPr>
            </w:pPr>
            <w:r w:rsidRPr="001339DB">
              <w:rPr>
                <w:rFonts w:ascii="Book Antiqua" w:eastAsia="Times New Roman" w:hAnsi="Book Antiqua" w:cs="Calibri"/>
                <w:b/>
                <w:bCs/>
                <w:sz w:val="24"/>
                <w:szCs w:val="24"/>
              </w:rPr>
              <w:t>Annual</w:t>
            </w:r>
          </w:p>
          <w:p w:rsidR="00411545" w:rsidRPr="001339DB" w:rsidRDefault="00411545" w:rsidP="00C731E9">
            <w:pPr>
              <w:keepNext/>
              <w:adjustRightInd w:val="0"/>
              <w:snapToGrid w:val="0"/>
              <w:spacing w:after="0" w:line="360" w:lineRule="auto"/>
              <w:jc w:val="center"/>
              <w:rPr>
                <w:rFonts w:ascii="Book Antiqua" w:eastAsia="Times New Roman" w:hAnsi="Book Antiqua" w:cs="Calibri"/>
                <w:b/>
                <w:bCs/>
                <w:sz w:val="24"/>
                <w:szCs w:val="24"/>
              </w:rPr>
            </w:pPr>
            <w:r w:rsidRPr="001339DB">
              <w:rPr>
                <w:rFonts w:ascii="Book Antiqua" w:eastAsia="Times New Roman" w:hAnsi="Book Antiqua" w:cs="Calibri"/>
                <w:b/>
                <w:bCs/>
                <w:sz w:val="24"/>
                <w:szCs w:val="24"/>
              </w:rPr>
              <w:t>ELF/LSM</w:t>
            </w:r>
          </w:p>
        </w:tc>
        <w:tc>
          <w:tcPr>
            <w:tcW w:w="992" w:type="dxa"/>
            <w:tcBorders>
              <w:top w:val="nil"/>
              <w:left w:val="nil"/>
              <w:bottom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Times New Roman" w:hAnsi="Book Antiqua" w:cs="Calibri"/>
                <w:b/>
                <w:bCs/>
                <w:sz w:val="24"/>
                <w:szCs w:val="24"/>
              </w:rPr>
            </w:pPr>
            <w:r w:rsidRPr="001339DB">
              <w:rPr>
                <w:rFonts w:ascii="Book Antiqua" w:eastAsia="Times New Roman" w:hAnsi="Book Antiqua" w:cs="Calibri"/>
                <w:b/>
                <w:bCs/>
                <w:sz w:val="24"/>
                <w:szCs w:val="24"/>
              </w:rPr>
              <w:t>Annual</w:t>
            </w:r>
          </w:p>
          <w:p w:rsidR="00411545" w:rsidRPr="001339DB" w:rsidRDefault="00411545" w:rsidP="00C731E9">
            <w:pPr>
              <w:keepNext/>
              <w:adjustRightInd w:val="0"/>
              <w:snapToGrid w:val="0"/>
              <w:spacing w:after="0" w:line="360" w:lineRule="auto"/>
              <w:jc w:val="center"/>
              <w:rPr>
                <w:rFonts w:ascii="Book Antiqua" w:eastAsia="Times New Roman" w:hAnsi="Book Antiqua" w:cs="Calibri"/>
                <w:b/>
                <w:bCs/>
                <w:sz w:val="24"/>
                <w:szCs w:val="24"/>
              </w:rPr>
            </w:pPr>
            <w:r w:rsidRPr="001339DB">
              <w:rPr>
                <w:rFonts w:ascii="Book Antiqua" w:eastAsia="Times New Roman" w:hAnsi="Book Antiqua" w:cs="Calibri"/>
                <w:b/>
                <w:bCs/>
                <w:sz w:val="24"/>
                <w:szCs w:val="24"/>
              </w:rPr>
              <w:t>ELF</w:t>
            </w:r>
          </w:p>
        </w:tc>
      </w:tr>
      <w:tr w:rsidR="001339DB" w:rsidRPr="001339DB" w:rsidTr="00411545">
        <w:trPr>
          <w:trHeight w:val="300"/>
        </w:trPr>
        <w:tc>
          <w:tcPr>
            <w:tcW w:w="2977" w:type="dxa"/>
            <w:tcBorders>
              <w:top w:val="nil"/>
              <w:left w:val="nil"/>
              <w:bottom w:val="nil"/>
              <w:right w:val="nil"/>
            </w:tcBorders>
            <w:shd w:val="clear" w:color="auto" w:fill="auto"/>
            <w:noWrap/>
            <w:vAlign w:val="bottom"/>
            <w:hideMark/>
          </w:tcPr>
          <w:p w:rsidR="00411545" w:rsidRPr="00C731E9" w:rsidRDefault="00411545" w:rsidP="00C731E9">
            <w:pPr>
              <w:keepNext/>
              <w:adjustRightInd w:val="0"/>
              <w:snapToGrid w:val="0"/>
              <w:spacing w:after="0" w:line="360" w:lineRule="auto"/>
              <w:rPr>
                <w:rFonts w:ascii="Book Antiqua" w:eastAsia="Times New Roman" w:hAnsi="Book Antiqua" w:cs="Calibri"/>
                <w:sz w:val="24"/>
                <w:szCs w:val="24"/>
              </w:rPr>
            </w:pPr>
            <w:r w:rsidRPr="00C731E9">
              <w:rPr>
                <w:rFonts w:ascii="Book Antiqua" w:eastAsia="Times New Roman" w:hAnsi="Book Antiqua" w:cs="Calibri"/>
                <w:sz w:val="24"/>
                <w:szCs w:val="24"/>
              </w:rPr>
              <w:t>QALYs</w:t>
            </w:r>
          </w:p>
        </w:tc>
        <w:tc>
          <w:tcPr>
            <w:tcW w:w="1275" w:type="dxa"/>
            <w:tcBorders>
              <w:top w:val="nil"/>
              <w:left w:val="nil"/>
              <w:bottom w:val="nil"/>
              <w:right w:val="nil"/>
            </w:tcBorders>
            <w:vAlign w:val="bottom"/>
          </w:tcPr>
          <w:p w:rsidR="00411545" w:rsidRPr="001339DB" w:rsidRDefault="00411545" w:rsidP="001339DB">
            <w:pPr>
              <w:keepNext/>
              <w:adjustRightInd w:val="0"/>
              <w:snapToGrid w:val="0"/>
              <w:spacing w:after="0" w:line="360" w:lineRule="auto"/>
              <w:jc w:val="both"/>
              <w:rPr>
                <w:rFonts w:ascii="Book Antiqua" w:eastAsia="Century Gothic" w:hAnsi="Book Antiqua" w:cs="Calibri"/>
                <w:sz w:val="24"/>
                <w:szCs w:val="24"/>
              </w:rPr>
            </w:pPr>
            <w:r w:rsidRPr="001339DB">
              <w:rPr>
                <w:rFonts w:ascii="Book Antiqua" w:eastAsia="Century Gothic" w:hAnsi="Book Antiqua" w:cs="Calibri"/>
                <w:sz w:val="24"/>
                <w:szCs w:val="24"/>
              </w:rPr>
              <w:t>9.20</w:t>
            </w:r>
          </w:p>
        </w:tc>
        <w:tc>
          <w:tcPr>
            <w:tcW w:w="993" w:type="dxa"/>
            <w:tcBorders>
              <w:top w:val="nil"/>
              <w:left w:val="nil"/>
              <w:bottom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Calibri"/>
                <w:sz w:val="24"/>
                <w:szCs w:val="24"/>
              </w:rPr>
            </w:pPr>
            <w:r w:rsidRPr="001339DB">
              <w:rPr>
                <w:rFonts w:ascii="Book Antiqua" w:eastAsia="Century Gothic" w:hAnsi="Book Antiqua" w:cs="Calibri"/>
                <w:sz w:val="24"/>
                <w:szCs w:val="24"/>
              </w:rPr>
              <w:t>9.55</w:t>
            </w:r>
          </w:p>
        </w:tc>
        <w:tc>
          <w:tcPr>
            <w:tcW w:w="1134" w:type="dxa"/>
            <w:tcBorders>
              <w:top w:val="nil"/>
              <w:left w:val="nil"/>
              <w:bottom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Calibri"/>
                <w:sz w:val="24"/>
                <w:szCs w:val="24"/>
              </w:rPr>
            </w:pPr>
            <w:r w:rsidRPr="001339DB">
              <w:rPr>
                <w:rFonts w:ascii="Book Antiqua" w:eastAsia="Century Gothic" w:hAnsi="Book Antiqua" w:cs="Calibri"/>
                <w:sz w:val="24"/>
                <w:szCs w:val="24"/>
              </w:rPr>
              <w:t>10.88</w:t>
            </w:r>
          </w:p>
        </w:tc>
        <w:tc>
          <w:tcPr>
            <w:tcW w:w="992" w:type="dxa"/>
            <w:tcBorders>
              <w:top w:val="nil"/>
              <w:left w:val="nil"/>
              <w:bottom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Calibri"/>
                <w:sz w:val="24"/>
                <w:szCs w:val="24"/>
              </w:rPr>
            </w:pPr>
            <w:r w:rsidRPr="001339DB">
              <w:rPr>
                <w:rFonts w:ascii="Book Antiqua" w:eastAsia="Century Gothic" w:hAnsi="Book Antiqua" w:cs="Calibri"/>
                <w:sz w:val="24"/>
                <w:szCs w:val="24"/>
              </w:rPr>
              <w:t>11.94</w:t>
            </w:r>
          </w:p>
        </w:tc>
      </w:tr>
      <w:tr w:rsidR="001339DB" w:rsidRPr="001339DB" w:rsidTr="00411545">
        <w:trPr>
          <w:trHeight w:val="300"/>
        </w:trPr>
        <w:tc>
          <w:tcPr>
            <w:tcW w:w="2977" w:type="dxa"/>
            <w:tcBorders>
              <w:top w:val="nil"/>
              <w:left w:val="nil"/>
              <w:bottom w:val="nil"/>
              <w:right w:val="nil"/>
            </w:tcBorders>
            <w:shd w:val="clear" w:color="auto" w:fill="auto"/>
            <w:noWrap/>
            <w:vAlign w:val="bottom"/>
            <w:hideMark/>
          </w:tcPr>
          <w:p w:rsidR="00411545" w:rsidRPr="00C731E9" w:rsidRDefault="00411545" w:rsidP="00C731E9">
            <w:pPr>
              <w:keepNext/>
              <w:adjustRightInd w:val="0"/>
              <w:snapToGrid w:val="0"/>
              <w:spacing w:after="0" w:line="360" w:lineRule="auto"/>
              <w:rPr>
                <w:rFonts w:ascii="Book Antiqua" w:eastAsia="Times New Roman" w:hAnsi="Book Antiqua" w:cs="Calibri"/>
                <w:sz w:val="24"/>
                <w:szCs w:val="24"/>
              </w:rPr>
            </w:pPr>
            <w:r w:rsidRPr="00C731E9">
              <w:rPr>
                <w:rFonts w:ascii="Book Antiqua" w:eastAsia="Times New Roman" w:hAnsi="Book Antiqua" w:cs="Calibri"/>
                <w:sz w:val="24"/>
                <w:szCs w:val="24"/>
              </w:rPr>
              <w:t>Cost per patient (€)</w:t>
            </w:r>
          </w:p>
        </w:tc>
        <w:tc>
          <w:tcPr>
            <w:tcW w:w="1275" w:type="dxa"/>
            <w:tcBorders>
              <w:top w:val="nil"/>
              <w:left w:val="nil"/>
              <w:bottom w:val="nil"/>
              <w:right w:val="nil"/>
            </w:tcBorders>
            <w:vAlign w:val="bottom"/>
          </w:tcPr>
          <w:p w:rsidR="00411545" w:rsidRPr="001339DB" w:rsidRDefault="00411545" w:rsidP="001339DB">
            <w:pPr>
              <w:keepNext/>
              <w:adjustRightInd w:val="0"/>
              <w:snapToGrid w:val="0"/>
              <w:spacing w:after="0" w:line="360" w:lineRule="auto"/>
              <w:jc w:val="both"/>
              <w:rPr>
                <w:rFonts w:ascii="Book Antiqua" w:eastAsia="Century Gothic" w:hAnsi="Book Antiqua" w:cs="Calibri"/>
                <w:sz w:val="24"/>
                <w:szCs w:val="24"/>
              </w:rPr>
            </w:pPr>
            <w:r w:rsidRPr="001339DB">
              <w:rPr>
                <w:rFonts w:ascii="Book Antiqua" w:eastAsia="Century Gothic" w:hAnsi="Book Antiqua" w:cs="Calibri"/>
                <w:sz w:val="24"/>
                <w:szCs w:val="24"/>
              </w:rPr>
              <w:t>13 985</w:t>
            </w:r>
          </w:p>
        </w:tc>
        <w:tc>
          <w:tcPr>
            <w:tcW w:w="993" w:type="dxa"/>
            <w:tcBorders>
              <w:top w:val="nil"/>
              <w:left w:val="nil"/>
              <w:bottom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Calibri"/>
                <w:sz w:val="24"/>
                <w:szCs w:val="24"/>
              </w:rPr>
            </w:pPr>
            <w:r w:rsidRPr="001339DB">
              <w:rPr>
                <w:rFonts w:ascii="Book Antiqua" w:eastAsia="Century Gothic" w:hAnsi="Book Antiqua" w:cs="Calibri"/>
                <w:sz w:val="24"/>
                <w:szCs w:val="24"/>
              </w:rPr>
              <w:t>14 209</w:t>
            </w:r>
          </w:p>
        </w:tc>
        <w:tc>
          <w:tcPr>
            <w:tcW w:w="1134" w:type="dxa"/>
            <w:tcBorders>
              <w:top w:val="nil"/>
              <w:left w:val="nil"/>
              <w:bottom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Calibri"/>
                <w:sz w:val="24"/>
                <w:szCs w:val="24"/>
              </w:rPr>
            </w:pPr>
            <w:r w:rsidRPr="001339DB">
              <w:rPr>
                <w:rFonts w:ascii="Book Antiqua" w:eastAsia="Century Gothic" w:hAnsi="Book Antiqua" w:cs="Calibri"/>
                <w:sz w:val="24"/>
                <w:szCs w:val="24"/>
              </w:rPr>
              <w:t>14 581</w:t>
            </w:r>
          </w:p>
        </w:tc>
        <w:tc>
          <w:tcPr>
            <w:tcW w:w="992" w:type="dxa"/>
            <w:tcBorders>
              <w:top w:val="nil"/>
              <w:left w:val="nil"/>
              <w:bottom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Calibri"/>
                <w:sz w:val="24"/>
                <w:szCs w:val="24"/>
              </w:rPr>
            </w:pPr>
            <w:r w:rsidRPr="001339DB">
              <w:rPr>
                <w:rFonts w:ascii="Book Antiqua" w:eastAsia="Century Gothic" w:hAnsi="Book Antiqua" w:cs="Calibri"/>
                <w:sz w:val="24"/>
                <w:szCs w:val="24"/>
              </w:rPr>
              <w:t>14 661</w:t>
            </w:r>
          </w:p>
        </w:tc>
      </w:tr>
      <w:tr w:rsidR="001339DB" w:rsidRPr="001339DB" w:rsidTr="00411545">
        <w:trPr>
          <w:trHeight w:val="300"/>
        </w:trPr>
        <w:tc>
          <w:tcPr>
            <w:tcW w:w="2977" w:type="dxa"/>
            <w:tcBorders>
              <w:top w:val="nil"/>
              <w:left w:val="nil"/>
              <w:right w:val="nil"/>
            </w:tcBorders>
            <w:shd w:val="clear" w:color="auto" w:fill="auto"/>
            <w:noWrap/>
            <w:vAlign w:val="bottom"/>
          </w:tcPr>
          <w:p w:rsidR="00411545" w:rsidRPr="00C731E9" w:rsidRDefault="00411545" w:rsidP="00C731E9">
            <w:pPr>
              <w:keepNext/>
              <w:adjustRightInd w:val="0"/>
              <w:snapToGrid w:val="0"/>
              <w:spacing w:after="0" w:line="360" w:lineRule="auto"/>
              <w:rPr>
                <w:rFonts w:ascii="Book Antiqua" w:eastAsia="Times New Roman" w:hAnsi="Book Antiqua" w:cs="Calibri"/>
                <w:sz w:val="24"/>
                <w:szCs w:val="24"/>
              </w:rPr>
            </w:pPr>
            <w:r w:rsidRPr="00C731E9">
              <w:rPr>
                <w:rFonts w:ascii="Book Antiqua" w:eastAsia="Times New Roman" w:hAnsi="Book Antiqua" w:cs="Calibri"/>
                <w:sz w:val="24"/>
                <w:szCs w:val="24"/>
              </w:rPr>
              <w:t>ICER relative to “no testing”</w:t>
            </w:r>
          </w:p>
        </w:tc>
        <w:tc>
          <w:tcPr>
            <w:tcW w:w="1275" w:type="dxa"/>
            <w:tcBorders>
              <w:top w:val="nil"/>
              <w:left w:val="nil"/>
              <w:right w:val="nil"/>
            </w:tcBorders>
            <w:vAlign w:val="bottom"/>
          </w:tcPr>
          <w:p w:rsidR="00411545" w:rsidRPr="001339DB" w:rsidRDefault="00411545" w:rsidP="001339DB">
            <w:pPr>
              <w:keepNext/>
              <w:adjustRightInd w:val="0"/>
              <w:snapToGrid w:val="0"/>
              <w:spacing w:after="0" w:line="360" w:lineRule="auto"/>
              <w:jc w:val="both"/>
              <w:rPr>
                <w:rFonts w:ascii="Book Antiqua" w:eastAsia="Century Gothic" w:hAnsi="Book Antiqua" w:cs="Calibri"/>
                <w:sz w:val="24"/>
                <w:szCs w:val="24"/>
              </w:rPr>
            </w:pPr>
          </w:p>
        </w:tc>
        <w:tc>
          <w:tcPr>
            <w:tcW w:w="993" w:type="dxa"/>
            <w:tcBorders>
              <w:top w:val="nil"/>
              <w:left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Calibri"/>
                <w:sz w:val="24"/>
                <w:szCs w:val="24"/>
              </w:rPr>
            </w:pPr>
            <w:r w:rsidRPr="001339DB">
              <w:rPr>
                <w:rFonts w:ascii="Book Antiqua" w:eastAsia="Century Gothic" w:hAnsi="Book Antiqua" w:cs="Calibri"/>
                <w:sz w:val="24"/>
                <w:szCs w:val="24"/>
              </w:rPr>
              <w:t>640</w:t>
            </w:r>
          </w:p>
        </w:tc>
        <w:tc>
          <w:tcPr>
            <w:tcW w:w="1134" w:type="dxa"/>
            <w:tcBorders>
              <w:top w:val="nil"/>
              <w:left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Calibri"/>
                <w:sz w:val="24"/>
                <w:szCs w:val="24"/>
              </w:rPr>
            </w:pPr>
            <w:r w:rsidRPr="001339DB">
              <w:rPr>
                <w:rFonts w:ascii="Book Antiqua" w:eastAsia="Century Gothic" w:hAnsi="Book Antiqua" w:cs="Calibri"/>
                <w:sz w:val="24"/>
                <w:szCs w:val="24"/>
              </w:rPr>
              <w:t>355</w:t>
            </w:r>
          </w:p>
        </w:tc>
        <w:tc>
          <w:tcPr>
            <w:tcW w:w="992" w:type="dxa"/>
            <w:tcBorders>
              <w:top w:val="nil"/>
              <w:left w:val="nil"/>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Calibri"/>
                <w:sz w:val="24"/>
                <w:szCs w:val="24"/>
              </w:rPr>
            </w:pPr>
            <w:r w:rsidRPr="001339DB">
              <w:rPr>
                <w:rFonts w:ascii="Book Antiqua" w:eastAsia="Century Gothic" w:hAnsi="Book Antiqua" w:cs="Calibri"/>
                <w:sz w:val="24"/>
                <w:szCs w:val="24"/>
              </w:rPr>
              <w:t>247</w:t>
            </w:r>
          </w:p>
        </w:tc>
      </w:tr>
      <w:tr w:rsidR="001339DB" w:rsidRPr="001339DB" w:rsidTr="00411545">
        <w:trPr>
          <w:trHeight w:val="300"/>
        </w:trPr>
        <w:tc>
          <w:tcPr>
            <w:tcW w:w="2977" w:type="dxa"/>
            <w:tcBorders>
              <w:left w:val="nil"/>
              <w:bottom w:val="single" w:sz="4" w:space="0" w:color="auto"/>
              <w:right w:val="nil"/>
            </w:tcBorders>
            <w:shd w:val="clear" w:color="auto" w:fill="auto"/>
            <w:noWrap/>
            <w:vAlign w:val="bottom"/>
          </w:tcPr>
          <w:p w:rsidR="00411545" w:rsidRPr="00C731E9" w:rsidRDefault="00411545" w:rsidP="00C731E9">
            <w:pPr>
              <w:keepNext/>
              <w:adjustRightInd w:val="0"/>
              <w:snapToGrid w:val="0"/>
              <w:spacing w:after="0" w:line="360" w:lineRule="auto"/>
              <w:rPr>
                <w:rFonts w:ascii="Book Antiqua" w:eastAsia="Times New Roman" w:hAnsi="Book Antiqua" w:cs="Calibri"/>
                <w:sz w:val="24"/>
                <w:szCs w:val="24"/>
              </w:rPr>
            </w:pPr>
            <w:r w:rsidRPr="00C731E9">
              <w:rPr>
                <w:rFonts w:ascii="Book Antiqua" w:eastAsia="Times New Roman" w:hAnsi="Book Antiqua" w:cs="Calibri"/>
                <w:sz w:val="24"/>
                <w:szCs w:val="24"/>
              </w:rPr>
              <w:t>ICER relative to biopsy</w:t>
            </w:r>
          </w:p>
        </w:tc>
        <w:tc>
          <w:tcPr>
            <w:tcW w:w="1275" w:type="dxa"/>
            <w:tcBorders>
              <w:left w:val="nil"/>
              <w:bottom w:val="single" w:sz="4" w:space="0" w:color="auto"/>
              <w:right w:val="nil"/>
            </w:tcBorders>
            <w:vAlign w:val="bottom"/>
          </w:tcPr>
          <w:p w:rsidR="00411545" w:rsidRPr="001339DB" w:rsidRDefault="00411545" w:rsidP="001339DB">
            <w:pPr>
              <w:keepNext/>
              <w:adjustRightInd w:val="0"/>
              <w:snapToGrid w:val="0"/>
              <w:spacing w:after="0" w:line="360" w:lineRule="auto"/>
              <w:jc w:val="both"/>
              <w:rPr>
                <w:rFonts w:ascii="Book Antiqua" w:eastAsia="Century Gothic" w:hAnsi="Book Antiqua" w:cs="Calibri"/>
                <w:sz w:val="24"/>
                <w:szCs w:val="24"/>
              </w:rPr>
            </w:pPr>
          </w:p>
        </w:tc>
        <w:tc>
          <w:tcPr>
            <w:tcW w:w="993" w:type="dxa"/>
            <w:tcBorders>
              <w:left w:val="nil"/>
              <w:bottom w:val="single" w:sz="4" w:space="0" w:color="auto"/>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Calibri"/>
                <w:sz w:val="24"/>
                <w:szCs w:val="24"/>
              </w:rPr>
            </w:pPr>
          </w:p>
        </w:tc>
        <w:tc>
          <w:tcPr>
            <w:tcW w:w="1134" w:type="dxa"/>
            <w:tcBorders>
              <w:left w:val="nil"/>
              <w:bottom w:val="single" w:sz="4" w:space="0" w:color="auto"/>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Calibri"/>
                <w:sz w:val="24"/>
                <w:szCs w:val="24"/>
              </w:rPr>
            </w:pPr>
            <w:r w:rsidRPr="001339DB">
              <w:rPr>
                <w:rFonts w:ascii="Book Antiqua" w:eastAsia="Century Gothic" w:hAnsi="Book Antiqua" w:cs="Calibri"/>
                <w:sz w:val="24"/>
                <w:szCs w:val="24"/>
              </w:rPr>
              <w:t>280</w:t>
            </w:r>
          </w:p>
        </w:tc>
        <w:tc>
          <w:tcPr>
            <w:tcW w:w="992" w:type="dxa"/>
            <w:tcBorders>
              <w:left w:val="nil"/>
              <w:bottom w:val="single" w:sz="4" w:space="0" w:color="auto"/>
              <w:right w:val="nil"/>
            </w:tcBorders>
            <w:shd w:val="clear" w:color="auto" w:fill="auto"/>
            <w:noWrap/>
            <w:vAlign w:val="bottom"/>
          </w:tcPr>
          <w:p w:rsidR="00411545" w:rsidRPr="001339DB" w:rsidRDefault="00411545" w:rsidP="00C731E9">
            <w:pPr>
              <w:keepNext/>
              <w:adjustRightInd w:val="0"/>
              <w:snapToGrid w:val="0"/>
              <w:spacing w:after="0" w:line="360" w:lineRule="auto"/>
              <w:jc w:val="center"/>
              <w:rPr>
                <w:rFonts w:ascii="Book Antiqua" w:eastAsia="Century Gothic" w:hAnsi="Book Antiqua" w:cs="Calibri"/>
                <w:sz w:val="24"/>
                <w:szCs w:val="24"/>
              </w:rPr>
            </w:pPr>
            <w:r w:rsidRPr="001339DB">
              <w:rPr>
                <w:rFonts w:ascii="Book Antiqua" w:eastAsia="Century Gothic" w:hAnsi="Book Antiqua" w:cs="Calibri"/>
                <w:sz w:val="24"/>
                <w:szCs w:val="24"/>
              </w:rPr>
              <w:t>189</w:t>
            </w:r>
          </w:p>
        </w:tc>
      </w:tr>
      <w:tr w:rsidR="00411545" w:rsidRPr="001339DB" w:rsidTr="00411545">
        <w:trPr>
          <w:trHeight w:val="300"/>
        </w:trPr>
        <w:tc>
          <w:tcPr>
            <w:tcW w:w="7371" w:type="dxa"/>
            <w:gridSpan w:val="5"/>
            <w:tcBorders>
              <w:top w:val="single" w:sz="4" w:space="0" w:color="auto"/>
              <w:left w:val="nil"/>
              <w:right w:val="nil"/>
            </w:tcBorders>
          </w:tcPr>
          <w:p w:rsidR="00C731E9" w:rsidRPr="00C731E9" w:rsidRDefault="00D96EE7" w:rsidP="00C731E9">
            <w:pPr>
              <w:adjustRightInd w:val="0"/>
              <w:snapToGrid w:val="0"/>
              <w:spacing w:after="0" w:line="360" w:lineRule="auto"/>
              <w:jc w:val="both"/>
              <w:rPr>
                <w:rFonts w:ascii="Book Antiqua" w:hAnsi="Book Antiqua" w:cs="Times New Roman"/>
                <w:sz w:val="24"/>
                <w:szCs w:val="24"/>
                <w:lang w:eastAsia="zh-CN"/>
              </w:rPr>
            </w:pPr>
            <w:r w:rsidRPr="00D96EE7">
              <w:rPr>
                <w:rFonts w:ascii="Book Antiqua" w:eastAsia="Century Gothic" w:hAnsi="Book Antiqua" w:cs="Times New Roman"/>
                <w:sz w:val="24"/>
                <w:szCs w:val="24"/>
                <w:vertAlign w:val="superscript"/>
              </w:rPr>
              <w:t>1</w:t>
            </w:r>
            <w:r w:rsidR="00411545" w:rsidRPr="001339DB">
              <w:rPr>
                <w:rFonts w:ascii="Book Antiqua" w:eastAsia="Century Gothic" w:hAnsi="Book Antiqua" w:cs="Times New Roman"/>
                <w:sz w:val="24"/>
                <w:szCs w:val="24"/>
              </w:rPr>
              <w:t xml:space="preserve">Percentage of cases detected on first test. Initial prevalence: liver fibrosis = 53%; cirrhosis = 20%. TP: </w:t>
            </w:r>
            <w:r w:rsidR="00C731E9" w:rsidRPr="001339DB">
              <w:rPr>
                <w:rFonts w:ascii="Book Antiqua" w:eastAsia="Century Gothic" w:hAnsi="Book Antiqua" w:cs="Times New Roman"/>
                <w:sz w:val="24"/>
                <w:szCs w:val="24"/>
              </w:rPr>
              <w:t xml:space="preserve">True </w:t>
            </w:r>
            <w:r w:rsidR="00411545" w:rsidRPr="001339DB">
              <w:rPr>
                <w:rFonts w:ascii="Book Antiqua" w:eastAsia="Century Gothic" w:hAnsi="Book Antiqua" w:cs="Times New Roman"/>
                <w:sz w:val="24"/>
                <w:szCs w:val="24"/>
              </w:rPr>
              <w:t xml:space="preserve">positives, FN: </w:t>
            </w:r>
            <w:r w:rsidR="00C731E9" w:rsidRPr="001339DB">
              <w:rPr>
                <w:rFonts w:ascii="Book Antiqua" w:eastAsia="Century Gothic" w:hAnsi="Book Antiqua" w:cs="Times New Roman"/>
                <w:sz w:val="24"/>
                <w:szCs w:val="24"/>
              </w:rPr>
              <w:t xml:space="preserve">False </w:t>
            </w:r>
            <w:r w:rsidR="00411545" w:rsidRPr="001339DB">
              <w:rPr>
                <w:rFonts w:ascii="Book Antiqua" w:eastAsia="Century Gothic" w:hAnsi="Book Antiqua" w:cs="Times New Roman"/>
                <w:sz w:val="24"/>
                <w:szCs w:val="24"/>
              </w:rPr>
              <w:t xml:space="preserve">negatives; TN: </w:t>
            </w:r>
            <w:r w:rsidR="00C731E9" w:rsidRPr="001339DB">
              <w:rPr>
                <w:rFonts w:ascii="Book Antiqua" w:eastAsia="Century Gothic" w:hAnsi="Book Antiqua" w:cs="Times New Roman"/>
                <w:sz w:val="24"/>
                <w:szCs w:val="24"/>
              </w:rPr>
              <w:t xml:space="preserve">True </w:t>
            </w:r>
            <w:r w:rsidR="00411545" w:rsidRPr="001339DB">
              <w:rPr>
                <w:rFonts w:ascii="Book Antiqua" w:eastAsia="Century Gothic" w:hAnsi="Book Antiqua" w:cs="Times New Roman"/>
                <w:sz w:val="24"/>
                <w:szCs w:val="24"/>
              </w:rPr>
              <w:t xml:space="preserve">negatives; FP: </w:t>
            </w:r>
            <w:r w:rsidR="00C731E9" w:rsidRPr="001339DB">
              <w:rPr>
                <w:rFonts w:ascii="Book Antiqua" w:eastAsia="Century Gothic" w:hAnsi="Book Antiqua" w:cs="Times New Roman"/>
                <w:sz w:val="24"/>
                <w:szCs w:val="24"/>
              </w:rPr>
              <w:t xml:space="preserve">False </w:t>
            </w:r>
            <w:r w:rsidR="00411545" w:rsidRPr="001339DB">
              <w:rPr>
                <w:rFonts w:ascii="Book Antiqua" w:eastAsia="Century Gothic" w:hAnsi="Book Antiqua" w:cs="Times New Roman"/>
                <w:sz w:val="24"/>
                <w:szCs w:val="24"/>
              </w:rPr>
              <w:t>positives</w:t>
            </w:r>
            <w:r w:rsidR="00C731E9">
              <w:rPr>
                <w:rFonts w:ascii="Book Antiqua" w:hAnsi="Book Antiqua" w:cs="Times New Roman" w:hint="eastAsia"/>
                <w:sz w:val="24"/>
                <w:szCs w:val="24"/>
                <w:lang w:eastAsia="zh-CN"/>
              </w:rPr>
              <w:t>;</w:t>
            </w:r>
            <w:r w:rsidR="00411545" w:rsidRPr="001339DB">
              <w:rPr>
                <w:rFonts w:ascii="Book Antiqua" w:eastAsia="Century Gothic" w:hAnsi="Book Antiqua" w:cs="Times New Roman"/>
                <w:sz w:val="24"/>
                <w:szCs w:val="24"/>
              </w:rPr>
              <w:t xml:space="preserve"> QALY: </w:t>
            </w:r>
            <w:r w:rsidR="00C731E9" w:rsidRPr="001339DB">
              <w:rPr>
                <w:rFonts w:ascii="Book Antiqua" w:eastAsia="Century Gothic" w:hAnsi="Book Antiqua" w:cs="Times New Roman"/>
                <w:sz w:val="24"/>
                <w:szCs w:val="24"/>
              </w:rPr>
              <w:t>Quality</w:t>
            </w:r>
            <w:r w:rsidR="00411545" w:rsidRPr="001339DB">
              <w:rPr>
                <w:rFonts w:ascii="Book Antiqua" w:eastAsia="Century Gothic" w:hAnsi="Book Antiqua" w:cs="Times New Roman"/>
                <w:sz w:val="24"/>
                <w:szCs w:val="24"/>
              </w:rPr>
              <w:t>-</w:t>
            </w:r>
            <w:r w:rsidR="00411545" w:rsidRPr="001339DB">
              <w:rPr>
                <w:rFonts w:ascii="Book Antiqua" w:eastAsia="Century Gothic" w:hAnsi="Book Antiqua" w:cs="Times New Roman"/>
                <w:sz w:val="24"/>
                <w:szCs w:val="24"/>
              </w:rPr>
              <w:lastRenderedPageBreak/>
              <w:t>adjusted life year</w:t>
            </w:r>
            <w:r w:rsidR="00C731E9">
              <w:rPr>
                <w:rFonts w:ascii="Book Antiqua" w:hAnsi="Book Antiqua" w:cs="Times New Roman" w:hint="eastAsia"/>
                <w:sz w:val="24"/>
                <w:szCs w:val="24"/>
                <w:lang w:eastAsia="zh-CN"/>
              </w:rPr>
              <w:t xml:space="preserve">; </w:t>
            </w:r>
            <w:r w:rsidR="00411545" w:rsidRPr="001339DB">
              <w:rPr>
                <w:rFonts w:ascii="Book Antiqua" w:eastAsia="Century Gothic" w:hAnsi="Book Antiqua" w:cs="Times New Roman"/>
                <w:sz w:val="24"/>
                <w:szCs w:val="24"/>
              </w:rPr>
              <w:t xml:space="preserve">ICER: </w:t>
            </w:r>
            <w:r w:rsidR="00C731E9" w:rsidRPr="001339DB">
              <w:rPr>
                <w:rFonts w:ascii="Book Antiqua" w:eastAsia="Century Gothic" w:hAnsi="Book Antiqua" w:cs="Times New Roman"/>
                <w:sz w:val="24"/>
                <w:szCs w:val="24"/>
              </w:rPr>
              <w:t xml:space="preserve">Incremental </w:t>
            </w:r>
            <w:r w:rsidR="00411545" w:rsidRPr="001339DB">
              <w:rPr>
                <w:rFonts w:ascii="Book Antiqua" w:eastAsia="Century Gothic" w:hAnsi="Book Antiqua" w:cs="Times New Roman"/>
                <w:sz w:val="24"/>
                <w:szCs w:val="24"/>
              </w:rPr>
              <w:t>cost-effectiveness ratio (€ per QALY)</w:t>
            </w:r>
            <w:r w:rsidR="00C731E9">
              <w:rPr>
                <w:rFonts w:ascii="Book Antiqua" w:hAnsi="Book Antiqua" w:cs="Times New Roman" w:hint="eastAsia"/>
                <w:sz w:val="24"/>
                <w:szCs w:val="24"/>
                <w:lang w:eastAsia="zh-CN"/>
              </w:rPr>
              <w:t xml:space="preserve">; </w:t>
            </w:r>
            <w:r w:rsidR="00C731E9" w:rsidRPr="00C731E9">
              <w:rPr>
                <w:rFonts w:ascii="Book Antiqua" w:hAnsi="Book Antiqua" w:cs="Times New Roman"/>
                <w:sz w:val="24"/>
                <w:szCs w:val="24"/>
                <w:lang w:eastAsia="zh-CN"/>
              </w:rPr>
              <w:t xml:space="preserve">ELF: Enhanced Liver Fibrosis test; LSM: Liver </w:t>
            </w:r>
            <w:r w:rsidR="00C731E9">
              <w:rPr>
                <w:rFonts w:ascii="Book Antiqua" w:hAnsi="Book Antiqua" w:cs="Times New Roman"/>
                <w:sz w:val="24"/>
                <w:szCs w:val="24"/>
                <w:lang w:eastAsia="zh-CN"/>
              </w:rPr>
              <w:t>stiffness measurement</w:t>
            </w:r>
            <w:r w:rsidR="00C731E9" w:rsidRPr="00C731E9">
              <w:rPr>
                <w:rFonts w:ascii="Book Antiqua" w:hAnsi="Book Antiqua" w:cs="Times New Roman" w:hint="eastAsia"/>
                <w:sz w:val="24"/>
                <w:szCs w:val="24"/>
                <w:lang w:eastAsia="zh-CN"/>
              </w:rPr>
              <w:t>.</w:t>
            </w:r>
            <w:r w:rsidR="00C731E9" w:rsidRPr="00C731E9">
              <w:rPr>
                <w:rFonts w:ascii="Book Antiqua" w:hAnsi="Book Antiqua" w:cs="Times New Roman"/>
                <w:sz w:val="24"/>
                <w:szCs w:val="24"/>
                <w:lang w:eastAsia="zh-CN"/>
              </w:rPr>
              <w:t xml:space="preserve"> </w:t>
            </w:r>
          </w:p>
          <w:p w:rsidR="00411545" w:rsidRPr="001339DB" w:rsidRDefault="00411545" w:rsidP="00C731E9">
            <w:pPr>
              <w:adjustRightInd w:val="0"/>
              <w:snapToGrid w:val="0"/>
              <w:spacing w:after="0" w:line="360" w:lineRule="auto"/>
              <w:jc w:val="both"/>
              <w:rPr>
                <w:rFonts w:ascii="Book Antiqua" w:eastAsia="Times New Roman" w:hAnsi="Book Antiqua" w:cs="Calibri"/>
                <w:sz w:val="24"/>
                <w:szCs w:val="24"/>
              </w:rPr>
            </w:pPr>
            <w:r w:rsidRPr="001339DB">
              <w:rPr>
                <w:rFonts w:ascii="Book Antiqua" w:eastAsia="Century Gothic" w:hAnsi="Book Antiqua" w:cs="Times New Roman"/>
                <w:sz w:val="24"/>
                <w:szCs w:val="24"/>
              </w:rPr>
              <w:t xml:space="preserve"> </w:t>
            </w:r>
          </w:p>
        </w:tc>
      </w:tr>
    </w:tbl>
    <w:p w:rsidR="00E74CB7" w:rsidRPr="001339DB" w:rsidRDefault="00E74CB7" w:rsidP="001339DB">
      <w:pPr>
        <w:adjustRightInd w:val="0"/>
        <w:snapToGrid w:val="0"/>
        <w:spacing w:after="0" w:line="360" w:lineRule="auto"/>
        <w:jc w:val="both"/>
        <w:rPr>
          <w:rFonts w:ascii="Book Antiqua" w:hAnsi="Book Antiqua"/>
          <w:b/>
          <w:sz w:val="24"/>
          <w:szCs w:val="24"/>
          <w:u w:val="single"/>
        </w:rPr>
      </w:pPr>
    </w:p>
    <w:p w:rsidR="00E74CB7" w:rsidRPr="001339DB" w:rsidRDefault="00E74CB7" w:rsidP="001339DB">
      <w:pPr>
        <w:adjustRightInd w:val="0"/>
        <w:snapToGrid w:val="0"/>
        <w:spacing w:after="0" w:line="360" w:lineRule="auto"/>
        <w:jc w:val="both"/>
        <w:rPr>
          <w:rFonts w:ascii="Book Antiqua" w:hAnsi="Book Antiqua"/>
          <w:b/>
          <w:sz w:val="24"/>
          <w:szCs w:val="24"/>
          <w:u w:val="single"/>
        </w:rPr>
      </w:pPr>
      <w:r w:rsidRPr="001339DB">
        <w:rPr>
          <w:rFonts w:ascii="Book Antiqua" w:hAnsi="Book Antiqua"/>
          <w:b/>
          <w:sz w:val="24"/>
          <w:szCs w:val="24"/>
          <w:u w:val="single"/>
        </w:rPr>
        <w:br w:type="page"/>
      </w:r>
    </w:p>
    <w:p w:rsidR="00E74CB7" w:rsidRPr="001339DB" w:rsidRDefault="00C731E9" w:rsidP="001339DB">
      <w:pPr>
        <w:adjustRightInd w:val="0"/>
        <w:snapToGrid w:val="0"/>
        <w:spacing w:after="0" w:line="360" w:lineRule="auto"/>
        <w:jc w:val="both"/>
        <w:rPr>
          <w:rFonts w:ascii="Book Antiqua" w:hAnsi="Book Antiqua"/>
          <w:sz w:val="24"/>
          <w:szCs w:val="24"/>
          <w:lang w:eastAsia="zh-CN"/>
        </w:rPr>
      </w:pPr>
      <w:r>
        <w:rPr>
          <w:rFonts w:ascii="Book Antiqua" w:hAnsi="Book Antiqua" w:hint="eastAsia"/>
          <w:sz w:val="24"/>
          <w:szCs w:val="24"/>
          <w:lang w:eastAsia="zh-CN"/>
        </w:rPr>
        <w:lastRenderedPageBreak/>
        <w:t>A</w:t>
      </w:r>
    </w:p>
    <w:p w:rsidR="00E74CB7" w:rsidRPr="001339DB" w:rsidRDefault="009F4340" w:rsidP="001339DB">
      <w:pPr>
        <w:widowControl w:val="0"/>
        <w:autoSpaceDE w:val="0"/>
        <w:autoSpaceDN w:val="0"/>
        <w:adjustRightInd w:val="0"/>
        <w:snapToGrid w:val="0"/>
        <w:spacing w:after="0" w:line="360" w:lineRule="auto"/>
        <w:ind w:hanging="640"/>
        <w:jc w:val="both"/>
        <w:rPr>
          <w:rFonts w:ascii="Book Antiqua" w:hAnsi="Book Antiqua"/>
          <w:b/>
          <w:sz w:val="24"/>
          <w:szCs w:val="24"/>
          <w:u w:val="single"/>
        </w:rPr>
      </w:pPr>
      <w:r w:rsidRPr="001339DB">
        <w:rPr>
          <w:rFonts w:ascii="Book Antiqua" w:hAnsi="Book Antiqua"/>
          <w:b/>
          <w:noProof/>
          <w:sz w:val="24"/>
          <w:szCs w:val="24"/>
          <w:u w:val="single"/>
          <w:lang w:eastAsia="zh-CN"/>
        </w:rPr>
        <w:drawing>
          <wp:inline distT="0" distB="0" distL="0" distR="0" wp14:anchorId="2ED32E2F" wp14:editId="769F88DA">
            <wp:extent cx="4442400" cy="3135600"/>
            <wp:effectExtent l="0" t="0" r="0" b="0"/>
            <wp:docPr id="14" name="Imagen 14" descr="C:\Users\soto\Documents\5. Fibrosis Hepática\Last version\Fig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to\Documents\5. Fibrosis Hepática\Last version\Fig1A.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2400" cy="3135600"/>
                    </a:xfrm>
                    <a:prstGeom prst="rect">
                      <a:avLst/>
                    </a:prstGeom>
                    <a:noFill/>
                    <a:ln>
                      <a:noFill/>
                    </a:ln>
                  </pic:spPr>
                </pic:pic>
              </a:graphicData>
            </a:graphic>
          </wp:inline>
        </w:drawing>
      </w:r>
    </w:p>
    <w:p w:rsidR="00E74CB7" w:rsidRPr="001339DB" w:rsidRDefault="00E74CB7" w:rsidP="001339DB">
      <w:pPr>
        <w:adjustRightInd w:val="0"/>
        <w:snapToGrid w:val="0"/>
        <w:spacing w:after="0" w:line="360" w:lineRule="auto"/>
        <w:jc w:val="both"/>
        <w:rPr>
          <w:rFonts w:ascii="Book Antiqua" w:hAnsi="Book Antiqua"/>
          <w:sz w:val="24"/>
          <w:szCs w:val="24"/>
        </w:rPr>
      </w:pPr>
    </w:p>
    <w:p w:rsidR="00E74CB7" w:rsidRPr="001339DB" w:rsidRDefault="00C731E9" w:rsidP="001339DB">
      <w:pPr>
        <w:adjustRightInd w:val="0"/>
        <w:snapToGrid w:val="0"/>
        <w:spacing w:after="0" w:line="360" w:lineRule="auto"/>
        <w:jc w:val="both"/>
        <w:rPr>
          <w:rFonts w:ascii="Book Antiqua" w:hAnsi="Book Antiqua"/>
          <w:sz w:val="24"/>
          <w:szCs w:val="24"/>
          <w:lang w:eastAsia="zh-CN"/>
        </w:rPr>
      </w:pPr>
      <w:r>
        <w:rPr>
          <w:rFonts w:ascii="Book Antiqua" w:hAnsi="Book Antiqua" w:hint="eastAsia"/>
          <w:sz w:val="24"/>
          <w:szCs w:val="24"/>
          <w:lang w:eastAsia="zh-CN"/>
        </w:rPr>
        <w:t>B</w:t>
      </w:r>
    </w:p>
    <w:p w:rsidR="00E74CB7" w:rsidRDefault="00E74CB7" w:rsidP="001339DB">
      <w:pPr>
        <w:adjustRightInd w:val="0"/>
        <w:snapToGrid w:val="0"/>
        <w:spacing w:after="0" w:line="360" w:lineRule="auto"/>
        <w:jc w:val="both"/>
        <w:rPr>
          <w:rFonts w:ascii="Book Antiqua" w:hAnsi="Book Antiqua"/>
          <w:sz w:val="24"/>
          <w:szCs w:val="24"/>
          <w:lang w:eastAsia="zh-CN"/>
        </w:rPr>
      </w:pPr>
      <w:r w:rsidRPr="001339DB">
        <w:rPr>
          <w:rFonts w:ascii="Book Antiqua" w:hAnsi="Book Antiqua"/>
          <w:noProof/>
          <w:sz w:val="24"/>
          <w:szCs w:val="24"/>
          <w:lang w:eastAsia="zh-CN"/>
        </w:rPr>
        <w:drawing>
          <wp:inline distT="0" distB="0" distL="0" distR="0" wp14:anchorId="701DEC56" wp14:editId="4700812C">
            <wp:extent cx="4705200" cy="329400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B.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05200" cy="3294000"/>
                    </a:xfrm>
                    <a:prstGeom prst="rect">
                      <a:avLst/>
                    </a:prstGeom>
                  </pic:spPr>
                </pic:pic>
              </a:graphicData>
            </a:graphic>
          </wp:inline>
        </w:drawing>
      </w:r>
    </w:p>
    <w:p w:rsidR="00C731E9" w:rsidRPr="00C731E9" w:rsidRDefault="00C731E9" w:rsidP="00C731E9">
      <w:pPr>
        <w:adjustRightInd w:val="0"/>
        <w:snapToGrid w:val="0"/>
        <w:spacing w:after="0" w:line="360" w:lineRule="auto"/>
        <w:jc w:val="both"/>
        <w:rPr>
          <w:rFonts w:ascii="Book Antiqua" w:hAnsi="Book Antiqua"/>
          <w:b/>
          <w:bCs/>
          <w:sz w:val="24"/>
          <w:szCs w:val="24"/>
          <w:lang w:eastAsia="zh-CN"/>
        </w:rPr>
      </w:pPr>
      <w:r w:rsidRPr="00C731E9">
        <w:rPr>
          <w:rFonts w:ascii="Book Antiqua" w:hAnsi="Book Antiqua"/>
          <w:b/>
          <w:bCs/>
          <w:sz w:val="24"/>
          <w:szCs w:val="24"/>
          <w:lang w:eastAsia="zh-CN"/>
        </w:rPr>
        <w:t>Figure 1 Markov model for hepatitis C virus</w:t>
      </w:r>
      <w:r w:rsidRPr="00C731E9">
        <w:rPr>
          <w:rFonts w:ascii="Book Antiqua" w:hAnsi="Book Antiqua" w:hint="eastAsia"/>
          <w:b/>
          <w:bCs/>
          <w:sz w:val="24"/>
          <w:szCs w:val="24"/>
          <w:lang w:eastAsia="zh-CN"/>
        </w:rPr>
        <w:t xml:space="preserve"> (A) </w:t>
      </w:r>
      <w:r>
        <w:rPr>
          <w:rFonts w:ascii="Book Antiqua" w:hAnsi="Book Antiqua" w:hint="eastAsia"/>
          <w:b/>
          <w:bCs/>
          <w:sz w:val="24"/>
          <w:szCs w:val="24"/>
          <w:lang w:eastAsia="zh-CN"/>
        </w:rPr>
        <w:t xml:space="preserve">and </w:t>
      </w:r>
      <w:r w:rsidRPr="00C731E9">
        <w:rPr>
          <w:rFonts w:ascii="Book Antiqua" w:hAnsi="Book Antiqua"/>
          <w:b/>
          <w:bCs/>
          <w:sz w:val="24"/>
          <w:szCs w:val="24"/>
          <w:lang w:eastAsia="zh-CN"/>
        </w:rPr>
        <w:t>Markov model for alcoholic liver disease</w:t>
      </w:r>
      <w:r w:rsidRPr="00C731E9">
        <w:rPr>
          <w:rFonts w:ascii="Book Antiqua" w:hAnsi="Book Antiqua" w:hint="eastAsia"/>
          <w:b/>
          <w:bCs/>
          <w:sz w:val="24"/>
          <w:szCs w:val="24"/>
          <w:lang w:eastAsia="zh-CN"/>
        </w:rPr>
        <w:t xml:space="preserve"> (B).</w:t>
      </w:r>
    </w:p>
    <w:p w:rsidR="00C731E9" w:rsidRPr="00C731E9" w:rsidRDefault="00C731E9" w:rsidP="001339DB">
      <w:pPr>
        <w:adjustRightInd w:val="0"/>
        <w:snapToGrid w:val="0"/>
        <w:spacing w:after="0" w:line="360" w:lineRule="auto"/>
        <w:jc w:val="both"/>
        <w:rPr>
          <w:rFonts w:ascii="Book Antiqua" w:hAnsi="Book Antiqua"/>
          <w:sz w:val="24"/>
          <w:szCs w:val="24"/>
          <w:lang w:eastAsia="zh-CN"/>
        </w:rPr>
      </w:pPr>
    </w:p>
    <w:p w:rsidR="00E74CB7" w:rsidRPr="001339DB" w:rsidRDefault="00E74CB7" w:rsidP="001339DB">
      <w:pPr>
        <w:adjustRightInd w:val="0"/>
        <w:snapToGrid w:val="0"/>
        <w:spacing w:after="0" w:line="360" w:lineRule="auto"/>
        <w:jc w:val="both"/>
        <w:rPr>
          <w:rFonts w:ascii="Book Antiqua" w:hAnsi="Book Antiqua"/>
          <w:sz w:val="24"/>
          <w:szCs w:val="24"/>
        </w:rPr>
      </w:pPr>
    </w:p>
    <w:p w:rsidR="00E74CB7" w:rsidRPr="001339DB" w:rsidRDefault="00E74CB7" w:rsidP="001339DB">
      <w:pPr>
        <w:adjustRightInd w:val="0"/>
        <w:snapToGrid w:val="0"/>
        <w:spacing w:after="0" w:line="360" w:lineRule="auto"/>
        <w:jc w:val="both"/>
        <w:rPr>
          <w:rFonts w:ascii="Book Antiqua" w:hAnsi="Book Antiqua"/>
          <w:sz w:val="24"/>
          <w:szCs w:val="24"/>
        </w:rPr>
      </w:pPr>
      <w:r w:rsidRPr="001339DB">
        <w:rPr>
          <w:rFonts w:ascii="Book Antiqua" w:hAnsi="Book Antiqua"/>
          <w:noProof/>
          <w:sz w:val="24"/>
          <w:szCs w:val="24"/>
          <w:lang w:eastAsia="zh-CN"/>
        </w:rPr>
        <w:drawing>
          <wp:inline distT="0" distB="0" distL="0" distR="0" wp14:anchorId="5F894AFA" wp14:editId="310E41B9">
            <wp:extent cx="4489200" cy="3214800"/>
            <wp:effectExtent l="0" t="0" r="0" b="0"/>
            <wp:docPr id="11" name="Imagen 11" descr="C:\Users\soto\Documents\5. Fibrosis Hepática\Last version\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to\Documents\5. Fibrosis Hepática\Last version\Fig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9200" cy="3214800"/>
                    </a:xfrm>
                    <a:prstGeom prst="rect">
                      <a:avLst/>
                    </a:prstGeom>
                    <a:noFill/>
                    <a:ln>
                      <a:noFill/>
                    </a:ln>
                  </pic:spPr>
                </pic:pic>
              </a:graphicData>
            </a:graphic>
          </wp:inline>
        </w:drawing>
      </w:r>
    </w:p>
    <w:p w:rsidR="00C731E9" w:rsidRPr="00C731E9" w:rsidRDefault="00C731E9" w:rsidP="00C731E9">
      <w:pPr>
        <w:adjustRightInd w:val="0"/>
        <w:snapToGrid w:val="0"/>
        <w:spacing w:after="0" w:line="360" w:lineRule="auto"/>
        <w:jc w:val="both"/>
        <w:rPr>
          <w:rFonts w:ascii="Book Antiqua" w:hAnsi="Book Antiqua"/>
          <w:bCs/>
          <w:sz w:val="24"/>
          <w:szCs w:val="24"/>
          <w:lang w:eastAsia="zh-CN"/>
        </w:rPr>
      </w:pPr>
      <w:r w:rsidRPr="00C731E9">
        <w:rPr>
          <w:rFonts w:ascii="Book Antiqua" w:hAnsi="Book Antiqua"/>
          <w:b/>
          <w:bCs/>
          <w:sz w:val="24"/>
          <w:szCs w:val="24"/>
        </w:rPr>
        <w:t xml:space="preserve">Figure 2 Deterministic sensitivity analysis for </w:t>
      </w:r>
      <w:bookmarkStart w:id="790" w:name="OLE_LINK4090"/>
      <w:bookmarkStart w:id="791" w:name="OLE_LINK4091"/>
      <w:r w:rsidRPr="00C731E9">
        <w:rPr>
          <w:rFonts w:ascii="Book Antiqua" w:hAnsi="Book Antiqua"/>
          <w:b/>
          <w:bCs/>
          <w:sz w:val="24"/>
          <w:szCs w:val="24"/>
        </w:rPr>
        <w:t>hepatitis C virus</w:t>
      </w:r>
      <w:bookmarkEnd w:id="790"/>
      <w:bookmarkEnd w:id="791"/>
      <w:r w:rsidRPr="00C731E9">
        <w:rPr>
          <w:rFonts w:ascii="Book Antiqua" w:hAnsi="Book Antiqua" w:hint="eastAsia"/>
          <w:b/>
          <w:bCs/>
          <w:sz w:val="24"/>
          <w:szCs w:val="24"/>
          <w:lang w:eastAsia="zh-CN"/>
        </w:rPr>
        <w:t>.</w:t>
      </w:r>
      <w:r w:rsidRPr="00C731E9">
        <w:rPr>
          <w:rFonts w:ascii="Book Antiqua" w:hAnsi="Book Antiqua" w:hint="eastAsia"/>
          <w:bCs/>
          <w:sz w:val="24"/>
          <w:szCs w:val="24"/>
          <w:lang w:eastAsia="zh-CN"/>
        </w:rPr>
        <w:t xml:space="preserve"> HCV:</w:t>
      </w:r>
      <w:r w:rsidRPr="00C731E9">
        <w:rPr>
          <w:rFonts w:ascii="Book Antiqua" w:hAnsi="Book Antiqua"/>
          <w:bCs/>
          <w:sz w:val="24"/>
          <w:szCs w:val="24"/>
        </w:rPr>
        <w:t xml:space="preserve"> </w:t>
      </w:r>
      <w:r w:rsidRPr="00C731E9">
        <w:rPr>
          <w:rFonts w:ascii="Book Antiqua" w:hAnsi="Book Antiqua"/>
          <w:bCs/>
          <w:sz w:val="24"/>
          <w:szCs w:val="24"/>
          <w:lang w:eastAsia="zh-CN"/>
        </w:rPr>
        <w:t>Hepatitis C virus</w:t>
      </w:r>
      <w:r w:rsidRPr="00C731E9">
        <w:rPr>
          <w:rFonts w:ascii="Book Antiqua" w:hAnsi="Book Antiqua" w:hint="eastAsia"/>
          <w:bCs/>
          <w:sz w:val="24"/>
          <w:szCs w:val="24"/>
          <w:lang w:eastAsia="zh-CN"/>
        </w:rPr>
        <w:t xml:space="preserve">; QALY: </w:t>
      </w:r>
      <w:r w:rsidRPr="00C731E9">
        <w:rPr>
          <w:rFonts w:ascii="Book Antiqua" w:hAnsi="Book Antiqua"/>
          <w:bCs/>
          <w:sz w:val="24"/>
          <w:szCs w:val="24"/>
          <w:lang w:val="en-GB" w:eastAsia="zh-CN"/>
        </w:rPr>
        <w:t>Quality-adjusted life year</w:t>
      </w:r>
      <w:r w:rsidRPr="00C731E9">
        <w:rPr>
          <w:rFonts w:ascii="Book Antiqua" w:hAnsi="Book Antiqua" w:hint="eastAsia"/>
          <w:bCs/>
          <w:sz w:val="24"/>
          <w:szCs w:val="24"/>
          <w:lang w:val="en-GB" w:eastAsia="zh-CN"/>
        </w:rPr>
        <w:t>.</w:t>
      </w:r>
    </w:p>
    <w:p w:rsidR="00C731E9" w:rsidRPr="00C731E9" w:rsidRDefault="00C731E9" w:rsidP="00C731E9">
      <w:pPr>
        <w:adjustRightInd w:val="0"/>
        <w:snapToGrid w:val="0"/>
        <w:spacing w:after="0" w:line="360" w:lineRule="auto"/>
        <w:jc w:val="both"/>
        <w:rPr>
          <w:rFonts w:ascii="Book Antiqua" w:hAnsi="Book Antiqua"/>
          <w:bCs/>
          <w:sz w:val="24"/>
          <w:szCs w:val="24"/>
          <w:lang w:eastAsia="zh-CN"/>
        </w:rPr>
      </w:pPr>
    </w:p>
    <w:p w:rsidR="00E74CB7" w:rsidRPr="00C731E9" w:rsidRDefault="00E74CB7" w:rsidP="001339DB">
      <w:pPr>
        <w:adjustRightInd w:val="0"/>
        <w:snapToGrid w:val="0"/>
        <w:spacing w:after="0" w:line="360" w:lineRule="auto"/>
        <w:jc w:val="both"/>
        <w:rPr>
          <w:rFonts w:ascii="Book Antiqua" w:hAnsi="Book Antiqua"/>
          <w:sz w:val="24"/>
          <w:szCs w:val="24"/>
        </w:rPr>
      </w:pPr>
    </w:p>
    <w:p w:rsidR="00E74CB7" w:rsidRPr="001339DB" w:rsidRDefault="00E74CB7" w:rsidP="001339DB">
      <w:pPr>
        <w:adjustRightInd w:val="0"/>
        <w:snapToGrid w:val="0"/>
        <w:spacing w:after="0" w:line="360" w:lineRule="auto"/>
        <w:jc w:val="both"/>
        <w:rPr>
          <w:rFonts w:ascii="Book Antiqua" w:hAnsi="Book Antiqua"/>
          <w:sz w:val="24"/>
          <w:szCs w:val="24"/>
        </w:rPr>
      </w:pPr>
    </w:p>
    <w:p w:rsidR="00C731E9" w:rsidRDefault="00C731E9">
      <w:pPr>
        <w:spacing w:after="200"/>
        <w:rPr>
          <w:rFonts w:ascii="Book Antiqua" w:hAnsi="Book Antiqua"/>
          <w:sz w:val="24"/>
          <w:szCs w:val="24"/>
        </w:rPr>
      </w:pPr>
      <w:r>
        <w:rPr>
          <w:rFonts w:ascii="Book Antiqua" w:hAnsi="Book Antiqua"/>
          <w:sz w:val="24"/>
          <w:szCs w:val="24"/>
        </w:rPr>
        <w:br w:type="page"/>
      </w:r>
    </w:p>
    <w:p w:rsidR="00E74CB7" w:rsidRPr="001339DB" w:rsidRDefault="00E74CB7" w:rsidP="001339DB">
      <w:pPr>
        <w:adjustRightInd w:val="0"/>
        <w:snapToGrid w:val="0"/>
        <w:spacing w:after="0" w:line="360" w:lineRule="auto"/>
        <w:jc w:val="both"/>
        <w:rPr>
          <w:rFonts w:ascii="Book Antiqua" w:hAnsi="Book Antiqua"/>
          <w:sz w:val="24"/>
          <w:szCs w:val="24"/>
        </w:rPr>
      </w:pPr>
    </w:p>
    <w:p w:rsidR="00E74CB7" w:rsidRDefault="00E74CB7" w:rsidP="001339DB">
      <w:pPr>
        <w:adjustRightInd w:val="0"/>
        <w:snapToGrid w:val="0"/>
        <w:spacing w:after="0" w:line="360" w:lineRule="auto"/>
        <w:jc w:val="both"/>
        <w:rPr>
          <w:rFonts w:ascii="Book Antiqua" w:hAnsi="Book Antiqua"/>
          <w:sz w:val="24"/>
          <w:szCs w:val="24"/>
          <w:lang w:eastAsia="zh-CN"/>
        </w:rPr>
      </w:pPr>
      <w:r w:rsidRPr="001339DB">
        <w:rPr>
          <w:rFonts w:ascii="Book Antiqua" w:hAnsi="Book Antiqua"/>
          <w:noProof/>
          <w:sz w:val="24"/>
          <w:szCs w:val="24"/>
          <w:lang w:eastAsia="zh-CN"/>
        </w:rPr>
        <w:drawing>
          <wp:inline distT="0" distB="0" distL="0" distR="0" wp14:anchorId="04B7F4C2" wp14:editId="20355F77">
            <wp:extent cx="4500000" cy="3225600"/>
            <wp:effectExtent l="0" t="0" r="0" b="0"/>
            <wp:docPr id="12" name="Imagen 12" descr="C:\Users\soto\Documents\5. Fibrosis Hepática\Last version\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to\Documents\5. Fibrosis Hepática\Last version\Fig3.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0000" cy="3225600"/>
                    </a:xfrm>
                    <a:prstGeom prst="rect">
                      <a:avLst/>
                    </a:prstGeom>
                    <a:noFill/>
                    <a:ln>
                      <a:noFill/>
                    </a:ln>
                  </pic:spPr>
                </pic:pic>
              </a:graphicData>
            </a:graphic>
          </wp:inline>
        </w:drawing>
      </w:r>
    </w:p>
    <w:p w:rsidR="00C731E9" w:rsidRPr="00C731E9" w:rsidRDefault="00C731E9" w:rsidP="00C731E9">
      <w:pPr>
        <w:adjustRightInd w:val="0"/>
        <w:snapToGrid w:val="0"/>
        <w:spacing w:after="0" w:line="360" w:lineRule="auto"/>
        <w:jc w:val="both"/>
        <w:rPr>
          <w:rFonts w:ascii="Book Antiqua" w:hAnsi="Book Antiqua"/>
          <w:bCs/>
          <w:sz w:val="24"/>
          <w:szCs w:val="24"/>
          <w:lang w:eastAsia="zh-CN"/>
        </w:rPr>
      </w:pPr>
      <w:r w:rsidRPr="00C731E9">
        <w:rPr>
          <w:rFonts w:ascii="Book Antiqua" w:hAnsi="Book Antiqua"/>
          <w:b/>
          <w:bCs/>
          <w:sz w:val="24"/>
          <w:szCs w:val="24"/>
          <w:lang w:eastAsia="zh-CN"/>
        </w:rPr>
        <w:t>Figure 3 Deterministic sensitivity analysis for alcoholic liver disease</w:t>
      </w:r>
      <w:r>
        <w:rPr>
          <w:rFonts w:ascii="Book Antiqua" w:hAnsi="Book Antiqua" w:hint="eastAsia"/>
          <w:b/>
          <w:bCs/>
          <w:sz w:val="24"/>
          <w:szCs w:val="24"/>
          <w:lang w:eastAsia="zh-CN"/>
        </w:rPr>
        <w:t>.</w:t>
      </w:r>
      <w:r w:rsidRPr="00C731E9">
        <w:rPr>
          <w:rFonts w:ascii="Book Antiqua" w:hAnsi="Book Antiqua" w:hint="eastAsia"/>
          <w:bCs/>
          <w:sz w:val="24"/>
          <w:szCs w:val="24"/>
          <w:lang w:eastAsia="zh-CN"/>
        </w:rPr>
        <w:t xml:space="preserve"> ALD: </w:t>
      </w:r>
      <w:r w:rsidRPr="00C731E9">
        <w:rPr>
          <w:rFonts w:ascii="Book Antiqua" w:hAnsi="Book Antiqua"/>
          <w:bCs/>
          <w:sz w:val="24"/>
          <w:szCs w:val="24"/>
          <w:lang w:eastAsia="zh-CN"/>
        </w:rPr>
        <w:t>Alcoholic liver disease</w:t>
      </w:r>
      <w:r w:rsidRPr="00C731E9">
        <w:rPr>
          <w:rFonts w:ascii="Book Antiqua" w:hAnsi="Book Antiqua" w:hint="eastAsia"/>
          <w:bCs/>
          <w:sz w:val="24"/>
          <w:szCs w:val="24"/>
          <w:lang w:eastAsia="zh-CN"/>
        </w:rPr>
        <w:t xml:space="preserve">; QALY: </w:t>
      </w:r>
      <w:r w:rsidRPr="00C731E9">
        <w:rPr>
          <w:rFonts w:ascii="Book Antiqua" w:hAnsi="Book Antiqua"/>
          <w:bCs/>
          <w:sz w:val="24"/>
          <w:szCs w:val="24"/>
          <w:lang w:val="en-GB" w:eastAsia="zh-CN"/>
        </w:rPr>
        <w:t>Quality-adjusted life year</w:t>
      </w:r>
      <w:r w:rsidRPr="00C731E9">
        <w:rPr>
          <w:rFonts w:ascii="Book Antiqua" w:hAnsi="Book Antiqua" w:hint="eastAsia"/>
          <w:bCs/>
          <w:sz w:val="24"/>
          <w:szCs w:val="24"/>
          <w:lang w:val="en-GB" w:eastAsia="zh-CN"/>
        </w:rPr>
        <w:t>.</w:t>
      </w:r>
    </w:p>
    <w:p w:rsidR="00C731E9" w:rsidRPr="00C731E9" w:rsidRDefault="00C731E9" w:rsidP="00C731E9">
      <w:pPr>
        <w:adjustRightInd w:val="0"/>
        <w:snapToGrid w:val="0"/>
        <w:spacing w:after="0" w:line="360" w:lineRule="auto"/>
        <w:jc w:val="both"/>
        <w:rPr>
          <w:rFonts w:ascii="SimSun" w:eastAsia="SimSun" w:hAnsi="SimSun" w:cs="SimSun"/>
          <w:bCs/>
          <w:sz w:val="24"/>
          <w:szCs w:val="24"/>
          <w:lang w:eastAsia="zh-CN"/>
        </w:rPr>
      </w:pPr>
      <w:r>
        <w:rPr>
          <w:rFonts w:ascii="SimSun" w:eastAsia="SimSun" w:hAnsi="SimSun" w:cs="SimSun" w:hint="eastAsia"/>
          <w:bCs/>
          <w:sz w:val="24"/>
          <w:szCs w:val="24"/>
          <w:lang w:eastAsia="zh-CN"/>
        </w:rPr>
        <w:t xml:space="preserve">　</w:t>
      </w:r>
    </w:p>
    <w:p w:rsidR="00C731E9" w:rsidRPr="00C731E9" w:rsidRDefault="00C731E9" w:rsidP="001339DB">
      <w:pPr>
        <w:adjustRightInd w:val="0"/>
        <w:snapToGrid w:val="0"/>
        <w:spacing w:after="0" w:line="360" w:lineRule="auto"/>
        <w:jc w:val="both"/>
        <w:rPr>
          <w:rFonts w:ascii="Book Antiqua" w:hAnsi="Book Antiqua"/>
          <w:sz w:val="24"/>
          <w:szCs w:val="24"/>
          <w:lang w:eastAsia="zh-CN"/>
        </w:rPr>
      </w:pPr>
    </w:p>
    <w:p w:rsidR="00C731E9" w:rsidRDefault="00C731E9">
      <w:pPr>
        <w:spacing w:after="200"/>
        <w:rPr>
          <w:rFonts w:ascii="Book Antiqua" w:hAnsi="Book Antiqua"/>
          <w:sz w:val="24"/>
          <w:szCs w:val="24"/>
        </w:rPr>
      </w:pPr>
      <w:r>
        <w:rPr>
          <w:rFonts w:ascii="Book Antiqua" w:hAnsi="Book Antiqua"/>
          <w:sz w:val="24"/>
          <w:szCs w:val="24"/>
        </w:rPr>
        <w:br w:type="page"/>
      </w:r>
    </w:p>
    <w:p w:rsidR="00E74CB7" w:rsidRPr="001339DB" w:rsidRDefault="00E74CB7" w:rsidP="001339DB">
      <w:pPr>
        <w:widowControl w:val="0"/>
        <w:autoSpaceDE w:val="0"/>
        <w:autoSpaceDN w:val="0"/>
        <w:adjustRightInd w:val="0"/>
        <w:snapToGrid w:val="0"/>
        <w:spacing w:after="0" w:line="360" w:lineRule="auto"/>
        <w:jc w:val="both"/>
        <w:rPr>
          <w:rFonts w:ascii="Book Antiqua" w:hAnsi="Book Antiqua"/>
          <w:sz w:val="24"/>
          <w:szCs w:val="24"/>
        </w:rPr>
      </w:pPr>
    </w:p>
    <w:p w:rsidR="00E74CB7" w:rsidRPr="001339DB" w:rsidRDefault="00E74CB7" w:rsidP="001339DB">
      <w:pPr>
        <w:widowControl w:val="0"/>
        <w:autoSpaceDE w:val="0"/>
        <w:autoSpaceDN w:val="0"/>
        <w:adjustRightInd w:val="0"/>
        <w:snapToGrid w:val="0"/>
        <w:spacing w:after="0" w:line="360" w:lineRule="auto"/>
        <w:jc w:val="both"/>
        <w:rPr>
          <w:rFonts w:ascii="Book Antiqua" w:hAnsi="Book Antiqua"/>
          <w:sz w:val="24"/>
          <w:szCs w:val="24"/>
        </w:rPr>
      </w:pPr>
      <w:r w:rsidRPr="001339DB">
        <w:rPr>
          <w:rFonts w:ascii="Book Antiqua" w:hAnsi="Book Antiqua"/>
          <w:noProof/>
          <w:sz w:val="24"/>
          <w:szCs w:val="24"/>
          <w:lang w:eastAsia="zh-CN"/>
        </w:rPr>
        <w:drawing>
          <wp:inline distT="0" distB="0" distL="0" distR="0" wp14:anchorId="500E9B2E" wp14:editId="5B641E55">
            <wp:extent cx="4755600" cy="3384000"/>
            <wp:effectExtent l="0" t="0" r="0" b="0"/>
            <wp:docPr id="13" name="Imagen 13" descr="C:\Users\soto\Documents\5. Fibrosis Hepática\Last version\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to\Documents\5. Fibrosis Hepática\Last version\Fig4.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55600" cy="3384000"/>
                    </a:xfrm>
                    <a:prstGeom prst="rect">
                      <a:avLst/>
                    </a:prstGeom>
                    <a:noFill/>
                    <a:ln>
                      <a:noFill/>
                    </a:ln>
                  </pic:spPr>
                </pic:pic>
              </a:graphicData>
            </a:graphic>
          </wp:inline>
        </w:drawing>
      </w:r>
    </w:p>
    <w:p w:rsidR="00C731E9" w:rsidRPr="00C731E9" w:rsidRDefault="00C731E9" w:rsidP="00C731E9">
      <w:pPr>
        <w:widowControl w:val="0"/>
        <w:autoSpaceDE w:val="0"/>
        <w:autoSpaceDN w:val="0"/>
        <w:adjustRightInd w:val="0"/>
        <w:snapToGrid w:val="0"/>
        <w:spacing w:after="0" w:line="360" w:lineRule="auto"/>
        <w:jc w:val="both"/>
        <w:rPr>
          <w:rFonts w:ascii="Book Antiqua" w:hAnsi="Book Antiqua"/>
          <w:bCs/>
          <w:sz w:val="24"/>
          <w:szCs w:val="24"/>
          <w:lang w:eastAsia="zh-CN"/>
        </w:rPr>
      </w:pPr>
      <w:r w:rsidRPr="00C731E9">
        <w:rPr>
          <w:rFonts w:ascii="Book Antiqua" w:hAnsi="Book Antiqua"/>
          <w:b/>
          <w:bCs/>
          <w:sz w:val="24"/>
          <w:szCs w:val="24"/>
        </w:rPr>
        <w:t>Figure 4 Cost-effectiveness acceptability curves in hepatitis C virus and alcoholic liver disease</w:t>
      </w:r>
      <w:r w:rsidRPr="00C731E9">
        <w:rPr>
          <w:rFonts w:ascii="Book Antiqua" w:hAnsi="Book Antiqua" w:hint="eastAsia"/>
          <w:b/>
          <w:bCs/>
          <w:sz w:val="24"/>
          <w:szCs w:val="24"/>
          <w:lang w:eastAsia="zh-CN"/>
        </w:rPr>
        <w:t>.</w:t>
      </w:r>
      <w:r>
        <w:rPr>
          <w:rFonts w:ascii="Book Antiqua" w:hAnsi="Book Antiqua" w:hint="eastAsia"/>
          <w:b/>
          <w:bCs/>
          <w:sz w:val="24"/>
          <w:szCs w:val="24"/>
          <w:lang w:eastAsia="zh-CN"/>
        </w:rPr>
        <w:t xml:space="preserve"> </w:t>
      </w:r>
      <w:r w:rsidRPr="00C731E9">
        <w:rPr>
          <w:rFonts w:ascii="Book Antiqua" w:hAnsi="Book Antiqua" w:hint="eastAsia"/>
          <w:bCs/>
          <w:sz w:val="24"/>
          <w:szCs w:val="24"/>
          <w:lang w:eastAsia="zh-CN"/>
        </w:rPr>
        <w:t xml:space="preserve">HCV: </w:t>
      </w:r>
      <w:r w:rsidRPr="00C731E9">
        <w:rPr>
          <w:rFonts w:ascii="Book Antiqua" w:hAnsi="Book Antiqua"/>
          <w:bCs/>
          <w:sz w:val="24"/>
          <w:szCs w:val="24"/>
          <w:lang w:eastAsia="zh-CN"/>
        </w:rPr>
        <w:t>Hepatitis C virus</w:t>
      </w:r>
      <w:r w:rsidRPr="00C731E9">
        <w:rPr>
          <w:rFonts w:ascii="Book Antiqua" w:hAnsi="Book Antiqua" w:hint="eastAsia"/>
          <w:bCs/>
          <w:sz w:val="24"/>
          <w:szCs w:val="24"/>
          <w:lang w:eastAsia="zh-CN"/>
        </w:rPr>
        <w:t xml:space="preserve">; </w:t>
      </w:r>
      <w:r>
        <w:rPr>
          <w:rFonts w:ascii="Book Antiqua" w:hAnsi="Book Antiqua" w:hint="eastAsia"/>
          <w:bCs/>
          <w:sz w:val="24"/>
          <w:szCs w:val="24"/>
          <w:lang w:eastAsia="zh-CN"/>
        </w:rPr>
        <w:t xml:space="preserve">ALD: </w:t>
      </w:r>
      <w:r w:rsidRPr="00C731E9">
        <w:rPr>
          <w:rFonts w:ascii="Book Antiqua" w:hAnsi="Book Antiqua"/>
          <w:bCs/>
          <w:sz w:val="24"/>
          <w:szCs w:val="24"/>
          <w:lang w:eastAsia="zh-CN"/>
        </w:rPr>
        <w:t>Alcoholic liver disease</w:t>
      </w:r>
      <w:r>
        <w:rPr>
          <w:rFonts w:ascii="Book Antiqua" w:hAnsi="Book Antiqua" w:hint="eastAsia"/>
          <w:bCs/>
          <w:sz w:val="24"/>
          <w:szCs w:val="24"/>
          <w:lang w:eastAsia="zh-CN"/>
        </w:rPr>
        <w:t xml:space="preserve">; QALY: </w:t>
      </w:r>
      <w:r w:rsidRPr="00C731E9">
        <w:rPr>
          <w:rFonts w:ascii="Book Antiqua" w:hAnsi="Book Antiqua"/>
          <w:bCs/>
          <w:sz w:val="24"/>
          <w:szCs w:val="24"/>
          <w:lang w:val="en-GB" w:eastAsia="zh-CN"/>
        </w:rPr>
        <w:t>Quality-adjusted life year</w:t>
      </w:r>
      <w:r>
        <w:rPr>
          <w:rFonts w:ascii="Book Antiqua" w:hAnsi="Book Antiqua" w:hint="eastAsia"/>
          <w:bCs/>
          <w:sz w:val="24"/>
          <w:szCs w:val="24"/>
          <w:lang w:val="en-GB" w:eastAsia="zh-CN"/>
        </w:rPr>
        <w:t>.</w:t>
      </w:r>
    </w:p>
    <w:p w:rsidR="00E74CB7" w:rsidRPr="001339DB" w:rsidRDefault="00E74CB7" w:rsidP="001339DB">
      <w:pPr>
        <w:widowControl w:val="0"/>
        <w:autoSpaceDE w:val="0"/>
        <w:autoSpaceDN w:val="0"/>
        <w:adjustRightInd w:val="0"/>
        <w:snapToGrid w:val="0"/>
        <w:spacing w:after="0" w:line="360" w:lineRule="auto"/>
        <w:jc w:val="both"/>
        <w:rPr>
          <w:rFonts w:ascii="Book Antiqua" w:hAnsi="Book Antiqua"/>
          <w:sz w:val="24"/>
          <w:szCs w:val="24"/>
        </w:rPr>
      </w:pPr>
    </w:p>
    <w:p w:rsidR="008D39FB" w:rsidRPr="001339DB" w:rsidRDefault="008D39FB" w:rsidP="001339DB">
      <w:pPr>
        <w:adjustRightInd w:val="0"/>
        <w:snapToGrid w:val="0"/>
        <w:spacing w:after="0" w:line="360" w:lineRule="auto"/>
        <w:jc w:val="both"/>
        <w:rPr>
          <w:rFonts w:ascii="Book Antiqua" w:hAnsi="Book Antiqua"/>
          <w:b/>
          <w:sz w:val="24"/>
          <w:szCs w:val="24"/>
          <w:u w:val="single"/>
        </w:rPr>
      </w:pPr>
    </w:p>
    <w:sectPr w:rsidR="008D39FB" w:rsidRPr="001339DB" w:rsidSect="005945FC">
      <w:footerReference w:type="default" r:id="rId14"/>
      <w:footnotePr>
        <w:numFmt w:val="chicago"/>
      </w:footnotePr>
      <w:pgSz w:w="12240" w:h="15840"/>
      <w:pgMar w:top="1417" w:right="1701" w:bottom="1417"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4730" w:rsidRDefault="00364730" w:rsidP="00A17530">
      <w:pPr>
        <w:spacing w:after="0" w:line="240" w:lineRule="auto"/>
      </w:pPr>
      <w:r>
        <w:separator/>
      </w:r>
    </w:p>
  </w:endnote>
  <w:endnote w:type="continuationSeparator" w:id="0">
    <w:p w:rsidR="00364730" w:rsidRDefault="00364730" w:rsidP="00A175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YouYuan">
    <w:altName w:val="Arial Unicode MS"/>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6099020"/>
      <w:docPartObj>
        <w:docPartGallery w:val="Page Numbers (Bottom of Page)"/>
        <w:docPartUnique/>
      </w:docPartObj>
    </w:sdtPr>
    <w:sdtEndPr/>
    <w:sdtContent>
      <w:p w:rsidR="00C731E9" w:rsidRDefault="00C731E9">
        <w:pPr>
          <w:pStyle w:val="Footer"/>
          <w:jc w:val="right"/>
        </w:pPr>
        <w:r>
          <w:fldChar w:fldCharType="begin"/>
        </w:r>
        <w:r>
          <w:instrText>PAGE   \* MERGEFORMAT</w:instrText>
        </w:r>
        <w:r>
          <w:fldChar w:fldCharType="separate"/>
        </w:r>
        <w:r w:rsidR="00642F45" w:rsidRPr="00642F45">
          <w:rPr>
            <w:noProof/>
            <w:lang w:val="es-ES"/>
          </w:rPr>
          <w:t>21</w:t>
        </w:r>
        <w:r>
          <w:rPr>
            <w:noProof/>
            <w:lang w:val="es-ES"/>
          </w:rPr>
          <w:fldChar w:fldCharType="end"/>
        </w:r>
      </w:p>
    </w:sdtContent>
  </w:sdt>
  <w:p w:rsidR="00C731E9" w:rsidRDefault="00C731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4730" w:rsidRDefault="00364730" w:rsidP="00A17530">
      <w:pPr>
        <w:spacing w:after="0" w:line="240" w:lineRule="auto"/>
      </w:pPr>
      <w:r>
        <w:separator/>
      </w:r>
    </w:p>
  </w:footnote>
  <w:footnote w:type="continuationSeparator" w:id="0">
    <w:p w:rsidR="00364730" w:rsidRDefault="00364730" w:rsidP="00A175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821EC"/>
    <w:multiLevelType w:val="hybridMultilevel"/>
    <w:tmpl w:val="06228B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845131"/>
    <w:multiLevelType w:val="hybridMultilevel"/>
    <w:tmpl w:val="F4AC09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03F97"/>
    <w:multiLevelType w:val="hybridMultilevel"/>
    <w:tmpl w:val="8092E35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C990E8C"/>
    <w:multiLevelType w:val="hybridMultilevel"/>
    <w:tmpl w:val="77BE50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3237200"/>
    <w:multiLevelType w:val="hybridMultilevel"/>
    <w:tmpl w:val="6DAAA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67589D"/>
    <w:multiLevelType w:val="hybridMultilevel"/>
    <w:tmpl w:val="AEBE38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7F20582"/>
    <w:multiLevelType w:val="hybridMultilevel"/>
    <w:tmpl w:val="EC6CA9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AC629A6"/>
    <w:multiLevelType w:val="hybridMultilevel"/>
    <w:tmpl w:val="F4C030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0E333AB"/>
    <w:multiLevelType w:val="hybridMultilevel"/>
    <w:tmpl w:val="E4B484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D731D3D"/>
    <w:multiLevelType w:val="hybridMultilevel"/>
    <w:tmpl w:val="6A828CEE"/>
    <w:lvl w:ilvl="0" w:tplc="C750F6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3E51C2"/>
    <w:multiLevelType w:val="hybridMultilevel"/>
    <w:tmpl w:val="A7887B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5"/>
  </w:num>
  <w:num w:numId="3">
    <w:abstractNumId w:val="7"/>
  </w:num>
  <w:num w:numId="4">
    <w:abstractNumId w:val="10"/>
  </w:num>
  <w:num w:numId="5">
    <w:abstractNumId w:val="3"/>
  </w:num>
  <w:num w:numId="6">
    <w:abstractNumId w:val="2"/>
  </w:num>
  <w:num w:numId="7">
    <w:abstractNumId w:val="0"/>
  </w:num>
  <w:num w:numId="8">
    <w:abstractNumId w:val="8"/>
  </w:num>
  <w:num w:numId="9">
    <w:abstractNumId w:val="1"/>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zh-CN" w:vendorID="64" w:dllVersion="131077" w:nlCheck="1" w:checkStyle="1"/>
  <w:proofState w:spelling="clean" w:grammar="clean"/>
  <w:defaultTabStop w:val="720"/>
  <w:hyphenationZone w:val="425"/>
  <w:characterSpacingControl w:val="doNotCompress"/>
  <w:hdrShapeDefaults>
    <o:shapedefaults v:ext="edit" spidmax="2049">
      <o:colormru v:ext="edit" colors="#41763e"/>
    </o:shapedefaults>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934"/>
    <w:rsid w:val="0000177A"/>
    <w:rsid w:val="00003E28"/>
    <w:rsid w:val="00011F46"/>
    <w:rsid w:val="00016AD6"/>
    <w:rsid w:val="00020522"/>
    <w:rsid w:val="00020892"/>
    <w:rsid w:val="00020F63"/>
    <w:rsid w:val="000236F3"/>
    <w:rsid w:val="00025456"/>
    <w:rsid w:val="000260A1"/>
    <w:rsid w:val="00026B81"/>
    <w:rsid w:val="000332EC"/>
    <w:rsid w:val="00033C6D"/>
    <w:rsid w:val="00036410"/>
    <w:rsid w:val="00036F0C"/>
    <w:rsid w:val="000418B5"/>
    <w:rsid w:val="00042CF4"/>
    <w:rsid w:val="0005027E"/>
    <w:rsid w:val="00051E02"/>
    <w:rsid w:val="00053B15"/>
    <w:rsid w:val="00053BE9"/>
    <w:rsid w:val="0005566C"/>
    <w:rsid w:val="000607E7"/>
    <w:rsid w:val="0006149B"/>
    <w:rsid w:val="00063C37"/>
    <w:rsid w:val="000653CD"/>
    <w:rsid w:val="000677F3"/>
    <w:rsid w:val="0007492C"/>
    <w:rsid w:val="00076E4F"/>
    <w:rsid w:val="00093CC7"/>
    <w:rsid w:val="00097BBD"/>
    <w:rsid w:val="000A2D6A"/>
    <w:rsid w:val="000A40C6"/>
    <w:rsid w:val="000A6799"/>
    <w:rsid w:val="000B71FD"/>
    <w:rsid w:val="000C2516"/>
    <w:rsid w:val="000C3328"/>
    <w:rsid w:val="000C4D4E"/>
    <w:rsid w:val="000C6F65"/>
    <w:rsid w:val="000D18F4"/>
    <w:rsid w:val="000D45EA"/>
    <w:rsid w:val="000D62C7"/>
    <w:rsid w:val="000E1FAC"/>
    <w:rsid w:val="000F2EE4"/>
    <w:rsid w:val="000F3907"/>
    <w:rsid w:val="000F7181"/>
    <w:rsid w:val="00101980"/>
    <w:rsid w:val="00102684"/>
    <w:rsid w:val="001070D4"/>
    <w:rsid w:val="001076A3"/>
    <w:rsid w:val="00107FCD"/>
    <w:rsid w:val="0011098C"/>
    <w:rsid w:val="00111A3D"/>
    <w:rsid w:val="00115697"/>
    <w:rsid w:val="00117E63"/>
    <w:rsid w:val="00124BAF"/>
    <w:rsid w:val="00125B06"/>
    <w:rsid w:val="00126B63"/>
    <w:rsid w:val="00126DD8"/>
    <w:rsid w:val="001276BF"/>
    <w:rsid w:val="00131D26"/>
    <w:rsid w:val="00132216"/>
    <w:rsid w:val="001339DB"/>
    <w:rsid w:val="001341DE"/>
    <w:rsid w:val="0013644E"/>
    <w:rsid w:val="00137DC0"/>
    <w:rsid w:val="001406C4"/>
    <w:rsid w:val="00140768"/>
    <w:rsid w:val="00143921"/>
    <w:rsid w:val="00150A8C"/>
    <w:rsid w:val="001515A5"/>
    <w:rsid w:val="00154A4D"/>
    <w:rsid w:val="0015533B"/>
    <w:rsid w:val="00156A39"/>
    <w:rsid w:val="00157AB0"/>
    <w:rsid w:val="00164B2E"/>
    <w:rsid w:val="00165A32"/>
    <w:rsid w:val="001662D3"/>
    <w:rsid w:val="00167322"/>
    <w:rsid w:val="001717D6"/>
    <w:rsid w:val="0017381E"/>
    <w:rsid w:val="001769DC"/>
    <w:rsid w:val="0017772E"/>
    <w:rsid w:val="00182944"/>
    <w:rsid w:val="00182A54"/>
    <w:rsid w:val="00183F1E"/>
    <w:rsid w:val="00184CAD"/>
    <w:rsid w:val="0019017D"/>
    <w:rsid w:val="00191915"/>
    <w:rsid w:val="0019472D"/>
    <w:rsid w:val="0019473C"/>
    <w:rsid w:val="00196848"/>
    <w:rsid w:val="001A115E"/>
    <w:rsid w:val="001A3196"/>
    <w:rsid w:val="001A37FF"/>
    <w:rsid w:val="001A5AF6"/>
    <w:rsid w:val="001A753B"/>
    <w:rsid w:val="001B0960"/>
    <w:rsid w:val="001B2512"/>
    <w:rsid w:val="001B38C3"/>
    <w:rsid w:val="001C128A"/>
    <w:rsid w:val="001C17D9"/>
    <w:rsid w:val="001C3DDD"/>
    <w:rsid w:val="001C5A58"/>
    <w:rsid w:val="001C739C"/>
    <w:rsid w:val="001C7583"/>
    <w:rsid w:val="001D0899"/>
    <w:rsid w:val="001D6AB1"/>
    <w:rsid w:val="001E1ED9"/>
    <w:rsid w:val="001E2C9A"/>
    <w:rsid w:val="001E63E7"/>
    <w:rsid w:val="001F2E04"/>
    <w:rsid w:val="001F4A05"/>
    <w:rsid w:val="001F6895"/>
    <w:rsid w:val="001F7500"/>
    <w:rsid w:val="00200890"/>
    <w:rsid w:val="00203D40"/>
    <w:rsid w:val="00204C47"/>
    <w:rsid w:val="00204FED"/>
    <w:rsid w:val="002070A0"/>
    <w:rsid w:val="00210680"/>
    <w:rsid w:val="00211859"/>
    <w:rsid w:val="00221E9B"/>
    <w:rsid w:val="0022203C"/>
    <w:rsid w:val="00222FDC"/>
    <w:rsid w:val="00225B6B"/>
    <w:rsid w:val="002261A4"/>
    <w:rsid w:val="0023140F"/>
    <w:rsid w:val="00231E26"/>
    <w:rsid w:val="0023257E"/>
    <w:rsid w:val="00235823"/>
    <w:rsid w:val="00242ED5"/>
    <w:rsid w:val="00243B76"/>
    <w:rsid w:val="00245F5C"/>
    <w:rsid w:val="002539EB"/>
    <w:rsid w:val="00255A6B"/>
    <w:rsid w:val="00260031"/>
    <w:rsid w:val="002617B3"/>
    <w:rsid w:val="00265183"/>
    <w:rsid w:val="0026571D"/>
    <w:rsid w:val="00267535"/>
    <w:rsid w:val="002719D1"/>
    <w:rsid w:val="0027394A"/>
    <w:rsid w:val="002771E4"/>
    <w:rsid w:val="002800F6"/>
    <w:rsid w:val="0028194F"/>
    <w:rsid w:val="002910B5"/>
    <w:rsid w:val="00294646"/>
    <w:rsid w:val="002960E7"/>
    <w:rsid w:val="00296E3F"/>
    <w:rsid w:val="002A3C01"/>
    <w:rsid w:val="002A58C7"/>
    <w:rsid w:val="002A66E7"/>
    <w:rsid w:val="002B16D0"/>
    <w:rsid w:val="002B1F09"/>
    <w:rsid w:val="002B334E"/>
    <w:rsid w:val="002B58BA"/>
    <w:rsid w:val="002B6671"/>
    <w:rsid w:val="002C1B06"/>
    <w:rsid w:val="002C1F9F"/>
    <w:rsid w:val="002C2F65"/>
    <w:rsid w:val="002C50E3"/>
    <w:rsid w:val="002D5955"/>
    <w:rsid w:val="002D63F7"/>
    <w:rsid w:val="002D6C46"/>
    <w:rsid w:val="002E146A"/>
    <w:rsid w:val="002E3F09"/>
    <w:rsid w:val="002E40DA"/>
    <w:rsid w:val="002E51D7"/>
    <w:rsid w:val="002E72BA"/>
    <w:rsid w:val="002F20DA"/>
    <w:rsid w:val="002F2D4B"/>
    <w:rsid w:val="002F59D9"/>
    <w:rsid w:val="002F7E65"/>
    <w:rsid w:val="00300912"/>
    <w:rsid w:val="003021B3"/>
    <w:rsid w:val="003028DB"/>
    <w:rsid w:val="003116D9"/>
    <w:rsid w:val="003120C0"/>
    <w:rsid w:val="00314718"/>
    <w:rsid w:val="00321DB6"/>
    <w:rsid w:val="00322A9A"/>
    <w:rsid w:val="00325CE9"/>
    <w:rsid w:val="0033277A"/>
    <w:rsid w:val="00334733"/>
    <w:rsid w:val="00334E11"/>
    <w:rsid w:val="00335FAF"/>
    <w:rsid w:val="00336964"/>
    <w:rsid w:val="00336D48"/>
    <w:rsid w:val="00340713"/>
    <w:rsid w:val="003417E2"/>
    <w:rsid w:val="00342622"/>
    <w:rsid w:val="00343067"/>
    <w:rsid w:val="0035287F"/>
    <w:rsid w:val="00352C0E"/>
    <w:rsid w:val="00353132"/>
    <w:rsid w:val="00356F8E"/>
    <w:rsid w:val="00357E9E"/>
    <w:rsid w:val="00364039"/>
    <w:rsid w:val="00364730"/>
    <w:rsid w:val="003660F9"/>
    <w:rsid w:val="00372560"/>
    <w:rsid w:val="0037329C"/>
    <w:rsid w:val="00373B22"/>
    <w:rsid w:val="00374767"/>
    <w:rsid w:val="00374A3B"/>
    <w:rsid w:val="00375984"/>
    <w:rsid w:val="0038155C"/>
    <w:rsid w:val="00382070"/>
    <w:rsid w:val="003827E7"/>
    <w:rsid w:val="003832D5"/>
    <w:rsid w:val="00383D3D"/>
    <w:rsid w:val="00384C28"/>
    <w:rsid w:val="00384CB0"/>
    <w:rsid w:val="003879B9"/>
    <w:rsid w:val="00392CE9"/>
    <w:rsid w:val="00394FE6"/>
    <w:rsid w:val="00395ED0"/>
    <w:rsid w:val="00396B9E"/>
    <w:rsid w:val="00397DD5"/>
    <w:rsid w:val="003A2BDB"/>
    <w:rsid w:val="003A57EE"/>
    <w:rsid w:val="003A7F4C"/>
    <w:rsid w:val="003B41AA"/>
    <w:rsid w:val="003B67EB"/>
    <w:rsid w:val="003B68A3"/>
    <w:rsid w:val="003C1CE5"/>
    <w:rsid w:val="003C29AF"/>
    <w:rsid w:val="003C5E01"/>
    <w:rsid w:val="003D176D"/>
    <w:rsid w:val="003D1866"/>
    <w:rsid w:val="003D2182"/>
    <w:rsid w:val="003D24B0"/>
    <w:rsid w:val="003D4664"/>
    <w:rsid w:val="003D4E23"/>
    <w:rsid w:val="003D5A3B"/>
    <w:rsid w:val="003D61DF"/>
    <w:rsid w:val="003D66B7"/>
    <w:rsid w:val="003E10C9"/>
    <w:rsid w:val="003E32E4"/>
    <w:rsid w:val="003F37F7"/>
    <w:rsid w:val="003F3A4F"/>
    <w:rsid w:val="003F6AB0"/>
    <w:rsid w:val="003F7519"/>
    <w:rsid w:val="0040038F"/>
    <w:rsid w:val="0040153C"/>
    <w:rsid w:val="00401A0D"/>
    <w:rsid w:val="004030CB"/>
    <w:rsid w:val="00411545"/>
    <w:rsid w:val="00413A69"/>
    <w:rsid w:val="004151F3"/>
    <w:rsid w:val="00417C53"/>
    <w:rsid w:val="00423087"/>
    <w:rsid w:val="0042368A"/>
    <w:rsid w:val="00424FDF"/>
    <w:rsid w:val="004262DA"/>
    <w:rsid w:val="00426478"/>
    <w:rsid w:val="00432ADF"/>
    <w:rsid w:val="004341DD"/>
    <w:rsid w:val="004350DD"/>
    <w:rsid w:val="004358F2"/>
    <w:rsid w:val="004364FB"/>
    <w:rsid w:val="004405BB"/>
    <w:rsid w:val="00441577"/>
    <w:rsid w:val="00441873"/>
    <w:rsid w:val="00443380"/>
    <w:rsid w:val="00452C80"/>
    <w:rsid w:val="00455087"/>
    <w:rsid w:val="00460282"/>
    <w:rsid w:val="00460691"/>
    <w:rsid w:val="00461779"/>
    <w:rsid w:val="0046276F"/>
    <w:rsid w:val="00462D30"/>
    <w:rsid w:val="0046347E"/>
    <w:rsid w:val="00472FA6"/>
    <w:rsid w:val="004730C5"/>
    <w:rsid w:val="00474D3D"/>
    <w:rsid w:val="00475010"/>
    <w:rsid w:val="00475CD2"/>
    <w:rsid w:val="00476F58"/>
    <w:rsid w:val="004778F3"/>
    <w:rsid w:val="004807ED"/>
    <w:rsid w:val="00481769"/>
    <w:rsid w:val="00483E1A"/>
    <w:rsid w:val="00483EA6"/>
    <w:rsid w:val="00484A90"/>
    <w:rsid w:val="0048566B"/>
    <w:rsid w:val="00485DD9"/>
    <w:rsid w:val="004860B8"/>
    <w:rsid w:val="004951FE"/>
    <w:rsid w:val="004962D0"/>
    <w:rsid w:val="00496BBA"/>
    <w:rsid w:val="00497098"/>
    <w:rsid w:val="004A06A5"/>
    <w:rsid w:val="004A0C07"/>
    <w:rsid w:val="004A12D8"/>
    <w:rsid w:val="004A1702"/>
    <w:rsid w:val="004A2E42"/>
    <w:rsid w:val="004A3816"/>
    <w:rsid w:val="004A5BFF"/>
    <w:rsid w:val="004A6A85"/>
    <w:rsid w:val="004A6FFB"/>
    <w:rsid w:val="004B0DA2"/>
    <w:rsid w:val="004B523C"/>
    <w:rsid w:val="004B5603"/>
    <w:rsid w:val="004B7843"/>
    <w:rsid w:val="004C46D5"/>
    <w:rsid w:val="004C6B65"/>
    <w:rsid w:val="004D016E"/>
    <w:rsid w:val="004D5D85"/>
    <w:rsid w:val="004D6D12"/>
    <w:rsid w:val="004E1AD3"/>
    <w:rsid w:val="004E509F"/>
    <w:rsid w:val="004F4664"/>
    <w:rsid w:val="00500F5D"/>
    <w:rsid w:val="00502940"/>
    <w:rsid w:val="00503101"/>
    <w:rsid w:val="005046FA"/>
    <w:rsid w:val="00507D8C"/>
    <w:rsid w:val="005115A1"/>
    <w:rsid w:val="00512C11"/>
    <w:rsid w:val="0051510C"/>
    <w:rsid w:val="005169E6"/>
    <w:rsid w:val="00517028"/>
    <w:rsid w:val="00517701"/>
    <w:rsid w:val="00523437"/>
    <w:rsid w:val="00523EA3"/>
    <w:rsid w:val="0053020D"/>
    <w:rsid w:val="00532B87"/>
    <w:rsid w:val="005356C1"/>
    <w:rsid w:val="005371FB"/>
    <w:rsid w:val="0054076F"/>
    <w:rsid w:val="00541825"/>
    <w:rsid w:val="005419C8"/>
    <w:rsid w:val="00541E1E"/>
    <w:rsid w:val="00544678"/>
    <w:rsid w:val="00551E01"/>
    <w:rsid w:val="00552A23"/>
    <w:rsid w:val="00553EB3"/>
    <w:rsid w:val="00556057"/>
    <w:rsid w:val="00561093"/>
    <w:rsid w:val="00564DD6"/>
    <w:rsid w:val="005656CB"/>
    <w:rsid w:val="00565AF7"/>
    <w:rsid w:val="00565E29"/>
    <w:rsid w:val="005670B6"/>
    <w:rsid w:val="00571278"/>
    <w:rsid w:val="00572BB3"/>
    <w:rsid w:val="00573DF2"/>
    <w:rsid w:val="0057586B"/>
    <w:rsid w:val="0058052E"/>
    <w:rsid w:val="005820D6"/>
    <w:rsid w:val="005826F1"/>
    <w:rsid w:val="00584049"/>
    <w:rsid w:val="0058575E"/>
    <w:rsid w:val="00586452"/>
    <w:rsid w:val="00590B27"/>
    <w:rsid w:val="0059443E"/>
    <w:rsid w:val="005945FC"/>
    <w:rsid w:val="005953B1"/>
    <w:rsid w:val="00596083"/>
    <w:rsid w:val="005A041F"/>
    <w:rsid w:val="005A156F"/>
    <w:rsid w:val="005A3FA9"/>
    <w:rsid w:val="005A4D29"/>
    <w:rsid w:val="005A4E31"/>
    <w:rsid w:val="005A5440"/>
    <w:rsid w:val="005A586D"/>
    <w:rsid w:val="005A5898"/>
    <w:rsid w:val="005A5C2D"/>
    <w:rsid w:val="005A6071"/>
    <w:rsid w:val="005B0360"/>
    <w:rsid w:val="005B1D08"/>
    <w:rsid w:val="005B371F"/>
    <w:rsid w:val="005C4319"/>
    <w:rsid w:val="005C4F97"/>
    <w:rsid w:val="005C540B"/>
    <w:rsid w:val="005E472B"/>
    <w:rsid w:val="005E5866"/>
    <w:rsid w:val="005E6C4F"/>
    <w:rsid w:val="005F20E4"/>
    <w:rsid w:val="00605898"/>
    <w:rsid w:val="00610406"/>
    <w:rsid w:val="00610A60"/>
    <w:rsid w:val="00612681"/>
    <w:rsid w:val="0061304B"/>
    <w:rsid w:val="00616512"/>
    <w:rsid w:val="00626CB1"/>
    <w:rsid w:val="00626E77"/>
    <w:rsid w:val="0063243A"/>
    <w:rsid w:val="0063329F"/>
    <w:rsid w:val="00637572"/>
    <w:rsid w:val="006379CD"/>
    <w:rsid w:val="00640A43"/>
    <w:rsid w:val="00642F45"/>
    <w:rsid w:val="00643DBC"/>
    <w:rsid w:val="00644BCA"/>
    <w:rsid w:val="00645806"/>
    <w:rsid w:val="00646C65"/>
    <w:rsid w:val="006472E3"/>
    <w:rsid w:val="006602E1"/>
    <w:rsid w:val="00666C1A"/>
    <w:rsid w:val="00667503"/>
    <w:rsid w:val="00667811"/>
    <w:rsid w:val="00674201"/>
    <w:rsid w:val="00674A18"/>
    <w:rsid w:val="00674AAF"/>
    <w:rsid w:val="006760C1"/>
    <w:rsid w:val="00681EE4"/>
    <w:rsid w:val="006823AB"/>
    <w:rsid w:val="00682A68"/>
    <w:rsid w:val="006855A2"/>
    <w:rsid w:val="006872F0"/>
    <w:rsid w:val="0069032E"/>
    <w:rsid w:val="0069162D"/>
    <w:rsid w:val="00692199"/>
    <w:rsid w:val="00696429"/>
    <w:rsid w:val="00696FB7"/>
    <w:rsid w:val="006A3376"/>
    <w:rsid w:val="006A387B"/>
    <w:rsid w:val="006A44EE"/>
    <w:rsid w:val="006A4D83"/>
    <w:rsid w:val="006A67F9"/>
    <w:rsid w:val="006B181F"/>
    <w:rsid w:val="006B2A60"/>
    <w:rsid w:val="006B4525"/>
    <w:rsid w:val="006B6241"/>
    <w:rsid w:val="006C372B"/>
    <w:rsid w:val="006C41CE"/>
    <w:rsid w:val="006C645B"/>
    <w:rsid w:val="006C7461"/>
    <w:rsid w:val="006D1DCF"/>
    <w:rsid w:val="006D4399"/>
    <w:rsid w:val="006D5082"/>
    <w:rsid w:val="006D6F38"/>
    <w:rsid w:val="006E05F2"/>
    <w:rsid w:val="006E36D6"/>
    <w:rsid w:val="006E492B"/>
    <w:rsid w:val="006E4B51"/>
    <w:rsid w:val="006E6D7B"/>
    <w:rsid w:val="006F220A"/>
    <w:rsid w:val="006F4B20"/>
    <w:rsid w:val="006F6A0F"/>
    <w:rsid w:val="00700ACA"/>
    <w:rsid w:val="007016EB"/>
    <w:rsid w:val="007027F0"/>
    <w:rsid w:val="0071651E"/>
    <w:rsid w:val="00717DE2"/>
    <w:rsid w:val="007203F6"/>
    <w:rsid w:val="007209B0"/>
    <w:rsid w:val="00720ED6"/>
    <w:rsid w:val="00722308"/>
    <w:rsid w:val="00723D97"/>
    <w:rsid w:val="007242A3"/>
    <w:rsid w:val="007250C9"/>
    <w:rsid w:val="007269D0"/>
    <w:rsid w:val="00730C44"/>
    <w:rsid w:val="00731A99"/>
    <w:rsid w:val="007328BD"/>
    <w:rsid w:val="007345DD"/>
    <w:rsid w:val="00737330"/>
    <w:rsid w:val="007414BC"/>
    <w:rsid w:val="007435B1"/>
    <w:rsid w:val="007443F0"/>
    <w:rsid w:val="007455AE"/>
    <w:rsid w:val="00746F6E"/>
    <w:rsid w:val="00751B30"/>
    <w:rsid w:val="00751D95"/>
    <w:rsid w:val="00753CC7"/>
    <w:rsid w:val="007574D2"/>
    <w:rsid w:val="00760A1C"/>
    <w:rsid w:val="00760E70"/>
    <w:rsid w:val="00762013"/>
    <w:rsid w:val="00762187"/>
    <w:rsid w:val="007626BC"/>
    <w:rsid w:val="00762C69"/>
    <w:rsid w:val="00764941"/>
    <w:rsid w:val="007649E5"/>
    <w:rsid w:val="00764A16"/>
    <w:rsid w:val="0076561E"/>
    <w:rsid w:val="00767C6B"/>
    <w:rsid w:val="0077012C"/>
    <w:rsid w:val="007720D7"/>
    <w:rsid w:val="0077247E"/>
    <w:rsid w:val="007745F7"/>
    <w:rsid w:val="00777525"/>
    <w:rsid w:val="00780671"/>
    <w:rsid w:val="00780A38"/>
    <w:rsid w:val="00783778"/>
    <w:rsid w:val="007842D1"/>
    <w:rsid w:val="00786C8B"/>
    <w:rsid w:val="00791E6A"/>
    <w:rsid w:val="007962DE"/>
    <w:rsid w:val="007A2B59"/>
    <w:rsid w:val="007A2BCE"/>
    <w:rsid w:val="007A4555"/>
    <w:rsid w:val="007A4557"/>
    <w:rsid w:val="007A6D56"/>
    <w:rsid w:val="007B0D1F"/>
    <w:rsid w:val="007B3BCF"/>
    <w:rsid w:val="007B5160"/>
    <w:rsid w:val="007B6E76"/>
    <w:rsid w:val="007B7013"/>
    <w:rsid w:val="007C2EDF"/>
    <w:rsid w:val="007D0400"/>
    <w:rsid w:val="007D1CF2"/>
    <w:rsid w:val="007D2E4E"/>
    <w:rsid w:val="007D397A"/>
    <w:rsid w:val="007D5B6A"/>
    <w:rsid w:val="007E029B"/>
    <w:rsid w:val="007E2296"/>
    <w:rsid w:val="007E27D7"/>
    <w:rsid w:val="007E4D09"/>
    <w:rsid w:val="007E7A11"/>
    <w:rsid w:val="007E7D99"/>
    <w:rsid w:val="007F410C"/>
    <w:rsid w:val="007F5996"/>
    <w:rsid w:val="007F5C2E"/>
    <w:rsid w:val="007F6E9C"/>
    <w:rsid w:val="00800CAA"/>
    <w:rsid w:val="00803267"/>
    <w:rsid w:val="008057F9"/>
    <w:rsid w:val="00806BC8"/>
    <w:rsid w:val="0080767F"/>
    <w:rsid w:val="00813F5B"/>
    <w:rsid w:val="008142B9"/>
    <w:rsid w:val="00816597"/>
    <w:rsid w:val="00822ADB"/>
    <w:rsid w:val="00823CC0"/>
    <w:rsid w:val="00832054"/>
    <w:rsid w:val="008326F6"/>
    <w:rsid w:val="0083329C"/>
    <w:rsid w:val="0083504B"/>
    <w:rsid w:val="008354FE"/>
    <w:rsid w:val="008362E4"/>
    <w:rsid w:val="008371FD"/>
    <w:rsid w:val="00844D06"/>
    <w:rsid w:val="00844E5D"/>
    <w:rsid w:val="008465C6"/>
    <w:rsid w:val="008569EB"/>
    <w:rsid w:val="00856C18"/>
    <w:rsid w:val="00857359"/>
    <w:rsid w:val="008610DE"/>
    <w:rsid w:val="00861EE8"/>
    <w:rsid w:val="00861FAA"/>
    <w:rsid w:val="008635B2"/>
    <w:rsid w:val="00866696"/>
    <w:rsid w:val="00867869"/>
    <w:rsid w:val="00873E04"/>
    <w:rsid w:val="008765F3"/>
    <w:rsid w:val="008778D7"/>
    <w:rsid w:val="00880A40"/>
    <w:rsid w:val="008856EF"/>
    <w:rsid w:val="0088589C"/>
    <w:rsid w:val="00890B6B"/>
    <w:rsid w:val="00891F6F"/>
    <w:rsid w:val="00892F4B"/>
    <w:rsid w:val="0089771E"/>
    <w:rsid w:val="008A4272"/>
    <w:rsid w:val="008B74E5"/>
    <w:rsid w:val="008C36B5"/>
    <w:rsid w:val="008C3DA4"/>
    <w:rsid w:val="008D1772"/>
    <w:rsid w:val="008D39FB"/>
    <w:rsid w:val="008D3B86"/>
    <w:rsid w:val="008D4F04"/>
    <w:rsid w:val="008D5288"/>
    <w:rsid w:val="008D627C"/>
    <w:rsid w:val="008E1666"/>
    <w:rsid w:val="008E40E0"/>
    <w:rsid w:val="008E42D0"/>
    <w:rsid w:val="008E4F26"/>
    <w:rsid w:val="008E6A1A"/>
    <w:rsid w:val="008E7EC8"/>
    <w:rsid w:val="008F57FA"/>
    <w:rsid w:val="0090383D"/>
    <w:rsid w:val="0090444C"/>
    <w:rsid w:val="00905A7A"/>
    <w:rsid w:val="0091022E"/>
    <w:rsid w:val="009211EB"/>
    <w:rsid w:val="00923F34"/>
    <w:rsid w:val="009348F4"/>
    <w:rsid w:val="00941254"/>
    <w:rsid w:val="009448D7"/>
    <w:rsid w:val="00946AB5"/>
    <w:rsid w:val="00947FAC"/>
    <w:rsid w:val="009515C2"/>
    <w:rsid w:val="009542F0"/>
    <w:rsid w:val="00957C3D"/>
    <w:rsid w:val="00962CAB"/>
    <w:rsid w:val="00962E02"/>
    <w:rsid w:val="00963C6E"/>
    <w:rsid w:val="0096620E"/>
    <w:rsid w:val="009679CC"/>
    <w:rsid w:val="00967AB7"/>
    <w:rsid w:val="00973426"/>
    <w:rsid w:val="00974D17"/>
    <w:rsid w:val="009766BC"/>
    <w:rsid w:val="00977B13"/>
    <w:rsid w:val="00982C08"/>
    <w:rsid w:val="00983F3A"/>
    <w:rsid w:val="00987FEE"/>
    <w:rsid w:val="0099283A"/>
    <w:rsid w:val="00992D2A"/>
    <w:rsid w:val="0099474F"/>
    <w:rsid w:val="009974F6"/>
    <w:rsid w:val="009A2187"/>
    <w:rsid w:val="009A251F"/>
    <w:rsid w:val="009A286F"/>
    <w:rsid w:val="009B2940"/>
    <w:rsid w:val="009B36D1"/>
    <w:rsid w:val="009B42A0"/>
    <w:rsid w:val="009B5510"/>
    <w:rsid w:val="009B6D14"/>
    <w:rsid w:val="009C30A3"/>
    <w:rsid w:val="009D217C"/>
    <w:rsid w:val="009D4F3B"/>
    <w:rsid w:val="009D712F"/>
    <w:rsid w:val="009E0922"/>
    <w:rsid w:val="009E2120"/>
    <w:rsid w:val="009E462B"/>
    <w:rsid w:val="009F414A"/>
    <w:rsid w:val="009F4340"/>
    <w:rsid w:val="009F458E"/>
    <w:rsid w:val="00A01E83"/>
    <w:rsid w:val="00A04A65"/>
    <w:rsid w:val="00A055B4"/>
    <w:rsid w:val="00A0759D"/>
    <w:rsid w:val="00A11871"/>
    <w:rsid w:val="00A17530"/>
    <w:rsid w:val="00A22FB4"/>
    <w:rsid w:val="00A30DD9"/>
    <w:rsid w:val="00A32632"/>
    <w:rsid w:val="00A361E3"/>
    <w:rsid w:val="00A40F14"/>
    <w:rsid w:val="00A435BF"/>
    <w:rsid w:val="00A46CF0"/>
    <w:rsid w:val="00A47A4F"/>
    <w:rsid w:val="00A54419"/>
    <w:rsid w:val="00A5485D"/>
    <w:rsid w:val="00A55675"/>
    <w:rsid w:val="00A5666D"/>
    <w:rsid w:val="00A575EE"/>
    <w:rsid w:val="00A61722"/>
    <w:rsid w:val="00A6493B"/>
    <w:rsid w:val="00A66D4B"/>
    <w:rsid w:val="00A72D3F"/>
    <w:rsid w:val="00A73E3B"/>
    <w:rsid w:val="00A74397"/>
    <w:rsid w:val="00A75956"/>
    <w:rsid w:val="00A766EE"/>
    <w:rsid w:val="00A7670B"/>
    <w:rsid w:val="00A76C55"/>
    <w:rsid w:val="00A7778A"/>
    <w:rsid w:val="00A77AA8"/>
    <w:rsid w:val="00A91054"/>
    <w:rsid w:val="00A91120"/>
    <w:rsid w:val="00A9641D"/>
    <w:rsid w:val="00A96582"/>
    <w:rsid w:val="00A96845"/>
    <w:rsid w:val="00A96FB1"/>
    <w:rsid w:val="00AA2184"/>
    <w:rsid w:val="00AB7CF7"/>
    <w:rsid w:val="00AC254D"/>
    <w:rsid w:val="00AC30CB"/>
    <w:rsid w:val="00AC6203"/>
    <w:rsid w:val="00AC7B09"/>
    <w:rsid w:val="00AD69C1"/>
    <w:rsid w:val="00AD708C"/>
    <w:rsid w:val="00AE093F"/>
    <w:rsid w:val="00AE39B5"/>
    <w:rsid w:val="00AE5BFA"/>
    <w:rsid w:val="00AE676F"/>
    <w:rsid w:val="00AE6B51"/>
    <w:rsid w:val="00AE755F"/>
    <w:rsid w:val="00AF1930"/>
    <w:rsid w:val="00AF2E35"/>
    <w:rsid w:val="00AF414F"/>
    <w:rsid w:val="00AF4279"/>
    <w:rsid w:val="00AF638A"/>
    <w:rsid w:val="00AF64FB"/>
    <w:rsid w:val="00B02C5E"/>
    <w:rsid w:val="00B02D06"/>
    <w:rsid w:val="00B0707E"/>
    <w:rsid w:val="00B1159B"/>
    <w:rsid w:val="00B14400"/>
    <w:rsid w:val="00B146C4"/>
    <w:rsid w:val="00B152C2"/>
    <w:rsid w:val="00B20F65"/>
    <w:rsid w:val="00B25D27"/>
    <w:rsid w:val="00B34035"/>
    <w:rsid w:val="00B355D8"/>
    <w:rsid w:val="00B40CB3"/>
    <w:rsid w:val="00B45870"/>
    <w:rsid w:val="00B45D8C"/>
    <w:rsid w:val="00B52CBF"/>
    <w:rsid w:val="00B52DA1"/>
    <w:rsid w:val="00B52E3C"/>
    <w:rsid w:val="00B5491C"/>
    <w:rsid w:val="00B56F65"/>
    <w:rsid w:val="00B61355"/>
    <w:rsid w:val="00B62F7B"/>
    <w:rsid w:val="00B633C5"/>
    <w:rsid w:val="00B64C9D"/>
    <w:rsid w:val="00B75E4D"/>
    <w:rsid w:val="00B776FE"/>
    <w:rsid w:val="00B80B75"/>
    <w:rsid w:val="00B9223B"/>
    <w:rsid w:val="00B971B2"/>
    <w:rsid w:val="00BA0966"/>
    <w:rsid w:val="00BA16F7"/>
    <w:rsid w:val="00BA32D3"/>
    <w:rsid w:val="00BA5947"/>
    <w:rsid w:val="00BA663E"/>
    <w:rsid w:val="00BB1416"/>
    <w:rsid w:val="00BC1B22"/>
    <w:rsid w:val="00BC3AFC"/>
    <w:rsid w:val="00BC4ED9"/>
    <w:rsid w:val="00BC6066"/>
    <w:rsid w:val="00BC6D2F"/>
    <w:rsid w:val="00BD1996"/>
    <w:rsid w:val="00BD4FA1"/>
    <w:rsid w:val="00BD51A7"/>
    <w:rsid w:val="00BD6434"/>
    <w:rsid w:val="00BD6EDC"/>
    <w:rsid w:val="00BE05E0"/>
    <w:rsid w:val="00BE3226"/>
    <w:rsid w:val="00C0620A"/>
    <w:rsid w:val="00C065BE"/>
    <w:rsid w:val="00C101FC"/>
    <w:rsid w:val="00C10F8D"/>
    <w:rsid w:val="00C14993"/>
    <w:rsid w:val="00C25210"/>
    <w:rsid w:val="00C267B1"/>
    <w:rsid w:val="00C26DC5"/>
    <w:rsid w:val="00C33BF4"/>
    <w:rsid w:val="00C347B4"/>
    <w:rsid w:val="00C34C2E"/>
    <w:rsid w:val="00C35653"/>
    <w:rsid w:val="00C36316"/>
    <w:rsid w:val="00C41A20"/>
    <w:rsid w:val="00C463A6"/>
    <w:rsid w:val="00C4657C"/>
    <w:rsid w:val="00C50564"/>
    <w:rsid w:val="00C525F7"/>
    <w:rsid w:val="00C563BB"/>
    <w:rsid w:val="00C5660D"/>
    <w:rsid w:val="00C63CF4"/>
    <w:rsid w:val="00C64BEA"/>
    <w:rsid w:val="00C67D69"/>
    <w:rsid w:val="00C67F09"/>
    <w:rsid w:val="00C731E9"/>
    <w:rsid w:val="00C733A0"/>
    <w:rsid w:val="00C77D40"/>
    <w:rsid w:val="00C805EC"/>
    <w:rsid w:val="00C8199A"/>
    <w:rsid w:val="00C81BAB"/>
    <w:rsid w:val="00C82C48"/>
    <w:rsid w:val="00C84149"/>
    <w:rsid w:val="00C8699B"/>
    <w:rsid w:val="00C92D9B"/>
    <w:rsid w:val="00C9448E"/>
    <w:rsid w:val="00C9652C"/>
    <w:rsid w:val="00CA0DA7"/>
    <w:rsid w:val="00CA114F"/>
    <w:rsid w:val="00CA2E06"/>
    <w:rsid w:val="00CA3B56"/>
    <w:rsid w:val="00CA3B86"/>
    <w:rsid w:val="00CA3FEE"/>
    <w:rsid w:val="00CA7AC6"/>
    <w:rsid w:val="00CB01BB"/>
    <w:rsid w:val="00CB0E65"/>
    <w:rsid w:val="00CB0F1B"/>
    <w:rsid w:val="00CB10E5"/>
    <w:rsid w:val="00CB7630"/>
    <w:rsid w:val="00CC0A29"/>
    <w:rsid w:val="00CC6704"/>
    <w:rsid w:val="00CD0A95"/>
    <w:rsid w:val="00CD51F8"/>
    <w:rsid w:val="00CD568E"/>
    <w:rsid w:val="00CD6CFA"/>
    <w:rsid w:val="00CE0BE4"/>
    <w:rsid w:val="00CE2139"/>
    <w:rsid w:val="00CE24B2"/>
    <w:rsid w:val="00CE54CC"/>
    <w:rsid w:val="00CE69C9"/>
    <w:rsid w:val="00CE6C4F"/>
    <w:rsid w:val="00CE7ED4"/>
    <w:rsid w:val="00CF110F"/>
    <w:rsid w:val="00CF4D91"/>
    <w:rsid w:val="00CF6158"/>
    <w:rsid w:val="00CF6933"/>
    <w:rsid w:val="00D00AF5"/>
    <w:rsid w:val="00D00CD7"/>
    <w:rsid w:val="00D0188A"/>
    <w:rsid w:val="00D05763"/>
    <w:rsid w:val="00D120C2"/>
    <w:rsid w:val="00D13FD9"/>
    <w:rsid w:val="00D1580B"/>
    <w:rsid w:val="00D224D5"/>
    <w:rsid w:val="00D23E2F"/>
    <w:rsid w:val="00D25482"/>
    <w:rsid w:val="00D32A40"/>
    <w:rsid w:val="00D41981"/>
    <w:rsid w:val="00D428BD"/>
    <w:rsid w:val="00D446D1"/>
    <w:rsid w:val="00D4592E"/>
    <w:rsid w:val="00D4709B"/>
    <w:rsid w:val="00D524BB"/>
    <w:rsid w:val="00D528F4"/>
    <w:rsid w:val="00D546FD"/>
    <w:rsid w:val="00D5793D"/>
    <w:rsid w:val="00D614B4"/>
    <w:rsid w:val="00D649A9"/>
    <w:rsid w:val="00D67251"/>
    <w:rsid w:val="00D71F50"/>
    <w:rsid w:val="00D75D15"/>
    <w:rsid w:val="00D7618F"/>
    <w:rsid w:val="00D80ED1"/>
    <w:rsid w:val="00D81A07"/>
    <w:rsid w:val="00D81CB2"/>
    <w:rsid w:val="00D82918"/>
    <w:rsid w:val="00D84A9F"/>
    <w:rsid w:val="00D9068F"/>
    <w:rsid w:val="00D92080"/>
    <w:rsid w:val="00D9534A"/>
    <w:rsid w:val="00D96EE7"/>
    <w:rsid w:val="00DA0E3A"/>
    <w:rsid w:val="00DA1F84"/>
    <w:rsid w:val="00DA6CEE"/>
    <w:rsid w:val="00DA7973"/>
    <w:rsid w:val="00DA7B67"/>
    <w:rsid w:val="00DB200F"/>
    <w:rsid w:val="00DC09C9"/>
    <w:rsid w:val="00DC1303"/>
    <w:rsid w:val="00DC34A7"/>
    <w:rsid w:val="00DC3FE8"/>
    <w:rsid w:val="00DC5AB2"/>
    <w:rsid w:val="00DC675B"/>
    <w:rsid w:val="00DC6911"/>
    <w:rsid w:val="00DD1A87"/>
    <w:rsid w:val="00DD2581"/>
    <w:rsid w:val="00DD35C6"/>
    <w:rsid w:val="00DD4B8E"/>
    <w:rsid w:val="00DD643B"/>
    <w:rsid w:val="00DE00A1"/>
    <w:rsid w:val="00DE3D09"/>
    <w:rsid w:val="00DE5394"/>
    <w:rsid w:val="00DE65FF"/>
    <w:rsid w:val="00DF1785"/>
    <w:rsid w:val="00DF4A68"/>
    <w:rsid w:val="00DF6B61"/>
    <w:rsid w:val="00E018C4"/>
    <w:rsid w:val="00E03FD5"/>
    <w:rsid w:val="00E1197B"/>
    <w:rsid w:val="00E15934"/>
    <w:rsid w:val="00E225EA"/>
    <w:rsid w:val="00E22E31"/>
    <w:rsid w:val="00E2557A"/>
    <w:rsid w:val="00E305A5"/>
    <w:rsid w:val="00E32B44"/>
    <w:rsid w:val="00E3345F"/>
    <w:rsid w:val="00E33B34"/>
    <w:rsid w:val="00E349CD"/>
    <w:rsid w:val="00E43D47"/>
    <w:rsid w:val="00E44A73"/>
    <w:rsid w:val="00E46EFA"/>
    <w:rsid w:val="00E51712"/>
    <w:rsid w:val="00E51FA9"/>
    <w:rsid w:val="00E52983"/>
    <w:rsid w:val="00E570C9"/>
    <w:rsid w:val="00E6189C"/>
    <w:rsid w:val="00E62FC0"/>
    <w:rsid w:val="00E65D28"/>
    <w:rsid w:val="00E71DC7"/>
    <w:rsid w:val="00E729A8"/>
    <w:rsid w:val="00E74284"/>
    <w:rsid w:val="00E74CB7"/>
    <w:rsid w:val="00E75C51"/>
    <w:rsid w:val="00E77E35"/>
    <w:rsid w:val="00E814EF"/>
    <w:rsid w:val="00E82FC8"/>
    <w:rsid w:val="00E866DC"/>
    <w:rsid w:val="00E87BEB"/>
    <w:rsid w:val="00E912F3"/>
    <w:rsid w:val="00E93D19"/>
    <w:rsid w:val="00EA0AD1"/>
    <w:rsid w:val="00EA57F4"/>
    <w:rsid w:val="00EA7058"/>
    <w:rsid w:val="00EB251D"/>
    <w:rsid w:val="00EB3EF9"/>
    <w:rsid w:val="00EB4884"/>
    <w:rsid w:val="00EB67FA"/>
    <w:rsid w:val="00EC0794"/>
    <w:rsid w:val="00EC5E91"/>
    <w:rsid w:val="00EC6FD8"/>
    <w:rsid w:val="00ED15EF"/>
    <w:rsid w:val="00ED257C"/>
    <w:rsid w:val="00ED268B"/>
    <w:rsid w:val="00ED575E"/>
    <w:rsid w:val="00EE3FB7"/>
    <w:rsid w:val="00EF0A6F"/>
    <w:rsid w:val="00EF44B4"/>
    <w:rsid w:val="00EF6145"/>
    <w:rsid w:val="00F02014"/>
    <w:rsid w:val="00F042FA"/>
    <w:rsid w:val="00F22D79"/>
    <w:rsid w:val="00F22ED7"/>
    <w:rsid w:val="00F23661"/>
    <w:rsid w:val="00F2367F"/>
    <w:rsid w:val="00F30379"/>
    <w:rsid w:val="00F329D9"/>
    <w:rsid w:val="00F32C2F"/>
    <w:rsid w:val="00F343A6"/>
    <w:rsid w:val="00F34C50"/>
    <w:rsid w:val="00F35820"/>
    <w:rsid w:val="00F377CF"/>
    <w:rsid w:val="00F40705"/>
    <w:rsid w:val="00F40F26"/>
    <w:rsid w:val="00F42372"/>
    <w:rsid w:val="00F501D6"/>
    <w:rsid w:val="00F510F6"/>
    <w:rsid w:val="00F52822"/>
    <w:rsid w:val="00F53A38"/>
    <w:rsid w:val="00F558C7"/>
    <w:rsid w:val="00F61E87"/>
    <w:rsid w:val="00F65C1D"/>
    <w:rsid w:val="00F67870"/>
    <w:rsid w:val="00F7246D"/>
    <w:rsid w:val="00F72A1A"/>
    <w:rsid w:val="00F735DF"/>
    <w:rsid w:val="00F846C4"/>
    <w:rsid w:val="00F92815"/>
    <w:rsid w:val="00F93648"/>
    <w:rsid w:val="00FA2769"/>
    <w:rsid w:val="00FA3392"/>
    <w:rsid w:val="00FA49FD"/>
    <w:rsid w:val="00FA77F0"/>
    <w:rsid w:val="00FB483C"/>
    <w:rsid w:val="00FB5080"/>
    <w:rsid w:val="00FB5750"/>
    <w:rsid w:val="00FC155D"/>
    <w:rsid w:val="00FC24DF"/>
    <w:rsid w:val="00FC5BFB"/>
    <w:rsid w:val="00FC6DD9"/>
    <w:rsid w:val="00FC7702"/>
    <w:rsid w:val="00FD08C3"/>
    <w:rsid w:val="00FD0E76"/>
    <w:rsid w:val="00FD18EC"/>
    <w:rsid w:val="00FD1A2D"/>
    <w:rsid w:val="00FD54CC"/>
    <w:rsid w:val="00FD7107"/>
    <w:rsid w:val="00FD7B2F"/>
    <w:rsid w:val="00FE1693"/>
    <w:rsid w:val="00FE1B10"/>
    <w:rsid w:val="00FE7BC5"/>
    <w:rsid w:val="00FF14B1"/>
    <w:rsid w:val="00FF1B60"/>
    <w:rsid w:val="00FF3985"/>
    <w:rsid w:val="00FF62AE"/>
    <w:rsid w:val="00FF630B"/>
    <w:rsid w:val="00FF7A3C"/>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41763e"/>
    </o:shapedefaults>
    <o:shapelayout v:ext="edit">
      <o:idmap v:ext="edit" data="1"/>
    </o:shapelayout>
  </w:shapeDefaults>
  <w:decimalSymbol w:val="."/>
  <w:listSeparator w:val=","/>
  <w15:docId w15:val="{83EA7CCB-E548-4E6A-9190-50E1895D9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5210"/>
    <w:pPr>
      <w:spacing w:after="120"/>
    </w:pPr>
    <w:rPr>
      <w:rFonts w:ascii="Cambria" w:hAnsi="Cambria"/>
    </w:rPr>
  </w:style>
  <w:style w:type="paragraph" w:styleId="Heading1">
    <w:name w:val="heading 1"/>
    <w:basedOn w:val="Normal"/>
    <w:next w:val="Normal"/>
    <w:link w:val="Heading1Char"/>
    <w:uiPriority w:val="1"/>
    <w:qFormat/>
    <w:rsid w:val="00DC3FE8"/>
    <w:pPr>
      <w:keepNext/>
      <w:spacing w:before="480" w:line="240" w:lineRule="auto"/>
      <w:outlineLvl w:val="0"/>
    </w:pPr>
    <w:rPr>
      <w:rFonts w:eastAsia="Times New Roman" w:cs="Times New Roman"/>
      <w:b/>
      <w:caps/>
      <w:kern w:val="28"/>
      <w:sz w:val="24"/>
      <w:szCs w:val="20"/>
      <w:lang w:val="en-GB"/>
    </w:rPr>
  </w:style>
  <w:style w:type="paragraph" w:styleId="Heading2">
    <w:name w:val="heading 2"/>
    <w:basedOn w:val="Normal"/>
    <w:next w:val="Normal"/>
    <w:link w:val="Heading2Char"/>
    <w:uiPriority w:val="9"/>
    <w:unhideWhenUsed/>
    <w:qFormat/>
    <w:rsid w:val="00500F5D"/>
    <w:pPr>
      <w:keepNext/>
      <w:keepLines/>
      <w:spacing w:before="240" w:line="480" w:lineRule="auto"/>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uiPriority w:val="9"/>
    <w:unhideWhenUsed/>
    <w:qFormat/>
    <w:rsid w:val="00C35653"/>
    <w:pPr>
      <w:keepNext/>
      <w:keepLines/>
      <w:spacing w:after="60" w:line="240" w:lineRule="auto"/>
      <w:outlineLvl w:val="2"/>
    </w:pPr>
    <w:rPr>
      <w:rFonts w:asciiTheme="majorHAnsi" w:eastAsiaTheme="majorEastAsia" w:hAnsiTheme="majorHAnsi"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C3FE8"/>
    <w:rPr>
      <w:rFonts w:ascii="Cambria" w:eastAsia="Times New Roman" w:hAnsi="Cambria" w:cs="Times New Roman"/>
      <w:b/>
      <w:caps/>
      <w:kern w:val="28"/>
      <w:sz w:val="24"/>
      <w:szCs w:val="20"/>
      <w:lang w:val="en-GB"/>
    </w:rPr>
  </w:style>
  <w:style w:type="character" w:customStyle="1" w:styleId="Heading2Char">
    <w:name w:val="Heading 2 Char"/>
    <w:basedOn w:val="DefaultParagraphFont"/>
    <w:link w:val="Heading2"/>
    <w:uiPriority w:val="9"/>
    <w:rsid w:val="00500F5D"/>
    <w:rPr>
      <w:rFonts w:asciiTheme="majorHAnsi" w:eastAsiaTheme="majorEastAsia" w:hAnsiTheme="majorHAnsi" w:cstheme="majorBidi"/>
      <w:b/>
      <w:bCs/>
      <w:szCs w:val="26"/>
    </w:rPr>
  </w:style>
  <w:style w:type="paragraph" w:styleId="ListParagraph">
    <w:name w:val="List Paragraph"/>
    <w:basedOn w:val="Normal"/>
    <w:uiPriority w:val="34"/>
    <w:qFormat/>
    <w:rsid w:val="00590B27"/>
    <w:pPr>
      <w:ind w:left="720"/>
      <w:contextualSpacing/>
    </w:pPr>
  </w:style>
  <w:style w:type="paragraph" w:styleId="BalloonText">
    <w:name w:val="Balloon Text"/>
    <w:basedOn w:val="Normal"/>
    <w:link w:val="BalloonTextChar"/>
    <w:uiPriority w:val="99"/>
    <w:semiHidden/>
    <w:unhideWhenUsed/>
    <w:rsid w:val="00BC60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066"/>
    <w:rPr>
      <w:rFonts w:ascii="Tahoma" w:hAnsi="Tahoma" w:cs="Tahoma"/>
      <w:sz w:val="16"/>
      <w:szCs w:val="16"/>
    </w:rPr>
  </w:style>
  <w:style w:type="character" w:styleId="CommentReference">
    <w:name w:val="annotation reference"/>
    <w:basedOn w:val="DefaultParagraphFont"/>
    <w:uiPriority w:val="99"/>
    <w:semiHidden/>
    <w:unhideWhenUsed/>
    <w:rsid w:val="00BC6066"/>
    <w:rPr>
      <w:sz w:val="16"/>
      <w:szCs w:val="16"/>
    </w:rPr>
  </w:style>
  <w:style w:type="paragraph" w:styleId="CommentText">
    <w:name w:val="annotation text"/>
    <w:basedOn w:val="Normal"/>
    <w:link w:val="CommentTextChar"/>
    <w:uiPriority w:val="99"/>
    <w:semiHidden/>
    <w:unhideWhenUsed/>
    <w:rsid w:val="00BC6066"/>
    <w:pPr>
      <w:spacing w:line="240" w:lineRule="auto"/>
    </w:pPr>
    <w:rPr>
      <w:sz w:val="20"/>
      <w:szCs w:val="20"/>
    </w:rPr>
  </w:style>
  <w:style w:type="character" w:customStyle="1" w:styleId="CommentTextChar">
    <w:name w:val="Comment Text Char"/>
    <w:basedOn w:val="DefaultParagraphFont"/>
    <w:link w:val="CommentText"/>
    <w:uiPriority w:val="99"/>
    <w:semiHidden/>
    <w:rsid w:val="00BC6066"/>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BC6066"/>
    <w:rPr>
      <w:b/>
      <w:bCs/>
    </w:rPr>
  </w:style>
  <w:style w:type="character" w:customStyle="1" w:styleId="CommentSubjectChar">
    <w:name w:val="Comment Subject Char"/>
    <w:basedOn w:val="CommentTextChar"/>
    <w:link w:val="CommentSubject"/>
    <w:uiPriority w:val="99"/>
    <w:semiHidden/>
    <w:rsid w:val="00BC6066"/>
    <w:rPr>
      <w:rFonts w:ascii="Cambria" w:hAnsi="Cambria"/>
      <w:b/>
      <w:bCs/>
      <w:sz w:val="20"/>
      <w:szCs w:val="20"/>
    </w:rPr>
  </w:style>
  <w:style w:type="paragraph" w:styleId="NormalWeb">
    <w:name w:val="Normal (Web)"/>
    <w:basedOn w:val="Normal"/>
    <w:uiPriority w:val="99"/>
    <w:unhideWhenUsed/>
    <w:rsid w:val="00F329D9"/>
    <w:pPr>
      <w:spacing w:before="100" w:beforeAutospacing="1" w:after="100" w:afterAutospacing="1" w:line="240" w:lineRule="auto"/>
    </w:pPr>
    <w:rPr>
      <w:rFonts w:ascii="Times New Roman" w:hAnsi="Times New Roman" w:cs="Times New Roman"/>
      <w:sz w:val="24"/>
      <w:szCs w:val="24"/>
    </w:rPr>
  </w:style>
  <w:style w:type="table" w:styleId="TableGrid">
    <w:name w:val="Table Grid"/>
    <w:basedOn w:val="TableNormal"/>
    <w:uiPriority w:val="59"/>
    <w:rsid w:val="007620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14392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A17530"/>
    <w:pPr>
      <w:tabs>
        <w:tab w:val="center" w:pos="4419"/>
        <w:tab w:val="right" w:pos="8838"/>
      </w:tabs>
      <w:spacing w:after="0" w:line="240" w:lineRule="auto"/>
    </w:pPr>
  </w:style>
  <w:style w:type="character" w:customStyle="1" w:styleId="HeaderChar">
    <w:name w:val="Header Char"/>
    <w:basedOn w:val="DefaultParagraphFont"/>
    <w:link w:val="Header"/>
    <w:uiPriority w:val="99"/>
    <w:rsid w:val="00A17530"/>
    <w:rPr>
      <w:rFonts w:ascii="Cambria" w:hAnsi="Cambria"/>
    </w:rPr>
  </w:style>
  <w:style w:type="paragraph" w:styleId="Footer">
    <w:name w:val="footer"/>
    <w:basedOn w:val="Normal"/>
    <w:link w:val="FooterChar"/>
    <w:uiPriority w:val="99"/>
    <w:unhideWhenUsed/>
    <w:rsid w:val="00A17530"/>
    <w:pPr>
      <w:tabs>
        <w:tab w:val="center" w:pos="4419"/>
        <w:tab w:val="right" w:pos="8838"/>
      </w:tabs>
      <w:spacing w:after="0" w:line="240" w:lineRule="auto"/>
    </w:pPr>
  </w:style>
  <w:style w:type="character" w:customStyle="1" w:styleId="FooterChar">
    <w:name w:val="Footer Char"/>
    <w:basedOn w:val="DefaultParagraphFont"/>
    <w:link w:val="Footer"/>
    <w:uiPriority w:val="99"/>
    <w:rsid w:val="00A17530"/>
    <w:rPr>
      <w:rFonts w:ascii="Cambria" w:hAnsi="Cambria"/>
    </w:rPr>
  </w:style>
  <w:style w:type="paragraph" w:customStyle="1" w:styleId="Table">
    <w:name w:val="Table"/>
    <w:basedOn w:val="Normal"/>
    <w:link w:val="TableCar"/>
    <w:qFormat/>
    <w:rsid w:val="00C35653"/>
    <w:pPr>
      <w:keepNext/>
      <w:spacing w:before="360"/>
    </w:pPr>
    <w:rPr>
      <w:b/>
    </w:rPr>
  </w:style>
  <w:style w:type="character" w:customStyle="1" w:styleId="Heading3Char">
    <w:name w:val="Heading 3 Char"/>
    <w:basedOn w:val="DefaultParagraphFont"/>
    <w:link w:val="Heading3"/>
    <w:uiPriority w:val="9"/>
    <w:rsid w:val="00C35653"/>
    <w:rPr>
      <w:rFonts w:asciiTheme="majorHAnsi" w:eastAsiaTheme="majorEastAsia" w:hAnsiTheme="majorHAnsi" w:cstheme="majorBidi"/>
      <w:bCs/>
    </w:rPr>
  </w:style>
  <w:style w:type="character" w:customStyle="1" w:styleId="TableCar">
    <w:name w:val="Table Car"/>
    <w:basedOn w:val="DefaultParagraphFont"/>
    <w:link w:val="Table"/>
    <w:rsid w:val="00C35653"/>
    <w:rPr>
      <w:rFonts w:ascii="Cambria" w:hAnsi="Cambria"/>
      <w:b/>
    </w:rPr>
  </w:style>
  <w:style w:type="paragraph" w:styleId="FootnoteText">
    <w:name w:val="footnote text"/>
    <w:basedOn w:val="Normal"/>
    <w:link w:val="FootnoteTextChar"/>
    <w:uiPriority w:val="99"/>
    <w:semiHidden/>
    <w:unhideWhenUsed/>
    <w:rsid w:val="0019684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6848"/>
    <w:rPr>
      <w:rFonts w:ascii="Cambria" w:hAnsi="Cambria"/>
      <w:sz w:val="20"/>
      <w:szCs w:val="20"/>
    </w:rPr>
  </w:style>
  <w:style w:type="character" w:styleId="FootnoteReference">
    <w:name w:val="footnote reference"/>
    <w:basedOn w:val="DefaultParagraphFont"/>
    <w:uiPriority w:val="99"/>
    <w:semiHidden/>
    <w:unhideWhenUsed/>
    <w:rsid w:val="00196848"/>
    <w:rPr>
      <w:vertAlign w:val="superscript"/>
    </w:rPr>
  </w:style>
  <w:style w:type="table" w:customStyle="1" w:styleId="Sombreadoclaro1">
    <w:name w:val="Sombreado claro1"/>
    <w:basedOn w:val="TableNormal"/>
    <w:next w:val="LightShading"/>
    <w:uiPriority w:val="60"/>
    <w:rsid w:val="00411545"/>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017083">
      <w:bodyDiv w:val="1"/>
      <w:marLeft w:val="0"/>
      <w:marRight w:val="0"/>
      <w:marTop w:val="0"/>
      <w:marBottom w:val="0"/>
      <w:divBdr>
        <w:top w:val="none" w:sz="0" w:space="0" w:color="auto"/>
        <w:left w:val="none" w:sz="0" w:space="0" w:color="auto"/>
        <w:bottom w:val="none" w:sz="0" w:space="0" w:color="auto"/>
        <w:right w:val="none" w:sz="0" w:space="0" w:color="auto"/>
      </w:divBdr>
    </w:div>
    <w:div w:id="337000973">
      <w:bodyDiv w:val="1"/>
      <w:marLeft w:val="0"/>
      <w:marRight w:val="0"/>
      <w:marTop w:val="0"/>
      <w:marBottom w:val="0"/>
      <w:divBdr>
        <w:top w:val="none" w:sz="0" w:space="0" w:color="auto"/>
        <w:left w:val="none" w:sz="0" w:space="0" w:color="auto"/>
        <w:bottom w:val="none" w:sz="0" w:space="0" w:color="auto"/>
        <w:right w:val="none" w:sz="0" w:space="0" w:color="auto"/>
      </w:divBdr>
    </w:div>
    <w:div w:id="478621359">
      <w:bodyDiv w:val="1"/>
      <w:marLeft w:val="0"/>
      <w:marRight w:val="0"/>
      <w:marTop w:val="0"/>
      <w:marBottom w:val="0"/>
      <w:divBdr>
        <w:top w:val="none" w:sz="0" w:space="0" w:color="auto"/>
        <w:left w:val="none" w:sz="0" w:space="0" w:color="auto"/>
        <w:bottom w:val="none" w:sz="0" w:space="0" w:color="auto"/>
        <w:right w:val="none" w:sz="0" w:space="0" w:color="auto"/>
      </w:divBdr>
    </w:div>
    <w:div w:id="550767156">
      <w:bodyDiv w:val="1"/>
      <w:marLeft w:val="0"/>
      <w:marRight w:val="0"/>
      <w:marTop w:val="0"/>
      <w:marBottom w:val="0"/>
      <w:divBdr>
        <w:top w:val="none" w:sz="0" w:space="0" w:color="auto"/>
        <w:left w:val="none" w:sz="0" w:space="0" w:color="auto"/>
        <w:bottom w:val="none" w:sz="0" w:space="0" w:color="auto"/>
        <w:right w:val="none" w:sz="0" w:space="0" w:color="auto"/>
      </w:divBdr>
      <w:divsChild>
        <w:div w:id="1516381858">
          <w:marLeft w:val="0"/>
          <w:marRight w:val="0"/>
          <w:marTop w:val="0"/>
          <w:marBottom w:val="0"/>
          <w:divBdr>
            <w:top w:val="none" w:sz="0" w:space="0" w:color="auto"/>
            <w:left w:val="none" w:sz="0" w:space="0" w:color="auto"/>
            <w:bottom w:val="none" w:sz="0" w:space="0" w:color="auto"/>
            <w:right w:val="none" w:sz="0" w:space="0" w:color="auto"/>
          </w:divBdr>
          <w:divsChild>
            <w:div w:id="338505342">
              <w:marLeft w:val="0"/>
              <w:marRight w:val="0"/>
              <w:marTop w:val="0"/>
              <w:marBottom w:val="0"/>
              <w:divBdr>
                <w:top w:val="none" w:sz="0" w:space="0" w:color="auto"/>
                <w:left w:val="none" w:sz="0" w:space="0" w:color="auto"/>
                <w:bottom w:val="none" w:sz="0" w:space="0" w:color="auto"/>
                <w:right w:val="none" w:sz="0" w:space="0" w:color="auto"/>
              </w:divBdr>
              <w:divsChild>
                <w:div w:id="654991745">
                  <w:marLeft w:val="0"/>
                  <w:marRight w:val="0"/>
                  <w:marTop w:val="0"/>
                  <w:marBottom w:val="0"/>
                  <w:divBdr>
                    <w:top w:val="none" w:sz="0" w:space="0" w:color="auto"/>
                    <w:left w:val="none" w:sz="0" w:space="0" w:color="auto"/>
                    <w:bottom w:val="none" w:sz="0" w:space="0" w:color="auto"/>
                    <w:right w:val="none" w:sz="0" w:space="0" w:color="auto"/>
                  </w:divBdr>
                  <w:divsChild>
                    <w:div w:id="141889331">
                      <w:marLeft w:val="0"/>
                      <w:marRight w:val="0"/>
                      <w:marTop w:val="0"/>
                      <w:marBottom w:val="0"/>
                      <w:divBdr>
                        <w:top w:val="none" w:sz="0" w:space="0" w:color="auto"/>
                        <w:left w:val="none" w:sz="0" w:space="0" w:color="auto"/>
                        <w:bottom w:val="none" w:sz="0" w:space="0" w:color="auto"/>
                        <w:right w:val="none" w:sz="0" w:space="0" w:color="auto"/>
                      </w:divBdr>
                      <w:divsChild>
                        <w:div w:id="1478641223">
                          <w:marLeft w:val="0"/>
                          <w:marRight w:val="0"/>
                          <w:marTop w:val="0"/>
                          <w:marBottom w:val="0"/>
                          <w:divBdr>
                            <w:top w:val="none" w:sz="0" w:space="0" w:color="auto"/>
                            <w:left w:val="none" w:sz="0" w:space="0" w:color="auto"/>
                            <w:bottom w:val="none" w:sz="0" w:space="0" w:color="auto"/>
                            <w:right w:val="none" w:sz="0" w:space="0" w:color="auto"/>
                          </w:divBdr>
                          <w:divsChild>
                            <w:div w:id="222716261">
                              <w:marLeft w:val="0"/>
                              <w:marRight w:val="0"/>
                              <w:marTop w:val="0"/>
                              <w:marBottom w:val="0"/>
                              <w:divBdr>
                                <w:top w:val="none" w:sz="0" w:space="0" w:color="auto"/>
                                <w:left w:val="none" w:sz="0" w:space="0" w:color="auto"/>
                                <w:bottom w:val="none" w:sz="0" w:space="0" w:color="auto"/>
                                <w:right w:val="none" w:sz="0" w:space="0" w:color="auto"/>
                              </w:divBdr>
                              <w:divsChild>
                                <w:div w:id="1208448185">
                                  <w:marLeft w:val="0"/>
                                  <w:marRight w:val="0"/>
                                  <w:marTop w:val="0"/>
                                  <w:marBottom w:val="0"/>
                                  <w:divBdr>
                                    <w:top w:val="none" w:sz="0" w:space="0" w:color="auto"/>
                                    <w:left w:val="none" w:sz="0" w:space="0" w:color="auto"/>
                                    <w:bottom w:val="none" w:sz="0" w:space="0" w:color="auto"/>
                                    <w:right w:val="none" w:sz="0" w:space="0" w:color="auto"/>
                                  </w:divBdr>
                                  <w:divsChild>
                                    <w:div w:id="2137751340">
                                      <w:marLeft w:val="0"/>
                                      <w:marRight w:val="0"/>
                                      <w:marTop w:val="0"/>
                                      <w:marBottom w:val="0"/>
                                      <w:divBdr>
                                        <w:top w:val="none" w:sz="0" w:space="0" w:color="auto"/>
                                        <w:left w:val="none" w:sz="0" w:space="0" w:color="auto"/>
                                        <w:bottom w:val="none" w:sz="0" w:space="0" w:color="auto"/>
                                        <w:right w:val="none" w:sz="0" w:space="0" w:color="auto"/>
                                      </w:divBdr>
                                      <w:divsChild>
                                        <w:div w:id="1188376032">
                                          <w:marLeft w:val="0"/>
                                          <w:marRight w:val="0"/>
                                          <w:marTop w:val="0"/>
                                          <w:marBottom w:val="0"/>
                                          <w:divBdr>
                                            <w:top w:val="none" w:sz="0" w:space="0" w:color="auto"/>
                                            <w:left w:val="none" w:sz="0" w:space="0" w:color="auto"/>
                                            <w:bottom w:val="none" w:sz="0" w:space="0" w:color="auto"/>
                                            <w:right w:val="none" w:sz="0" w:space="0" w:color="auto"/>
                                          </w:divBdr>
                                          <w:divsChild>
                                            <w:div w:id="1204098333">
                                              <w:marLeft w:val="0"/>
                                              <w:marRight w:val="0"/>
                                              <w:marTop w:val="0"/>
                                              <w:marBottom w:val="0"/>
                                              <w:divBdr>
                                                <w:top w:val="none" w:sz="0" w:space="0" w:color="auto"/>
                                                <w:left w:val="none" w:sz="0" w:space="0" w:color="auto"/>
                                                <w:bottom w:val="none" w:sz="0" w:space="0" w:color="auto"/>
                                                <w:right w:val="none" w:sz="0" w:space="0" w:color="auto"/>
                                              </w:divBdr>
                                              <w:divsChild>
                                                <w:div w:id="1359967557">
                                                  <w:marLeft w:val="0"/>
                                                  <w:marRight w:val="0"/>
                                                  <w:marTop w:val="0"/>
                                                  <w:marBottom w:val="0"/>
                                                  <w:divBdr>
                                                    <w:top w:val="none" w:sz="0" w:space="0" w:color="auto"/>
                                                    <w:left w:val="none" w:sz="0" w:space="0" w:color="auto"/>
                                                    <w:bottom w:val="none" w:sz="0" w:space="0" w:color="auto"/>
                                                    <w:right w:val="none" w:sz="0" w:space="0" w:color="auto"/>
                                                  </w:divBdr>
                                                  <w:divsChild>
                                                    <w:div w:id="1972244321">
                                                      <w:marLeft w:val="0"/>
                                                      <w:marRight w:val="0"/>
                                                      <w:marTop w:val="0"/>
                                                      <w:marBottom w:val="0"/>
                                                      <w:divBdr>
                                                        <w:top w:val="none" w:sz="0" w:space="0" w:color="auto"/>
                                                        <w:left w:val="none" w:sz="0" w:space="0" w:color="auto"/>
                                                        <w:bottom w:val="none" w:sz="0" w:space="0" w:color="auto"/>
                                                        <w:right w:val="none" w:sz="0" w:space="0" w:color="auto"/>
                                                      </w:divBdr>
                                                      <w:divsChild>
                                                        <w:div w:id="1849638445">
                                                          <w:marLeft w:val="0"/>
                                                          <w:marRight w:val="0"/>
                                                          <w:marTop w:val="0"/>
                                                          <w:marBottom w:val="0"/>
                                                          <w:divBdr>
                                                            <w:top w:val="none" w:sz="0" w:space="0" w:color="auto"/>
                                                            <w:left w:val="none" w:sz="0" w:space="0" w:color="auto"/>
                                                            <w:bottom w:val="none" w:sz="0" w:space="0" w:color="auto"/>
                                                            <w:right w:val="none" w:sz="0" w:space="0" w:color="auto"/>
                                                          </w:divBdr>
                                                          <w:divsChild>
                                                            <w:div w:id="1592735348">
                                                              <w:marLeft w:val="0"/>
                                                              <w:marRight w:val="0"/>
                                                              <w:marTop w:val="0"/>
                                                              <w:marBottom w:val="0"/>
                                                              <w:divBdr>
                                                                <w:top w:val="none" w:sz="0" w:space="0" w:color="auto"/>
                                                                <w:left w:val="none" w:sz="0" w:space="0" w:color="auto"/>
                                                                <w:bottom w:val="none" w:sz="0" w:space="0" w:color="auto"/>
                                                                <w:right w:val="none" w:sz="0" w:space="0" w:color="auto"/>
                                                              </w:divBdr>
                                                              <w:divsChild>
                                                                <w:div w:id="1196694667">
                                                                  <w:marLeft w:val="0"/>
                                                                  <w:marRight w:val="0"/>
                                                                  <w:marTop w:val="0"/>
                                                                  <w:marBottom w:val="0"/>
                                                                  <w:divBdr>
                                                                    <w:top w:val="none" w:sz="0" w:space="0" w:color="auto"/>
                                                                    <w:left w:val="none" w:sz="0" w:space="0" w:color="auto"/>
                                                                    <w:bottom w:val="none" w:sz="0" w:space="0" w:color="auto"/>
                                                                    <w:right w:val="none" w:sz="0" w:space="0" w:color="auto"/>
                                                                  </w:divBdr>
                                                                  <w:divsChild>
                                                                    <w:div w:id="1595045686">
                                                                      <w:marLeft w:val="0"/>
                                                                      <w:marRight w:val="0"/>
                                                                      <w:marTop w:val="0"/>
                                                                      <w:marBottom w:val="0"/>
                                                                      <w:divBdr>
                                                                        <w:top w:val="none" w:sz="0" w:space="0" w:color="auto"/>
                                                                        <w:left w:val="none" w:sz="0" w:space="0" w:color="auto"/>
                                                                        <w:bottom w:val="none" w:sz="0" w:space="0" w:color="auto"/>
                                                                        <w:right w:val="none" w:sz="0" w:space="0" w:color="auto"/>
                                                                      </w:divBdr>
                                                                      <w:divsChild>
                                                                        <w:div w:id="73164119">
                                                                          <w:marLeft w:val="0"/>
                                                                          <w:marRight w:val="0"/>
                                                                          <w:marTop w:val="0"/>
                                                                          <w:marBottom w:val="0"/>
                                                                          <w:divBdr>
                                                                            <w:top w:val="none" w:sz="0" w:space="0" w:color="auto"/>
                                                                            <w:left w:val="none" w:sz="0" w:space="0" w:color="auto"/>
                                                                            <w:bottom w:val="none" w:sz="0" w:space="0" w:color="auto"/>
                                                                            <w:right w:val="none" w:sz="0" w:space="0" w:color="auto"/>
                                                                          </w:divBdr>
                                                                          <w:divsChild>
                                                                            <w:div w:id="2069762290">
                                                                              <w:marLeft w:val="0"/>
                                                                              <w:marRight w:val="0"/>
                                                                              <w:marTop w:val="0"/>
                                                                              <w:marBottom w:val="0"/>
                                                                              <w:divBdr>
                                                                                <w:top w:val="none" w:sz="0" w:space="0" w:color="auto"/>
                                                                                <w:left w:val="none" w:sz="0" w:space="0" w:color="auto"/>
                                                                                <w:bottom w:val="none" w:sz="0" w:space="0" w:color="auto"/>
                                                                                <w:right w:val="none" w:sz="0" w:space="0" w:color="auto"/>
                                                                              </w:divBdr>
                                                                              <w:divsChild>
                                                                                <w:div w:id="2002541122">
                                                                                  <w:marLeft w:val="0"/>
                                                                                  <w:marRight w:val="0"/>
                                                                                  <w:marTop w:val="0"/>
                                                                                  <w:marBottom w:val="0"/>
                                                                                  <w:divBdr>
                                                                                    <w:top w:val="none" w:sz="0" w:space="0" w:color="auto"/>
                                                                                    <w:left w:val="none" w:sz="0" w:space="0" w:color="auto"/>
                                                                                    <w:bottom w:val="none" w:sz="0" w:space="0" w:color="auto"/>
                                                                                    <w:right w:val="none" w:sz="0" w:space="0" w:color="auto"/>
                                                                                  </w:divBdr>
                                                                                  <w:divsChild>
                                                                                    <w:div w:id="1229074847">
                                                                                      <w:marLeft w:val="0"/>
                                                                                      <w:marRight w:val="0"/>
                                                                                      <w:marTop w:val="0"/>
                                                                                      <w:marBottom w:val="0"/>
                                                                                      <w:divBdr>
                                                                                        <w:top w:val="none" w:sz="0" w:space="0" w:color="auto"/>
                                                                                        <w:left w:val="none" w:sz="0" w:space="0" w:color="auto"/>
                                                                                        <w:bottom w:val="none" w:sz="0" w:space="0" w:color="auto"/>
                                                                                        <w:right w:val="none" w:sz="0" w:space="0" w:color="auto"/>
                                                                                      </w:divBdr>
                                                                                      <w:divsChild>
                                                                                        <w:div w:id="331447276">
                                                                                          <w:marLeft w:val="0"/>
                                                                                          <w:marRight w:val="0"/>
                                                                                          <w:marTop w:val="0"/>
                                                                                          <w:marBottom w:val="0"/>
                                                                                          <w:divBdr>
                                                                                            <w:top w:val="none" w:sz="0" w:space="0" w:color="auto"/>
                                                                                            <w:left w:val="none" w:sz="0" w:space="0" w:color="auto"/>
                                                                                            <w:bottom w:val="none" w:sz="0" w:space="0" w:color="auto"/>
                                                                                            <w:right w:val="none" w:sz="0" w:space="0" w:color="auto"/>
                                                                                          </w:divBdr>
                                                                                          <w:divsChild>
                                                                                            <w:div w:id="1452437125">
                                                                                              <w:marLeft w:val="0"/>
                                                                                              <w:marRight w:val="0"/>
                                                                                              <w:marTop w:val="0"/>
                                                                                              <w:marBottom w:val="0"/>
                                                                                              <w:divBdr>
                                                                                                <w:top w:val="none" w:sz="0" w:space="0" w:color="auto"/>
                                                                                                <w:left w:val="none" w:sz="0" w:space="0" w:color="auto"/>
                                                                                                <w:bottom w:val="none" w:sz="0" w:space="0" w:color="auto"/>
                                                                                                <w:right w:val="none" w:sz="0" w:space="0" w:color="auto"/>
                                                                                              </w:divBdr>
                                                                                              <w:divsChild>
                                                                                                <w:div w:id="1414737597">
                                                                                                  <w:marLeft w:val="0"/>
                                                                                                  <w:marRight w:val="0"/>
                                                                                                  <w:marTop w:val="0"/>
                                                                                                  <w:marBottom w:val="0"/>
                                                                                                  <w:divBdr>
                                                                                                    <w:top w:val="none" w:sz="0" w:space="0" w:color="auto"/>
                                                                                                    <w:left w:val="none" w:sz="0" w:space="0" w:color="auto"/>
                                                                                                    <w:bottom w:val="none" w:sz="0" w:space="0" w:color="auto"/>
                                                                                                    <w:right w:val="none" w:sz="0" w:space="0" w:color="auto"/>
                                                                                                  </w:divBdr>
                                                                                                  <w:divsChild>
                                                                                                    <w:div w:id="1842698326">
                                                                                                      <w:marLeft w:val="0"/>
                                                                                                      <w:marRight w:val="0"/>
                                                                                                      <w:marTop w:val="0"/>
                                                                                                      <w:marBottom w:val="0"/>
                                                                                                      <w:divBdr>
                                                                                                        <w:top w:val="none" w:sz="0" w:space="0" w:color="auto"/>
                                                                                                        <w:left w:val="none" w:sz="0" w:space="0" w:color="auto"/>
                                                                                                        <w:bottom w:val="none" w:sz="0" w:space="0" w:color="auto"/>
                                                                                                        <w:right w:val="none" w:sz="0" w:space="0" w:color="auto"/>
                                                                                                      </w:divBdr>
                                                                                                      <w:divsChild>
                                                                                                        <w:div w:id="2139105175">
                                                                                                          <w:marLeft w:val="0"/>
                                                                                                          <w:marRight w:val="0"/>
                                                                                                          <w:marTop w:val="0"/>
                                                                                                          <w:marBottom w:val="0"/>
                                                                                                          <w:divBdr>
                                                                                                            <w:top w:val="none" w:sz="0" w:space="0" w:color="auto"/>
                                                                                                            <w:left w:val="none" w:sz="0" w:space="0" w:color="auto"/>
                                                                                                            <w:bottom w:val="none" w:sz="0" w:space="0" w:color="auto"/>
                                                                                                            <w:right w:val="none" w:sz="0" w:space="0" w:color="auto"/>
                                                                                                          </w:divBdr>
                                                                                                          <w:divsChild>
                                                                                                            <w:div w:id="1234045017">
                                                                                                              <w:marLeft w:val="0"/>
                                                                                                              <w:marRight w:val="0"/>
                                                                                                              <w:marTop w:val="0"/>
                                                                                                              <w:marBottom w:val="0"/>
                                                                                                              <w:divBdr>
                                                                                                                <w:top w:val="none" w:sz="0" w:space="0" w:color="auto"/>
                                                                                                                <w:left w:val="none" w:sz="0" w:space="0" w:color="auto"/>
                                                                                                                <w:bottom w:val="none" w:sz="0" w:space="0" w:color="auto"/>
                                                                                                                <w:right w:val="none" w:sz="0" w:space="0" w:color="auto"/>
                                                                                                              </w:divBdr>
                                                                                                              <w:divsChild>
                                                                                                                <w:div w:id="33165817">
                                                                                                                  <w:marLeft w:val="0"/>
                                                                                                                  <w:marRight w:val="0"/>
                                                                                                                  <w:marTop w:val="0"/>
                                                                                                                  <w:marBottom w:val="0"/>
                                                                                                                  <w:divBdr>
                                                                                                                    <w:top w:val="none" w:sz="0" w:space="0" w:color="auto"/>
                                                                                                                    <w:left w:val="none" w:sz="0" w:space="0" w:color="auto"/>
                                                                                                                    <w:bottom w:val="none" w:sz="0" w:space="0" w:color="auto"/>
                                                                                                                    <w:right w:val="none" w:sz="0" w:space="0" w:color="auto"/>
                                                                                                                  </w:divBdr>
                                                                                                                  <w:divsChild>
                                                                                                                    <w:div w:id="143549221">
                                                                                                                      <w:marLeft w:val="0"/>
                                                                                                                      <w:marRight w:val="0"/>
                                                                                                                      <w:marTop w:val="0"/>
                                                                                                                      <w:marBottom w:val="0"/>
                                                                                                                      <w:divBdr>
                                                                                                                        <w:top w:val="none" w:sz="0" w:space="0" w:color="auto"/>
                                                                                                                        <w:left w:val="none" w:sz="0" w:space="0" w:color="auto"/>
                                                                                                                        <w:bottom w:val="none" w:sz="0" w:space="0" w:color="auto"/>
                                                                                                                        <w:right w:val="none" w:sz="0" w:space="0" w:color="auto"/>
                                                                                                                      </w:divBdr>
                                                                                                                      <w:divsChild>
                                                                                                                        <w:div w:id="823008801">
                                                                                                                          <w:marLeft w:val="0"/>
                                                                                                                          <w:marRight w:val="0"/>
                                                                                                                          <w:marTop w:val="0"/>
                                                                                                                          <w:marBottom w:val="0"/>
                                                                                                                          <w:divBdr>
                                                                                                                            <w:top w:val="none" w:sz="0" w:space="0" w:color="auto"/>
                                                                                                                            <w:left w:val="none" w:sz="0" w:space="0" w:color="auto"/>
                                                                                                                            <w:bottom w:val="none" w:sz="0" w:space="0" w:color="auto"/>
                                                                                                                            <w:right w:val="none" w:sz="0" w:space="0" w:color="auto"/>
                                                                                                                          </w:divBdr>
                                                                                                                          <w:divsChild>
                                                                                                                            <w:div w:id="809052994">
                                                                                                                              <w:marLeft w:val="0"/>
                                                                                                                              <w:marRight w:val="0"/>
                                                                                                                              <w:marTop w:val="0"/>
                                                                                                                              <w:marBottom w:val="0"/>
                                                                                                                              <w:divBdr>
                                                                                                                                <w:top w:val="none" w:sz="0" w:space="0" w:color="auto"/>
                                                                                                                                <w:left w:val="none" w:sz="0" w:space="0" w:color="auto"/>
                                                                                                                                <w:bottom w:val="none" w:sz="0" w:space="0" w:color="auto"/>
                                                                                                                                <w:right w:val="none" w:sz="0" w:space="0" w:color="auto"/>
                                                                                                                              </w:divBdr>
                                                                                                                              <w:divsChild>
                                                                                                                                <w:div w:id="389884174">
                                                                                                                                  <w:marLeft w:val="0"/>
                                                                                                                                  <w:marRight w:val="0"/>
                                                                                                                                  <w:marTop w:val="0"/>
                                                                                                                                  <w:marBottom w:val="0"/>
                                                                                                                                  <w:divBdr>
                                                                                                                                    <w:top w:val="none" w:sz="0" w:space="0" w:color="auto"/>
                                                                                                                                    <w:left w:val="none" w:sz="0" w:space="0" w:color="auto"/>
                                                                                                                                    <w:bottom w:val="none" w:sz="0" w:space="0" w:color="auto"/>
                                                                                                                                    <w:right w:val="none" w:sz="0" w:space="0" w:color="auto"/>
                                                                                                                                  </w:divBdr>
                                                                                                                                  <w:divsChild>
                                                                                                                                    <w:div w:id="1535534141">
                                                                                                                                      <w:marLeft w:val="0"/>
                                                                                                                                      <w:marRight w:val="0"/>
                                                                                                                                      <w:marTop w:val="0"/>
                                                                                                                                      <w:marBottom w:val="0"/>
                                                                                                                                      <w:divBdr>
                                                                                                                                        <w:top w:val="none" w:sz="0" w:space="0" w:color="auto"/>
                                                                                                                                        <w:left w:val="none" w:sz="0" w:space="0" w:color="auto"/>
                                                                                                                                        <w:bottom w:val="none" w:sz="0" w:space="0" w:color="auto"/>
                                                                                                                                        <w:right w:val="none" w:sz="0" w:space="0" w:color="auto"/>
                                                                                                                                      </w:divBdr>
                                                                                                                                      <w:divsChild>
                                                                                                                                        <w:div w:id="94910128">
                                                                                                                                          <w:marLeft w:val="0"/>
                                                                                                                                          <w:marRight w:val="0"/>
                                                                                                                                          <w:marTop w:val="0"/>
                                                                                                                                          <w:marBottom w:val="0"/>
                                                                                                                                          <w:divBdr>
                                                                                                                                            <w:top w:val="none" w:sz="0" w:space="0" w:color="auto"/>
                                                                                                                                            <w:left w:val="none" w:sz="0" w:space="0" w:color="auto"/>
                                                                                                                                            <w:bottom w:val="none" w:sz="0" w:space="0" w:color="auto"/>
                                                                                                                                            <w:right w:val="none" w:sz="0" w:space="0" w:color="auto"/>
                                                                                                                                          </w:divBdr>
                                                                                                                                          <w:divsChild>
                                                                                                                                            <w:div w:id="1569801056">
                                                                                                                                              <w:marLeft w:val="0"/>
                                                                                                                                              <w:marRight w:val="0"/>
                                                                                                                                              <w:marTop w:val="0"/>
                                                                                                                                              <w:marBottom w:val="0"/>
                                                                                                                                              <w:divBdr>
                                                                                                                                                <w:top w:val="none" w:sz="0" w:space="0" w:color="auto"/>
                                                                                                                                                <w:left w:val="none" w:sz="0" w:space="0" w:color="auto"/>
                                                                                                                                                <w:bottom w:val="none" w:sz="0" w:space="0" w:color="auto"/>
                                                                                                                                                <w:right w:val="none" w:sz="0" w:space="0" w:color="auto"/>
                                                                                                                                              </w:divBdr>
                                                                                                                                              <w:divsChild>
                                                                                                                                                <w:div w:id="254562328">
                                                                                                                                                  <w:marLeft w:val="0"/>
                                                                                                                                                  <w:marRight w:val="0"/>
                                                                                                                                                  <w:marTop w:val="0"/>
                                                                                                                                                  <w:marBottom w:val="0"/>
                                                                                                                                                  <w:divBdr>
                                                                                                                                                    <w:top w:val="none" w:sz="0" w:space="0" w:color="auto"/>
                                                                                                                                                    <w:left w:val="none" w:sz="0" w:space="0" w:color="auto"/>
                                                                                                                                                    <w:bottom w:val="none" w:sz="0" w:space="0" w:color="auto"/>
                                                                                                                                                    <w:right w:val="none" w:sz="0" w:space="0" w:color="auto"/>
                                                                                                                                                  </w:divBdr>
                                                                                                                                                  <w:divsChild>
                                                                                                                                                    <w:div w:id="484052405">
                                                                                                                                                      <w:marLeft w:val="0"/>
                                                                                                                                                      <w:marRight w:val="0"/>
                                                                                                                                                      <w:marTop w:val="0"/>
                                                                                                                                                      <w:marBottom w:val="0"/>
                                                                                                                                                      <w:divBdr>
                                                                                                                                                        <w:top w:val="none" w:sz="0" w:space="0" w:color="auto"/>
                                                                                                                                                        <w:left w:val="none" w:sz="0" w:space="0" w:color="auto"/>
                                                                                                                                                        <w:bottom w:val="none" w:sz="0" w:space="0" w:color="auto"/>
                                                                                                                                                        <w:right w:val="none" w:sz="0" w:space="0" w:color="auto"/>
                                                                                                                                                      </w:divBdr>
                                                                                                                                                      <w:divsChild>
                                                                                                                                                        <w:div w:id="1492714604">
                                                                                                                                                          <w:marLeft w:val="0"/>
                                                                                                                                                          <w:marRight w:val="0"/>
                                                                                                                                                          <w:marTop w:val="0"/>
                                                                                                                                                          <w:marBottom w:val="0"/>
                                                                                                                                                          <w:divBdr>
                                                                                                                                                            <w:top w:val="none" w:sz="0" w:space="0" w:color="auto"/>
                                                                                                                                                            <w:left w:val="none" w:sz="0" w:space="0" w:color="auto"/>
                                                                                                                                                            <w:bottom w:val="none" w:sz="0" w:space="0" w:color="auto"/>
                                                                                                                                                            <w:right w:val="none" w:sz="0" w:space="0" w:color="auto"/>
                                                                                                                                                          </w:divBdr>
                                                                                                                                                          <w:divsChild>
                                                                                                                                                            <w:div w:id="668605668">
                                                                                                                                                              <w:marLeft w:val="0"/>
                                                                                                                                                              <w:marRight w:val="0"/>
                                                                                                                                                              <w:marTop w:val="0"/>
                                                                                                                                                              <w:marBottom w:val="0"/>
                                                                                                                                                              <w:divBdr>
                                                                                                                                                                <w:top w:val="none" w:sz="0" w:space="0" w:color="auto"/>
                                                                                                                                                                <w:left w:val="none" w:sz="0" w:space="0" w:color="auto"/>
                                                                                                                                                                <w:bottom w:val="none" w:sz="0" w:space="0" w:color="auto"/>
                                                                                                                                                                <w:right w:val="none" w:sz="0" w:space="0" w:color="auto"/>
                                                                                                                                                              </w:divBdr>
                                                                                                                                                              <w:divsChild>
                                                                                                                                                                <w:div w:id="850724204">
                                                                                                                                                                  <w:marLeft w:val="0"/>
                                                                                                                                                                  <w:marRight w:val="0"/>
                                                                                                                                                                  <w:marTop w:val="0"/>
                                                                                                                                                                  <w:marBottom w:val="0"/>
                                                                                                                                                                  <w:divBdr>
                                                                                                                                                                    <w:top w:val="none" w:sz="0" w:space="0" w:color="auto"/>
                                                                                                                                                                    <w:left w:val="none" w:sz="0" w:space="0" w:color="auto"/>
                                                                                                                                                                    <w:bottom w:val="none" w:sz="0" w:space="0" w:color="auto"/>
                                                                                                                                                                    <w:right w:val="none" w:sz="0" w:space="0" w:color="auto"/>
                                                                                                                                                                  </w:divBdr>
                                                                                                                                                                  <w:divsChild>
                                                                                                                                                                    <w:div w:id="174734074">
                                                                                                                                                                      <w:marLeft w:val="0"/>
                                                                                                                                                                      <w:marRight w:val="0"/>
                                                                                                                                                                      <w:marTop w:val="0"/>
                                                                                                                                                                      <w:marBottom w:val="0"/>
                                                                                                                                                                      <w:divBdr>
                                                                                                                                                                        <w:top w:val="none" w:sz="0" w:space="0" w:color="auto"/>
                                                                                                                                                                        <w:left w:val="none" w:sz="0" w:space="0" w:color="auto"/>
                                                                                                                                                                        <w:bottom w:val="none" w:sz="0" w:space="0" w:color="auto"/>
                                                                                                                                                                        <w:right w:val="none" w:sz="0" w:space="0" w:color="auto"/>
                                                                                                                                                                      </w:divBdr>
                                                                                                                                                                      <w:divsChild>
                                                                                                                                                                        <w:div w:id="2022394765">
                                                                                                                                                                          <w:marLeft w:val="0"/>
                                                                                                                                                                          <w:marRight w:val="0"/>
                                                                                                                                                                          <w:marTop w:val="0"/>
                                                                                                                                                                          <w:marBottom w:val="0"/>
                                                                                                                                                                          <w:divBdr>
                                                                                                                                                                            <w:top w:val="none" w:sz="0" w:space="0" w:color="auto"/>
                                                                                                                                                                            <w:left w:val="none" w:sz="0" w:space="0" w:color="auto"/>
                                                                                                                                                                            <w:bottom w:val="none" w:sz="0" w:space="0" w:color="auto"/>
                                                                                                                                                                            <w:right w:val="none" w:sz="0" w:space="0" w:color="auto"/>
                                                                                                                                                                          </w:divBdr>
                                                                                                                                                                          <w:divsChild>
                                                                                                                                                                            <w:div w:id="1758014501">
                                                                                                                                                                              <w:marLeft w:val="0"/>
                                                                                                                                                                              <w:marRight w:val="0"/>
                                                                                                                                                                              <w:marTop w:val="0"/>
                                                                                                                                                                              <w:marBottom w:val="0"/>
                                                                                                                                                                              <w:divBdr>
                                                                                                                                                                                <w:top w:val="none" w:sz="0" w:space="0" w:color="auto"/>
                                                                                                                                                                                <w:left w:val="none" w:sz="0" w:space="0" w:color="auto"/>
                                                                                                                                                                                <w:bottom w:val="none" w:sz="0" w:space="0" w:color="auto"/>
                                                                                                                                                                                <w:right w:val="none" w:sz="0" w:space="0" w:color="auto"/>
                                                                                                                                                                              </w:divBdr>
                                                                                                                                                                              <w:divsChild>
                                                                                                                                                                                <w:div w:id="651910642">
                                                                                                                                                                                  <w:marLeft w:val="0"/>
                                                                                                                                                                                  <w:marRight w:val="0"/>
                                                                                                                                                                                  <w:marTop w:val="0"/>
                                                                                                                                                                                  <w:marBottom w:val="0"/>
                                                                                                                                                                                  <w:divBdr>
                                                                                                                                                                                    <w:top w:val="none" w:sz="0" w:space="0" w:color="auto"/>
                                                                                                                                                                                    <w:left w:val="none" w:sz="0" w:space="0" w:color="auto"/>
                                                                                                                                                                                    <w:bottom w:val="none" w:sz="0" w:space="0" w:color="auto"/>
                                                                                                                                                                                    <w:right w:val="none" w:sz="0" w:space="0" w:color="auto"/>
                                                                                                                                                                                  </w:divBdr>
                                                                                                                                                                                  <w:divsChild>
                                                                                                                                                                                    <w:div w:id="49696213">
                                                                                                                                                                                      <w:marLeft w:val="0"/>
                                                                                                                                                                                      <w:marRight w:val="0"/>
                                                                                                                                                                                      <w:marTop w:val="0"/>
                                                                                                                                                                                      <w:marBottom w:val="0"/>
                                                                                                                                                                                      <w:divBdr>
                                                                                                                                                                                        <w:top w:val="none" w:sz="0" w:space="0" w:color="auto"/>
                                                                                                                                                                                        <w:left w:val="none" w:sz="0" w:space="0" w:color="auto"/>
                                                                                                                                                                                        <w:bottom w:val="none" w:sz="0" w:space="0" w:color="auto"/>
                                                                                                                                                                                        <w:right w:val="none" w:sz="0" w:space="0" w:color="auto"/>
                                                                                                                                                                                      </w:divBdr>
                                                                                                                                                                                      <w:divsChild>
                                                                                                                                                                                        <w:div w:id="158742034">
                                                                                                                                                                                          <w:marLeft w:val="0"/>
                                                                                                                                                                                          <w:marRight w:val="0"/>
                                                                                                                                                                                          <w:marTop w:val="0"/>
                                                                                                                                                                                          <w:marBottom w:val="0"/>
                                                                                                                                                                                          <w:divBdr>
                                                                                                                                                                                            <w:top w:val="none" w:sz="0" w:space="0" w:color="auto"/>
                                                                                                                                                                                            <w:left w:val="none" w:sz="0" w:space="0" w:color="auto"/>
                                                                                                                                                                                            <w:bottom w:val="none" w:sz="0" w:space="0" w:color="auto"/>
                                                                                                                                                                                            <w:right w:val="none" w:sz="0" w:space="0" w:color="auto"/>
                                                                                                                                                                                          </w:divBdr>
                                                                                                                                                                                          <w:divsChild>
                                                                                                                                                                                            <w:div w:id="637685318">
                                                                                                                                                                                              <w:marLeft w:val="0"/>
                                                                                                                                                                                              <w:marRight w:val="0"/>
                                                                                                                                                                                              <w:marTop w:val="0"/>
                                                                                                                                                                                              <w:marBottom w:val="0"/>
                                                                                                                                                                                              <w:divBdr>
                                                                                                                                                                                                <w:top w:val="none" w:sz="0" w:space="0" w:color="auto"/>
                                                                                                                                                                                                <w:left w:val="none" w:sz="0" w:space="0" w:color="auto"/>
                                                                                                                                                                                                <w:bottom w:val="none" w:sz="0" w:space="0" w:color="auto"/>
                                                                                                                                                                                                <w:right w:val="none" w:sz="0" w:space="0" w:color="auto"/>
                                                                                                                                                                                              </w:divBdr>
                                                                                                                                                                                              <w:divsChild>
                                                                                                                                                                                                <w:div w:id="1612972406">
                                                                                                                                                                                                  <w:marLeft w:val="0"/>
                                                                                                                                                                                                  <w:marRight w:val="0"/>
                                                                                                                                                                                                  <w:marTop w:val="0"/>
                                                                                                                                                                                                  <w:marBottom w:val="0"/>
                                                                                                                                                                                                  <w:divBdr>
                                                                                                                                                                                                    <w:top w:val="none" w:sz="0" w:space="0" w:color="auto"/>
                                                                                                                                                                                                    <w:left w:val="none" w:sz="0" w:space="0" w:color="auto"/>
                                                                                                                                                                                                    <w:bottom w:val="none" w:sz="0" w:space="0" w:color="auto"/>
                                                                                                                                                                                                    <w:right w:val="none" w:sz="0" w:space="0" w:color="auto"/>
                                                                                                                                                                                                  </w:divBdr>
                                                                                                                                                                                                  <w:divsChild>
                                                                                                                                                                                                    <w:div w:id="526482053">
                                                                                                                                                                                                      <w:marLeft w:val="0"/>
                                                                                                                                                                                                      <w:marRight w:val="0"/>
                                                                                                                                                                                                      <w:marTop w:val="0"/>
                                                                                                                                                                                                      <w:marBottom w:val="0"/>
                                                                                                                                                                                                      <w:divBdr>
                                                                                                                                                                                                        <w:top w:val="none" w:sz="0" w:space="0" w:color="auto"/>
                                                                                                                                                                                                        <w:left w:val="none" w:sz="0" w:space="0" w:color="auto"/>
                                                                                                                                                                                                        <w:bottom w:val="none" w:sz="0" w:space="0" w:color="auto"/>
                                                                                                                                                                                                        <w:right w:val="none" w:sz="0" w:space="0" w:color="auto"/>
                                                                                                                                                                                                      </w:divBdr>
                                                                                                                                                                                                      <w:divsChild>
                                                                                                                                                                                                        <w:div w:id="715469988">
                                                                                                                                                                                                          <w:marLeft w:val="0"/>
                                                                                                                                                                                                          <w:marRight w:val="0"/>
                                                                                                                                                                                                          <w:marTop w:val="0"/>
                                                                                                                                                                                                          <w:marBottom w:val="0"/>
                                                                                                                                                                                                          <w:divBdr>
                                                                                                                                                                                                            <w:top w:val="none" w:sz="0" w:space="0" w:color="auto"/>
                                                                                                                                                                                                            <w:left w:val="none" w:sz="0" w:space="0" w:color="auto"/>
                                                                                                                                                                                                            <w:bottom w:val="none" w:sz="0" w:space="0" w:color="auto"/>
                                                                                                                                                                                                            <w:right w:val="none" w:sz="0" w:space="0" w:color="auto"/>
                                                                                                                                                                                                          </w:divBdr>
                                                                                                                                                                                                          <w:divsChild>
                                                                                                                                                                                                            <w:div w:id="2131969717">
                                                                                                                                                                                                              <w:marLeft w:val="0"/>
                                                                                                                                                                                                              <w:marRight w:val="0"/>
                                                                                                                                                                                                              <w:marTop w:val="0"/>
                                                                                                                                                                                                              <w:marBottom w:val="0"/>
                                                                                                                                                                                                              <w:divBdr>
                                                                                                                                                                                                                <w:top w:val="none" w:sz="0" w:space="0" w:color="auto"/>
                                                                                                                                                                                                                <w:left w:val="none" w:sz="0" w:space="0" w:color="auto"/>
                                                                                                                                                                                                                <w:bottom w:val="none" w:sz="0" w:space="0" w:color="auto"/>
                                                                                                                                                                                                                <w:right w:val="none" w:sz="0" w:space="0" w:color="auto"/>
                                                                                                                                                                                                              </w:divBdr>
                                                                                                                                                                                                              <w:divsChild>
                                                                                                                                                                                                                <w:div w:id="1413233387">
                                                                                                                                                                                                                  <w:marLeft w:val="0"/>
                                                                                                                                                                                                                  <w:marRight w:val="0"/>
                                                                                                                                                                                                                  <w:marTop w:val="0"/>
                                                                                                                                                                                                                  <w:marBottom w:val="0"/>
                                                                                                                                                                                                                  <w:divBdr>
                                                                                                                                                                                                                    <w:top w:val="none" w:sz="0" w:space="0" w:color="auto"/>
                                                                                                                                                                                                                    <w:left w:val="none" w:sz="0" w:space="0" w:color="auto"/>
                                                                                                                                                                                                                    <w:bottom w:val="none" w:sz="0" w:space="0" w:color="auto"/>
                                                                                                                                                                                                                    <w:right w:val="none" w:sz="0" w:space="0" w:color="auto"/>
                                                                                                                                                                                                                  </w:divBdr>
                                                                                                                                                                                                                  <w:divsChild>
                                                                                                                                                                                                                    <w:div w:id="559633658">
                                                                                                                                                                                                                      <w:marLeft w:val="0"/>
                                                                                                                                                                                                                      <w:marRight w:val="0"/>
                                                                                                                                                                                                                      <w:marTop w:val="0"/>
                                                                                                                                                                                                                      <w:marBottom w:val="0"/>
                                                                                                                                                                                                                      <w:divBdr>
                                                                                                                                                                                                                        <w:top w:val="none" w:sz="0" w:space="0" w:color="auto"/>
                                                                                                                                                                                                                        <w:left w:val="none" w:sz="0" w:space="0" w:color="auto"/>
                                                                                                                                                                                                                        <w:bottom w:val="none" w:sz="0" w:space="0" w:color="auto"/>
                                                                                                                                                                                                                        <w:right w:val="none" w:sz="0" w:space="0" w:color="auto"/>
                                                                                                                                                                                                                      </w:divBdr>
                                                                                                                                                                                                                      <w:divsChild>
                                                                                                                                                                                                                        <w:div w:id="1466699498">
                                                                                                                                                                                                                          <w:marLeft w:val="0"/>
                                                                                                                                                                                                                          <w:marRight w:val="0"/>
                                                                                                                                                                                                                          <w:marTop w:val="0"/>
                                                                                                                                                                                                                          <w:marBottom w:val="0"/>
                                                                                                                                                                                                                          <w:divBdr>
                                                                                                                                                                                                                            <w:top w:val="none" w:sz="0" w:space="0" w:color="auto"/>
                                                                                                                                                                                                                            <w:left w:val="none" w:sz="0" w:space="0" w:color="auto"/>
                                                                                                                                                                                                                            <w:bottom w:val="none" w:sz="0" w:space="0" w:color="auto"/>
                                                                                                                                                                                                                            <w:right w:val="none" w:sz="0" w:space="0" w:color="auto"/>
                                                                                                                                                                                                                          </w:divBdr>
                                                                                                                                                                                                                          <w:divsChild>
                                                                                                                                                                                                                            <w:div w:id="155390394">
                                                                                                                                                                                                                              <w:marLeft w:val="0"/>
                                                                                                                                                                                                                              <w:marRight w:val="0"/>
                                                                                                                                                                                                                              <w:marTop w:val="0"/>
                                                                                                                                                                                                                              <w:marBottom w:val="0"/>
                                                                                                                                                                                                                              <w:divBdr>
                                                                                                                                                                                                                                <w:top w:val="none" w:sz="0" w:space="0" w:color="auto"/>
                                                                                                                                                                                                                                <w:left w:val="none" w:sz="0" w:space="0" w:color="auto"/>
                                                                                                                                                                                                                                <w:bottom w:val="none" w:sz="0" w:space="0" w:color="auto"/>
                                                                                                                                                                                                                                <w:right w:val="none" w:sz="0" w:space="0" w:color="auto"/>
                                                                                                                                                                                                                              </w:divBdr>
                                                                                                                                                                                                                              <w:divsChild>
                                                                                                                                                                                                                                <w:div w:id="1243947776">
                                                                                                                                                                                                                                  <w:marLeft w:val="0"/>
                                                                                                                                                                                                                                  <w:marRight w:val="0"/>
                                                                                                                                                                                                                                  <w:marTop w:val="0"/>
                                                                                                                                                                                                                                  <w:marBottom w:val="0"/>
                                                                                                                                                                                                                                  <w:divBdr>
                                                                                                                                                                                                                                    <w:top w:val="none" w:sz="0" w:space="0" w:color="auto"/>
                                                                                                                                                                                                                                    <w:left w:val="none" w:sz="0" w:space="0" w:color="auto"/>
                                                                                                                                                                                                                                    <w:bottom w:val="none" w:sz="0" w:space="0" w:color="auto"/>
                                                                                                                                                                                                                                    <w:right w:val="none" w:sz="0" w:space="0" w:color="auto"/>
                                                                                                                                                                                                                                  </w:divBdr>
                                                                                                                                                                                                                                  <w:divsChild>
                                                                                                                                                                                                                                    <w:div w:id="1614291395">
                                                                                                                                                                                                                                      <w:marLeft w:val="0"/>
                                                                                                                                                                                                                                      <w:marRight w:val="0"/>
                                                                                                                                                                                                                                      <w:marTop w:val="0"/>
                                                                                                                                                                                                                                      <w:marBottom w:val="0"/>
                                                                                                                                                                                                                                      <w:divBdr>
                                                                                                                                                                                                                                        <w:top w:val="none" w:sz="0" w:space="0" w:color="auto"/>
                                                                                                                                                                                                                                        <w:left w:val="none" w:sz="0" w:space="0" w:color="auto"/>
                                                                                                                                                                                                                                        <w:bottom w:val="none" w:sz="0" w:space="0" w:color="auto"/>
                                                                                                                                                                                                                                        <w:right w:val="none" w:sz="0" w:space="0" w:color="auto"/>
                                                                                                                                                                                                                                      </w:divBdr>
                                                                                                                                                                                                                                      <w:divsChild>
                                                                                                                                                                                                                                        <w:div w:id="518468907">
                                                                                                                                                                                                                                          <w:marLeft w:val="0"/>
                                                                                                                                                                                                                                          <w:marRight w:val="0"/>
                                                                                                                                                                                                                                          <w:marTop w:val="0"/>
                                                                                                                                                                                                                                          <w:marBottom w:val="0"/>
                                                                                                                                                                                                                                          <w:divBdr>
                                                                                                                                                                                                                                            <w:top w:val="none" w:sz="0" w:space="0" w:color="auto"/>
                                                                                                                                                                                                                                            <w:left w:val="none" w:sz="0" w:space="0" w:color="auto"/>
                                                                                                                                                                                                                                            <w:bottom w:val="none" w:sz="0" w:space="0" w:color="auto"/>
                                                                                                                                                                                                                                            <w:right w:val="none" w:sz="0" w:space="0" w:color="auto"/>
                                                                                                                                                                                                                                          </w:divBdr>
                                                                                                                                                                                                                                          <w:divsChild>
                                                                                                                                                                                                                                            <w:div w:id="2119569112">
                                                                                                                                                                                                                                              <w:marLeft w:val="0"/>
                                                                                                                                                                                                                                              <w:marRight w:val="0"/>
                                                                                                                                                                                                                                              <w:marTop w:val="0"/>
                                                                                                                                                                                                                                              <w:marBottom w:val="0"/>
                                                                                                                                                                                                                                              <w:divBdr>
                                                                                                                                                                                                                                                <w:top w:val="none" w:sz="0" w:space="0" w:color="auto"/>
                                                                                                                                                                                                                                                <w:left w:val="none" w:sz="0" w:space="0" w:color="auto"/>
                                                                                                                                                                                                                                                <w:bottom w:val="none" w:sz="0" w:space="0" w:color="auto"/>
                                                                                                                                                                                                                                                <w:right w:val="none" w:sz="0" w:space="0" w:color="auto"/>
                                                                                                                                                                                                                                              </w:divBdr>
                                                                                                                                                                                                                                              <w:divsChild>
                                                                                                                                                                                                                                                <w:div w:id="1878394415">
                                                                                                                                                                                                                                                  <w:marLeft w:val="0"/>
                                                                                                                                                                                                                                                  <w:marRight w:val="0"/>
                                                                                                                                                                                                                                                  <w:marTop w:val="0"/>
                                                                                                                                                                                                                                                  <w:marBottom w:val="0"/>
                                                                                                                                                                                                                                                  <w:divBdr>
                                                                                                                                                                                                                                                    <w:top w:val="none" w:sz="0" w:space="0" w:color="auto"/>
                                                                                                                                                                                                                                                    <w:left w:val="none" w:sz="0" w:space="0" w:color="auto"/>
                                                                                                                                                                                                                                                    <w:bottom w:val="none" w:sz="0" w:space="0" w:color="auto"/>
                                                                                                                                                                                                                                                    <w:right w:val="none" w:sz="0" w:space="0" w:color="auto"/>
                                                                                                                                                                                                                                                  </w:divBdr>
                                                                                                                                                                                                                                                  <w:divsChild>
                                                                                                                                                                                                                                                    <w:div w:id="771583716">
                                                                                                                                                                                                                                                      <w:marLeft w:val="0"/>
                                                                                                                                                                                                                                                      <w:marRight w:val="0"/>
                                                                                                                                                                                                                                                      <w:marTop w:val="0"/>
                                                                                                                                                                                                                                                      <w:marBottom w:val="0"/>
                                                                                                                                                                                                                                                      <w:divBdr>
                                                                                                                                                                                                                                                        <w:top w:val="none" w:sz="0" w:space="0" w:color="auto"/>
                                                                                                                                                                                                                                                        <w:left w:val="none" w:sz="0" w:space="0" w:color="auto"/>
                                                                                                                                                                                                                                                        <w:bottom w:val="none" w:sz="0" w:space="0" w:color="auto"/>
                                                                                                                                                                                                                                                        <w:right w:val="none" w:sz="0" w:space="0" w:color="auto"/>
                                                                                                                                                                                                                                                      </w:divBdr>
                                                                                                                                                                                                                                                      <w:divsChild>
                                                                                                                                                                                                                                                        <w:div w:id="859860213">
                                                                                                                                                                                                                                                          <w:marLeft w:val="0"/>
                                                                                                                                                                                                                                                          <w:marRight w:val="0"/>
                                                                                                                                                                                                                                                          <w:marTop w:val="0"/>
                                                                                                                                                                                                                                                          <w:marBottom w:val="0"/>
                                                                                                                                                                                                                                                          <w:divBdr>
                                                                                                                                                                                                                                                            <w:top w:val="none" w:sz="0" w:space="0" w:color="auto"/>
                                                                                                                                                                                                                                                            <w:left w:val="none" w:sz="0" w:space="0" w:color="auto"/>
                                                                                                                                                                                                                                                            <w:bottom w:val="none" w:sz="0" w:space="0" w:color="auto"/>
                                                                                                                                                                                                                                                            <w:right w:val="none" w:sz="0" w:space="0" w:color="auto"/>
                                                                                                                                                                                                                                                          </w:divBdr>
                                                                                                                                                                                                                                                          <w:divsChild>
                                                                                                                                                                                                                                                            <w:div w:id="1007442885">
                                                                                                                                                                                                                                                              <w:marLeft w:val="0"/>
                                                                                                                                                                                                                                                              <w:marRight w:val="0"/>
                                                                                                                                                                                                                                                              <w:marTop w:val="0"/>
                                                                                                                                                                                                                                                              <w:marBottom w:val="0"/>
                                                                                                                                                                                                                                                              <w:divBdr>
                                                                                                                                                                                                                                                                <w:top w:val="none" w:sz="0" w:space="0" w:color="auto"/>
                                                                                                                                                                                                                                                                <w:left w:val="none" w:sz="0" w:space="0" w:color="auto"/>
                                                                                                                                                                                                                                                                <w:bottom w:val="none" w:sz="0" w:space="0" w:color="auto"/>
                                                                                                                                                                                                                                                                <w:right w:val="none" w:sz="0" w:space="0" w:color="auto"/>
                                                                                                                                                                                                                                                              </w:divBdr>
                                                                                                                                                                                                                                                              <w:divsChild>
                                                                                                                                                                                                                                                                <w:div w:id="52507421">
                                                                                                                                                                                                                                                                  <w:marLeft w:val="0"/>
                                                                                                                                                                                                                                                                  <w:marRight w:val="0"/>
                                                                                                                                                                                                                                                                  <w:marTop w:val="0"/>
                                                                                                                                                                                                                                                                  <w:marBottom w:val="0"/>
                                                                                                                                                                                                                                                                  <w:divBdr>
                                                                                                                                                                                                                                                                    <w:top w:val="none" w:sz="0" w:space="0" w:color="auto"/>
                                                                                                                                                                                                                                                                    <w:left w:val="none" w:sz="0" w:space="0" w:color="auto"/>
                                                                                                                                                                                                                                                                    <w:bottom w:val="none" w:sz="0" w:space="0" w:color="auto"/>
                                                                                                                                                                                                                                                                    <w:right w:val="none" w:sz="0" w:space="0" w:color="auto"/>
                                                                                                                                                                                                                                                                  </w:divBdr>
                                                                                                                                                                                                                                                                  <w:divsChild>
                                                                                                                                                                                                                                                                    <w:div w:id="596868238">
                                                                                                                                                                                                                                                                      <w:marLeft w:val="0"/>
                                                                                                                                                                                                                                                                      <w:marRight w:val="0"/>
                                                                                                                                                                                                                                                                      <w:marTop w:val="0"/>
                                                                                                                                                                                                                                                                      <w:marBottom w:val="0"/>
                                                                                                                                                                                                                                                                      <w:divBdr>
                                                                                                                                                                                                                                                                        <w:top w:val="none" w:sz="0" w:space="0" w:color="auto"/>
                                                                                                                                                                                                                                                                        <w:left w:val="none" w:sz="0" w:space="0" w:color="auto"/>
                                                                                                                                                                                                                                                                        <w:bottom w:val="none" w:sz="0" w:space="0" w:color="auto"/>
                                                                                                                                                                                                                                                                        <w:right w:val="none" w:sz="0" w:space="0" w:color="auto"/>
                                                                                                                                                                                                                                                                      </w:divBdr>
                                                                                                                                                                                                                                                                      <w:divsChild>
                                                                                                                                                                                                                                                                        <w:div w:id="230240440">
                                                                                                                                                                                                                                                                          <w:marLeft w:val="0"/>
                                                                                                                                                                                                                                                                          <w:marRight w:val="0"/>
                                                                                                                                                                                                                                                                          <w:marTop w:val="0"/>
                                                                                                                                                                                                                                                                          <w:marBottom w:val="0"/>
                                                                                                                                                                                                                                                                          <w:divBdr>
                                                                                                                                                                                                                                                                            <w:top w:val="none" w:sz="0" w:space="0" w:color="auto"/>
                                                                                                                                                                                                                                                                            <w:left w:val="none" w:sz="0" w:space="0" w:color="auto"/>
                                                                                                                                                                                                                                                                            <w:bottom w:val="none" w:sz="0" w:space="0" w:color="auto"/>
                                                                                                                                                                                                                                                                            <w:right w:val="none" w:sz="0" w:space="0" w:color="auto"/>
                                                                                                                                                                                                                                                                          </w:divBdr>
                                                                                                                                                                                                                                                                          <w:divsChild>
                                                                                                                                                                                                                                                                            <w:div w:id="813331791">
                                                                                                                                                                                                                                                                              <w:marLeft w:val="0"/>
                                                                                                                                                                                                                                                                              <w:marRight w:val="0"/>
                                                                                                                                                                                                                                                                              <w:marTop w:val="0"/>
                                                                                                                                                                                                                                                                              <w:marBottom w:val="0"/>
                                                                                                                                                                                                                                                                              <w:divBdr>
                                                                                                                                                                                                                                                                                <w:top w:val="none" w:sz="0" w:space="0" w:color="auto"/>
                                                                                                                                                                                                                                                                                <w:left w:val="none" w:sz="0" w:space="0" w:color="auto"/>
                                                                                                                                                                                                                                                                                <w:bottom w:val="none" w:sz="0" w:space="0" w:color="auto"/>
                                                                                                                                                                                                                                                                                <w:right w:val="none" w:sz="0" w:space="0" w:color="auto"/>
                                                                                                                                                                                                                                                                              </w:divBdr>
                                                                                                                                                                                                                                                                              <w:divsChild>
                                                                                                                                                                                                                                                                                <w:div w:id="32077558">
                                                                                                                                                                                                                                                                                  <w:marLeft w:val="0"/>
                                                                                                                                                                                                                                                                                  <w:marRight w:val="0"/>
                                                                                                                                                                                                                                                                                  <w:marTop w:val="0"/>
                                                                                                                                                                                                                                                                                  <w:marBottom w:val="0"/>
                                                                                                                                                                                                                                                                                  <w:divBdr>
                                                                                                                                                                                                                                                                                    <w:top w:val="none" w:sz="0" w:space="0" w:color="auto"/>
                                                                                                                                                                                                                                                                                    <w:left w:val="none" w:sz="0" w:space="0" w:color="auto"/>
                                                                                                                                                                                                                                                                                    <w:bottom w:val="none" w:sz="0" w:space="0" w:color="auto"/>
                                                                                                                                                                                                                                                                                    <w:right w:val="none" w:sz="0" w:space="0" w:color="auto"/>
                                                                                                                                                                                                                                                                                  </w:divBdr>
                                                                                                                                                                                                                                                                                  <w:divsChild>
                                                                                                                                                                                                                                                                                    <w:div w:id="1025129827">
                                                                                                                                                                                                                                                                                      <w:marLeft w:val="0"/>
                                                                                                                                                                                                                                                                                      <w:marRight w:val="0"/>
                                                                                                                                                                                                                                                                                      <w:marTop w:val="0"/>
                                                                                                                                                                                                                                                                                      <w:marBottom w:val="0"/>
                                                                                                                                                                                                                                                                                      <w:divBdr>
                                                                                                                                                                                                                                                                                        <w:top w:val="none" w:sz="0" w:space="0" w:color="auto"/>
                                                                                                                                                                                                                                                                                        <w:left w:val="none" w:sz="0" w:space="0" w:color="auto"/>
                                                                                                                                                                                                                                                                                        <w:bottom w:val="none" w:sz="0" w:space="0" w:color="auto"/>
                                                                                                                                                                                                                                                                                        <w:right w:val="none" w:sz="0" w:space="0" w:color="auto"/>
                                                                                                                                                                                                                                                                                      </w:divBdr>
                                                                                                                                                                                                                                                                                      <w:divsChild>
                                                                                                                                                                                                                                                                                        <w:div w:id="751198923">
                                                                                                                                                                                                                                                                                          <w:marLeft w:val="0"/>
                                                                                                                                                                                                                                                                                          <w:marRight w:val="0"/>
                                                                                                                                                                                                                                                                                          <w:marTop w:val="0"/>
                                                                                                                                                                                                                                                                                          <w:marBottom w:val="0"/>
                                                                                                                                                                                                                                                                                          <w:divBdr>
                                                                                                                                                                                                                                                                                            <w:top w:val="none" w:sz="0" w:space="0" w:color="auto"/>
                                                                                                                                                                                                                                                                                            <w:left w:val="none" w:sz="0" w:space="0" w:color="auto"/>
                                                                                                                                                                                                                                                                                            <w:bottom w:val="none" w:sz="0" w:space="0" w:color="auto"/>
                                                                                                                                                                                                                                                                                            <w:right w:val="none" w:sz="0" w:space="0" w:color="auto"/>
                                                                                                                                                                                                                                                                                          </w:divBdr>
                                                                                                                                                                                                                                                                                          <w:divsChild>
                                                                                                                                                                                                                                                                                            <w:div w:id="2017343992">
                                                                                                                                                                                                                                                                                              <w:marLeft w:val="0"/>
                                                                                                                                                                                                                                                                                              <w:marRight w:val="0"/>
                                                                                                                                                                                                                                                                                              <w:marTop w:val="0"/>
                                                                                                                                                                                                                                                                                              <w:marBottom w:val="0"/>
                                                                                                                                                                                                                                                                                              <w:divBdr>
                                                                                                                                                                                                                                                                                                <w:top w:val="none" w:sz="0" w:space="0" w:color="auto"/>
                                                                                                                                                                                                                                                                                                <w:left w:val="none" w:sz="0" w:space="0" w:color="auto"/>
                                                                                                                                                                                                                                                                                                <w:bottom w:val="none" w:sz="0" w:space="0" w:color="auto"/>
                                                                                                                                                                                                                                                                                                <w:right w:val="none" w:sz="0" w:space="0" w:color="auto"/>
                                                                                                                                                                                                                                                                                              </w:divBdr>
                                                                                                                                                                                                                                                                                              <w:divsChild>
                                                                                                                                                                                                                                                                                                <w:div w:id="662634551">
                                                                                                                                                                                                                                                                                                  <w:marLeft w:val="0"/>
                                                                                                                                                                                                                                                                                                  <w:marRight w:val="0"/>
                                                                                                                                                                                                                                                                                                  <w:marTop w:val="0"/>
                                                                                                                                                                                                                                                                                                  <w:marBottom w:val="0"/>
                                                                                                                                                                                                                                                                                                  <w:divBdr>
                                                                                                                                                                                                                                                                                                    <w:top w:val="none" w:sz="0" w:space="0" w:color="auto"/>
                                                                                                                                                                                                                                                                                                    <w:left w:val="none" w:sz="0" w:space="0" w:color="auto"/>
                                                                                                                                                                                                                                                                                                    <w:bottom w:val="none" w:sz="0" w:space="0" w:color="auto"/>
                                                                                                                                                                                                                                                                                                    <w:right w:val="none" w:sz="0" w:space="0" w:color="auto"/>
                                                                                                                                                                                                                                                                                                  </w:divBdr>
                                                                                                                                                                                                                                                                                                  <w:divsChild>
                                                                                                                                                                                                                                                                                                    <w:div w:id="870000217">
                                                                                                                                                                                                                                                                                                      <w:marLeft w:val="0"/>
                                                                                                                                                                                                                                                                                                      <w:marRight w:val="0"/>
                                                                                                                                                                                                                                                                                                      <w:marTop w:val="0"/>
                                                                                                                                                                                                                                                                                                      <w:marBottom w:val="0"/>
                                                                                                                                                                                                                                                                                                      <w:divBdr>
                                                                                                                                                                                                                                                                                                        <w:top w:val="none" w:sz="0" w:space="0" w:color="auto"/>
                                                                                                                                                                                                                                                                                                        <w:left w:val="none" w:sz="0" w:space="0" w:color="auto"/>
                                                                                                                                                                                                                                                                                                        <w:bottom w:val="none" w:sz="0" w:space="0" w:color="auto"/>
                                                                                                                                                                                                                                                                                                        <w:right w:val="none" w:sz="0" w:space="0" w:color="auto"/>
                                                                                                                                                                                                                                                                                                      </w:divBdr>
                                                                                                                                                                                                                                                                                                      <w:divsChild>
                                                                                                                                                                                                                                                                                                        <w:div w:id="1297762680">
                                                                                                                                                                                                                                                                                                          <w:marLeft w:val="0"/>
                                                                                                                                                                                                                                                                                                          <w:marRight w:val="0"/>
                                                                                                                                                                                                                                                                                                          <w:marTop w:val="0"/>
                                                                                                                                                                                                                                                                                                          <w:marBottom w:val="0"/>
                                                                                                                                                                                                                                                                                                          <w:divBdr>
                                                                                                                                                                                                                                                                                                            <w:top w:val="none" w:sz="0" w:space="0" w:color="auto"/>
                                                                                                                                                                                                                                                                                                            <w:left w:val="none" w:sz="0" w:space="0" w:color="auto"/>
                                                                                                                                                                                                                                                                                                            <w:bottom w:val="none" w:sz="0" w:space="0" w:color="auto"/>
                                                                                                                                                                                                                                                                                                            <w:right w:val="none" w:sz="0" w:space="0" w:color="auto"/>
                                                                                                                                                                                                                                                                                                          </w:divBdr>
                                                                                                                                                                                                                                                                                                          <w:divsChild>
                                                                                                                                                                                                                                                                                                            <w:div w:id="1159232480">
                                                                                                                                                                                                                                                                                                              <w:marLeft w:val="0"/>
                                                                                                                                                                                                                                                                                                              <w:marRight w:val="0"/>
                                                                                                                                                                                                                                                                                                              <w:marTop w:val="0"/>
                                                                                                                                                                                                                                                                                                              <w:marBottom w:val="0"/>
                                                                                                                                                                                                                                                                                                              <w:divBdr>
                                                                                                                                                                                                                                                                                                                <w:top w:val="none" w:sz="0" w:space="0" w:color="auto"/>
                                                                                                                                                                                                                                                                                                                <w:left w:val="none" w:sz="0" w:space="0" w:color="auto"/>
                                                                                                                                                                                                                                                                                                                <w:bottom w:val="none" w:sz="0" w:space="0" w:color="auto"/>
                                                                                                                                                                                                                                                                                                                <w:right w:val="none" w:sz="0" w:space="0" w:color="auto"/>
                                                                                                                                                                                                                                                                                                              </w:divBdr>
                                                                                                                                                                                                                                                                                                              <w:divsChild>
                                                                                                                                                                                                                                                                                                                <w:div w:id="1883787645">
                                                                                                                                                                                                                                                                                                                  <w:marLeft w:val="0"/>
                                                                                                                                                                                                                                                                                                                  <w:marRight w:val="0"/>
                                                                                                                                                                                                                                                                                                                  <w:marTop w:val="0"/>
                                                                                                                                                                                                                                                                                                                  <w:marBottom w:val="0"/>
                                                                                                                                                                                                                                                                                                                  <w:divBdr>
                                                                                                                                                                                                                                                                                                                    <w:top w:val="none" w:sz="0" w:space="0" w:color="auto"/>
                                                                                                                                                                                                                                                                                                                    <w:left w:val="none" w:sz="0" w:space="0" w:color="auto"/>
                                                                                                                                                                                                                                                                                                                    <w:bottom w:val="none" w:sz="0" w:space="0" w:color="auto"/>
                                                                                                                                                                                                                                                                                                                    <w:right w:val="none" w:sz="0" w:space="0" w:color="auto"/>
                                                                                                                                                                                                                                                                                                                  </w:divBdr>
                                                                                                                                                                                                                                                                                                                  <w:divsChild>
                                                                                                                                                                                                                                                                                                                    <w:div w:id="810363072">
                                                                                                                                                                                                                                                                                                                      <w:marLeft w:val="0"/>
                                                                                                                                                                                                                                                                                                                      <w:marRight w:val="0"/>
                                                                                                                                                                                                                                                                                                                      <w:marTop w:val="0"/>
                                                                                                                                                                                                                                                                                                                      <w:marBottom w:val="0"/>
                                                                                                                                                                                                                                                                                                                      <w:divBdr>
                                                                                                                                                                                                                                                                                                                        <w:top w:val="none" w:sz="0" w:space="0" w:color="auto"/>
                                                                                                                                                                                                                                                                                                                        <w:left w:val="none" w:sz="0" w:space="0" w:color="auto"/>
                                                                                                                                                                                                                                                                                                                        <w:bottom w:val="none" w:sz="0" w:space="0" w:color="auto"/>
                                                                                                                                                                                                                                                                                                                        <w:right w:val="none" w:sz="0" w:space="0" w:color="auto"/>
                                                                                                                                                                                                                                                                                                                      </w:divBdr>
                                                                                                                                                                                                                                                                                                                      <w:divsChild>
                                                                                                                                                                                                                                                                                                                        <w:div w:id="1669092528">
                                                                                                                                                                                                                                                                                                                          <w:marLeft w:val="0"/>
                                                                                                                                                                                                                                                                                                                          <w:marRight w:val="0"/>
                                                                                                                                                                                                                                                                                                                          <w:marTop w:val="0"/>
                                                                                                                                                                                                                                                                                                                          <w:marBottom w:val="0"/>
                                                                                                                                                                                                                                                                                                                          <w:divBdr>
                                                                                                                                                                                                                                                                                                                            <w:top w:val="none" w:sz="0" w:space="0" w:color="auto"/>
                                                                                                                                                                                                                                                                                                                            <w:left w:val="none" w:sz="0" w:space="0" w:color="auto"/>
                                                                                                                                                                                                                                                                                                                            <w:bottom w:val="none" w:sz="0" w:space="0" w:color="auto"/>
                                                                                                                                                                                                                                                                                                                            <w:right w:val="none" w:sz="0" w:space="0" w:color="auto"/>
                                                                                                                                                                                                                                                                                                                          </w:divBdr>
                                                                                                                                                                                                                                                                                                                          <w:divsChild>
                                                                                                                                                                                                                                                                                                                            <w:div w:id="417335197">
                                                                                                                                                                                                                                                                                                                              <w:marLeft w:val="0"/>
                                                                                                                                                                                                                                                                                                                              <w:marRight w:val="0"/>
                                                                                                                                                                                                                                                                                                                              <w:marTop w:val="0"/>
                                                                                                                                                                                                                                                                                                                              <w:marBottom w:val="0"/>
                                                                                                                                                                                                                                                                                                                              <w:divBdr>
                                                                                                                                                                                                                                                                                                                                <w:top w:val="none" w:sz="0" w:space="0" w:color="auto"/>
                                                                                                                                                                                                                                                                                                                                <w:left w:val="none" w:sz="0" w:space="0" w:color="auto"/>
                                                                                                                                                                                                                                                                                                                                <w:bottom w:val="none" w:sz="0" w:space="0" w:color="auto"/>
                                                                                                                                                                                                                                                                                                                                <w:right w:val="none" w:sz="0" w:space="0" w:color="auto"/>
                                                                                                                                                                                                                                                                                                                              </w:divBdr>
                                                                                                                                                                                                                                                                                                                              <w:divsChild>
                                                                                                                                                                                                                                                                                                                                <w:div w:id="1723820693">
                                                                                                                                                                                                                                                                                                                                  <w:marLeft w:val="0"/>
                                                                                                                                                                                                                                                                                                                                  <w:marRight w:val="0"/>
                                                                                                                                                                                                                                                                                                                                  <w:marTop w:val="0"/>
                                                                                                                                                                                                                                                                                                                                  <w:marBottom w:val="0"/>
                                                                                                                                                                                                                                                                                                                                  <w:divBdr>
                                                                                                                                                                                                                                                                                                                                    <w:top w:val="none" w:sz="0" w:space="0" w:color="auto"/>
                                                                                                                                                                                                                                                                                                                                    <w:left w:val="none" w:sz="0" w:space="0" w:color="auto"/>
                                                                                                                                                                                                                                                                                                                                    <w:bottom w:val="none" w:sz="0" w:space="0" w:color="auto"/>
                                                                                                                                                                                                                                                                                                                                    <w:right w:val="none" w:sz="0" w:space="0" w:color="auto"/>
                                                                                                                                                                                                                                                                                                                                  </w:divBdr>
                                                                                                                                                                                                                                                                                                                                  <w:divsChild>
                                                                                                                                                                                                                                                                                                                                    <w:div w:id="1793403276">
                                                                                                                                                                                                                                                                                                                                      <w:marLeft w:val="0"/>
                                                                                                                                                                                                                                                                                                                                      <w:marRight w:val="0"/>
                                                                                                                                                                                                                                                                                                                                      <w:marTop w:val="0"/>
                                                                                                                                                                                                                                                                                                                                      <w:marBottom w:val="0"/>
                                                                                                                                                                                                                                                                                                                                      <w:divBdr>
                                                                                                                                                                                                                                                                                                                                        <w:top w:val="none" w:sz="0" w:space="0" w:color="auto"/>
                                                                                                                                                                                                                                                                                                                                        <w:left w:val="none" w:sz="0" w:space="0" w:color="auto"/>
                                                                                                                                                                                                                                                                                                                                        <w:bottom w:val="none" w:sz="0" w:space="0" w:color="auto"/>
                                                                                                                                                                                                                                                                                                                                        <w:right w:val="none" w:sz="0" w:space="0" w:color="auto"/>
                                                                                                                                                                                                                                                                                                                                      </w:divBdr>
                                                                                                                                                                                                                                                                                                                                      <w:divsChild>
                                                                                                                                                                                                                                                                                                                                        <w:div w:id="2014913170">
                                                                                                                                                                                                                                                                                                                                          <w:marLeft w:val="0"/>
                                                                                                                                                                                                                                                                                                                                          <w:marRight w:val="0"/>
                                                                                                                                                                                                                                                                                                                                          <w:marTop w:val="0"/>
                                                                                                                                                                                                                                                                                                                                          <w:marBottom w:val="0"/>
                                                                                                                                                                                                                                                                                                                                          <w:divBdr>
                                                                                                                                                                                                                                                                                                                                            <w:top w:val="none" w:sz="0" w:space="0" w:color="auto"/>
                                                                                                                                                                                                                                                                                                                                            <w:left w:val="none" w:sz="0" w:space="0" w:color="auto"/>
                                                                                                                                                                                                                                                                                                                                            <w:bottom w:val="none" w:sz="0" w:space="0" w:color="auto"/>
                                                                                                                                                                                                                                                                                                                                            <w:right w:val="none" w:sz="0" w:space="0" w:color="auto"/>
                                                                                                                                                                                                                                                                                                                                          </w:divBdr>
                                                                                                                                                                                                                                                                                                                                          <w:divsChild>
                                                                                                                                                                                                                                                                                                                                            <w:div w:id="1899513609">
                                                                                                                                                                                                                                                                                                                                              <w:marLeft w:val="0"/>
                                                                                                                                                                                                                                                                                                                                              <w:marRight w:val="0"/>
                                                                                                                                                                                                                                                                                                                                              <w:marTop w:val="0"/>
                                                                                                                                                                                                                                                                                                                                              <w:marBottom w:val="0"/>
                                                                                                                                                                                                                                                                                                                                              <w:divBdr>
                                                                                                                                                                                                                                                                                                                                                <w:top w:val="none" w:sz="0" w:space="0" w:color="auto"/>
                                                                                                                                                                                                                                                                                                                                                <w:left w:val="none" w:sz="0" w:space="0" w:color="auto"/>
                                                                                                                                                                                                                                                                                                                                                <w:bottom w:val="none" w:sz="0" w:space="0" w:color="auto"/>
                                                                                                                                                                                                                                                                                                                                                <w:right w:val="none" w:sz="0" w:space="0" w:color="auto"/>
                                                                                                                                                                                                                                                                                                                                              </w:divBdr>
                                                                                                                                                                                                                                                                                                                                              <w:divsChild>
                                                                                                                                                                                                                                                                                                                                                <w:div w:id="242838938">
                                                                                                                                                                                                                                                                                                                                                  <w:marLeft w:val="0"/>
                                                                                                                                                                                                                                                                                                                                                  <w:marRight w:val="0"/>
                                                                                                                                                                                                                                                                                                                                                  <w:marTop w:val="0"/>
                                                                                                                                                                                                                                                                                                                                                  <w:marBottom w:val="0"/>
                                                                                                                                                                                                                                                                                                                                                  <w:divBdr>
                                                                                                                                                                                                                                                                                                                                                    <w:top w:val="none" w:sz="0" w:space="0" w:color="auto"/>
                                                                                                                                                                                                                                                                                                                                                    <w:left w:val="none" w:sz="0" w:space="0" w:color="auto"/>
                                                                                                                                                                                                                                                                                                                                                    <w:bottom w:val="none" w:sz="0" w:space="0" w:color="auto"/>
                                                                                                                                                                                                                                                                                                                                                    <w:right w:val="none" w:sz="0" w:space="0" w:color="auto"/>
                                                                                                                                                                                                                                                                                                                                                  </w:divBdr>
                                                                                                                                                                                                                                                                                                                                                  <w:divsChild>
                                                                                                                                                                                                                                                                                                                                                    <w:div w:id="1055931812">
                                                                                                                                                                                                                                                                                                                                                      <w:marLeft w:val="0"/>
                                                                                                                                                                                                                                                                                                                                                      <w:marRight w:val="0"/>
                                                                                                                                                                                                                                                                                                                                                      <w:marTop w:val="0"/>
                                                                                                                                                                                                                                                                                                                                                      <w:marBottom w:val="0"/>
                                                                                                                                                                                                                                                                                                                                                      <w:divBdr>
                                                                                                                                                                                                                                                                                                                                                        <w:top w:val="none" w:sz="0" w:space="0" w:color="auto"/>
                                                                                                                                                                                                                                                                                                                                                        <w:left w:val="none" w:sz="0" w:space="0" w:color="auto"/>
                                                                                                                                                                                                                                                                                                                                                        <w:bottom w:val="none" w:sz="0" w:space="0" w:color="auto"/>
                                                                                                                                                                                                                                                                                                                                                        <w:right w:val="none" w:sz="0" w:space="0" w:color="auto"/>
                                                                                                                                                                                                                                                                                                                                                      </w:divBdr>
                                                                                                                                                                                                                                                                                                                                                      <w:divsChild>
                                                                                                                                                                                                                                                                                                                                                        <w:div w:id="639844021">
                                                                                                                                                                                                                                                                                                                                                          <w:marLeft w:val="0"/>
                                                                                                                                                                                                                                                                                                                                                          <w:marRight w:val="0"/>
                                                                                                                                                                                                                                                                                                                                                          <w:marTop w:val="0"/>
                                                                                                                                                                                                                                                                                                                                                          <w:marBottom w:val="0"/>
                                                                                                                                                                                                                                                                                                                                                          <w:divBdr>
                                                                                                                                                                                                                                                                                                                                                            <w:top w:val="none" w:sz="0" w:space="0" w:color="auto"/>
                                                                                                                                                                                                                                                                                                                                                            <w:left w:val="none" w:sz="0" w:space="0" w:color="auto"/>
                                                                                                                                                                                                                                                                                                                                                            <w:bottom w:val="none" w:sz="0" w:space="0" w:color="auto"/>
                                                                                                                                                                                                                                                                                                                                                            <w:right w:val="none" w:sz="0" w:space="0" w:color="auto"/>
                                                                                                                                                                                                                                                                                                                                                          </w:divBdr>
                                                                                                                                                                                                                                                                                                                                                          <w:divsChild>
                                                                                                                                                                                                                                                                                                                                                            <w:div w:id="442770880">
                                                                                                                                                                                                                                                                                                                                                              <w:marLeft w:val="0"/>
                                                                                                                                                                                                                                                                                                                                                              <w:marRight w:val="0"/>
                                                                                                                                                                                                                                                                                                                                                              <w:marTop w:val="0"/>
                                                                                                                                                                                                                                                                                                                                                              <w:marBottom w:val="0"/>
                                                                                                                                                                                                                                                                                                                                                              <w:divBdr>
                                                                                                                                                                                                                                                                                                                                                                <w:top w:val="none" w:sz="0" w:space="0" w:color="auto"/>
                                                                                                                                                                                                                                                                                                                                                                <w:left w:val="none" w:sz="0" w:space="0" w:color="auto"/>
                                                                                                                                                                                                                                                                                                                                                                <w:bottom w:val="none" w:sz="0" w:space="0" w:color="auto"/>
                                                                                                                                                                                                                                                                                                                                                                <w:right w:val="none" w:sz="0" w:space="0" w:color="auto"/>
                                                                                                                                                                                                                                                                                                                                                              </w:divBdr>
                                                                                                                                                                                                                                                                                                                                                              <w:divsChild>
                                                                                                                                                                                                                                                                                                                                                                <w:div w:id="555550229">
                                                                                                                                                                                                                                                                                                                                                                  <w:marLeft w:val="0"/>
                                                                                                                                                                                                                                                                                                                                                                  <w:marRight w:val="0"/>
                                                                                                                                                                                                                                                                                                                                                                  <w:marTop w:val="0"/>
                                                                                                                                                                                                                                                                                                                                                                  <w:marBottom w:val="0"/>
                                                                                                                                                                                                                                                                                                                                                                  <w:divBdr>
                                                                                                                                                                                                                                                                                                                                                                    <w:top w:val="none" w:sz="0" w:space="0" w:color="auto"/>
                                                                                                                                                                                                                                                                                                                                                                    <w:left w:val="none" w:sz="0" w:space="0" w:color="auto"/>
                                                                                                                                                                                                                                                                                                                                                                    <w:bottom w:val="none" w:sz="0" w:space="0" w:color="auto"/>
                                                                                                                                                                                                                                                                                                                                                                    <w:right w:val="none" w:sz="0" w:space="0" w:color="auto"/>
                                                                                                                                                                                                                                                                                                                                                                  </w:divBdr>
                                                                                                                                                                                                                                                                                                                                                                  <w:divsChild>
                                                                                                                                                                                                                                                                                                                                                                    <w:div w:id="2044016689">
                                                                                                                                                                                                                                                                                                                                                                      <w:marLeft w:val="0"/>
                                                                                                                                                                                                                                                                                                                                                                      <w:marRight w:val="0"/>
                                                                                                                                                                                                                                                                                                                                                                      <w:marTop w:val="0"/>
                                                                                                                                                                                                                                                                                                                                                                      <w:marBottom w:val="0"/>
                                                                                                                                                                                                                                                                                                                                                                      <w:divBdr>
                                                                                                                                                                                                                                                                                                                                                                        <w:top w:val="none" w:sz="0" w:space="0" w:color="auto"/>
                                                                                                                                                                                                                                                                                                                                                                        <w:left w:val="none" w:sz="0" w:space="0" w:color="auto"/>
                                                                                                                                                                                                                                                                                                                                                                        <w:bottom w:val="none" w:sz="0" w:space="0" w:color="auto"/>
                                                                                                                                                                                                                                                                                                                                                                        <w:right w:val="none" w:sz="0" w:space="0" w:color="auto"/>
                                                                                                                                                                                                                                                                                                                                                                      </w:divBdr>
                                                                                                                                                                                                                                                                                                                                                                      <w:divsChild>
                                                                                                                                                                                                                                                                                                                                                                        <w:div w:id="366293367">
                                                                                                                                                                                                                                                                                                                                                                          <w:marLeft w:val="0"/>
                                                                                                                                                                                                                                                                                                                                                                          <w:marRight w:val="0"/>
                                                                                                                                                                                                                                                                                                                                                                          <w:marTop w:val="0"/>
                                                                                                                                                                                                                                                                                                                                                                          <w:marBottom w:val="0"/>
                                                                                                                                                                                                                                                                                                                                                                          <w:divBdr>
                                                                                                                                                                                                                                                                                                                                                                            <w:top w:val="none" w:sz="0" w:space="0" w:color="auto"/>
                                                                                                                                                                                                                                                                                                                                                                            <w:left w:val="none" w:sz="0" w:space="0" w:color="auto"/>
                                                                                                                                                                                                                                                                                                                                                                            <w:bottom w:val="none" w:sz="0" w:space="0" w:color="auto"/>
                                                                                                                                                                                                                                                                                                                                                                            <w:right w:val="none" w:sz="0" w:space="0" w:color="auto"/>
                                                                                                                                                                                                                                                                                                                                                                          </w:divBdr>
                                                                                                                                                                                                                                                                                                                                                                          <w:divsChild>
                                                                                                                                                                                                                                                                                                                                                                            <w:div w:id="1886944367">
                                                                                                                                                                                                                                                                                                                                                                              <w:marLeft w:val="0"/>
                                                                                                                                                                                                                                                                                                                                                                              <w:marRight w:val="0"/>
                                                                                                                                                                                                                                                                                                                                                                              <w:marTop w:val="0"/>
                                                                                                                                                                                                                                                                                                                                                                              <w:marBottom w:val="0"/>
                                                                                                                                                                                                                                                                                                                                                                              <w:divBdr>
                                                                                                                                                                                                                                                                                                                                                                                <w:top w:val="none" w:sz="0" w:space="0" w:color="auto"/>
                                                                                                                                                                                                                                                                                                                                                                                <w:left w:val="none" w:sz="0" w:space="0" w:color="auto"/>
                                                                                                                                                                                                                                                                                                                                                                                <w:bottom w:val="none" w:sz="0" w:space="0" w:color="auto"/>
                                                                                                                                                                                                                                                                                                                                                                                <w:right w:val="none" w:sz="0" w:space="0" w:color="auto"/>
                                                                                                                                                                                                                                                                                                                                                                              </w:divBdr>
                                                                                                                                                                                                                                                                                                                                                                              <w:divsChild>
                                                                                                                                                                                                                                                                                                                                                                                <w:div w:id="1188258126">
                                                                                                                                                                                                                                                                                                                                                                                  <w:marLeft w:val="0"/>
                                                                                                                                                                                                                                                                                                                                                                                  <w:marRight w:val="0"/>
                                                                                                                                                                                                                                                                                                                                                                                  <w:marTop w:val="0"/>
                                                                                                                                                                                                                                                                                                                                                                                  <w:marBottom w:val="0"/>
                                                                                                                                                                                                                                                                                                                                                                                  <w:divBdr>
                                                                                                                                                                                                                                                                                                                                                                                    <w:top w:val="none" w:sz="0" w:space="0" w:color="auto"/>
                                                                                                                                                                                                                                                                                                                                                                                    <w:left w:val="none" w:sz="0" w:space="0" w:color="auto"/>
                                                                                                                                                                                                                                                                                                                                                                                    <w:bottom w:val="none" w:sz="0" w:space="0" w:color="auto"/>
                                                                                                                                                                                                                                                                                                                                                                                    <w:right w:val="none" w:sz="0" w:space="0" w:color="auto"/>
                                                                                                                                                                                                                                                                                                                                                                                  </w:divBdr>
                                                                                                                                                                                                                                                                                                                                                                                  <w:divsChild>
                                                                                                                                                                                                                                                                                                                                                                                    <w:div w:id="1747610283">
                                                                                                                                                                                                                                                                                                                                                                                      <w:marLeft w:val="0"/>
                                                                                                                                                                                                                                                                                                                                                                                      <w:marRight w:val="0"/>
                                                                                                                                                                                                                                                                                                                                                                                      <w:marTop w:val="0"/>
                                                                                                                                                                                                                                                                                                                                                                                      <w:marBottom w:val="0"/>
                                                                                                                                                                                                                                                                                                                                                                                      <w:divBdr>
                                                                                                                                                                                                                                                                                                                                                                                        <w:top w:val="none" w:sz="0" w:space="0" w:color="auto"/>
                                                                                                                                                                                                                                                                                                                                                                                        <w:left w:val="none" w:sz="0" w:space="0" w:color="auto"/>
                                                                                                                                                                                                                                                                                                                                                                                        <w:bottom w:val="none" w:sz="0" w:space="0" w:color="auto"/>
                                                                                                                                                                                                                                                                                                                                                                                        <w:right w:val="none" w:sz="0" w:space="0" w:color="auto"/>
                                                                                                                                                                                                                                                                                                                                                                                      </w:divBdr>
                                                                                                                                                                                                                                                                                                                                                                                      <w:divsChild>
                                                                                                                                                                                                                                                                                                                                                                                        <w:div w:id="1666544965">
                                                                                                                                                                                                                                                                                                                                                                                          <w:marLeft w:val="0"/>
                                                                                                                                                                                                                                                                                                                                                                                          <w:marRight w:val="0"/>
                                                                                                                                                                                                                                                                                                                                                                                          <w:marTop w:val="0"/>
                                                                                                                                                                                                                                                                                                                                                                                          <w:marBottom w:val="0"/>
                                                                                                                                                                                                                                                                                                                                                                                          <w:divBdr>
                                                                                                                                                                                                                                                                                                                                                                                            <w:top w:val="none" w:sz="0" w:space="0" w:color="auto"/>
                                                                                                                                                                                                                                                                                                                                                                                            <w:left w:val="none" w:sz="0" w:space="0" w:color="auto"/>
                                                                                                                                                                                                                                                                                                                                                                                            <w:bottom w:val="none" w:sz="0" w:space="0" w:color="auto"/>
                                                                                                                                                                                                                                                                                                                                                                                            <w:right w:val="none" w:sz="0" w:space="0" w:color="auto"/>
                                                                                                                                                                                                                                                                                                                                                                                          </w:divBdr>
                                                                                                                                                                                                                                                                                                                                                                                          <w:divsChild>
                                                                                                                                                                                                                                                                                                                                                                                            <w:div w:id="799689551">
                                                                                                                                                                                                                                                                                                                                                                                              <w:marLeft w:val="0"/>
                                                                                                                                                                                                                                                                                                                                                                                              <w:marRight w:val="0"/>
                                                                                                                                                                                                                                                                                                                                                                                              <w:marTop w:val="0"/>
                                                                                                                                                                                                                                                                                                                                                                                              <w:marBottom w:val="0"/>
                                                                                                                                                                                                                                                                                                                                                                                              <w:divBdr>
                                                                                                                                                                                                                                                                                                                                                                                                <w:top w:val="none" w:sz="0" w:space="0" w:color="auto"/>
                                                                                                                                                                                                                                                                                                                                                                                                <w:left w:val="none" w:sz="0" w:space="0" w:color="auto"/>
                                                                                                                                                                                                                                                                                                                                                                                                <w:bottom w:val="none" w:sz="0" w:space="0" w:color="auto"/>
                                                                                                                                                                                                                                                                                                                                                                                                <w:right w:val="none" w:sz="0" w:space="0" w:color="auto"/>
                                                                                                                                                                                                                                                                                                                                                                                              </w:divBdr>
                                                                                                                                                                                                                                                                                                                                                                                              <w:divsChild>
                                                                                                                                                                                                                                                                                                                                                                                                <w:div w:id="100495425">
                                                                                                                                                                                                                                                                                                                                                                                                  <w:marLeft w:val="0"/>
                                                                                                                                                                                                                                                                                                                                                                                                  <w:marRight w:val="0"/>
                                                                                                                                                                                                                                                                                                                                                                                                  <w:marTop w:val="0"/>
                                                                                                                                                                                                                                                                                                                                                                                                  <w:marBottom w:val="0"/>
                                                                                                                                                                                                                                                                                                                                                                                                  <w:divBdr>
                                                                                                                                                                                                                                                                                                                                                                                                    <w:top w:val="none" w:sz="0" w:space="0" w:color="auto"/>
                                                                                                                                                                                                                                                                                                                                                                                                    <w:left w:val="none" w:sz="0" w:space="0" w:color="auto"/>
                                                                                                                                                                                                                                                                                                                                                                                                    <w:bottom w:val="none" w:sz="0" w:space="0" w:color="auto"/>
                                                                                                                                                                                                                                                                                                                                                                                                    <w:right w:val="none" w:sz="0" w:space="0" w:color="auto"/>
                                                                                                                                                                                                                                                                                                                                                                                                  </w:divBdr>
                                                                                                                                                                                                                                                                                                                                                                                                  <w:divsChild>
                                                                                                                                                                                                                                                                                                                                                                                                    <w:div w:id="860437035">
                                                                                                                                                                                                                                                                                                                                                                                                      <w:marLeft w:val="0"/>
                                                                                                                                                                                                                                                                                                                                                                                                      <w:marRight w:val="0"/>
                                                                                                                                                                                                                                                                                                                                                                                                      <w:marTop w:val="0"/>
                                                                                                                                                                                                                                                                                                                                                                                                      <w:marBottom w:val="0"/>
                                                                                                                                                                                                                                                                                                                                                                                                      <w:divBdr>
                                                                                                                                                                                                                                                                                                                                                                                                        <w:top w:val="none" w:sz="0" w:space="0" w:color="auto"/>
                                                                                                                                                                                                                                                                                                                                                                                                        <w:left w:val="none" w:sz="0" w:space="0" w:color="auto"/>
                                                                                                                                                                                                                                                                                                                                                                                                        <w:bottom w:val="none" w:sz="0" w:space="0" w:color="auto"/>
                                                                                                                                                                                                                                                                                                                                                                                                        <w:right w:val="none" w:sz="0" w:space="0" w:color="auto"/>
                                                                                                                                                                                                                                                                                                                                                                                                      </w:divBdr>
                                                                                                                                                                                                                                                                                                                                                                                                      <w:divsChild>
                                                                                                                                                                                                                                                                                                                                                                                                        <w:div w:id="1163738793">
                                                                                                                                                                                                                                                                                                                                                                                                          <w:marLeft w:val="0"/>
                                                                                                                                                                                                                                                                                                                                                                                                          <w:marRight w:val="0"/>
                                                                                                                                                                                                                                                                                                                                                                                                          <w:marTop w:val="0"/>
                                                                                                                                                                                                                                                                                                                                                                                                          <w:marBottom w:val="0"/>
                                                                                                                                                                                                                                                                                                                                                                                                          <w:divBdr>
                                                                                                                                                                                                                                                                                                                                                                                                            <w:top w:val="none" w:sz="0" w:space="0" w:color="auto"/>
                                                                                                                                                                                                                                                                                                                                                                                                            <w:left w:val="none" w:sz="0" w:space="0" w:color="auto"/>
                                                                                                                                                                                                                                                                                                                                                                                                            <w:bottom w:val="none" w:sz="0" w:space="0" w:color="auto"/>
                                                                                                                                                                                                                                                                                                                                                                                                            <w:right w:val="none" w:sz="0" w:space="0" w:color="auto"/>
                                                                                                                                                                                                                                                                                                                                                                                                          </w:divBdr>
                                                                                                                                                                                                                                                                                                                                                                                                          <w:divsChild>
                                                                                                                                                                                                                                                                                                                                                                                                            <w:div w:id="1328899309">
                                                                                                                                                                                                                                                                                                                                                                                                              <w:marLeft w:val="0"/>
                                                                                                                                                                                                                                                                                                                                                                                                              <w:marRight w:val="0"/>
                                                                                                                                                                                                                                                                                                                                                                                                              <w:marTop w:val="0"/>
                                                                                                                                                                                                                                                                                                                                                                                                              <w:marBottom w:val="0"/>
                                                                                                                                                                                                                                                                                                                                                                                                              <w:divBdr>
                                                                                                                                                                                                                                                                                                                                                                                                                <w:top w:val="none" w:sz="0" w:space="0" w:color="auto"/>
                                                                                                                                                                                                                                                                                                                                                                                                                <w:left w:val="none" w:sz="0" w:space="0" w:color="auto"/>
                                                                                                                                                                                                                                                                                                                                                                                                                <w:bottom w:val="none" w:sz="0" w:space="0" w:color="auto"/>
                                                                                                                                                                                                                                                                                                                                                                                                                <w:right w:val="none" w:sz="0" w:space="0" w:color="auto"/>
                                                                                                                                                                                                                                                                                                                                                                                                              </w:divBdr>
                                                                                                                                                                                                                                                                                                                                                                                                              <w:divsChild>
                                                                                                                                                                                                                                                                                                                                                                                                                <w:div w:id="500046765">
                                                                                                                                                                                                                                                                                                                                                                                                                  <w:marLeft w:val="0"/>
                                                                                                                                                                                                                                                                                                                                                                                                                  <w:marRight w:val="0"/>
                                                                                                                                                                                                                                                                                                                                                                                                                  <w:marTop w:val="0"/>
                                                                                                                                                                                                                                                                                                                                                                                                                  <w:marBottom w:val="0"/>
                                                                                                                                                                                                                                                                                                                                                                                                                  <w:divBdr>
                                                                                                                                                                                                                                                                                                                                                                                                                    <w:top w:val="none" w:sz="0" w:space="0" w:color="auto"/>
                                                                                                                                                                                                                                                                                                                                                                                                                    <w:left w:val="none" w:sz="0" w:space="0" w:color="auto"/>
                                                                                                                                                                                                                                                                                                                                                                                                                    <w:bottom w:val="none" w:sz="0" w:space="0" w:color="auto"/>
                                                                                                                                                                                                                                                                                                                                                                                                                    <w:right w:val="none" w:sz="0" w:space="0" w:color="auto"/>
                                                                                                                                                                                                                                                                                                                                                                                                                  </w:divBdr>
                                                                                                                                                                                                                                                                                                                                                                                                                  <w:divsChild>
                                                                                                                                                                                                                                                                                                                                                                                                                    <w:div w:id="383144613">
                                                                                                                                                                                                                                                                                                                                                                                                                      <w:marLeft w:val="0"/>
                                                                                                                                                                                                                                                                                                                                                                                                                      <w:marRight w:val="0"/>
                                                                                                                                                                                                                                                                                                                                                                                                                      <w:marTop w:val="0"/>
                                                                                                                                                                                                                                                                                                                                                                                                                      <w:marBottom w:val="0"/>
                                                                                                                                                                                                                                                                                                                                                                                                                      <w:divBdr>
                                                                                                                                                                                                                                                                                                                                                                                                                        <w:top w:val="none" w:sz="0" w:space="0" w:color="auto"/>
                                                                                                                                                                                                                                                                                                                                                                                                                        <w:left w:val="none" w:sz="0" w:space="0" w:color="auto"/>
                                                                                                                                                                                                                                                                                                                                                                                                                        <w:bottom w:val="none" w:sz="0" w:space="0" w:color="auto"/>
                                                                                                                                                                                                                                                                                                                                                                                                                        <w:right w:val="none" w:sz="0" w:space="0" w:color="auto"/>
                                                                                                                                                                                                                                                                                                                                                                                                                      </w:divBdr>
                                                                                                                                                                                                                                                                                                                                                                                                                      <w:divsChild>
                                                                                                                                                                                                                                                                                                                                                                                                                        <w:div w:id="958678763">
                                                                                                                                                                                                                                                                                                                                                                                                                          <w:marLeft w:val="0"/>
                                                                                                                                                                                                                                                                                                                                                                                                                          <w:marRight w:val="0"/>
                                                                                                                                                                                                                                                                                                                                                                                                                          <w:marTop w:val="0"/>
                                                                                                                                                                                                                                                                                                                                                                                                                          <w:marBottom w:val="0"/>
                                                                                                                                                                                                                                                                                                                                                                                                                          <w:divBdr>
                                                                                                                                                                                                                                                                                                                                                                                                                            <w:top w:val="none" w:sz="0" w:space="0" w:color="auto"/>
                                                                                                                                                                                                                                                                                                                                                                                                                            <w:left w:val="none" w:sz="0" w:space="0" w:color="auto"/>
                                                                                                                                                                                                                                                                                                                                                                                                                            <w:bottom w:val="none" w:sz="0" w:space="0" w:color="auto"/>
                                                                                                                                                                                                                                                                                                                                                                                                                            <w:right w:val="none" w:sz="0" w:space="0" w:color="auto"/>
                                                                                                                                                                                                                                                                                                                                                                                                                          </w:divBdr>
                                                                                                                                                                                                                                                                                                                                                                                                                          <w:divsChild>
                                                                                                                                                                                                                                                                                                                                                                                                                            <w:div w:id="452600641">
                                                                                                                                                                                                                                                                                                                                                                                                                              <w:marLeft w:val="0"/>
                                                                                                                                                                                                                                                                                                                                                                                                                              <w:marRight w:val="0"/>
                                                                                                                                                                                                                                                                                                                                                                                                                              <w:marTop w:val="0"/>
                                                                                                                                                                                                                                                                                                                                                                                                                              <w:marBottom w:val="0"/>
                                                                                                                                                                                                                                                                                                                                                                                                                              <w:divBdr>
                                                                                                                                                                                                                                                                                                                                                                                                                                <w:top w:val="none" w:sz="0" w:space="0" w:color="auto"/>
                                                                                                                                                                                                                                                                                                                                                                                                                                <w:left w:val="none" w:sz="0" w:space="0" w:color="auto"/>
                                                                                                                                                                                                                                                                                                                                                                                                                                <w:bottom w:val="none" w:sz="0" w:space="0" w:color="auto"/>
                                                                                                                                                                                                                                                                                                                                                                                                                                <w:right w:val="none" w:sz="0" w:space="0" w:color="auto"/>
                                                                                                                                                                                                                                                                                                                                                                                                                              </w:divBdr>
                                                                                                                                                                                                                                                                                                                                                                                                                              <w:divsChild>
                                                                                                                                                                                                                                                                                                                                                                                                                                <w:div w:id="1399015666">
                                                                                                                                                                                                                                                                                                                                                                                                                                  <w:marLeft w:val="0"/>
                                                                                                                                                                                                                                                                                                                                                                                                                                  <w:marRight w:val="0"/>
                                                                                                                                                                                                                                                                                                                                                                                                                                  <w:marTop w:val="0"/>
                                                                                                                                                                                                                                                                                                                                                                                                                                  <w:marBottom w:val="0"/>
                                                                                                                                                                                                                                                                                                                                                                                                                                  <w:divBdr>
                                                                                                                                                                                                                                                                                                                                                                                                                                    <w:top w:val="none" w:sz="0" w:space="0" w:color="auto"/>
                                                                                                                                                                                                                                                                                                                                                                                                                                    <w:left w:val="none" w:sz="0" w:space="0" w:color="auto"/>
                                                                                                                                                                                                                                                                                                                                                                                                                                    <w:bottom w:val="none" w:sz="0" w:space="0" w:color="auto"/>
                                                                                                                                                                                                                                                                                                                                                                                                                                    <w:right w:val="none" w:sz="0" w:space="0" w:color="auto"/>
                                                                                                                                                                                                                                                                                                                                                                                                                                  </w:divBdr>
                                                                                                                                                                                                                                                                                                                                                                                                                                  <w:divsChild>
                                                                                                                                                                                                                                                                                                                                                                                                                                    <w:div w:id="607083712">
                                                                                                                                                                                                                                                                                                                                                                                                                                      <w:marLeft w:val="0"/>
                                                                                                                                                                                                                                                                                                                                                                                                                                      <w:marRight w:val="0"/>
                                                                                                                                                                                                                                                                                                                                                                                                                                      <w:marTop w:val="0"/>
                                                                                                                                                                                                                                                                                                                                                                                                                                      <w:marBottom w:val="0"/>
                                                                                                                                                                                                                                                                                                                                                                                                                                      <w:divBdr>
                                                                                                                                                                                                                                                                                                                                                                                                                                        <w:top w:val="none" w:sz="0" w:space="0" w:color="auto"/>
                                                                                                                                                                                                                                                                                                                                                                                                                                        <w:left w:val="none" w:sz="0" w:space="0" w:color="auto"/>
                                                                                                                                                                                                                                                                                                                                                                                                                                        <w:bottom w:val="none" w:sz="0" w:space="0" w:color="auto"/>
                                                                                                                                                                                                                                                                                                                                                                                                                                        <w:right w:val="none" w:sz="0" w:space="0" w:color="auto"/>
                                                                                                                                                                                                                                                                                                                                                                                                                                      </w:divBdr>
                                                                                                                                                                                                                                                                                                                                                                                                                                      <w:divsChild>
                                                                                                                                                                                                                                                                                                                                                                                                                                        <w:div w:id="841697455">
                                                                                                                                                                                                                                                                                                                                                                                                                                          <w:marLeft w:val="0"/>
                                                                                                                                                                                                                                                                                                                                                                                                                                          <w:marRight w:val="0"/>
                                                                                                                                                                                                                                                                                                                                                                                                                                          <w:marTop w:val="0"/>
                                                                                                                                                                                                                                                                                                                                                                                                                                          <w:marBottom w:val="0"/>
                                                                                                                                                                                                                                                                                                                                                                                                                                          <w:divBdr>
                                                                                                                                                                                                                                                                                                                                                                                                                                            <w:top w:val="none" w:sz="0" w:space="0" w:color="auto"/>
                                                                                                                                                                                                                                                                                                                                                                                                                                            <w:left w:val="none" w:sz="0" w:space="0" w:color="auto"/>
                                                                                                                                                                                                                                                                                                                                                                                                                                            <w:bottom w:val="none" w:sz="0" w:space="0" w:color="auto"/>
                                                                                                                                                                                                                                                                                                                                                                                                                                            <w:right w:val="none" w:sz="0" w:space="0" w:color="auto"/>
                                                                                                                                                                                                                                                                                                                                                                                                                                          </w:divBdr>
                                                                                                                                                                                                                                                                                                                                                                                                                                          <w:divsChild>
                                                                                                                                                                                                                                                                                                                                                                                                                                            <w:div w:id="1232354523">
                                                                                                                                                                                                                                                                                                                                                                                                                                              <w:marLeft w:val="0"/>
                                                                                                                                                                                                                                                                                                                                                                                                                                              <w:marRight w:val="0"/>
                                                                                                                                                                                                                                                                                                                                                                                                                                              <w:marTop w:val="0"/>
                                                                                                                                                                                                                                                                                                                                                                                                                                              <w:marBottom w:val="0"/>
                                                                                                                                                                                                                                                                                                                                                                                                                                              <w:divBdr>
                                                                                                                                                                                                                                                                                                                                                                                                                                                <w:top w:val="none" w:sz="0" w:space="0" w:color="auto"/>
                                                                                                                                                                                                                                                                                                                                                                                                                                                <w:left w:val="none" w:sz="0" w:space="0" w:color="auto"/>
                                                                                                                                                                                                                                                                                                                                                                                                                                                <w:bottom w:val="none" w:sz="0" w:space="0" w:color="auto"/>
                                                                                                                                                                                                                                                                                                                                                                                                                                                <w:right w:val="none" w:sz="0" w:space="0" w:color="auto"/>
                                                                                                                                                                                                                                                                                                                                                                                                                                              </w:divBdr>
                                                                                                                                                                                                                                                                                                                                                                                                                                              <w:divsChild>
                                                                                                                                                                                                                                                                                                                                                                                                                                                <w:div w:id="767623400">
                                                                                                                                                                                                                                                                                                                                                                                                                                                  <w:marLeft w:val="0"/>
                                                                                                                                                                                                                                                                                                                                                                                                                                                  <w:marRight w:val="0"/>
                                                                                                                                                                                                                                                                                                                                                                                                                                                  <w:marTop w:val="0"/>
                                                                                                                                                                                                                                                                                                                                                                                                                                                  <w:marBottom w:val="0"/>
                                                                                                                                                                                                                                                                                                                                                                                                                                                  <w:divBdr>
                                                                                                                                                                                                                                                                                                                                                                                                                                                    <w:top w:val="none" w:sz="0" w:space="0" w:color="auto"/>
                                                                                                                                                                                                                                                                                                                                                                                                                                                    <w:left w:val="none" w:sz="0" w:space="0" w:color="auto"/>
                                                                                                                                                                                                                                                                                                                                                                                                                                                    <w:bottom w:val="none" w:sz="0" w:space="0" w:color="auto"/>
                                                                                                                                                                                                                                                                                                                                                                                                                                                    <w:right w:val="none" w:sz="0" w:space="0" w:color="auto"/>
                                                                                                                                                                                                                                                                                                                                                                                                                                                  </w:divBdr>
                                                                                                                                                                                                                                                                                                                                                                                                                                                  <w:divsChild>
                                                                                                                                                                                                                                                                                                                                                                                                                                                    <w:div w:id="1343051775">
                                                                                                                                                                                                                                                                                                                                                                                                                                                      <w:marLeft w:val="0"/>
                                                                                                                                                                                                                                                                                                                                                                                                                                                      <w:marRight w:val="0"/>
                                                                                                                                                                                                                                                                                                                                                                                                                                                      <w:marTop w:val="0"/>
                                                                                                                                                                                                                                                                                                                                                                                                                                                      <w:marBottom w:val="0"/>
                                                                                                                                                                                                                                                                                                                                                                                                                                                      <w:divBdr>
                                                                                                                                                                                                                                                                                                                                                                                                                                                        <w:top w:val="none" w:sz="0" w:space="0" w:color="auto"/>
                                                                                                                                                                                                                                                                                                                                                                                                                                                        <w:left w:val="none" w:sz="0" w:space="0" w:color="auto"/>
                                                                                                                                                                                                                                                                                                                                                                                                                                                        <w:bottom w:val="none" w:sz="0" w:space="0" w:color="auto"/>
                                                                                                                                                                                                                                                                                                                                                                                                                                                        <w:right w:val="none" w:sz="0" w:space="0" w:color="auto"/>
                                                                                                                                                                                                                                                                                                                                                                                                                                                      </w:divBdr>
                                                                                                                                                                                                                                                                                                                                                                                                                                                      <w:divsChild>
                                                                                                                                                                                                                                                                                                                                                                                                                                                        <w:div w:id="240337996">
                                                                                                                                                                                                                                                                                                                                                                                                                                                          <w:marLeft w:val="0"/>
                                                                                                                                                                                                                                                                                                                                                                                                                                                          <w:marRight w:val="0"/>
                                                                                                                                                                                                                                                                                                                                                                                                                                                          <w:marTop w:val="0"/>
                                                                                                                                                                                                                                                                                                                                                                                                                                                          <w:marBottom w:val="0"/>
                                                                                                                                                                                                                                                                                                                                                                                                                                                          <w:divBdr>
                                                                                                                                                                                                                                                                                                                                                                                                                                                            <w:top w:val="none" w:sz="0" w:space="0" w:color="auto"/>
                                                                                                                                                                                                                                                                                                                                                                                                                                                            <w:left w:val="none" w:sz="0" w:space="0" w:color="auto"/>
                                                                                                                                                                                                                                                                                                                                                                                                                                                            <w:bottom w:val="none" w:sz="0" w:space="0" w:color="auto"/>
                                                                                                                                                                                                                                                                                                                                                                                                                                                            <w:right w:val="none" w:sz="0" w:space="0" w:color="auto"/>
                                                                                                                                                                                                                                                                                                                                                                                                                                                          </w:divBdr>
                                                                                                                                                                                                                                                                                                                                                                                                                                                          <w:divsChild>
                                                                                                                                                                                                                                                                                                                                                                                                                                                            <w:div w:id="1086807480">
                                                                                                                                                                                                                                                                                                                                                                                                                                                              <w:marLeft w:val="0"/>
                                                                                                                                                                                                                                                                                                                                                                                                                                                              <w:marRight w:val="0"/>
                                                                                                                                                                                                                                                                                                                                                                                                                                                              <w:marTop w:val="0"/>
                                                                                                                                                                                                                                                                                                                                                                                                                                                              <w:marBottom w:val="0"/>
                                                                                                                                                                                                                                                                                                                                                                                                                                                              <w:divBdr>
                                                                                                                                                                                                                                                                                                                                                                                                                                                                <w:top w:val="none" w:sz="0" w:space="0" w:color="auto"/>
                                                                                                                                                                                                                                                                                                                                                                                                                                                                <w:left w:val="none" w:sz="0" w:space="0" w:color="auto"/>
                                                                                                                                                                                                                                                                                                                                                                                                                                                                <w:bottom w:val="none" w:sz="0" w:space="0" w:color="auto"/>
                                                                                                                                                                                                                                                                                                                                                                                                                                                                <w:right w:val="none" w:sz="0" w:space="0" w:color="auto"/>
                                                                                                                                                                                                                                                                                                                                                                                                                                                              </w:divBdr>
                                                                                                                                                                                                                                                                                                                                                                                                                                                              <w:divsChild>
                                                                                                                                                                                                                                                                                                                                                                                                                                                                <w:div w:id="2002535758">
                                                                                                                                                                                                                                                                                                                                                                                                                                                                  <w:marLeft w:val="0"/>
                                                                                                                                                                                                                                                                                                                                                                                                                                                                  <w:marRight w:val="0"/>
                                                                                                                                                                                                                                                                                                                                                                                                                                                                  <w:marTop w:val="0"/>
                                                                                                                                                                                                                                                                                                                                                                                                                                                                  <w:marBottom w:val="0"/>
                                                                                                                                                                                                                                                                                                                                                                                                                                                                  <w:divBdr>
                                                                                                                                                                                                                                                                                                                                                                                                                                                                    <w:top w:val="none" w:sz="0" w:space="0" w:color="auto"/>
                                                                                                                                                                                                                                                                                                                                                                                                                                                                    <w:left w:val="none" w:sz="0" w:space="0" w:color="auto"/>
                                                                                                                                                                                                                                                                                                                                                                                                                                                                    <w:bottom w:val="none" w:sz="0" w:space="0" w:color="auto"/>
                                                                                                                                                                                                                                                                                                                                                                                                                                                                    <w:right w:val="none" w:sz="0" w:space="0" w:color="auto"/>
                                                                                                                                                                                                                                                                                                                                                                                                                                                                  </w:divBdr>
                                                                                                                                                                                                                                                                                                                                                                                                                                                                  <w:divsChild>
                                                                                                                                                                                                                                                                                                                                                                                                                                                                    <w:div w:id="1608005668">
                                                                                                                                                                                                                                                                                                                                                                                                                                                                      <w:marLeft w:val="0"/>
                                                                                                                                                                                                                                                                                                                                                                                                                                                                      <w:marRight w:val="0"/>
                                                                                                                                                                                                                                                                                                                                                                                                                                                                      <w:marTop w:val="0"/>
                                                                                                                                                                                                                                                                                                                                                                                                                                                                      <w:marBottom w:val="0"/>
                                                                                                                                                                                                                                                                                                                                                                                                                                                                      <w:divBdr>
                                                                                                                                                                                                                                                                                                                                                                                                                                                                        <w:top w:val="none" w:sz="0" w:space="0" w:color="auto"/>
                                                                                                                                                                                                                                                                                                                                                                                                                                                                        <w:left w:val="none" w:sz="0" w:space="0" w:color="auto"/>
                                                                                                                                                                                                                                                                                                                                                                                                                                                                        <w:bottom w:val="none" w:sz="0" w:space="0" w:color="auto"/>
                                                                                                                                                                                                                                                                                                                                                                                                                                                                        <w:right w:val="none" w:sz="0" w:space="0" w:color="auto"/>
                                                                                                                                                                                                                                                                                                                                                                                                                                                                      </w:divBdr>
                                                                                                                                                                                                                                                                                                                                                                                                                                                                      <w:divsChild>
                                                                                                                                                                                                                                                                                                                                                                                                                                                                        <w:div w:id="1261573387">
                                                                                                                                                                                                                                                                                                                                                                                                                                                                          <w:marLeft w:val="0"/>
                                                                                                                                                                                                                                                                                                                                                                                                                                                                          <w:marRight w:val="0"/>
                                                                                                                                                                                                                                                                                                                                                                                                                                                                          <w:marTop w:val="0"/>
                                                                                                                                                                                                                                                                                                                                                                                                                                                                          <w:marBottom w:val="0"/>
                                                                                                                                                                                                                                                                                                                                                                                                                                                                          <w:divBdr>
                                                                                                                                                                                                                                                                                                                                                                                                                                                                            <w:top w:val="none" w:sz="0" w:space="0" w:color="auto"/>
                                                                                                                                                                                                                                                                                                                                                                                                                                                                            <w:left w:val="none" w:sz="0" w:space="0" w:color="auto"/>
                                                                                                                                                                                                                                                                                                                                                                                                                                                                            <w:bottom w:val="none" w:sz="0" w:space="0" w:color="auto"/>
                                                                                                                                                                                                                                                                                                                                                                                                                                                                            <w:right w:val="none" w:sz="0" w:space="0" w:color="auto"/>
                                                                                                                                                                                                                                                                                                                                                                                                                                                                          </w:divBdr>
                                                                                                                                                                                                                                                                                                                                                                                                                                                                          <w:divsChild>
                                                                                                                                                                                                                                                                                                                                                                                                                                                                            <w:div w:id="418185531">
                                                                                                                                                                                                                                                                                                                                                                                                                                                                              <w:marLeft w:val="0"/>
                                                                                                                                                                                                                                                                                                                                                                                                                                                                              <w:marRight w:val="0"/>
                                                                                                                                                                                                                                                                                                                                                                                                                                                                              <w:marTop w:val="0"/>
                                                                                                                                                                                                                                                                                                                                                                                                                                                                              <w:marBottom w:val="0"/>
                                                                                                                                                                                                                                                                                                                                                                                                                                                                              <w:divBdr>
                                                                                                                                                                                                                                                                                                                                                                                                                                                                                <w:top w:val="none" w:sz="0" w:space="0" w:color="auto"/>
                                                                                                                                                                                                                                                                                                                                                                                                                                                                                <w:left w:val="none" w:sz="0" w:space="0" w:color="auto"/>
                                                                                                                                                                                                                                                                                                                                                                                                                                                                                <w:bottom w:val="none" w:sz="0" w:space="0" w:color="auto"/>
                                                                                                                                                                                                                                                                                                                                                                                                                                                                                <w:right w:val="none" w:sz="0" w:space="0" w:color="auto"/>
                                                                                                                                                                                                                                                                                                                                                                                                                                                                              </w:divBdr>
                                                                                                                                                                                                                                                                                                                                                                                                                                                                              <w:divsChild>
                                                                                                                                                                                                                                                                                                                                                                                                                                                                                <w:div w:id="461769616">
                                                                                                                                                                                                                                                                                                                                                                                                                                                                                  <w:marLeft w:val="0"/>
                                                                                                                                                                                                                                                                                                                                                                                                                                                                                  <w:marRight w:val="0"/>
                                                                                                                                                                                                                                                                                                                                                                                                                                                                                  <w:marTop w:val="0"/>
                                                                                                                                                                                                                                                                                                                                                                                                                                                                                  <w:marBottom w:val="0"/>
                                                                                                                                                                                                                                                                                                                                                                                                                                                                                  <w:divBdr>
                                                                                                                                                                                                                                                                                                                                                                                                                                                                                    <w:top w:val="none" w:sz="0" w:space="0" w:color="auto"/>
                                                                                                                                                                                                                                                                                                                                                                                                                                                                                    <w:left w:val="none" w:sz="0" w:space="0" w:color="auto"/>
                                                                                                                                                                                                                                                                                                                                                                                                                                                                                    <w:bottom w:val="none" w:sz="0" w:space="0" w:color="auto"/>
                                                                                                                                                                                                                                                                                                                                                                                                                                                                                    <w:right w:val="none" w:sz="0" w:space="0" w:color="auto"/>
                                                                                                                                                                                                                                                                                                                                                                                                                                                                                  </w:divBdr>
                                                                                                                                                                                                                                                                                                                                                                                                                                                                                  <w:divsChild>
                                                                                                                                                                                                                                                                                                                                                                                                                                                                                    <w:div w:id="1708867719">
                                                                                                                                                                                                                                                                                                                                                                                                                                                                                      <w:marLeft w:val="0"/>
                                                                                                                                                                                                                                                                                                                                                                                                                                                                                      <w:marRight w:val="0"/>
                                                                                                                                                                                                                                                                                                                                                                                                                                                                                      <w:marTop w:val="0"/>
                                                                                                                                                                                                                                                                                                                                                                                                                                                                                      <w:marBottom w:val="0"/>
                                                                                                                                                                                                                                                                                                                                                                                                                                                                                      <w:divBdr>
                                                                                                                                                                                                                                                                                                                                                                                                                                                                                        <w:top w:val="none" w:sz="0" w:space="0" w:color="auto"/>
                                                                                                                                                                                                                                                                                                                                                                                                                                                                                        <w:left w:val="none" w:sz="0" w:space="0" w:color="auto"/>
                                                                                                                                                                                                                                                                                                                                                                                                                                                                                        <w:bottom w:val="none" w:sz="0" w:space="0" w:color="auto"/>
                                                                                                                                                                                                                                                                                                                                                                                                                                                                                        <w:right w:val="none" w:sz="0" w:space="0" w:color="auto"/>
                                                                                                                                                                                                                                                                                                                                                                                                                                                                                      </w:divBdr>
                                                                                                                                                                                                                                                                                                                                                                                                                                                                                      <w:divsChild>
                                                                                                                                                                                                                                                                                                                                                                                                                                                                                        <w:div w:id="481389883">
                                                                                                                                                                                                                                                                                                                                                                                                                                                                                          <w:marLeft w:val="0"/>
                                                                                                                                                                                                                                                                                                                                                                                                                                                                                          <w:marRight w:val="0"/>
                                                                                                                                                                                                                                                                                                                                                                                                                                                                                          <w:marTop w:val="0"/>
                                                                                                                                                                                                                                                                                                                                                                                                                                                                                          <w:marBottom w:val="0"/>
                                                                                                                                                                                                                                                                                                                                                                                                                                                                                          <w:divBdr>
                                                                                                                                                                                                                                                                                                                                                                                                                                                                                            <w:top w:val="none" w:sz="0" w:space="0" w:color="auto"/>
                                                                                                                                                                                                                                                                                                                                                                                                                                                                                            <w:left w:val="none" w:sz="0" w:space="0" w:color="auto"/>
                                                                                                                                                                                                                                                                                                                                                                                                                                                                                            <w:bottom w:val="none" w:sz="0" w:space="0" w:color="auto"/>
                                                                                                                                                                                                                                                                                                                                                                                                                                                                                            <w:right w:val="none" w:sz="0" w:space="0" w:color="auto"/>
                                                                                                                                                                                                                                                                                                                                                                                                                                                                                          </w:divBdr>
                                                                                                                                                                                                                                                                                                                                                                                                                                                                                          <w:divsChild>
                                                                                                                                                                                                                                                                                                                                                                                                                                                                                            <w:div w:id="2063942634">
                                                                                                                                                                                                                                                                                                                                                                                                                                                                                              <w:marLeft w:val="0"/>
                                                                                                                                                                                                                                                                                                                                                                                                                                                                                              <w:marRight w:val="0"/>
                                                                                                                                                                                                                                                                                                                                                                                                                                                                                              <w:marTop w:val="0"/>
                                                                                                                                                                                                                                                                                                                                                                                                                                                                                              <w:marBottom w:val="0"/>
                                                                                                                                                                                                                                                                                                                                                                                                                                                                                              <w:divBdr>
                                                                                                                                                                                                                                                                                                                                                                                                                                                                                                <w:top w:val="none" w:sz="0" w:space="0" w:color="auto"/>
                                                                                                                                                                                                                                                                                                                                                                                                                                                                                                <w:left w:val="none" w:sz="0" w:space="0" w:color="auto"/>
                                                                                                                                                                                                                                                                                                                                                                                                                                                                                                <w:bottom w:val="none" w:sz="0" w:space="0" w:color="auto"/>
                                                                                                                                                                                                                                                                                                                                                                                                                                                                                                <w:right w:val="none" w:sz="0" w:space="0" w:color="auto"/>
                                                                                                                                                                                                                                                                                                                                                                                                                                                                                              </w:divBdr>
                                                                                                                                                                                                                                                                                                                                                                                                                                                                                              <w:divsChild>
                                                                                                                                                                                                                                                                                                                                                                                                                                                                                                <w:div w:id="80571636">
                                                                                                                                                                                                                                                                                                                                                                                                                                                                                                  <w:marLeft w:val="0"/>
                                                                                                                                                                                                                                                                                                                                                                                                                                                                                                  <w:marRight w:val="0"/>
                                                                                                                                                                                                                                                                                                                                                                                                                                                                                                  <w:marTop w:val="0"/>
                                                                                                                                                                                                                                                                                                                                                                                                                                                                                                  <w:marBottom w:val="0"/>
                                                                                                                                                                                                                                                                                                                                                                                                                                                                                                  <w:divBdr>
                                                                                                                                                                                                                                                                                                                                                                                                                                                                                                    <w:top w:val="none" w:sz="0" w:space="0" w:color="auto"/>
                                                                                                                                                                                                                                                                                                                                                                                                                                                                                                    <w:left w:val="none" w:sz="0" w:space="0" w:color="auto"/>
                                                                                                                                                                                                                                                                                                                                                                                                                                                                                                    <w:bottom w:val="none" w:sz="0" w:space="0" w:color="auto"/>
                                                                                                                                                                                                                                                                                                                                                                                                                                                                                                    <w:right w:val="none" w:sz="0" w:space="0" w:color="auto"/>
                                                                                                                                                                                                                                                                                                                                                                                                                                                                                                  </w:divBdr>
                                                                                                                                                                                                                                                                                                                                                                                                                                                                                                  <w:divsChild>
                                                                                                                                                                                                                                                                                                                                                                                                                                                                                                    <w:div w:id="1918854479">
                                                                                                                                                                                                                                                                                                                                                                                                                                                                                                      <w:marLeft w:val="0"/>
                                                                                                                                                                                                                                                                                                                                                                                                                                                                                                      <w:marRight w:val="0"/>
                                                                                                                                                                                                                                                                                                                                                                                                                                                                                                      <w:marTop w:val="0"/>
                                                                                                                                                                                                                                                                                                                                                                                                                                                                                                      <w:marBottom w:val="0"/>
                                                                                                                                                                                                                                                                                                                                                                                                                                                                                                      <w:divBdr>
                                                                                                                                                                                                                                                                                                                                                                                                                                                                                                        <w:top w:val="none" w:sz="0" w:space="0" w:color="auto"/>
                                                                                                                                                                                                                                                                                                                                                                                                                                                                                                        <w:left w:val="none" w:sz="0" w:space="0" w:color="auto"/>
                                                                                                                                                                                                                                                                                                                                                                                                                                                                                                        <w:bottom w:val="none" w:sz="0" w:space="0" w:color="auto"/>
                                                                                                                                                                                                                                                                                                                                                                                                                                                                                                        <w:right w:val="none" w:sz="0" w:space="0" w:color="auto"/>
                                                                                                                                                                                                                                                                                                                                                                                                                                                                                                      </w:divBdr>
                                                                                                                                                                                                                                                                                                                                                                                                                                                                                                      <w:divsChild>
                                                                                                                                                                                                                                                                                                                                                                                                                                                                                                        <w:div w:id="342169496">
                                                                                                                                                                                                                                                                                                                                                                                                                                                                                                          <w:marLeft w:val="0"/>
                                                                                                                                                                                                                                                                                                                                                                                                                                                                                                          <w:marRight w:val="0"/>
                                                                                                                                                                                                                                                                                                                                                                                                                                                                                                          <w:marTop w:val="0"/>
                                                                                                                                                                                                                                                                                                                                                                                                                                                                                                          <w:marBottom w:val="0"/>
                                                                                                                                                                                                                                                                                                                                                                                                                                                                                                          <w:divBdr>
                                                                                                                                                                                                                                                                                                                                                                                                                                                                                                            <w:top w:val="none" w:sz="0" w:space="0" w:color="auto"/>
                                                                                                                                                                                                                                                                                                                                                                                                                                                                                                            <w:left w:val="none" w:sz="0" w:space="0" w:color="auto"/>
                                                                                                                                                                                                                                                                                                                                                                                                                                                                                                            <w:bottom w:val="none" w:sz="0" w:space="0" w:color="auto"/>
                                                                                                                                                                                                                                                                                                                                                                                                                                                                                                            <w:right w:val="none" w:sz="0" w:space="0" w:color="auto"/>
                                                                                                                                                                                                                                                                                                                                                                                                                                                                                                          </w:divBdr>
                                                                                                                                                                                                                                                                                                                                                                                                                                                                                                          <w:divsChild>
                                                                                                                                                                                                                                                                                                                                                                                                                                                                                                            <w:div w:id="873075428">
                                                                                                                                                                                                                                                                                                                                                                                                                                                                                                              <w:marLeft w:val="0"/>
                                                                                                                                                                                                                                                                                                                                                                                                                                                                                                              <w:marRight w:val="0"/>
                                                                                                                                                                                                                                                                                                                                                                                                                                                                                                              <w:marTop w:val="0"/>
                                                                                                                                                                                                                                                                                                                                                                                                                                                                                                              <w:marBottom w:val="0"/>
                                                                                                                                                                                                                                                                                                                                                                                                                                                                                                              <w:divBdr>
                                                                                                                                                                                                                                                                                                                                                                                                                                                                                                                <w:top w:val="none" w:sz="0" w:space="0" w:color="auto"/>
                                                                                                                                                                                                                                                                                                                                                                                                                                                                                                                <w:left w:val="none" w:sz="0" w:space="0" w:color="auto"/>
                                                                                                                                                                                                                                                                                                                                                                                                                                                                                                                <w:bottom w:val="none" w:sz="0" w:space="0" w:color="auto"/>
                                                                                                                                                                                                                                                                                                                                                                                                                                                                                                                <w:right w:val="none" w:sz="0" w:space="0" w:color="auto"/>
                                                                                                                                                                                                                                                                                                                                                                                                                                                                                                              </w:divBdr>
                                                                                                                                                                                                                                                                                                                                                                                                                                                                                                              <w:divsChild>
                                                                                                                                                                                                                                                                                                                                                                                                                                                                                                                <w:div w:id="515774944">
                                                                                                                                                                                                                                                                                                                                                                                                                                                                                                                  <w:marLeft w:val="0"/>
                                                                                                                                                                                                                                                                                                                                                                                                                                                                                                                  <w:marRight w:val="0"/>
                                                                                                                                                                                                                                                                                                                                                                                                                                                                                                                  <w:marTop w:val="0"/>
                                                                                                                                                                                                                                                                                                                                                                                                                                                                                                                  <w:marBottom w:val="0"/>
                                                                                                                                                                                                                                                                                                                                                                                                                                                                                                                  <w:divBdr>
                                                                                                                                                                                                                                                                                                                                                                                                                                                                                                                    <w:top w:val="none" w:sz="0" w:space="0" w:color="auto"/>
                                                                                                                                                                                                                                                                                                                                                                                                                                                                                                                    <w:left w:val="none" w:sz="0" w:space="0" w:color="auto"/>
                                                                                                                                                                                                                                                                                                                                                                                                                                                                                                                    <w:bottom w:val="none" w:sz="0" w:space="0" w:color="auto"/>
                                                                                                                                                                                                                                                                                                                                                                                                                                                                                                                    <w:right w:val="none" w:sz="0" w:space="0" w:color="auto"/>
                                                                                                                                                                                                                                                                                                                                                                                                                                                                                                                  </w:divBdr>
                                                                                                                                                                                                                                                                                                                                                                                                                                                                                                                  <w:divsChild>
                                                                                                                                                                                                                                                                                                                                                                                                                                                                                                                    <w:div w:id="2029064163">
                                                                                                                                                                                                                                                                                                                                                                                                                                                                                                                      <w:marLeft w:val="0"/>
                                                                                                                                                                                                                                                                                                                                                                                                                                                                                                                      <w:marRight w:val="0"/>
                                                                                                                                                                                                                                                                                                                                                                                                                                                                                                                      <w:marTop w:val="0"/>
                                                                                                                                                                                                                                                                                                                                                                                                                                                                                                                      <w:marBottom w:val="0"/>
                                                                                                                                                                                                                                                                                                                                                                                                                                                                                                                      <w:divBdr>
                                                                                                                                                                                                                                                                                                                                                                                                                                                                                                                        <w:top w:val="none" w:sz="0" w:space="0" w:color="auto"/>
                                                                                                                                                                                                                                                                                                                                                                                                                                                                                                                        <w:left w:val="none" w:sz="0" w:space="0" w:color="auto"/>
                                                                                                                                                                                                                                                                                                                                                                                                                                                                                                                        <w:bottom w:val="none" w:sz="0" w:space="0" w:color="auto"/>
                                                                                                                                                                                                                                                                                                                                                                                                                                                                                                                        <w:right w:val="none" w:sz="0" w:space="0" w:color="auto"/>
                                                                                                                                                                                                                                                                                                                                                                                                                                                                                                                      </w:divBdr>
                                                                                                                                                                                                                                                                                                                                                                                                                                                                                                                      <w:divsChild>
                                                                                                                                                                                                                                                                                                                                                                                                                                                                                                                        <w:div w:id="1249540976">
                                                                                                                                                                                                                                                                                                                                                                                                                                                                                                                          <w:marLeft w:val="0"/>
                                                                                                                                                                                                                                                                                                                                                                                                                                                                                                                          <w:marRight w:val="0"/>
                                                                                                                                                                                                                                                                                                                                                                                                                                                                                                                          <w:marTop w:val="0"/>
                                                                                                                                                                                                                                                                                                                                                                                                                                                                                                                          <w:marBottom w:val="0"/>
                                                                                                                                                                                                                                                                                                                                                                                                                                                                                                                          <w:divBdr>
                                                                                                                                                                                                                                                                                                                                                                                                                                                                                                                            <w:top w:val="none" w:sz="0" w:space="0" w:color="auto"/>
                                                                                                                                                                                                                                                                                                                                                                                                                                                                                                                            <w:left w:val="none" w:sz="0" w:space="0" w:color="auto"/>
                                                                                                                                                                                                                                                                                                                                                                                                                                                                                                                            <w:bottom w:val="none" w:sz="0" w:space="0" w:color="auto"/>
                                                                                                                                                                                                                                                                                                                                                                                                                                                                                                                            <w:right w:val="none" w:sz="0" w:space="0" w:color="auto"/>
                                                                                                                                                                                                                                                                                                                                                                                                                                                                                                                          </w:divBdr>
                                                                                                                                                                                                                                                                                                                                                                                                                                                                                                                          <w:divsChild>
                                                                                                                                                                                                                                                                                                                                                                                                                                                                                                                            <w:div w:id="123091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Austin">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78219-09D3-4666-8905-F5B98EBFF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37</Pages>
  <Words>59037</Words>
  <Characters>336517</Characters>
  <Application>Microsoft Office Word</Application>
  <DocSecurity>0</DocSecurity>
  <Lines>2804</Lines>
  <Paragraphs>789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394765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SOTO, MARCELO (FUN.CLI.)</dc:creator>
  <cp:lastModifiedBy>Na Ma</cp:lastModifiedBy>
  <cp:revision>1</cp:revision>
  <cp:lastPrinted>2015-12-11T08:03:00Z</cp:lastPrinted>
  <dcterms:created xsi:type="dcterms:W3CDTF">2017-03-08T07:25:00Z</dcterms:created>
  <dcterms:modified xsi:type="dcterms:W3CDTF">2017-03-14T19:21:00Z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soto@clinic.ub.es@www.mendeley.com</vt:lpwstr>
  </property>
  <property fmtid="{D5CDD505-2E9C-101B-9397-08002B2CF9AE}" pid="4" name="Mendeley Recent Style Id 0_1">
    <vt:lpwstr>http://www.zotero.org/styles/american-sociological-association</vt:lpwstr>
  </property>
  <property fmtid="{D5CDD505-2E9C-101B-9397-08002B2CF9AE}" pid="5" name="Mendeley Recent Style Name 0_1">
    <vt:lpwstr>American Sociological Association</vt:lpwstr>
  </property>
  <property fmtid="{D5CDD505-2E9C-101B-9397-08002B2CF9AE}" pid="6" name="Mendeley Recent Style Id 1_1">
    <vt:lpwstr>http://www.zotero.org/styles/bmj</vt:lpwstr>
  </property>
  <property fmtid="{D5CDD505-2E9C-101B-9397-08002B2CF9AE}" pid="7" name="Mendeley Recent Style Name 1_1">
    <vt:lpwstr>BMJ</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16th edition (author-date)</vt:lpwstr>
  </property>
  <property fmtid="{D5CDD505-2E9C-101B-9397-08002B2CF9AE}" pid="10" name="Mendeley Recent Style Id 3_1">
    <vt:lpwstr>http://www.zotero.org/styles/clinical-infectious-diseases</vt:lpwstr>
  </property>
  <property fmtid="{D5CDD505-2E9C-101B-9397-08002B2CF9AE}" pid="11" name="Mendeley Recent Style Name 3_1">
    <vt:lpwstr>Clinical Infectious Diseases</vt:lpwstr>
  </property>
  <property fmtid="{D5CDD505-2E9C-101B-9397-08002B2CF9AE}" pid="12" name="Mendeley Recent Style Id 4_1">
    <vt:lpwstr>http://www.zotero.org/styles/gut</vt:lpwstr>
  </property>
  <property fmtid="{D5CDD505-2E9C-101B-9397-08002B2CF9AE}" pid="13" name="Mendeley Recent Style Name 4_1">
    <vt:lpwstr>Gut</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http://www.zotero.org/styles/liver-international</vt:lpwstr>
  </property>
  <property fmtid="{D5CDD505-2E9C-101B-9397-08002B2CF9AE}" pid="17" name="Mendeley Recent Style Name 6_1">
    <vt:lpwstr>Liver International</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http://www.zotero.org/styles/plos-one</vt:lpwstr>
  </property>
  <property fmtid="{D5CDD505-2E9C-101B-9397-08002B2CF9AE}" pid="23" name="Mendeley Recent Style Name 9_1">
    <vt:lpwstr>PLOS ONE</vt:lpwstr>
  </property>
  <property fmtid="{D5CDD505-2E9C-101B-9397-08002B2CF9AE}" pid="24" name="Mendeley Citation Style_1">
    <vt:lpwstr>http://www.zotero.org/styles/liver-international</vt:lpwstr>
  </property>
</Properties>
</file>