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F04" w:rsidRPr="00FF2E5D" w:rsidRDefault="00C20F04" w:rsidP="00FF2E5D">
      <w:pPr>
        <w:jc w:val="both"/>
        <w:rPr>
          <w:b/>
        </w:rPr>
      </w:pPr>
      <w:r w:rsidRPr="00FF2E5D">
        <w:rPr>
          <w:b/>
        </w:rPr>
        <w:t xml:space="preserve"> </w:t>
      </w:r>
      <w:r w:rsidR="00FF2E5D" w:rsidRPr="00FF2E5D">
        <w:rPr>
          <w:b/>
          <w:sz w:val="28"/>
        </w:rPr>
        <w:t>Cost-effectiveness of Enhanced Liver Fibrosis test to assess liver fibrosis in chronic HCV and ALD patients</w:t>
      </w:r>
    </w:p>
    <w:p w:rsidR="00100D7A" w:rsidRPr="00C20F04" w:rsidRDefault="00C20F04" w:rsidP="00C20F04">
      <w:pPr>
        <w:spacing w:line="480" w:lineRule="auto"/>
        <w:jc w:val="both"/>
      </w:pPr>
      <w:r w:rsidRPr="00C20F04">
        <w:softHyphen/>
        <w:t>Supplementary material</w:t>
      </w:r>
      <w:r>
        <w:t xml:space="preserve"> </w:t>
      </w:r>
      <w:r w:rsidRPr="00C20F04">
        <w:t xml:space="preserve">– </w:t>
      </w:r>
      <w:r>
        <w:t>U</w:t>
      </w:r>
      <w:r w:rsidRPr="00C20F04">
        <w:t>tilities</w:t>
      </w:r>
      <w:r>
        <w:t xml:space="preserve"> and costs</w:t>
      </w:r>
      <w:bookmarkStart w:id="0" w:name="_GoBack"/>
      <w:bookmarkEnd w:id="0"/>
    </w:p>
    <w:p w:rsidR="00100D7A" w:rsidRDefault="00100D7A" w:rsidP="00100D7A">
      <w:pPr>
        <w:spacing w:line="480" w:lineRule="auto"/>
        <w:jc w:val="both"/>
        <w:rPr>
          <w:b/>
        </w:rPr>
      </w:pPr>
    </w:p>
    <w:p w:rsidR="00100D7A" w:rsidRDefault="00100D7A" w:rsidP="00100D7A">
      <w:pPr>
        <w:spacing w:line="480" w:lineRule="auto"/>
        <w:jc w:val="both"/>
      </w:pPr>
      <w:r w:rsidRPr="008635B2">
        <w:rPr>
          <w:b/>
        </w:rPr>
        <w:t xml:space="preserve">Table </w:t>
      </w:r>
      <w:r>
        <w:rPr>
          <w:b/>
        </w:rPr>
        <w:t>S1</w:t>
      </w:r>
      <w:r>
        <w:t>. Utilities</w:t>
      </w:r>
    </w:p>
    <w:tbl>
      <w:tblPr>
        <w:tblW w:w="5000" w:type="pct"/>
        <w:tblLook w:val="04A0" w:firstRow="1" w:lastRow="0" w:firstColumn="1" w:lastColumn="0" w:noHBand="0" w:noVBand="1"/>
      </w:tblPr>
      <w:tblGrid>
        <w:gridCol w:w="3885"/>
        <w:gridCol w:w="1295"/>
        <w:gridCol w:w="1151"/>
        <w:gridCol w:w="1563"/>
        <w:gridCol w:w="1160"/>
      </w:tblGrid>
      <w:tr w:rsidR="00100D7A" w:rsidRPr="008635B2" w:rsidTr="001764F9">
        <w:trPr>
          <w:trHeight w:val="285"/>
        </w:trPr>
        <w:tc>
          <w:tcPr>
            <w:tcW w:w="2214" w:type="pct"/>
            <w:tcBorders>
              <w:top w:val="single" w:sz="4" w:space="0" w:color="auto"/>
              <w:left w:val="nil"/>
              <w:bottom w:val="single" w:sz="4" w:space="0" w:color="auto"/>
              <w:right w:val="nil"/>
            </w:tcBorders>
            <w:shd w:val="clear" w:color="auto" w:fill="auto"/>
            <w:noWrap/>
            <w:vAlign w:val="bottom"/>
            <w:hideMark/>
          </w:tcPr>
          <w:p w:rsidR="00100D7A" w:rsidRPr="008635B2" w:rsidRDefault="00100D7A" w:rsidP="001764F9">
            <w:pPr>
              <w:spacing w:after="0" w:line="240" w:lineRule="auto"/>
              <w:rPr>
                <w:rFonts w:eastAsia="Times New Roman" w:cs="Calibri"/>
                <w:b/>
                <w:color w:val="000000"/>
                <w:sz w:val="18"/>
                <w:szCs w:val="18"/>
              </w:rPr>
            </w:pPr>
            <w:r w:rsidRPr="008635B2">
              <w:rPr>
                <w:rFonts w:eastAsia="Times New Roman" w:cs="Calibri"/>
                <w:b/>
                <w:color w:val="000000"/>
                <w:sz w:val="18"/>
                <w:szCs w:val="18"/>
              </w:rPr>
              <w:t>Parameter</w:t>
            </w:r>
          </w:p>
        </w:tc>
        <w:tc>
          <w:tcPr>
            <w:tcW w:w="698" w:type="pct"/>
            <w:tcBorders>
              <w:top w:val="single" w:sz="4" w:space="0" w:color="auto"/>
              <w:left w:val="nil"/>
              <w:bottom w:val="single" w:sz="4" w:space="0" w:color="auto"/>
              <w:right w:val="nil"/>
            </w:tcBorders>
            <w:shd w:val="clear" w:color="auto" w:fill="auto"/>
            <w:noWrap/>
            <w:vAlign w:val="bottom"/>
            <w:hideMark/>
          </w:tcPr>
          <w:p w:rsidR="00100D7A" w:rsidRPr="00E018C4" w:rsidRDefault="00100D7A" w:rsidP="001764F9">
            <w:pPr>
              <w:spacing w:after="0" w:line="240" w:lineRule="auto"/>
              <w:jc w:val="right"/>
              <w:rPr>
                <w:rFonts w:asciiTheme="majorHAnsi" w:eastAsia="Times New Roman" w:hAnsiTheme="majorHAnsi" w:cs="Calibri"/>
                <w:b/>
                <w:color w:val="000000"/>
                <w:sz w:val="18"/>
                <w:szCs w:val="18"/>
              </w:rPr>
            </w:pPr>
            <w:r>
              <w:rPr>
                <w:rFonts w:asciiTheme="majorHAnsi" w:eastAsia="Times New Roman" w:hAnsiTheme="majorHAnsi" w:cs="Calibri"/>
                <w:b/>
                <w:color w:val="000000"/>
                <w:sz w:val="18"/>
                <w:szCs w:val="18"/>
              </w:rPr>
              <w:t>Baseline</w:t>
            </w:r>
          </w:p>
        </w:tc>
        <w:tc>
          <w:tcPr>
            <w:tcW w:w="614" w:type="pct"/>
            <w:tcBorders>
              <w:top w:val="single" w:sz="4" w:space="0" w:color="auto"/>
              <w:left w:val="nil"/>
              <w:bottom w:val="single" w:sz="4" w:space="0" w:color="auto"/>
              <w:right w:val="nil"/>
            </w:tcBorders>
            <w:shd w:val="clear" w:color="auto" w:fill="auto"/>
            <w:noWrap/>
            <w:vAlign w:val="bottom"/>
            <w:hideMark/>
          </w:tcPr>
          <w:p w:rsidR="00100D7A" w:rsidRPr="00E018C4" w:rsidRDefault="00100D7A" w:rsidP="001764F9">
            <w:pPr>
              <w:spacing w:after="0" w:line="240" w:lineRule="auto"/>
              <w:jc w:val="right"/>
              <w:rPr>
                <w:rFonts w:asciiTheme="majorHAnsi" w:eastAsia="Times New Roman" w:hAnsiTheme="majorHAnsi" w:cs="Calibri"/>
                <w:b/>
                <w:color w:val="000000"/>
                <w:sz w:val="18"/>
                <w:szCs w:val="18"/>
              </w:rPr>
            </w:pPr>
            <w:r>
              <w:rPr>
                <w:rFonts w:asciiTheme="majorHAnsi" w:eastAsia="Times New Roman" w:hAnsiTheme="majorHAnsi" w:cs="Calibri"/>
                <w:b/>
                <w:color w:val="000000"/>
                <w:sz w:val="18"/>
                <w:szCs w:val="18"/>
              </w:rPr>
              <w:t>Range</w:t>
            </w:r>
          </w:p>
        </w:tc>
        <w:tc>
          <w:tcPr>
            <w:tcW w:w="855" w:type="pct"/>
            <w:tcBorders>
              <w:top w:val="single" w:sz="4" w:space="0" w:color="auto"/>
              <w:left w:val="nil"/>
              <w:bottom w:val="single" w:sz="4" w:space="0" w:color="auto"/>
              <w:right w:val="nil"/>
            </w:tcBorders>
            <w:shd w:val="clear" w:color="auto" w:fill="auto"/>
            <w:noWrap/>
            <w:vAlign w:val="bottom"/>
            <w:hideMark/>
          </w:tcPr>
          <w:p w:rsidR="00100D7A" w:rsidRPr="00E018C4" w:rsidRDefault="00100D7A" w:rsidP="001764F9">
            <w:pPr>
              <w:spacing w:after="0" w:line="240" w:lineRule="auto"/>
              <w:jc w:val="right"/>
              <w:rPr>
                <w:rFonts w:asciiTheme="majorHAnsi" w:eastAsia="Times New Roman" w:hAnsiTheme="majorHAnsi" w:cs="Calibri"/>
                <w:b/>
                <w:color w:val="000000"/>
                <w:sz w:val="18"/>
                <w:szCs w:val="18"/>
              </w:rPr>
            </w:pPr>
            <w:r w:rsidRPr="00E018C4">
              <w:rPr>
                <w:rFonts w:asciiTheme="majorHAnsi" w:eastAsia="Times New Roman" w:hAnsiTheme="majorHAnsi" w:cs="Calibri"/>
                <w:b/>
                <w:color w:val="000000"/>
                <w:sz w:val="18"/>
                <w:szCs w:val="18"/>
              </w:rPr>
              <w:t>PSA distribution</w:t>
            </w:r>
            <w:r>
              <w:rPr>
                <w:rFonts w:asciiTheme="majorHAnsi" w:eastAsia="Times New Roman" w:hAnsiTheme="majorHAnsi" w:cs="Calibri"/>
                <w:b/>
                <w:color w:val="000000"/>
                <w:sz w:val="18"/>
                <w:szCs w:val="18"/>
              </w:rPr>
              <w:t>*</w:t>
            </w:r>
          </w:p>
        </w:tc>
        <w:tc>
          <w:tcPr>
            <w:tcW w:w="619" w:type="pct"/>
            <w:tcBorders>
              <w:top w:val="single" w:sz="4" w:space="0" w:color="auto"/>
              <w:left w:val="nil"/>
              <w:bottom w:val="single" w:sz="4" w:space="0" w:color="auto"/>
              <w:right w:val="nil"/>
            </w:tcBorders>
            <w:shd w:val="clear" w:color="auto" w:fill="auto"/>
            <w:noWrap/>
            <w:vAlign w:val="bottom"/>
            <w:hideMark/>
          </w:tcPr>
          <w:p w:rsidR="00100D7A" w:rsidRPr="00E018C4" w:rsidRDefault="00100D7A" w:rsidP="001764F9">
            <w:pPr>
              <w:spacing w:after="0" w:line="240" w:lineRule="auto"/>
              <w:jc w:val="center"/>
              <w:rPr>
                <w:rFonts w:asciiTheme="majorHAnsi" w:eastAsia="Times New Roman" w:hAnsiTheme="majorHAnsi" w:cs="Calibri"/>
                <w:b/>
                <w:color w:val="000000"/>
                <w:sz w:val="18"/>
                <w:szCs w:val="18"/>
              </w:rPr>
            </w:pPr>
            <w:r w:rsidRPr="00E018C4">
              <w:rPr>
                <w:rFonts w:asciiTheme="majorHAnsi" w:eastAsia="Times New Roman" w:hAnsiTheme="majorHAnsi" w:cs="Calibri"/>
                <w:b/>
                <w:color w:val="000000"/>
                <w:sz w:val="18"/>
                <w:szCs w:val="18"/>
              </w:rPr>
              <w:t>Source</w:t>
            </w:r>
          </w:p>
        </w:tc>
      </w:tr>
      <w:tr w:rsidR="00100D7A" w:rsidRPr="008635B2" w:rsidTr="001764F9">
        <w:trPr>
          <w:trHeight w:val="300"/>
        </w:trPr>
        <w:tc>
          <w:tcPr>
            <w:tcW w:w="2214" w:type="pct"/>
            <w:tcBorders>
              <w:top w:val="nil"/>
              <w:left w:val="nil"/>
              <w:bottom w:val="nil"/>
              <w:right w:val="nil"/>
            </w:tcBorders>
            <w:shd w:val="clear" w:color="auto" w:fill="auto"/>
            <w:noWrap/>
            <w:vAlign w:val="bottom"/>
            <w:hideMark/>
          </w:tcPr>
          <w:p w:rsidR="00100D7A" w:rsidRPr="008635B2" w:rsidRDefault="00100D7A" w:rsidP="001764F9">
            <w:pPr>
              <w:spacing w:after="0" w:line="240" w:lineRule="auto"/>
              <w:rPr>
                <w:rFonts w:eastAsia="Times New Roman" w:cs="Calibri"/>
                <w:color w:val="000000"/>
                <w:sz w:val="18"/>
                <w:szCs w:val="18"/>
              </w:rPr>
            </w:pPr>
            <w:r w:rsidRPr="008635B2">
              <w:rPr>
                <w:rFonts w:eastAsia="Times New Roman" w:cs="Calibri"/>
                <w:color w:val="000000"/>
                <w:sz w:val="18"/>
                <w:szCs w:val="18"/>
              </w:rPr>
              <w:t>F0-F1</w:t>
            </w:r>
          </w:p>
        </w:tc>
        <w:tc>
          <w:tcPr>
            <w:tcW w:w="698" w:type="pct"/>
            <w:tcBorders>
              <w:top w:val="nil"/>
              <w:left w:val="nil"/>
              <w:bottom w:val="nil"/>
              <w:right w:val="nil"/>
            </w:tcBorders>
            <w:shd w:val="clear" w:color="auto" w:fill="auto"/>
            <w:noWrap/>
            <w:vAlign w:val="bottom"/>
            <w:hideMark/>
          </w:tcPr>
          <w:p w:rsidR="00100D7A" w:rsidRPr="008635B2" w:rsidRDefault="00100D7A" w:rsidP="001764F9">
            <w:pPr>
              <w:spacing w:after="0" w:line="240" w:lineRule="auto"/>
              <w:jc w:val="right"/>
              <w:rPr>
                <w:rFonts w:eastAsia="Times New Roman" w:cs="Calibri"/>
                <w:color w:val="000000"/>
                <w:sz w:val="18"/>
                <w:szCs w:val="18"/>
              </w:rPr>
            </w:pPr>
            <w:r w:rsidRPr="008635B2">
              <w:rPr>
                <w:rFonts w:eastAsia="Times New Roman" w:cs="Calibri"/>
                <w:color w:val="000000"/>
                <w:sz w:val="18"/>
                <w:szCs w:val="18"/>
              </w:rPr>
              <w:t>0.77</w:t>
            </w:r>
          </w:p>
        </w:tc>
        <w:tc>
          <w:tcPr>
            <w:tcW w:w="614" w:type="pct"/>
            <w:tcBorders>
              <w:top w:val="nil"/>
              <w:left w:val="nil"/>
              <w:bottom w:val="nil"/>
              <w:right w:val="nil"/>
            </w:tcBorders>
            <w:shd w:val="clear" w:color="auto" w:fill="auto"/>
            <w:noWrap/>
            <w:vAlign w:val="bottom"/>
            <w:hideMark/>
          </w:tcPr>
          <w:p w:rsidR="00100D7A" w:rsidRPr="008635B2" w:rsidRDefault="00100D7A" w:rsidP="001764F9">
            <w:pPr>
              <w:spacing w:after="0" w:line="240" w:lineRule="auto"/>
              <w:jc w:val="right"/>
              <w:rPr>
                <w:rFonts w:eastAsia="Times New Roman" w:cs="Calibri"/>
                <w:color w:val="000000"/>
                <w:sz w:val="18"/>
                <w:szCs w:val="18"/>
              </w:rPr>
            </w:pPr>
            <w:r w:rsidRPr="008635B2">
              <w:rPr>
                <w:rFonts w:eastAsia="Times New Roman" w:cs="Calibri"/>
                <w:color w:val="000000"/>
                <w:sz w:val="18"/>
                <w:szCs w:val="18"/>
              </w:rPr>
              <w:t>0</w:t>
            </w:r>
            <w:r>
              <w:rPr>
                <w:rFonts w:eastAsia="Times New Roman" w:cs="Calibri"/>
                <w:color w:val="000000"/>
                <w:sz w:val="18"/>
                <w:szCs w:val="18"/>
              </w:rPr>
              <w:t>.</w:t>
            </w:r>
            <w:r w:rsidRPr="008635B2">
              <w:rPr>
                <w:rFonts w:eastAsia="Times New Roman" w:cs="Calibri"/>
                <w:color w:val="000000"/>
                <w:sz w:val="18"/>
                <w:szCs w:val="18"/>
              </w:rPr>
              <w:t>74</w:t>
            </w:r>
            <w:r w:rsidRPr="008635B2">
              <w:rPr>
                <w:rFonts w:ascii="Calibri" w:eastAsia="Times New Roman" w:hAnsi="Calibri" w:cs="Calibri"/>
                <w:color w:val="000000"/>
                <w:sz w:val="18"/>
                <w:szCs w:val="18"/>
              </w:rPr>
              <w:t>−</w:t>
            </w:r>
            <w:r w:rsidRPr="008635B2">
              <w:rPr>
                <w:rFonts w:eastAsia="Times New Roman" w:cs="Calibri"/>
                <w:color w:val="000000"/>
                <w:sz w:val="18"/>
                <w:szCs w:val="18"/>
              </w:rPr>
              <w:t>0</w:t>
            </w:r>
            <w:r>
              <w:rPr>
                <w:rFonts w:eastAsia="Times New Roman" w:cs="Calibri"/>
                <w:color w:val="000000"/>
                <w:sz w:val="18"/>
                <w:szCs w:val="18"/>
              </w:rPr>
              <w:t>.</w:t>
            </w:r>
            <w:r w:rsidRPr="008635B2">
              <w:rPr>
                <w:rFonts w:eastAsia="Times New Roman" w:cs="Calibri"/>
                <w:color w:val="000000"/>
                <w:sz w:val="18"/>
                <w:szCs w:val="18"/>
              </w:rPr>
              <w:t>80</w:t>
            </w:r>
          </w:p>
        </w:tc>
        <w:tc>
          <w:tcPr>
            <w:tcW w:w="855" w:type="pct"/>
            <w:tcBorders>
              <w:top w:val="nil"/>
              <w:left w:val="nil"/>
              <w:bottom w:val="nil"/>
              <w:right w:val="nil"/>
            </w:tcBorders>
            <w:shd w:val="clear" w:color="auto" w:fill="auto"/>
            <w:noWrap/>
            <w:vAlign w:val="bottom"/>
            <w:hideMark/>
          </w:tcPr>
          <w:p w:rsidR="00100D7A" w:rsidRPr="008635B2" w:rsidRDefault="00100D7A" w:rsidP="001764F9">
            <w:pPr>
              <w:spacing w:after="0" w:line="240" w:lineRule="auto"/>
              <w:jc w:val="right"/>
              <w:rPr>
                <w:rFonts w:eastAsia="Times New Roman" w:cs="Calibri"/>
                <w:color w:val="000000"/>
                <w:sz w:val="18"/>
                <w:szCs w:val="18"/>
              </w:rPr>
            </w:pPr>
            <w:r>
              <w:rPr>
                <w:rFonts w:eastAsia="Times New Roman" w:cs="Calibri"/>
                <w:color w:val="000000"/>
                <w:sz w:val="18"/>
                <w:szCs w:val="18"/>
              </w:rPr>
              <w:t>U(0.74;0.80)</w:t>
            </w:r>
          </w:p>
        </w:tc>
        <w:tc>
          <w:tcPr>
            <w:tcW w:w="619" w:type="pct"/>
            <w:tcBorders>
              <w:top w:val="nil"/>
              <w:left w:val="nil"/>
              <w:bottom w:val="nil"/>
              <w:right w:val="nil"/>
            </w:tcBorders>
            <w:shd w:val="clear" w:color="auto" w:fill="auto"/>
            <w:noWrap/>
            <w:vAlign w:val="bottom"/>
          </w:tcPr>
          <w:p w:rsidR="00100D7A" w:rsidRPr="008635B2" w:rsidRDefault="00100D7A" w:rsidP="001764F9">
            <w:pPr>
              <w:spacing w:after="0" w:line="240" w:lineRule="auto"/>
              <w:jc w:val="center"/>
              <w:rPr>
                <w:rFonts w:eastAsia="Times New Roman" w:cs="Calibri"/>
                <w:color w:val="000000"/>
                <w:sz w:val="18"/>
                <w:szCs w:val="18"/>
              </w:rPr>
            </w:pPr>
            <w:r w:rsidRPr="008635B2">
              <w:rPr>
                <w:rFonts w:eastAsia="Times New Roman" w:cs="Calibri"/>
                <w:color w:val="000000"/>
                <w:sz w:val="18"/>
                <w:szCs w:val="18"/>
              </w:rPr>
              <w:fldChar w:fldCharType="begin" w:fldLock="1"/>
            </w:r>
            <w:r>
              <w:rPr>
                <w:rFonts w:eastAsia="Times New Roman" w:cs="Calibri"/>
                <w:color w:val="000000"/>
                <w:sz w:val="18"/>
                <w:szCs w:val="18"/>
              </w:rPr>
              <w:instrText>ADDIN CSL_CITATION { "citationItems" : [ { "id" : "ITEM-1", "itemData" : { "ISBN" : "1366-5278", "ISSN" : "13665278", "PMID" : "16750059", "abstract" : "OBJECTIVES: To determine whether combined therapy with interferon-alpha and ribavirin was more effective and cost-effective than no treatment for patients with mild chronic hepatitis C. DESIGN: A multicentre, randomised, controlled, non-blinded trial assessed the efficacy of combination therapy. A Markov model used these efficacy data combined with data on transition probabilities, costs and health-related quality of life (HRQoL) to assess the lifetime cost-effectiveness of the intervention. SETTING: A multicentre NHS setting. PARTICIPANTS: Treatment-naive, adult patients with histologically mild chronic hepatitis C (Ishak necroinflammatory scores &lt;4 and fibrosis scores &lt;3 on liver biopsy). INTERVENTIONS: Patients were randomised to receive interferon-alpha and ribavirin for 48 weeks or no treatment (control). MAIN OUTCOME MEASURES: The primary outcome measure was the proportion of patients having a sustained virological response (SVR), measured at 6 months after cessation of therapy. Secondary outcome measures were: the ability of early phase kinetics to predict the eventual outcome of treating mild disease; HRQoL measured using the Short Form 36 and EuroQol (5 Dimensions) questionnaires, and the cost per quality-adjusted life-year (QALY) of interferon-alpha and ribavirin for mild disease compared with no treatment. RESULTS: In the treatment group, 32 out of 98 patients (33%) achieved an SVR. Patients infected with genotype 1 had a lower SVR than those infected with genotype non-1 (18% versus 49%, p = 0.02). No patients who failed to achieve a 2-log drop in viral load at 12 weeks achieved an SVR. HRQoL fell during treatment and rose with treatment cessation. For patients having an SVR there were modest improvements in HRQoL at 6 months post-treatment. The mean cost per QALY gained was 4535 pounds sterling for 40-year-old patients with genotype non-1 and 25,188 pounds sterling for patients with genotype 1. For patients with genotype 1 aged 65, providing interferon-alpha and ribavirin for mild disease led to fewer QALYs gained, and a mean cost per QALY of 53,017 pounds sterling. The model using efficacy estimates from the literature, showed that the cost per QALY gained from providing pegylated interferon alpha-2b and ribavirin at a mild stage rather than a moderate stage was 7821 pounds sterling for patients with genotype non-1 and 28,409 pounds sterling for patients with genotype 1. CONCLUSIONS: Based on the evidence collected in this study, interferon\u2026", "author" : [ { "dropping-particle" : "", "family" : "Wright", "given" : "M.", "non-dropping-particle" : "", "parse-names" : false, "suffix" : "" }, { "dropping-particle" : "", "family" : "Grieve", "given" : "R.", "non-dropping-particle" : "", "parse-names" : false, "suffix" : "" }, { "dropping-particle" : "", "family" : "Roberts", "given" : "J.", "non-dropping-particle" : "", "parse-names" : false, "suffix" : "" }, { "dropping-particle" : "", "family" : "Main", "given" : "J.", "non-dropping-particle" : "", "parse-names" : false, "suffix" : "" }, { "dropping-particle" : "", "family" : "Thomas", "given" : "H. C.", "non-dropping-particle" : "", "parse-names" : false, "suffix" : "" }, { "dropping-particle" : "", "family" : "UK Mild Hepatitis C Trial Investigators", "given" : "", "non-dropping-particle" : "", "parse-names" : false, "suffix" : "" } ], "container-title" : "Health technology assessment (NHS)", "id" : "ITEM-1", "issue" : "21", "issued" : { "date-parts" : [ [ "2006" ] ] }, "title" : "Health benefits of antiviral therapy for mild chronic hepatitis C: randomised controlled trial and economic evaluation.", "type" : "article-journal", "volume" : "10" }, "uris" : [ "http://www.mendeley.com/documents/?uuid=66ba4aa8-b8ad-4aac-8c62-f3a523206a64" ] } ], "mendeley" : { "formattedCitation" : "[22]", "plainTextFormattedCitation" : "[22]", "previouslyFormattedCitation" : "[22]" }, "properties" : { "noteIndex" : 0 }, "schema" : "https://github.com/citation-style-language/schema/raw/master/csl-citation.json" }</w:instrText>
            </w:r>
            <w:r w:rsidRPr="008635B2">
              <w:rPr>
                <w:rFonts w:eastAsia="Times New Roman" w:cs="Calibri"/>
                <w:color w:val="000000"/>
                <w:sz w:val="18"/>
                <w:szCs w:val="18"/>
              </w:rPr>
              <w:fldChar w:fldCharType="separate"/>
            </w:r>
            <w:r w:rsidRPr="00E46EFA">
              <w:rPr>
                <w:rFonts w:eastAsia="Times New Roman" w:cs="Calibri"/>
                <w:noProof/>
                <w:color w:val="000000"/>
                <w:sz w:val="18"/>
                <w:szCs w:val="18"/>
              </w:rPr>
              <w:t>[22]</w:t>
            </w:r>
            <w:r w:rsidRPr="008635B2">
              <w:rPr>
                <w:rFonts w:eastAsia="Times New Roman" w:cs="Calibri"/>
                <w:color w:val="000000"/>
                <w:sz w:val="18"/>
                <w:szCs w:val="18"/>
              </w:rPr>
              <w:fldChar w:fldCharType="end"/>
            </w:r>
          </w:p>
        </w:tc>
      </w:tr>
      <w:tr w:rsidR="00100D7A" w:rsidRPr="008635B2" w:rsidTr="001764F9">
        <w:trPr>
          <w:trHeight w:val="285"/>
        </w:trPr>
        <w:tc>
          <w:tcPr>
            <w:tcW w:w="2214" w:type="pct"/>
            <w:tcBorders>
              <w:top w:val="nil"/>
              <w:left w:val="nil"/>
              <w:bottom w:val="nil"/>
              <w:right w:val="nil"/>
            </w:tcBorders>
            <w:shd w:val="clear" w:color="auto" w:fill="auto"/>
            <w:noWrap/>
            <w:vAlign w:val="bottom"/>
            <w:hideMark/>
          </w:tcPr>
          <w:p w:rsidR="00100D7A" w:rsidRPr="008635B2" w:rsidRDefault="00100D7A" w:rsidP="001764F9">
            <w:pPr>
              <w:spacing w:after="0" w:line="240" w:lineRule="auto"/>
              <w:rPr>
                <w:rFonts w:eastAsia="Times New Roman" w:cs="Calibri"/>
                <w:color w:val="000000"/>
                <w:sz w:val="18"/>
                <w:szCs w:val="18"/>
              </w:rPr>
            </w:pPr>
            <w:r w:rsidRPr="008635B2">
              <w:rPr>
                <w:rFonts w:eastAsia="Times New Roman" w:cs="Calibri"/>
                <w:color w:val="000000"/>
                <w:sz w:val="18"/>
                <w:szCs w:val="18"/>
              </w:rPr>
              <w:t>SVR with F0-F1</w:t>
            </w:r>
          </w:p>
        </w:tc>
        <w:tc>
          <w:tcPr>
            <w:tcW w:w="698" w:type="pct"/>
            <w:tcBorders>
              <w:top w:val="nil"/>
              <w:left w:val="nil"/>
              <w:bottom w:val="nil"/>
              <w:right w:val="nil"/>
            </w:tcBorders>
            <w:shd w:val="clear" w:color="auto" w:fill="auto"/>
            <w:noWrap/>
            <w:vAlign w:val="bottom"/>
            <w:hideMark/>
          </w:tcPr>
          <w:p w:rsidR="00100D7A" w:rsidRPr="008635B2" w:rsidRDefault="00100D7A" w:rsidP="001764F9">
            <w:pPr>
              <w:spacing w:after="0" w:line="240" w:lineRule="auto"/>
              <w:jc w:val="right"/>
              <w:rPr>
                <w:rFonts w:eastAsia="Times New Roman" w:cs="Calibri"/>
                <w:color w:val="000000"/>
                <w:sz w:val="18"/>
                <w:szCs w:val="18"/>
              </w:rPr>
            </w:pPr>
            <w:r w:rsidRPr="008635B2">
              <w:rPr>
                <w:rFonts w:eastAsia="Times New Roman" w:cs="Calibri"/>
                <w:color w:val="000000"/>
                <w:sz w:val="18"/>
                <w:szCs w:val="18"/>
              </w:rPr>
              <w:t>0.82</w:t>
            </w:r>
          </w:p>
        </w:tc>
        <w:tc>
          <w:tcPr>
            <w:tcW w:w="614" w:type="pct"/>
            <w:tcBorders>
              <w:top w:val="nil"/>
              <w:left w:val="nil"/>
              <w:bottom w:val="nil"/>
              <w:right w:val="nil"/>
            </w:tcBorders>
            <w:shd w:val="clear" w:color="auto" w:fill="auto"/>
            <w:noWrap/>
            <w:vAlign w:val="bottom"/>
            <w:hideMark/>
          </w:tcPr>
          <w:p w:rsidR="00100D7A" w:rsidRPr="008635B2" w:rsidRDefault="00100D7A" w:rsidP="001764F9">
            <w:pPr>
              <w:spacing w:after="0" w:line="240" w:lineRule="auto"/>
              <w:jc w:val="right"/>
              <w:rPr>
                <w:rFonts w:eastAsia="Times New Roman" w:cs="Calibri"/>
                <w:color w:val="000000"/>
                <w:sz w:val="18"/>
                <w:szCs w:val="18"/>
              </w:rPr>
            </w:pPr>
            <w:r w:rsidRPr="008635B2">
              <w:rPr>
                <w:rFonts w:eastAsia="Times New Roman" w:cs="Calibri"/>
                <w:color w:val="000000"/>
                <w:sz w:val="18"/>
                <w:szCs w:val="18"/>
              </w:rPr>
              <w:t>0</w:t>
            </w:r>
            <w:r>
              <w:rPr>
                <w:rFonts w:eastAsia="Times New Roman" w:cs="Calibri"/>
                <w:color w:val="000000"/>
                <w:sz w:val="18"/>
                <w:szCs w:val="18"/>
              </w:rPr>
              <w:t>.</w:t>
            </w:r>
            <w:r w:rsidRPr="008635B2">
              <w:rPr>
                <w:rFonts w:eastAsia="Times New Roman" w:cs="Calibri"/>
                <w:color w:val="000000"/>
                <w:sz w:val="18"/>
                <w:szCs w:val="18"/>
              </w:rPr>
              <w:t>77−0</w:t>
            </w:r>
            <w:r>
              <w:rPr>
                <w:rFonts w:eastAsia="Times New Roman" w:cs="Calibri"/>
                <w:color w:val="000000"/>
                <w:sz w:val="18"/>
                <w:szCs w:val="18"/>
              </w:rPr>
              <w:t>.</w:t>
            </w:r>
            <w:r w:rsidRPr="008635B2">
              <w:rPr>
                <w:rFonts w:eastAsia="Times New Roman" w:cs="Calibri"/>
                <w:color w:val="000000"/>
                <w:sz w:val="18"/>
                <w:szCs w:val="18"/>
              </w:rPr>
              <w:t>87</w:t>
            </w:r>
          </w:p>
        </w:tc>
        <w:tc>
          <w:tcPr>
            <w:tcW w:w="855" w:type="pct"/>
            <w:tcBorders>
              <w:top w:val="nil"/>
              <w:left w:val="nil"/>
              <w:bottom w:val="nil"/>
              <w:right w:val="nil"/>
            </w:tcBorders>
            <w:shd w:val="clear" w:color="auto" w:fill="auto"/>
            <w:noWrap/>
            <w:vAlign w:val="bottom"/>
            <w:hideMark/>
          </w:tcPr>
          <w:p w:rsidR="00100D7A" w:rsidRPr="008635B2" w:rsidRDefault="00100D7A" w:rsidP="001764F9">
            <w:pPr>
              <w:spacing w:after="0" w:line="240" w:lineRule="auto"/>
              <w:jc w:val="right"/>
              <w:rPr>
                <w:rFonts w:eastAsia="Times New Roman" w:cs="Calibri"/>
                <w:color w:val="000000"/>
                <w:sz w:val="18"/>
                <w:szCs w:val="18"/>
              </w:rPr>
            </w:pPr>
            <w:r>
              <w:rPr>
                <w:rFonts w:eastAsia="Times New Roman" w:cs="Calibri"/>
                <w:color w:val="000000"/>
                <w:sz w:val="18"/>
                <w:szCs w:val="18"/>
              </w:rPr>
              <w:t>U(0.77;0.87)</w:t>
            </w:r>
          </w:p>
        </w:tc>
        <w:tc>
          <w:tcPr>
            <w:tcW w:w="619" w:type="pct"/>
            <w:tcBorders>
              <w:top w:val="nil"/>
              <w:left w:val="nil"/>
              <w:bottom w:val="nil"/>
              <w:right w:val="nil"/>
            </w:tcBorders>
            <w:shd w:val="clear" w:color="auto" w:fill="auto"/>
            <w:noWrap/>
            <w:vAlign w:val="bottom"/>
          </w:tcPr>
          <w:p w:rsidR="00100D7A" w:rsidRPr="008635B2" w:rsidRDefault="00100D7A" w:rsidP="001764F9">
            <w:pPr>
              <w:spacing w:after="0" w:line="240" w:lineRule="auto"/>
              <w:jc w:val="center"/>
              <w:rPr>
                <w:rFonts w:eastAsia="Times New Roman" w:cs="Calibri"/>
                <w:color w:val="000000"/>
                <w:sz w:val="18"/>
                <w:szCs w:val="18"/>
              </w:rPr>
            </w:pPr>
            <w:r w:rsidRPr="008635B2">
              <w:rPr>
                <w:rFonts w:eastAsia="Times New Roman" w:cs="Calibri"/>
                <w:color w:val="000000"/>
                <w:sz w:val="18"/>
                <w:szCs w:val="18"/>
              </w:rPr>
              <w:fldChar w:fldCharType="begin" w:fldLock="1"/>
            </w:r>
            <w:r>
              <w:rPr>
                <w:rFonts w:eastAsia="Times New Roman" w:cs="Calibri"/>
                <w:color w:val="000000"/>
                <w:sz w:val="18"/>
                <w:szCs w:val="18"/>
              </w:rPr>
              <w:instrText>ADDIN CSL_CITATION { "citationItems" : [ { "id" : "ITEM-1", "itemData" : { "ISBN" : "1366-5278", "ISSN" : "13665278", "PMID" : "16750059", "abstract" : "OBJECTIVES: To determine whether combined therapy with interferon-alpha and ribavirin was more effective and cost-effective than no treatment for patients with mild chronic hepatitis C. DESIGN: A multicentre, randomised, controlled, non-blinded trial assessed the efficacy of combination therapy. A Markov model used these efficacy data combined with data on transition probabilities, costs and health-related quality of life (HRQoL) to assess the lifetime cost-effectiveness of the intervention. SETTING: A multicentre NHS setting. PARTICIPANTS: Treatment-naive, adult patients with histologically mild chronic hepatitis C (Ishak necroinflammatory scores &lt;4 and fibrosis scores &lt;3 on liver biopsy). INTERVENTIONS: Patients were randomised to receive interferon-alpha and ribavirin for 48 weeks or no treatment (control). MAIN OUTCOME MEASURES: The primary outcome measure was the proportion of patients having a sustained virological response (SVR), measured at 6 months after cessation of therapy. Secondary outcome measures were: the ability of early phase kinetics to predict the eventual outcome of treating mild disease; HRQoL measured using the Short Form 36 and EuroQol (5 Dimensions) questionnaires, and the cost per quality-adjusted life-year (QALY) of interferon-alpha and ribavirin for mild disease compared with no treatment. RESULTS: In the treatment group, 32 out of 98 patients (33%) achieved an SVR. Patients infected with genotype 1 had a lower SVR than those infected with genotype non-1 (18% versus 49%, p = 0.02). No patients who failed to achieve a 2-log drop in viral load at 12 weeks achieved an SVR. HRQoL fell during treatment and rose with treatment cessation. For patients having an SVR there were modest improvements in HRQoL at 6 months post-treatment. The mean cost per QALY gained was 4535 pounds sterling for 40-year-old patients with genotype non-1 and 25,188 pounds sterling for patients with genotype 1. For patients with genotype 1 aged 65, providing interferon-alpha and ribavirin for mild disease led to fewer QALYs gained, and a mean cost per QALY of 53,017 pounds sterling. The model using efficacy estimates from the literature, showed that the cost per QALY gained from providing pegylated interferon alpha-2b and ribavirin at a mild stage rather than a moderate stage was 7821 pounds sterling for patients with genotype non-1 and 28,409 pounds sterling for patients with genotype 1. CONCLUSIONS: Based on the evidence collected in this study, interferon\u2026", "author" : [ { "dropping-particle" : "", "family" : "Wright", "given" : "M.", "non-dropping-particle" : "", "parse-names" : false, "suffix" : "" }, { "dropping-particle" : "", "family" : "Grieve", "given" : "R.", "non-dropping-particle" : "", "parse-names" : false, "suffix" : "" }, { "dropping-particle" : "", "family" : "Roberts", "given" : "J.", "non-dropping-particle" : "", "parse-names" : false, "suffix" : "" }, { "dropping-particle" : "", "family" : "Main", "given" : "J.", "non-dropping-particle" : "", "parse-names" : false, "suffix" : "" }, { "dropping-particle" : "", "family" : "Thomas", "given" : "H. C.", "non-dropping-particle" : "", "parse-names" : false, "suffix" : "" }, { "dropping-particle" : "", "family" : "UK Mild Hepatitis C Trial Investigators", "given" : "", "non-dropping-particle" : "", "parse-names" : false, "suffix" : "" } ], "container-title" : "Health technology assessment (NHS)", "id" : "ITEM-1", "issue" : "21", "issued" : { "date-parts" : [ [ "2006" ] ] }, "title" : "Health benefits of antiviral therapy for mild chronic hepatitis C: randomised controlled trial and economic evaluation.", "type" : "article-journal", "volume" : "10" }, "uris" : [ "http://www.mendeley.com/documents/?uuid=66ba4aa8-b8ad-4aac-8c62-f3a523206a64" ] } ], "mendeley" : { "formattedCitation" : "[22]", "plainTextFormattedCitation" : "[22]", "previouslyFormattedCitation" : "[22]" }, "properties" : { "noteIndex" : 0 }, "schema" : "https://github.com/citation-style-language/schema/raw/master/csl-citation.json" }</w:instrText>
            </w:r>
            <w:r w:rsidRPr="008635B2">
              <w:rPr>
                <w:rFonts w:eastAsia="Times New Roman" w:cs="Calibri"/>
                <w:color w:val="000000"/>
                <w:sz w:val="18"/>
                <w:szCs w:val="18"/>
              </w:rPr>
              <w:fldChar w:fldCharType="separate"/>
            </w:r>
            <w:r w:rsidRPr="00E46EFA">
              <w:rPr>
                <w:rFonts w:eastAsia="Times New Roman" w:cs="Calibri"/>
                <w:noProof/>
                <w:color w:val="000000"/>
                <w:sz w:val="18"/>
                <w:szCs w:val="18"/>
              </w:rPr>
              <w:t>[22]</w:t>
            </w:r>
            <w:r w:rsidRPr="008635B2">
              <w:rPr>
                <w:rFonts w:eastAsia="Times New Roman" w:cs="Calibri"/>
                <w:color w:val="000000"/>
                <w:sz w:val="18"/>
                <w:szCs w:val="18"/>
              </w:rPr>
              <w:fldChar w:fldCharType="end"/>
            </w:r>
          </w:p>
        </w:tc>
      </w:tr>
      <w:tr w:rsidR="00100D7A" w:rsidRPr="008635B2" w:rsidTr="001764F9">
        <w:trPr>
          <w:trHeight w:val="285"/>
        </w:trPr>
        <w:tc>
          <w:tcPr>
            <w:tcW w:w="2214" w:type="pct"/>
            <w:tcBorders>
              <w:top w:val="nil"/>
              <w:left w:val="nil"/>
              <w:bottom w:val="nil"/>
              <w:right w:val="nil"/>
            </w:tcBorders>
            <w:shd w:val="clear" w:color="auto" w:fill="auto"/>
            <w:noWrap/>
            <w:vAlign w:val="bottom"/>
            <w:hideMark/>
          </w:tcPr>
          <w:p w:rsidR="00100D7A" w:rsidRPr="008635B2" w:rsidRDefault="00100D7A" w:rsidP="001764F9">
            <w:pPr>
              <w:spacing w:after="0" w:line="240" w:lineRule="auto"/>
              <w:rPr>
                <w:rFonts w:eastAsia="Times New Roman" w:cs="Calibri"/>
                <w:color w:val="000000"/>
                <w:sz w:val="18"/>
                <w:szCs w:val="18"/>
              </w:rPr>
            </w:pPr>
            <w:r w:rsidRPr="008635B2">
              <w:rPr>
                <w:rFonts w:eastAsia="Times New Roman" w:cs="Calibri"/>
                <w:color w:val="000000"/>
                <w:sz w:val="18"/>
                <w:szCs w:val="18"/>
              </w:rPr>
              <w:t>F2-F3</w:t>
            </w:r>
          </w:p>
        </w:tc>
        <w:tc>
          <w:tcPr>
            <w:tcW w:w="698" w:type="pct"/>
            <w:tcBorders>
              <w:top w:val="nil"/>
              <w:left w:val="nil"/>
              <w:bottom w:val="nil"/>
              <w:right w:val="nil"/>
            </w:tcBorders>
            <w:shd w:val="clear" w:color="auto" w:fill="auto"/>
            <w:noWrap/>
            <w:vAlign w:val="bottom"/>
            <w:hideMark/>
          </w:tcPr>
          <w:p w:rsidR="00100D7A" w:rsidRPr="008635B2" w:rsidRDefault="00100D7A" w:rsidP="001764F9">
            <w:pPr>
              <w:spacing w:after="0" w:line="240" w:lineRule="auto"/>
              <w:jc w:val="right"/>
              <w:rPr>
                <w:rFonts w:eastAsia="Times New Roman" w:cs="Calibri"/>
                <w:color w:val="000000"/>
                <w:sz w:val="18"/>
                <w:szCs w:val="18"/>
              </w:rPr>
            </w:pPr>
            <w:r w:rsidRPr="008635B2">
              <w:rPr>
                <w:rFonts w:eastAsia="Times New Roman" w:cs="Calibri"/>
                <w:color w:val="000000"/>
                <w:sz w:val="18"/>
                <w:szCs w:val="18"/>
              </w:rPr>
              <w:t>0.66</w:t>
            </w:r>
          </w:p>
        </w:tc>
        <w:tc>
          <w:tcPr>
            <w:tcW w:w="614" w:type="pct"/>
            <w:tcBorders>
              <w:top w:val="nil"/>
              <w:left w:val="nil"/>
              <w:bottom w:val="nil"/>
              <w:right w:val="nil"/>
            </w:tcBorders>
            <w:shd w:val="clear" w:color="auto" w:fill="auto"/>
            <w:noWrap/>
            <w:vAlign w:val="bottom"/>
            <w:hideMark/>
          </w:tcPr>
          <w:p w:rsidR="00100D7A" w:rsidRPr="008635B2" w:rsidRDefault="00100D7A" w:rsidP="001764F9">
            <w:pPr>
              <w:spacing w:after="0" w:line="240" w:lineRule="auto"/>
              <w:jc w:val="right"/>
              <w:rPr>
                <w:rFonts w:eastAsia="Times New Roman" w:cs="Calibri"/>
                <w:color w:val="000000"/>
                <w:sz w:val="18"/>
                <w:szCs w:val="18"/>
              </w:rPr>
            </w:pPr>
            <w:r w:rsidRPr="008635B2">
              <w:rPr>
                <w:rFonts w:eastAsia="Times New Roman" w:cs="Calibri"/>
                <w:color w:val="000000"/>
                <w:sz w:val="18"/>
                <w:szCs w:val="18"/>
              </w:rPr>
              <w:t>0</w:t>
            </w:r>
            <w:r>
              <w:rPr>
                <w:rFonts w:eastAsia="Times New Roman" w:cs="Calibri"/>
                <w:color w:val="000000"/>
                <w:sz w:val="18"/>
                <w:szCs w:val="18"/>
              </w:rPr>
              <w:t>.</w:t>
            </w:r>
            <w:r w:rsidRPr="008635B2">
              <w:rPr>
                <w:rFonts w:eastAsia="Times New Roman" w:cs="Calibri"/>
                <w:color w:val="000000"/>
                <w:sz w:val="18"/>
                <w:szCs w:val="18"/>
              </w:rPr>
              <w:t>60−0</w:t>
            </w:r>
            <w:r>
              <w:rPr>
                <w:rFonts w:eastAsia="Times New Roman" w:cs="Calibri"/>
                <w:color w:val="000000"/>
                <w:sz w:val="18"/>
                <w:szCs w:val="18"/>
              </w:rPr>
              <w:t>.</w:t>
            </w:r>
            <w:r w:rsidRPr="008635B2">
              <w:rPr>
                <w:rFonts w:eastAsia="Times New Roman" w:cs="Calibri"/>
                <w:color w:val="000000"/>
                <w:sz w:val="18"/>
                <w:szCs w:val="18"/>
              </w:rPr>
              <w:t>72</w:t>
            </w:r>
          </w:p>
        </w:tc>
        <w:tc>
          <w:tcPr>
            <w:tcW w:w="855" w:type="pct"/>
            <w:tcBorders>
              <w:top w:val="nil"/>
              <w:left w:val="nil"/>
              <w:bottom w:val="nil"/>
              <w:right w:val="nil"/>
            </w:tcBorders>
            <w:shd w:val="clear" w:color="auto" w:fill="auto"/>
            <w:noWrap/>
            <w:vAlign w:val="bottom"/>
            <w:hideMark/>
          </w:tcPr>
          <w:p w:rsidR="00100D7A" w:rsidRPr="008635B2" w:rsidRDefault="00100D7A" w:rsidP="001764F9">
            <w:pPr>
              <w:spacing w:after="0" w:line="240" w:lineRule="auto"/>
              <w:jc w:val="right"/>
              <w:rPr>
                <w:rFonts w:eastAsia="Times New Roman" w:cs="Calibri"/>
                <w:color w:val="000000"/>
                <w:sz w:val="18"/>
                <w:szCs w:val="18"/>
              </w:rPr>
            </w:pPr>
            <w:r>
              <w:rPr>
                <w:rFonts w:eastAsia="Times New Roman" w:cs="Calibri"/>
                <w:color w:val="000000"/>
                <w:sz w:val="18"/>
                <w:szCs w:val="18"/>
              </w:rPr>
              <w:t>U(0.60;0.72)</w:t>
            </w:r>
          </w:p>
        </w:tc>
        <w:tc>
          <w:tcPr>
            <w:tcW w:w="619" w:type="pct"/>
            <w:tcBorders>
              <w:top w:val="nil"/>
              <w:left w:val="nil"/>
              <w:bottom w:val="nil"/>
              <w:right w:val="nil"/>
            </w:tcBorders>
            <w:shd w:val="clear" w:color="auto" w:fill="auto"/>
            <w:noWrap/>
            <w:vAlign w:val="bottom"/>
          </w:tcPr>
          <w:p w:rsidR="00100D7A" w:rsidRPr="008635B2" w:rsidRDefault="00100D7A" w:rsidP="001764F9">
            <w:pPr>
              <w:spacing w:after="0" w:line="240" w:lineRule="auto"/>
              <w:jc w:val="center"/>
              <w:rPr>
                <w:rFonts w:eastAsia="Times New Roman" w:cs="Calibri"/>
                <w:color w:val="000000"/>
                <w:sz w:val="18"/>
                <w:szCs w:val="18"/>
              </w:rPr>
            </w:pPr>
            <w:r w:rsidRPr="008635B2">
              <w:rPr>
                <w:rFonts w:eastAsia="Times New Roman" w:cs="Calibri"/>
                <w:color w:val="000000"/>
                <w:sz w:val="18"/>
                <w:szCs w:val="18"/>
              </w:rPr>
              <w:fldChar w:fldCharType="begin" w:fldLock="1"/>
            </w:r>
            <w:r>
              <w:rPr>
                <w:rFonts w:eastAsia="Times New Roman" w:cs="Calibri"/>
                <w:color w:val="000000"/>
                <w:sz w:val="18"/>
                <w:szCs w:val="18"/>
              </w:rPr>
              <w:instrText>ADDIN CSL_CITATION { "citationItems" : [ { "id" : "ITEM-1", "itemData" : { "ISBN" : "1366-5278", "ISSN" : "13665278", "PMID" : "16750059", "abstract" : "OBJECTIVES: To determine whether combined therapy with interferon-alpha and ribavirin was more effective and cost-effective than no treatment for patients with mild chronic hepatitis C. DESIGN: A multicentre, randomised, controlled, non-blinded trial assessed the efficacy of combination therapy. A Markov model used these efficacy data combined with data on transition probabilities, costs and health-related quality of life (HRQoL) to assess the lifetime cost-effectiveness of the intervention. SETTING: A multicentre NHS setting. PARTICIPANTS: Treatment-naive, adult patients with histologically mild chronic hepatitis C (Ishak necroinflammatory scores &lt;4 and fibrosis scores &lt;3 on liver biopsy). INTERVENTIONS: Patients were randomised to receive interferon-alpha and ribavirin for 48 weeks or no treatment (control). MAIN OUTCOME MEASURES: The primary outcome measure was the proportion of patients having a sustained virological response (SVR), measured at 6 months after cessation of therapy. Secondary outcome measures were: the ability of early phase kinetics to predict the eventual outcome of treating mild disease; HRQoL measured using the Short Form 36 and EuroQol (5 Dimensions) questionnaires, and the cost per quality-adjusted life-year (QALY) of interferon-alpha and ribavirin for mild disease compared with no treatment. RESULTS: In the treatment group, 32 out of 98 patients (33%) achieved an SVR. Patients infected with genotype 1 had a lower SVR than those infected with genotype non-1 (18% versus 49%, p = 0.02). No patients who failed to achieve a 2-log drop in viral load at 12 weeks achieved an SVR. HRQoL fell during treatment and rose with treatment cessation. For patients having an SVR there were modest improvements in HRQoL at 6 months post-treatment. The mean cost per QALY gained was 4535 pounds sterling for 40-year-old patients with genotype non-1 and 25,188 pounds sterling for patients with genotype 1. For patients with genotype 1 aged 65, providing interferon-alpha and ribavirin for mild disease led to fewer QALYs gained, and a mean cost per QALY of 53,017 pounds sterling. The model using efficacy estimates from the literature, showed that the cost per QALY gained from providing pegylated interferon alpha-2b and ribavirin at a mild stage rather than a moderate stage was 7821 pounds sterling for patients with genotype non-1 and 28,409 pounds sterling for patients with genotype 1. CONCLUSIONS: Based on the evidence collected in this study, interferon\u2026", "author" : [ { "dropping-particle" : "", "family" : "Wright", "given" : "M.", "non-dropping-particle" : "", "parse-names" : false, "suffix" : "" }, { "dropping-particle" : "", "family" : "Grieve", "given" : "R.", "non-dropping-particle" : "", "parse-names" : false, "suffix" : "" }, { "dropping-particle" : "", "family" : "Roberts", "given" : "J.", "non-dropping-particle" : "", "parse-names" : false, "suffix" : "" }, { "dropping-particle" : "", "family" : "Main", "given" : "J.", "non-dropping-particle" : "", "parse-names" : false, "suffix" : "" }, { "dropping-particle" : "", "family" : "Thomas", "given" : "H. C.", "non-dropping-particle" : "", "parse-names" : false, "suffix" : "" }, { "dropping-particle" : "", "family" : "UK Mild Hepatitis C Trial Investigators", "given" : "", "non-dropping-particle" : "", "parse-names" : false, "suffix" : "" } ], "container-title" : "Health technology assessment (NHS)", "id" : "ITEM-1", "issue" : "21", "issued" : { "date-parts" : [ [ "2006" ] ] }, "title" : "Health benefits of antiviral therapy for mild chronic hepatitis C: randomised controlled trial and economic evaluation.", "type" : "article-journal", "volume" : "10" }, "uris" : [ "http://www.mendeley.com/documents/?uuid=66ba4aa8-b8ad-4aac-8c62-f3a523206a64" ] } ], "mendeley" : { "formattedCitation" : "[22]", "plainTextFormattedCitation" : "[22]", "previouslyFormattedCitation" : "[22]" }, "properties" : { "noteIndex" : 0 }, "schema" : "https://github.com/citation-style-language/schema/raw/master/csl-citation.json" }</w:instrText>
            </w:r>
            <w:r w:rsidRPr="008635B2">
              <w:rPr>
                <w:rFonts w:eastAsia="Times New Roman" w:cs="Calibri"/>
                <w:color w:val="000000"/>
                <w:sz w:val="18"/>
                <w:szCs w:val="18"/>
              </w:rPr>
              <w:fldChar w:fldCharType="separate"/>
            </w:r>
            <w:r w:rsidRPr="00E46EFA">
              <w:rPr>
                <w:rFonts w:eastAsia="Times New Roman" w:cs="Calibri"/>
                <w:noProof/>
                <w:color w:val="000000"/>
                <w:sz w:val="18"/>
                <w:szCs w:val="18"/>
              </w:rPr>
              <w:t>[22]</w:t>
            </w:r>
            <w:r w:rsidRPr="008635B2">
              <w:rPr>
                <w:rFonts w:eastAsia="Times New Roman" w:cs="Calibri"/>
                <w:color w:val="000000"/>
                <w:sz w:val="18"/>
                <w:szCs w:val="18"/>
              </w:rPr>
              <w:fldChar w:fldCharType="end"/>
            </w:r>
          </w:p>
        </w:tc>
      </w:tr>
      <w:tr w:rsidR="00100D7A" w:rsidRPr="008635B2" w:rsidTr="001764F9">
        <w:trPr>
          <w:trHeight w:val="285"/>
        </w:trPr>
        <w:tc>
          <w:tcPr>
            <w:tcW w:w="2214" w:type="pct"/>
            <w:tcBorders>
              <w:top w:val="nil"/>
              <w:left w:val="nil"/>
              <w:bottom w:val="nil"/>
              <w:right w:val="nil"/>
            </w:tcBorders>
            <w:shd w:val="clear" w:color="auto" w:fill="auto"/>
            <w:noWrap/>
            <w:vAlign w:val="bottom"/>
            <w:hideMark/>
          </w:tcPr>
          <w:p w:rsidR="00100D7A" w:rsidRPr="008635B2" w:rsidRDefault="00100D7A" w:rsidP="001764F9">
            <w:pPr>
              <w:spacing w:after="0" w:line="240" w:lineRule="auto"/>
              <w:rPr>
                <w:rFonts w:eastAsia="Times New Roman" w:cs="Calibri"/>
                <w:color w:val="000000"/>
                <w:sz w:val="18"/>
                <w:szCs w:val="18"/>
              </w:rPr>
            </w:pPr>
            <w:r w:rsidRPr="008635B2">
              <w:rPr>
                <w:rFonts w:eastAsia="Times New Roman" w:cs="Calibri"/>
                <w:color w:val="000000"/>
                <w:sz w:val="18"/>
                <w:szCs w:val="18"/>
              </w:rPr>
              <w:t>SVR with F2-F3</w:t>
            </w:r>
          </w:p>
        </w:tc>
        <w:tc>
          <w:tcPr>
            <w:tcW w:w="698" w:type="pct"/>
            <w:tcBorders>
              <w:top w:val="nil"/>
              <w:left w:val="nil"/>
              <w:bottom w:val="nil"/>
              <w:right w:val="nil"/>
            </w:tcBorders>
            <w:shd w:val="clear" w:color="auto" w:fill="auto"/>
            <w:noWrap/>
            <w:vAlign w:val="bottom"/>
            <w:hideMark/>
          </w:tcPr>
          <w:p w:rsidR="00100D7A" w:rsidRPr="008635B2" w:rsidRDefault="00100D7A" w:rsidP="001764F9">
            <w:pPr>
              <w:spacing w:after="0" w:line="240" w:lineRule="auto"/>
              <w:jc w:val="right"/>
              <w:rPr>
                <w:rFonts w:eastAsia="Times New Roman" w:cs="Calibri"/>
                <w:color w:val="000000"/>
                <w:sz w:val="18"/>
                <w:szCs w:val="18"/>
              </w:rPr>
            </w:pPr>
            <w:r w:rsidRPr="008635B2">
              <w:rPr>
                <w:rFonts w:eastAsia="Times New Roman" w:cs="Calibri"/>
                <w:color w:val="000000"/>
                <w:sz w:val="18"/>
                <w:szCs w:val="18"/>
              </w:rPr>
              <w:t>0.72</w:t>
            </w:r>
          </w:p>
        </w:tc>
        <w:tc>
          <w:tcPr>
            <w:tcW w:w="614" w:type="pct"/>
            <w:tcBorders>
              <w:top w:val="nil"/>
              <w:left w:val="nil"/>
              <w:bottom w:val="nil"/>
              <w:right w:val="nil"/>
            </w:tcBorders>
            <w:shd w:val="clear" w:color="auto" w:fill="auto"/>
            <w:noWrap/>
            <w:vAlign w:val="bottom"/>
            <w:hideMark/>
          </w:tcPr>
          <w:p w:rsidR="00100D7A" w:rsidRPr="008635B2" w:rsidRDefault="00100D7A" w:rsidP="001764F9">
            <w:pPr>
              <w:spacing w:after="0" w:line="240" w:lineRule="auto"/>
              <w:jc w:val="right"/>
              <w:rPr>
                <w:rFonts w:eastAsia="Times New Roman" w:cs="Calibri"/>
                <w:color w:val="000000"/>
                <w:sz w:val="18"/>
                <w:szCs w:val="18"/>
              </w:rPr>
            </w:pPr>
            <w:r w:rsidRPr="008635B2">
              <w:rPr>
                <w:rFonts w:eastAsia="Times New Roman" w:cs="Calibri"/>
                <w:color w:val="000000"/>
                <w:sz w:val="18"/>
                <w:szCs w:val="18"/>
              </w:rPr>
              <w:t>0</w:t>
            </w:r>
            <w:r>
              <w:rPr>
                <w:rFonts w:eastAsia="Times New Roman" w:cs="Calibri"/>
                <w:color w:val="000000"/>
                <w:sz w:val="18"/>
                <w:szCs w:val="18"/>
              </w:rPr>
              <w:t>.</w:t>
            </w:r>
            <w:r w:rsidRPr="008635B2">
              <w:rPr>
                <w:rFonts w:eastAsia="Times New Roman" w:cs="Calibri"/>
                <w:color w:val="000000"/>
                <w:sz w:val="18"/>
                <w:szCs w:val="18"/>
              </w:rPr>
              <w:t>61−0</w:t>
            </w:r>
            <w:r>
              <w:rPr>
                <w:rFonts w:eastAsia="Times New Roman" w:cs="Calibri"/>
                <w:color w:val="000000"/>
                <w:sz w:val="18"/>
                <w:szCs w:val="18"/>
              </w:rPr>
              <w:t>.</w:t>
            </w:r>
            <w:r w:rsidRPr="008635B2">
              <w:rPr>
                <w:rFonts w:eastAsia="Times New Roman" w:cs="Calibri"/>
                <w:color w:val="000000"/>
                <w:sz w:val="18"/>
                <w:szCs w:val="18"/>
              </w:rPr>
              <w:t>83</w:t>
            </w:r>
          </w:p>
        </w:tc>
        <w:tc>
          <w:tcPr>
            <w:tcW w:w="855" w:type="pct"/>
            <w:tcBorders>
              <w:top w:val="nil"/>
              <w:left w:val="nil"/>
              <w:bottom w:val="nil"/>
              <w:right w:val="nil"/>
            </w:tcBorders>
            <w:shd w:val="clear" w:color="auto" w:fill="auto"/>
            <w:noWrap/>
            <w:vAlign w:val="bottom"/>
            <w:hideMark/>
          </w:tcPr>
          <w:p w:rsidR="00100D7A" w:rsidRPr="008635B2" w:rsidRDefault="00100D7A" w:rsidP="001764F9">
            <w:pPr>
              <w:spacing w:after="0" w:line="240" w:lineRule="auto"/>
              <w:jc w:val="right"/>
              <w:rPr>
                <w:rFonts w:eastAsia="Times New Roman" w:cs="Calibri"/>
                <w:color w:val="000000"/>
                <w:sz w:val="18"/>
                <w:szCs w:val="18"/>
              </w:rPr>
            </w:pPr>
            <w:r>
              <w:rPr>
                <w:rFonts w:eastAsia="Times New Roman" w:cs="Calibri"/>
                <w:color w:val="000000"/>
                <w:sz w:val="18"/>
                <w:szCs w:val="18"/>
              </w:rPr>
              <w:t>U(0.61;0.83)</w:t>
            </w:r>
          </w:p>
        </w:tc>
        <w:tc>
          <w:tcPr>
            <w:tcW w:w="619" w:type="pct"/>
            <w:tcBorders>
              <w:top w:val="nil"/>
              <w:left w:val="nil"/>
              <w:bottom w:val="nil"/>
              <w:right w:val="nil"/>
            </w:tcBorders>
            <w:shd w:val="clear" w:color="auto" w:fill="auto"/>
            <w:noWrap/>
            <w:vAlign w:val="bottom"/>
          </w:tcPr>
          <w:p w:rsidR="00100D7A" w:rsidRPr="008635B2" w:rsidRDefault="00100D7A" w:rsidP="001764F9">
            <w:pPr>
              <w:spacing w:after="0" w:line="240" w:lineRule="auto"/>
              <w:jc w:val="center"/>
              <w:rPr>
                <w:rFonts w:eastAsia="Times New Roman" w:cs="Calibri"/>
                <w:color w:val="000000"/>
                <w:sz w:val="18"/>
                <w:szCs w:val="18"/>
              </w:rPr>
            </w:pPr>
            <w:r w:rsidRPr="008635B2">
              <w:rPr>
                <w:rFonts w:eastAsia="Times New Roman" w:cs="Calibri"/>
                <w:color w:val="000000"/>
                <w:sz w:val="18"/>
                <w:szCs w:val="18"/>
              </w:rPr>
              <w:fldChar w:fldCharType="begin" w:fldLock="1"/>
            </w:r>
            <w:r>
              <w:rPr>
                <w:rFonts w:eastAsia="Times New Roman" w:cs="Calibri"/>
                <w:color w:val="000000"/>
                <w:sz w:val="18"/>
                <w:szCs w:val="18"/>
              </w:rPr>
              <w:instrText>ADDIN CSL_CITATION { "citationItems" : [ { "id" : "ITEM-1", "itemData" : { "ISBN" : "1366-5278", "ISSN" : "13665278", "PMID" : "16750059", "abstract" : "OBJECTIVES: To determine whether combined therapy with interferon-alpha and ribavirin was more effective and cost-effective than no treatment for patients with mild chronic hepatitis C. DESIGN: A multicentre, randomised, controlled, non-blinded trial assessed the efficacy of combination therapy. A Markov model used these efficacy data combined with data on transition probabilities, costs and health-related quality of life (HRQoL) to assess the lifetime cost-effectiveness of the intervention. SETTING: A multicentre NHS setting. PARTICIPANTS: Treatment-naive, adult patients with histologically mild chronic hepatitis C (Ishak necroinflammatory scores &lt;4 and fibrosis scores &lt;3 on liver biopsy). INTERVENTIONS: Patients were randomised to receive interferon-alpha and ribavirin for 48 weeks or no treatment (control). MAIN OUTCOME MEASURES: The primary outcome measure was the proportion of patients having a sustained virological response (SVR), measured at 6 months after cessation of therapy. Secondary outcome measures were: the ability of early phase kinetics to predict the eventual outcome of treating mild disease; HRQoL measured using the Short Form 36 and EuroQol (5 Dimensions) questionnaires, and the cost per quality-adjusted life-year (QALY) of interferon-alpha and ribavirin for mild disease compared with no treatment. RESULTS: In the treatment group, 32 out of 98 patients (33%) achieved an SVR. Patients infected with genotype 1 had a lower SVR than those infected with genotype non-1 (18% versus 49%, p = 0.02). No patients who failed to achieve a 2-log drop in viral load at 12 weeks achieved an SVR. HRQoL fell during treatment and rose with treatment cessation. For patients having an SVR there were modest improvements in HRQoL at 6 months post-treatment. The mean cost per QALY gained was 4535 pounds sterling for 40-year-old patients with genotype non-1 and 25,188 pounds sterling for patients with genotype 1. For patients with genotype 1 aged 65, providing interferon-alpha and ribavirin for mild disease led to fewer QALYs gained, and a mean cost per QALY of 53,017 pounds sterling. The model using efficacy estimates from the literature, showed that the cost per QALY gained from providing pegylated interferon alpha-2b and ribavirin at a mild stage rather than a moderate stage was 7821 pounds sterling for patients with genotype non-1 and 28,409 pounds sterling for patients with genotype 1. CONCLUSIONS: Based on the evidence collected in this study, interferon\u2026", "author" : [ { "dropping-particle" : "", "family" : "Wright", "given" : "M.", "non-dropping-particle" : "", "parse-names" : false, "suffix" : "" }, { "dropping-particle" : "", "family" : "Grieve", "given" : "R.", "non-dropping-particle" : "", "parse-names" : false, "suffix" : "" }, { "dropping-particle" : "", "family" : "Roberts", "given" : "J.", "non-dropping-particle" : "", "parse-names" : false, "suffix" : "" }, { "dropping-particle" : "", "family" : "Main", "given" : "J.", "non-dropping-particle" : "", "parse-names" : false, "suffix" : "" }, { "dropping-particle" : "", "family" : "Thomas", "given" : "H. C.", "non-dropping-particle" : "", "parse-names" : false, "suffix" : "" }, { "dropping-particle" : "", "family" : "UK Mild Hepatitis C Trial Investigators", "given" : "", "non-dropping-particle" : "", "parse-names" : false, "suffix" : "" } ], "container-title" : "Health technology assessment (NHS)", "id" : "ITEM-1", "issue" : "21", "issued" : { "date-parts" : [ [ "2006" ] ] }, "title" : "Health benefits of antiviral therapy for mild chronic hepatitis C: randomised controlled trial and economic evaluation.", "type" : "article-journal", "volume" : "10" }, "uris" : [ "http://www.mendeley.com/documents/?uuid=66ba4aa8-b8ad-4aac-8c62-f3a523206a64" ] } ], "mendeley" : { "formattedCitation" : "[22]", "plainTextFormattedCitation" : "[22]", "previouslyFormattedCitation" : "[22]" }, "properties" : { "noteIndex" : 0 }, "schema" : "https://github.com/citation-style-language/schema/raw/master/csl-citation.json" }</w:instrText>
            </w:r>
            <w:r w:rsidRPr="008635B2">
              <w:rPr>
                <w:rFonts w:eastAsia="Times New Roman" w:cs="Calibri"/>
                <w:color w:val="000000"/>
                <w:sz w:val="18"/>
                <w:szCs w:val="18"/>
              </w:rPr>
              <w:fldChar w:fldCharType="separate"/>
            </w:r>
            <w:r w:rsidRPr="00E46EFA">
              <w:rPr>
                <w:rFonts w:eastAsia="Times New Roman" w:cs="Calibri"/>
                <w:noProof/>
                <w:color w:val="000000"/>
                <w:sz w:val="18"/>
                <w:szCs w:val="18"/>
              </w:rPr>
              <w:t>[22]</w:t>
            </w:r>
            <w:r w:rsidRPr="008635B2">
              <w:rPr>
                <w:rFonts w:eastAsia="Times New Roman" w:cs="Calibri"/>
                <w:color w:val="000000"/>
                <w:sz w:val="18"/>
                <w:szCs w:val="18"/>
              </w:rPr>
              <w:fldChar w:fldCharType="end"/>
            </w:r>
          </w:p>
        </w:tc>
      </w:tr>
      <w:tr w:rsidR="00100D7A" w:rsidRPr="008635B2" w:rsidTr="001764F9">
        <w:trPr>
          <w:trHeight w:val="285"/>
        </w:trPr>
        <w:tc>
          <w:tcPr>
            <w:tcW w:w="2214" w:type="pct"/>
            <w:tcBorders>
              <w:top w:val="nil"/>
              <w:left w:val="nil"/>
              <w:bottom w:val="nil"/>
              <w:right w:val="nil"/>
            </w:tcBorders>
            <w:shd w:val="clear" w:color="auto" w:fill="auto"/>
            <w:noWrap/>
            <w:vAlign w:val="bottom"/>
            <w:hideMark/>
          </w:tcPr>
          <w:p w:rsidR="00100D7A" w:rsidRPr="008635B2" w:rsidRDefault="00100D7A" w:rsidP="001764F9">
            <w:pPr>
              <w:spacing w:after="0" w:line="240" w:lineRule="auto"/>
              <w:rPr>
                <w:rFonts w:eastAsia="Times New Roman" w:cs="Calibri"/>
                <w:color w:val="000000"/>
                <w:sz w:val="18"/>
                <w:szCs w:val="18"/>
              </w:rPr>
            </w:pPr>
            <w:r w:rsidRPr="008635B2">
              <w:rPr>
                <w:rFonts w:eastAsia="Times New Roman" w:cs="Calibri"/>
                <w:color w:val="000000"/>
                <w:sz w:val="18"/>
                <w:szCs w:val="18"/>
              </w:rPr>
              <w:t>F4</w:t>
            </w:r>
          </w:p>
        </w:tc>
        <w:tc>
          <w:tcPr>
            <w:tcW w:w="698" w:type="pct"/>
            <w:tcBorders>
              <w:top w:val="nil"/>
              <w:left w:val="nil"/>
              <w:bottom w:val="nil"/>
              <w:right w:val="nil"/>
            </w:tcBorders>
            <w:shd w:val="clear" w:color="auto" w:fill="auto"/>
            <w:noWrap/>
            <w:vAlign w:val="bottom"/>
            <w:hideMark/>
          </w:tcPr>
          <w:p w:rsidR="00100D7A" w:rsidRPr="008635B2" w:rsidRDefault="00100D7A" w:rsidP="001764F9">
            <w:pPr>
              <w:spacing w:after="0" w:line="240" w:lineRule="auto"/>
              <w:jc w:val="right"/>
              <w:rPr>
                <w:rFonts w:eastAsia="Times New Roman" w:cs="Calibri"/>
                <w:color w:val="000000"/>
                <w:sz w:val="18"/>
                <w:szCs w:val="18"/>
              </w:rPr>
            </w:pPr>
            <w:r w:rsidRPr="008635B2">
              <w:rPr>
                <w:rFonts w:eastAsia="Times New Roman" w:cs="Calibri"/>
                <w:color w:val="000000"/>
                <w:sz w:val="18"/>
                <w:szCs w:val="18"/>
              </w:rPr>
              <w:t>0.55</w:t>
            </w:r>
          </w:p>
        </w:tc>
        <w:tc>
          <w:tcPr>
            <w:tcW w:w="614" w:type="pct"/>
            <w:tcBorders>
              <w:top w:val="nil"/>
              <w:left w:val="nil"/>
              <w:bottom w:val="nil"/>
              <w:right w:val="nil"/>
            </w:tcBorders>
            <w:shd w:val="clear" w:color="auto" w:fill="auto"/>
            <w:noWrap/>
            <w:vAlign w:val="bottom"/>
            <w:hideMark/>
          </w:tcPr>
          <w:p w:rsidR="00100D7A" w:rsidRPr="008635B2" w:rsidRDefault="00100D7A" w:rsidP="001764F9">
            <w:pPr>
              <w:spacing w:after="0" w:line="240" w:lineRule="auto"/>
              <w:jc w:val="right"/>
              <w:rPr>
                <w:rFonts w:eastAsia="Times New Roman" w:cs="Calibri"/>
                <w:color w:val="000000"/>
                <w:sz w:val="18"/>
                <w:szCs w:val="18"/>
              </w:rPr>
            </w:pPr>
            <w:r w:rsidRPr="008635B2">
              <w:rPr>
                <w:rFonts w:eastAsia="Times New Roman" w:cs="Calibri"/>
                <w:color w:val="000000"/>
                <w:sz w:val="18"/>
                <w:szCs w:val="18"/>
              </w:rPr>
              <w:t>0</w:t>
            </w:r>
            <w:r>
              <w:rPr>
                <w:rFonts w:eastAsia="Times New Roman" w:cs="Calibri"/>
                <w:color w:val="000000"/>
                <w:sz w:val="18"/>
                <w:szCs w:val="18"/>
              </w:rPr>
              <w:t>.</w:t>
            </w:r>
            <w:r w:rsidRPr="008635B2">
              <w:rPr>
                <w:rFonts w:eastAsia="Times New Roman" w:cs="Calibri"/>
                <w:color w:val="000000"/>
                <w:sz w:val="18"/>
                <w:szCs w:val="18"/>
              </w:rPr>
              <w:t>44−0</w:t>
            </w:r>
            <w:r>
              <w:rPr>
                <w:rFonts w:eastAsia="Times New Roman" w:cs="Calibri"/>
                <w:color w:val="000000"/>
                <w:sz w:val="18"/>
                <w:szCs w:val="18"/>
              </w:rPr>
              <w:t>.</w:t>
            </w:r>
            <w:r w:rsidRPr="008635B2">
              <w:rPr>
                <w:rFonts w:eastAsia="Times New Roman" w:cs="Calibri"/>
                <w:color w:val="000000"/>
                <w:sz w:val="18"/>
                <w:szCs w:val="18"/>
              </w:rPr>
              <w:t>66</w:t>
            </w:r>
          </w:p>
        </w:tc>
        <w:tc>
          <w:tcPr>
            <w:tcW w:w="855" w:type="pct"/>
            <w:tcBorders>
              <w:top w:val="nil"/>
              <w:left w:val="nil"/>
              <w:bottom w:val="nil"/>
              <w:right w:val="nil"/>
            </w:tcBorders>
            <w:shd w:val="clear" w:color="auto" w:fill="auto"/>
            <w:noWrap/>
            <w:vAlign w:val="bottom"/>
            <w:hideMark/>
          </w:tcPr>
          <w:p w:rsidR="00100D7A" w:rsidRPr="008635B2" w:rsidRDefault="00100D7A" w:rsidP="001764F9">
            <w:pPr>
              <w:spacing w:after="0" w:line="240" w:lineRule="auto"/>
              <w:jc w:val="right"/>
              <w:rPr>
                <w:rFonts w:eastAsia="Times New Roman" w:cs="Calibri"/>
                <w:color w:val="000000"/>
                <w:sz w:val="18"/>
                <w:szCs w:val="18"/>
              </w:rPr>
            </w:pPr>
            <w:r>
              <w:rPr>
                <w:rFonts w:eastAsia="Times New Roman" w:cs="Calibri"/>
                <w:color w:val="000000"/>
                <w:sz w:val="18"/>
                <w:szCs w:val="18"/>
              </w:rPr>
              <w:t>U(0.44;0.66)</w:t>
            </w:r>
          </w:p>
        </w:tc>
        <w:tc>
          <w:tcPr>
            <w:tcW w:w="619" w:type="pct"/>
            <w:tcBorders>
              <w:top w:val="nil"/>
              <w:left w:val="nil"/>
              <w:bottom w:val="nil"/>
              <w:right w:val="nil"/>
            </w:tcBorders>
            <w:shd w:val="clear" w:color="auto" w:fill="auto"/>
            <w:noWrap/>
            <w:vAlign w:val="bottom"/>
          </w:tcPr>
          <w:p w:rsidR="00100D7A" w:rsidRPr="008635B2" w:rsidRDefault="00100D7A" w:rsidP="001764F9">
            <w:pPr>
              <w:spacing w:after="0" w:line="240" w:lineRule="auto"/>
              <w:jc w:val="center"/>
              <w:rPr>
                <w:rFonts w:eastAsia="Times New Roman" w:cs="Calibri"/>
                <w:color w:val="000000"/>
                <w:sz w:val="18"/>
                <w:szCs w:val="18"/>
              </w:rPr>
            </w:pPr>
            <w:r w:rsidRPr="008635B2">
              <w:rPr>
                <w:rFonts w:eastAsia="Times New Roman" w:cs="Calibri"/>
                <w:color w:val="000000"/>
                <w:sz w:val="18"/>
                <w:szCs w:val="18"/>
              </w:rPr>
              <w:fldChar w:fldCharType="begin" w:fldLock="1"/>
            </w:r>
            <w:r>
              <w:rPr>
                <w:rFonts w:eastAsia="Times New Roman" w:cs="Calibri"/>
                <w:color w:val="000000"/>
                <w:sz w:val="18"/>
                <w:szCs w:val="18"/>
              </w:rPr>
              <w:instrText>ADDIN CSL_CITATION { "citationItems" : [ { "id" : "ITEM-1", "itemData" : { "ISBN" : "1366-5278", "ISSN" : "13665278", "PMID" : "16750059", "abstract" : "OBJECTIVES: To determine whether combined therapy with interferon-alpha and ribavirin was more effective and cost-effective than no treatment for patients with mild chronic hepatitis C. DESIGN: A multicentre, randomised, controlled, non-blinded trial assessed the efficacy of combination therapy. A Markov model used these efficacy data combined with data on transition probabilities, costs and health-related quality of life (HRQoL) to assess the lifetime cost-effectiveness of the intervention. SETTING: A multicentre NHS setting. PARTICIPANTS: Treatment-naive, adult patients with histologically mild chronic hepatitis C (Ishak necroinflammatory scores &lt;4 and fibrosis scores &lt;3 on liver biopsy). INTERVENTIONS: Patients were randomised to receive interferon-alpha and ribavirin for 48 weeks or no treatment (control). MAIN OUTCOME MEASURES: The primary outcome measure was the proportion of patients having a sustained virological response (SVR), measured at 6 months after cessation of therapy. Secondary outcome measures were: the ability of early phase kinetics to predict the eventual outcome of treating mild disease; HRQoL measured using the Short Form 36 and EuroQol (5 Dimensions) questionnaires, and the cost per quality-adjusted life-year (QALY) of interferon-alpha and ribavirin for mild disease compared with no treatment. RESULTS: In the treatment group, 32 out of 98 patients (33%) achieved an SVR. Patients infected with genotype 1 had a lower SVR than those infected with genotype non-1 (18% versus 49%, p = 0.02). No patients who failed to achieve a 2-log drop in viral load at 12 weeks achieved an SVR. HRQoL fell during treatment and rose with treatment cessation. For patients having an SVR there were modest improvements in HRQoL at 6 months post-treatment. The mean cost per QALY gained was 4535 pounds sterling for 40-year-old patients with genotype non-1 and 25,188 pounds sterling for patients with genotype 1. For patients with genotype 1 aged 65, providing interferon-alpha and ribavirin for mild disease led to fewer QALYs gained, and a mean cost per QALY of 53,017 pounds sterling. The model using efficacy estimates from the literature, showed that the cost per QALY gained from providing pegylated interferon alpha-2b and ribavirin at a mild stage rather than a moderate stage was 7821 pounds sterling for patients with genotype non-1 and 28,409 pounds sterling for patients with genotype 1. CONCLUSIONS: Based on the evidence collected in this study, interferon\u2026", "author" : [ { "dropping-particle" : "", "family" : "Wright", "given" : "M.", "non-dropping-particle" : "", "parse-names" : false, "suffix" : "" }, { "dropping-particle" : "", "family" : "Grieve", "given" : "R.", "non-dropping-particle" : "", "parse-names" : false, "suffix" : "" }, { "dropping-particle" : "", "family" : "Roberts", "given" : "J.", "non-dropping-particle" : "", "parse-names" : false, "suffix" : "" }, { "dropping-particle" : "", "family" : "Main", "given" : "J.", "non-dropping-particle" : "", "parse-names" : false, "suffix" : "" }, { "dropping-particle" : "", "family" : "Thomas", "given" : "H. C.", "non-dropping-particle" : "", "parse-names" : false, "suffix" : "" }, { "dropping-particle" : "", "family" : "UK Mild Hepatitis C Trial Investigators", "given" : "", "non-dropping-particle" : "", "parse-names" : false, "suffix" : "" } ], "container-title" : "Health technology assessment (NHS)", "id" : "ITEM-1", "issue" : "21", "issued" : { "date-parts" : [ [ "2006" ] ] }, "title" : "Health benefits of antiviral therapy for mild chronic hepatitis C: randomised controlled trial and economic evaluation.", "type" : "article-journal", "volume" : "10" }, "uris" : [ "http://www.mendeley.com/documents/?uuid=66ba4aa8-b8ad-4aac-8c62-f3a523206a64" ] } ], "mendeley" : { "formattedCitation" : "[22]", "plainTextFormattedCitation" : "[22]", "previouslyFormattedCitation" : "[22]" }, "properties" : { "noteIndex" : 0 }, "schema" : "https://github.com/citation-style-language/schema/raw/master/csl-citation.json" }</w:instrText>
            </w:r>
            <w:r w:rsidRPr="008635B2">
              <w:rPr>
                <w:rFonts w:eastAsia="Times New Roman" w:cs="Calibri"/>
                <w:color w:val="000000"/>
                <w:sz w:val="18"/>
                <w:szCs w:val="18"/>
              </w:rPr>
              <w:fldChar w:fldCharType="separate"/>
            </w:r>
            <w:r w:rsidRPr="00E46EFA">
              <w:rPr>
                <w:rFonts w:eastAsia="Times New Roman" w:cs="Calibri"/>
                <w:noProof/>
                <w:color w:val="000000"/>
                <w:sz w:val="18"/>
                <w:szCs w:val="18"/>
              </w:rPr>
              <w:t>[22]</w:t>
            </w:r>
            <w:r w:rsidRPr="008635B2">
              <w:rPr>
                <w:rFonts w:eastAsia="Times New Roman" w:cs="Calibri"/>
                <w:color w:val="000000"/>
                <w:sz w:val="18"/>
                <w:szCs w:val="18"/>
              </w:rPr>
              <w:fldChar w:fldCharType="end"/>
            </w:r>
          </w:p>
        </w:tc>
      </w:tr>
      <w:tr w:rsidR="00100D7A" w:rsidRPr="008635B2" w:rsidTr="001764F9">
        <w:trPr>
          <w:trHeight w:val="285"/>
        </w:trPr>
        <w:tc>
          <w:tcPr>
            <w:tcW w:w="2214" w:type="pct"/>
            <w:tcBorders>
              <w:top w:val="nil"/>
              <w:left w:val="nil"/>
              <w:bottom w:val="nil"/>
              <w:right w:val="nil"/>
            </w:tcBorders>
            <w:shd w:val="clear" w:color="auto" w:fill="auto"/>
            <w:noWrap/>
            <w:vAlign w:val="bottom"/>
            <w:hideMark/>
          </w:tcPr>
          <w:p w:rsidR="00100D7A" w:rsidRPr="008635B2" w:rsidRDefault="00100D7A" w:rsidP="001764F9">
            <w:pPr>
              <w:spacing w:after="0" w:line="240" w:lineRule="auto"/>
              <w:rPr>
                <w:rFonts w:eastAsia="Times New Roman" w:cs="Calibri"/>
                <w:color w:val="000000"/>
                <w:sz w:val="18"/>
                <w:szCs w:val="18"/>
              </w:rPr>
            </w:pPr>
            <w:r w:rsidRPr="008635B2">
              <w:rPr>
                <w:rFonts w:eastAsia="Times New Roman" w:cs="Calibri"/>
                <w:color w:val="000000"/>
                <w:sz w:val="18"/>
                <w:szCs w:val="18"/>
              </w:rPr>
              <w:t>SVR with F4</w:t>
            </w:r>
          </w:p>
        </w:tc>
        <w:tc>
          <w:tcPr>
            <w:tcW w:w="698" w:type="pct"/>
            <w:tcBorders>
              <w:top w:val="nil"/>
              <w:left w:val="nil"/>
              <w:bottom w:val="nil"/>
              <w:right w:val="nil"/>
            </w:tcBorders>
            <w:shd w:val="clear" w:color="auto" w:fill="auto"/>
            <w:noWrap/>
            <w:vAlign w:val="bottom"/>
            <w:hideMark/>
          </w:tcPr>
          <w:p w:rsidR="00100D7A" w:rsidRPr="008635B2" w:rsidRDefault="00100D7A" w:rsidP="001764F9">
            <w:pPr>
              <w:spacing w:after="0" w:line="240" w:lineRule="auto"/>
              <w:jc w:val="right"/>
              <w:rPr>
                <w:rFonts w:eastAsia="Times New Roman" w:cs="Calibri"/>
                <w:color w:val="000000"/>
                <w:sz w:val="18"/>
                <w:szCs w:val="18"/>
              </w:rPr>
            </w:pPr>
            <w:r w:rsidRPr="008635B2">
              <w:rPr>
                <w:rFonts w:eastAsia="Times New Roman" w:cs="Calibri"/>
                <w:color w:val="000000"/>
                <w:sz w:val="18"/>
                <w:szCs w:val="18"/>
              </w:rPr>
              <w:t>0.60</w:t>
            </w:r>
          </w:p>
        </w:tc>
        <w:tc>
          <w:tcPr>
            <w:tcW w:w="614" w:type="pct"/>
            <w:tcBorders>
              <w:top w:val="nil"/>
              <w:left w:val="nil"/>
              <w:bottom w:val="nil"/>
              <w:right w:val="nil"/>
            </w:tcBorders>
            <w:shd w:val="clear" w:color="auto" w:fill="auto"/>
            <w:noWrap/>
            <w:vAlign w:val="bottom"/>
            <w:hideMark/>
          </w:tcPr>
          <w:p w:rsidR="00100D7A" w:rsidRPr="008635B2" w:rsidRDefault="00100D7A" w:rsidP="001764F9">
            <w:pPr>
              <w:spacing w:after="0" w:line="240" w:lineRule="auto"/>
              <w:jc w:val="right"/>
              <w:rPr>
                <w:rFonts w:eastAsia="Times New Roman" w:cs="Calibri"/>
                <w:color w:val="000000"/>
                <w:sz w:val="18"/>
                <w:szCs w:val="18"/>
              </w:rPr>
            </w:pPr>
            <w:r>
              <w:rPr>
                <w:rFonts w:eastAsia="Times New Roman" w:cs="Calibri"/>
                <w:color w:val="000000"/>
                <w:sz w:val="18"/>
                <w:szCs w:val="18"/>
              </w:rPr>
              <w:t>–</w:t>
            </w:r>
          </w:p>
        </w:tc>
        <w:tc>
          <w:tcPr>
            <w:tcW w:w="855" w:type="pct"/>
            <w:tcBorders>
              <w:top w:val="nil"/>
              <w:left w:val="nil"/>
              <w:bottom w:val="nil"/>
              <w:right w:val="nil"/>
            </w:tcBorders>
            <w:shd w:val="clear" w:color="auto" w:fill="auto"/>
            <w:noWrap/>
            <w:vAlign w:val="bottom"/>
            <w:hideMark/>
          </w:tcPr>
          <w:p w:rsidR="00100D7A" w:rsidRPr="008635B2" w:rsidRDefault="00100D7A" w:rsidP="001764F9">
            <w:pPr>
              <w:spacing w:after="0" w:line="240" w:lineRule="auto"/>
              <w:jc w:val="right"/>
              <w:rPr>
                <w:rFonts w:eastAsia="Times New Roman" w:cs="Calibri"/>
                <w:color w:val="000000"/>
                <w:sz w:val="18"/>
                <w:szCs w:val="18"/>
              </w:rPr>
            </w:pPr>
            <w:r>
              <w:rPr>
                <w:rFonts w:eastAsia="Times New Roman" w:cs="Calibri"/>
                <w:color w:val="000000"/>
                <w:sz w:val="18"/>
                <w:szCs w:val="18"/>
              </w:rPr>
              <w:t>–</w:t>
            </w:r>
          </w:p>
        </w:tc>
        <w:tc>
          <w:tcPr>
            <w:tcW w:w="619" w:type="pct"/>
            <w:tcBorders>
              <w:top w:val="nil"/>
              <w:left w:val="nil"/>
              <w:bottom w:val="nil"/>
              <w:right w:val="nil"/>
            </w:tcBorders>
            <w:shd w:val="clear" w:color="auto" w:fill="auto"/>
            <w:noWrap/>
            <w:vAlign w:val="bottom"/>
            <w:hideMark/>
          </w:tcPr>
          <w:p w:rsidR="00100D7A" w:rsidRPr="008635B2" w:rsidRDefault="00100D7A" w:rsidP="001764F9">
            <w:pPr>
              <w:spacing w:after="0" w:line="240" w:lineRule="auto"/>
              <w:jc w:val="center"/>
              <w:rPr>
                <w:rFonts w:eastAsia="Times New Roman" w:cs="Calibri"/>
                <w:color w:val="000000"/>
                <w:sz w:val="18"/>
                <w:szCs w:val="18"/>
              </w:rPr>
            </w:pPr>
            <w:r w:rsidRPr="008635B2">
              <w:rPr>
                <w:rFonts w:eastAsia="Times New Roman" w:cs="Calibri"/>
                <w:color w:val="000000"/>
                <w:sz w:val="18"/>
                <w:szCs w:val="18"/>
              </w:rPr>
              <w:fldChar w:fldCharType="begin" w:fldLock="1"/>
            </w:r>
            <w:r>
              <w:rPr>
                <w:rFonts w:eastAsia="Times New Roman" w:cs="Calibri"/>
                <w:color w:val="000000"/>
                <w:sz w:val="18"/>
                <w:szCs w:val="18"/>
              </w:rPr>
              <w:instrText>ADDIN CSL_CITATION { "citationItems" : [ { "id" : "ITEM-1", "itemData" : { "ISBN" : "1366-5278", "ISSN" : "13665278", "PMID" : "16750059", "abstract" : "OBJECTIVES: To determine whether combined therapy with interferon-alpha and ribavirin was more effective and cost-effective than no treatment for patients with mild chronic hepatitis C. DESIGN: A multicentre, randomised, controlled, non-blinded trial assessed the efficacy of combination therapy. A Markov model used these efficacy data combined with data on transition probabilities, costs and health-related quality of life (HRQoL) to assess the lifetime cost-effectiveness of the intervention. SETTING: A multicentre NHS setting. PARTICIPANTS: Treatment-naive, adult patients with histologically mild chronic hepatitis C (Ishak necroinflammatory scores &lt;4 and fibrosis scores &lt;3 on liver biopsy). INTERVENTIONS: Patients were randomised to receive interferon-alpha and ribavirin for 48 weeks or no treatment (control). MAIN OUTCOME MEASURES: The primary outcome measure was the proportion of patients having a sustained virological response (SVR), measured at 6 months after cessation of therapy. Secondary outcome measures were: the ability of early phase kinetics to predict the eventual outcome of treating mild disease; HRQoL measured using the Short Form 36 and EuroQol (5 Dimensions) questionnaires, and the cost per quality-adjusted life-year (QALY) of interferon-alpha and ribavirin for mild disease compared with no treatment. RESULTS: In the treatment group, 32 out of 98 patients (33%) achieved an SVR. Patients infected with genotype 1 had a lower SVR than those infected with genotype non-1 (18% versus 49%, p = 0.02). No patients who failed to achieve a 2-log drop in viral load at 12 weeks achieved an SVR. HRQoL fell during treatment and rose with treatment cessation. For patients having an SVR there were modest improvements in HRQoL at 6 months post-treatment. The mean cost per QALY gained was 4535 pounds sterling for 40-year-old patients with genotype non-1 and 25,188 pounds sterling for patients with genotype 1. For patients with genotype 1 aged 65, providing interferon-alpha and ribavirin for mild disease led to fewer QALYs gained, and a mean cost per QALY of 53,017 pounds sterling. The model using efficacy estimates from the literature, showed that the cost per QALY gained from providing pegylated interferon alpha-2b and ribavirin at a mild stage rather than a moderate stage was 7821 pounds sterling for patients with genotype non-1 and 28,409 pounds sterling for patients with genotype 1. CONCLUSIONS: Based on the evidence collected in this study, interferon\u2026", "author" : [ { "dropping-particle" : "", "family" : "Wright", "given" : "M.", "non-dropping-particle" : "", "parse-names" : false, "suffix" : "" }, { "dropping-particle" : "", "family" : "Grieve", "given" : "R.", "non-dropping-particle" : "", "parse-names" : false, "suffix" : "" }, { "dropping-particle" : "", "family" : "Roberts", "given" : "J.", "non-dropping-particle" : "", "parse-names" : false, "suffix" : "" }, { "dropping-particle" : "", "family" : "Main", "given" : "J.", "non-dropping-particle" : "", "parse-names" : false, "suffix" : "" }, { "dropping-particle" : "", "family" : "Thomas", "given" : "H. C.", "non-dropping-particle" : "", "parse-names" : false, "suffix" : "" }, { "dropping-particle" : "", "family" : "UK Mild Hepatitis C Trial Investigators", "given" : "", "non-dropping-particle" : "", "parse-names" : false, "suffix" : "" } ], "container-title" : "Health technology assessment (NHS)", "id" : "ITEM-1", "issue" : "21", "issued" : { "date-parts" : [ [ "2006" ] ] }, "title" : "Health benefits of antiviral therapy for mild chronic hepatitis C: randomised controlled trial and economic evaluation.", "type" : "article-journal", "volume" : "10" }, "uris" : [ "http://www.mendeley.com/documents/?uuid=66ba4aa8-b8ad-4aac-8c62-f3a523206a64" ] } ], "mendeley" : { "formattedCitation" : "[22]", "plainTextFormattedCitation" : "[22]", "previouslyFormattedCitation" : "[22]" }, "properties" : { "noteIndex" : 0 }, "schema" : "https://github.com/citation-style-language/schema/raw/master/csl-citation.json" }</w:instrText>
            </w:r>
            <w:r w:rsidRPr="008635B2">
              <w:rPr>
                <w:rFonts w:eastAsia="Times New Roman" w:cs="Calibri"/>
                <w:color w:val="000000"/>
                <w:sz w:val="18"/>
                <w:szCs w:val="18"/>
              </w:rPr>
              <w:fldChar w:fldCharType="separate"/>
            </w:r>
            <w:r w:rsidRPr="00E46EFA">
              <w:rPr>
                <w:rFonts w:eastAsia="Times New Roman" w:cs="Calibri"/>
                <w:noProof/>
                <w:color w:val="000000"/>
                <w:sz w:val="18"/>
                <w:szCs w:val="18"/>
              </w:rPr>
              <w:t>[22]</w:t>
            </w:r>
            <w:r w:rsidRPr="008635B2">
              <w:rPr>
                <w:rFonts w:eastAsia="Times New Roman" w:cs="Calibri"/>
                <w:color w:val="000000"/>
                <w:sz w:val="18"/>
                <w:szCs w:val="18"/>
              </w:rPr>
              <w:fldChar w:fldCharType="end"/>
            </w:r>
          </w:p>
        </w:tc>
      </w:tr>
      <w:tr w:rsidR="00100D7A" w:rsidRPr="008635B2" w:rsidTr="001764F9">
        <w:trPr>
          <w:trHeight w:val="285"/>
        </w:trPr>
        <w:tc>
          <w:tcPr>
            <w:tcW w:w="2214" w:type="pct"/>
            <w:tcBorders>
              <w:top w:val="nil"/>
              <w:left w:val="nil"/>
              <w:bottom w:val="nil"/>
              <w:right w:val="nil"/>
            </w:tcBorders>
            <w:shd w:val="clear" w:color="auto" w:fill="auto"/>
            <w:noWrap/>
            <w:vAlign w:val="bottom"/>
            <w:hideMark/>
          </w:tcPr>
          <w:p w:rsidR="00100D7A" w:rsidRPr="008635B2" w:rsidRDefault="00100D7A" w:rsidP="001764F9">
            <w:pPr>
              <w:spacing w:after="0" w:line="240" w:lineRule="auto"/>
              <w:rPr>
                <w:rFonts w:eastAsia="Times New Roman" w:cs="Calibri"/>
                <w:color w:val="000000"/>
                <w:sz w:val="18"/>
                <w:szCs w:val="18"/>
              </w:rPr>
            </w:pPr>
            <w:r w:rsidRPr="008635B2">
              <w:rPr>
                <w:rFonts w:eastAsia="Times New Roman" w:cs="Calibri"/>
                <w:color w:val="000000"/>
                <w:sz w:val="18"/>
                <w:szCs w:val="18"/>
              </w:rPr>
              <w:t>DC</w:t>
            </w:r>
          </w:p>
        </w:tc>
        <w:tc>
          <w:tcPr>
            <w:tcW w:w="698" w:type="pct"/>
            <w:tcBorders>
              <w:top w:val="nil"/>
              <w:left w:val="nil"/>
              <w:bottom w:val="nil"/>
              <w:right w:val="nil"/>
            </w:tcBorders>
            <w:shd w:val="clear" w:color="auto" w:fill="auto"/>
            <w:noWrap/>
            <w:vAlign w:val="bottom"/>
            <w:hideMark/>
          </w:tcPr>
          <w:p w:rsidR="00100D7A" w:rsidRPr="008635B2" w:rsidRDefault="00100D7A" w:rsidP="001764F9">
            <w:pPr>
              <w:spacing w:after="0" w:line="240" w:lineRule="auto"/>
              <w:jc w:val="right"/>
              <w:rPr>
                <w:rFonts w:eastAsia="Times New Roman" w:cs="Calibri"/>
                <w:color w:val="000000"/>
                <w:sz w:val="18"/>
                <w:szCs w:val="18"/>
              </w:rPr>
            </w:pPr>
            <w:r w:rsidRPr="008635B2">
              <w:rPr>
                <w:rFonts w:eastAsia="Times New Roman" w:cs="Calibri"/>
                <w:color w:val="000000"/>
                <w:sz w:val="18"/>
                <w:szCs w:val="18"/>
              </w:rPr>
              <w:t>0.45</w:t>
            </w:r>
          </w:p>
        </w:tc>
        <w:tc>
          <w:tcPr>
            <w:tcW w:w="614" w:type="pct"/>
            <w:tcBorders>
              <w:top w:val="nil"/>
              <w:left w:val="nil"/>
              <w:bottom w:val="nil"/>
              <w:right w:val="nil"/>
            </w:tcBorders>
            <w:shd w:val="clear" w:color="auto" w:fill="auto"/>
            <w:noWrap/>
            <w:vAlign w:val="bottom"/>
            <w:hideMark/>
          </w:tcPr>
          <w:p w:rsidR="00100D7A" w:rsidRPr="008635B2" w:rsidRDefault="00100D7A" w:rsidP="001764F9">
            <w:pPr>
              <w:spacing w:after="0" w:line="240" w:lineRule="auto"/>
              <w:jc w:val="right"/>
              <w:rPr>
                <w:rFonts w:eastAsia="Times New Roman" w:cs="Calibri"/>
                <w:color w:val="000000"/>
                <w:sz w:val="18"/>
                <w:szCs w:val="18"/>
              </w:rPr>
            </w:pPr>
            <w:r>
              <w:rPr>
                <w:rFonts w:eastAsia="Times New Roman" w:cs="Calibri"/>
                <w:color w:val="000000"/>
                <w:sz w:val="18"/>
                <w:szCs w:val="18"/>
              </w:rPr>
              <w:t>–</w:t>
            </w:r>
          </w:p>
        </w:tc>
        <w:tc>
          <w:tcPr>
            <w:tcW w:w="855" w:type="pct"/>
            <w:tcBorders>
              <w:top w:val="nil"/>
              <w:left w:val="nil"/>
              <w:bottom w:val="nil"/>
              <w:right w:val="nil"/>
            </w:tcBorders>
            <w:shd w:val="clear" w:color="auto" w:fill="auto"/>
            <w:noWrap/>
            <w:vAlign w:val="bottom"/>
            <w:hideMark/>
          </w:tcPr>
          <w:p w:rsidR="00100D7A" w:rsidRPr="008635B2" w:rsidRDefault="00100D7A" w:rsidP="001764F9">
            <w:pPr>
              <w:spacing w:after="0" w:line="240" w:lineRule="auto"/>
              <w:jc w:val="right"/>
              <w:rPr>
                <w:rFonts w:eastAsia="Times New Roman" w:cs="Calibri"/>
                <w:color w:val="000000"/>
                <w:sz w:val="18"/>
                <w:szCs w:val="18"/>
              </w:rPr>
            </w:pPr>
            <w:r>
              <w:rPr>
                <w:rFonts w:eastAsia="Times New Roman" w:cs="Calibri"/>
                <w:color w:val="000000"/>
                <w:sz w:val="18"/>
                <w:szCs w:val="18"/>
              </w:rPr>
              <w:t>–</w:t>
            </w:r>
          </w:p>
        </w:tc>
        <w:tc>
          <w:tcPr>
            <w:tcW w:w="619" w:type="pct"/>
            <w:tcBorders>
              <w:top w:val="nil"/>
              <w:left w:val="nil"/>
              <w:bottom w:val="nil"/>
              <w:right w:val="nil"/>
            </w:tcBorders>
            <w:shd w:val="clear" w:color="auto" w:fill="auto"/>
            <w:noWrap/>
            <w:vAlign w:val="bottom"/>
            <w:hideMark/>
          </w:tcPr>
          <w:p w:rsidR="00100D7A" w:rsidRPr="008635B2" w:rsidRDefault="00100D7A" w:rsidP="001764F9">
            <w:pPr>
              <w:spacing w:after="0" w:line="240" w:lineRule="auto"/>
              <w:jc w:val="center"/>
              <w:rPr>
                <w:rFonts w:eastAsia="Times New Roman" w:cs="Calibri"/>
                <w:color w:val="000000"/>
                <w:sz w:val="18"/>
                <w:szCs w:val="18"/>
              </w:rPr>
            </w:pPr>
            <w:r w:rsidRPr="008635B2">
              <w:rPr>
                <w:rFonts w:eastAsia="Times New Roman" w:cs="Calibri"/>
                <w:color w:val="000000"/>
                <w:sz w:val="18"/>
                <w:szCs w:val="18"/>
              </w:rPr>
              <w:fldChar w:fldCharType="begin" w:fldLock="1"/>
            </w:r>
            <w:r>
              <w:rPr>
                <w:rFonts w:eastAsia="Times New Roman" w:cs="Calibri"/>
                <w:color w:val="000000"/>
                <w:sz w:val="18"/>
                <w:szCs w:val="18"/>
              </w:rPr>
              <w:instrText>ADDIN CSL_CITATION { "citationItems" : [ { "id" : "ITEM-1", "itemData" : { "ISBN" : "1366-5278", "ISSN" : "13665278", "PMID" : "16750059", "abstract" : "OBJECTIVES: To determine whether combined therapy with interferon-alpha and ribavirin was more effective and cost-effective than no treatment for patients with mild chronic hepatitis C. DESIGN: A multicentre, randomised, controlled, non-blinded trial assessed the efficacy of combination therapy. A Markov model used these efficacy data combined with data on transition probabilities, costs and health-related quality of life (HRQoL) to assess the lifetime cost-effectiveness of the intervention. SETTING: A multicentre NHS setting. PARTICIPANTS: Treatment-naive, adult patients with histologically mild chronic hepatitis C (Ishak necroinflammatory scores &lt;4 and fibrosis scores &lt;3 on liver biopsy). INTERVENTIONS: Patients were randomised to receive interferon-alpha and ribavirin for 48 weeks or no treatment (control). MAIN OUTCOME MEASURES: The primary outcome measure was the proportion of patients having a sustained virological response (SVR), measured at 6 months after cessation of therapy. Secondary outcome measures were: the ability of early phase kinetics to predict the eventual outcome of treating mild disease; HRQoL measured using the Short Form 36 and EuroQol (5 Dimensions) questionnaires, and the cost per quality-adjusted life-year (QALY) of interferon-alpha and ribavirin for mild disease compared with no treatment. RESULTS: In the treatment group, 32 out of 98 patients (33%) achieved an SVR. Patients infected with genotype 1 had a lower SVR than those infected with genotype non-1 (18% versus 49%, p = 0.02). No patients who failed to achieve a 2-log drop in viral load at 12 weeks achieved an SVR. HRQoL fell during treatment and rose with treatment cessation. For patients having an SVR there were modest improvements in HRQoL at 6 months post-treatment. The mean cost per QALY gained was 4535 pounds sterling for 40-year-old patients with genotype non-1 and 25,188 pounds sterling for patients with genotype 1. For patients with genotype 1 aged 65, providing interferon-alpha and ribavirin for mild disease led to fewer QALYs gained, and a mean cost per QALY of 53,017 pounds sterling. The model using efficacy estimates from the literature, showed that the cost per QALY gained from providing pegylated interferon alpha-2b and ribavirin at a mild stage rather than a moderate stage was 7821 pounds sterling for patients with genotype non-1 and 28,409 pounds sterling for patients with genotype 1. CONCLUSIONS: Based on the evidence collected in this study, interferon\u2026", "author" : [ { "dropping-particle" : "", "family" : "Wright", "given" : "M.", "non-dropping-particle" : "", "parse-names" : false, "suffix" : "" }, { "dropping-particle" : "", "family" : "Grieve", "given" : "R.", "non-dropping-particle" : "", "parse-names" : false, "suffix" : "" }, { "dropping-particle" : "", "family" : "Roberts", "given" : "J.", "non-dropping-particle" : "", "parse-names" : false, "suffix" : "" }, { "dropping-particle" : "", "family" : "Main", "given" : "J.", "non-dropping-particle" : "", "parse-names" : false, "suffix" : "" }, { "dropping-particle" : "", "family" : "Thomas", "given" : "H. C.", "non-dropping-particle" : "", "parse-names" : false, "suffix" : "" }, { "dropping-particle" : "", "family" : "UK Mild Hepatitis C Trial Investigators", "given" : "", "non-dropping-particle" : "", "parse-names" : false, "suffix" : "" } ], "container-title" : "Health technology assessment (NHS)", "id" : "ITEM-1", "issue" : "21", "issued" : { "date-parts" : [ [ "2006" ] ] }, "title" : "Health benefits of antiviral therapy for mild chronic hepatitis C: randomised controlled trial and economic evaluation.", "type" : "article-journal", "volume" : "10" }, "uris" : [ "http://www.mendeley.com/documents/?uuid=66ba4aa8-b8ad-4aac-8c62-f3a523206a64" ] } ], "mendeley" : { "formattedCitation" : "[22]", "plainTextFormattedCitation" : "[22]", "previouslyFormattedCitation" : "[22]" }, "properties" : { "noteIndex" : 0 }, "schema" : "https://github.com/citation-style-language/schema/raw/master/csl-citation.json" }</w:instrText>
            </w:r>
            <w:r w:rsidRPr="008635B2">
              <w:rPr>
                <w:rFonts w:eastAsia="Times New Roman" w:cs="Calibri"/>
                <w:color w:val="000000"/>
                <w:sz w:val="18"/>
                <w:szCs w:val="18"/>
              </w:rPr>
              <w:fldChar w:fldCharType="separate"/>
            </w:r>
            <w:r w:rsidRPr="00E46EFA">
              <w:rPr>
                <w:rFonts w:eastAsia="Times New Roman" w:cs="Calibri"/>
                <w:noProof/>
                <w:color w:val="000000"/>
                <w:sz w:val="18"/>
                <w:szCs w:val="18"/>
              </w:rPr>
              <w:t>[22]</w:t>
            </w:r>
            <w:r w:rsidRPr="008635B2">
              <w:rPr>
                <w:rFonts w:eastAsia="Times New Roman" w:cs="Calibri"/>
                <w:color w:val="000000"/>
                <w:sz w:val="18"/>
                <w:szCs w:val="18"/>
              </w:rPr>
              <w:fldChar w:fldCharType="end"/>
            </w:r>
          </w:p>
        </w:tc>
      </w:tr>
      <w:tr w:rsidR="00100D7A" w:rsidRPr="008635B2" w:rsidTr="001764F9">
        <w:trPr>
          <w:trHeight w:val="285"/>
        </w:trPr>
        <w:tc>
          <w:tcPr>
            <w:tcW w:w="2214" w:type="pct"/>
            <w:tcBorders>
              <w:top w:val="nil"/>
              <w:left w:val="nil"/>
              <w:bottom w:val="nil"/>
              <w:right w:val="nil"/>
            </w:tcBorders>
            <w:shd w:val="clear" w:color="auto" w:fill="auto"/>
            <w:noWrap/>
            <w:vAlign w:val="bottom"/>
            <w:hideMark/>
          </w:tcPr>
          <w:p w:rsidR="00100D7A" w:rsidRPr="008635B2" w:rsidRDefault="00100D7A" w:rsidP="001764F9">
            <w:pPr>
              <w:spacing w:after="0" w:line="240" w:lineRule="auto"/>
              <w:rPr>
                <w:rFonts w:eastAsia="Times New Roman" w:cs="Calibri"/>
                <w:color w:val="000000"/>
                <w:sz w:val="18"/>
                <w:szCs w:val="18"/>
              </w:rPr>
            </w:pPr>
            <w:r w:rsidRPr="008635B2">
              <w:rPr>
                <w:rFonts w:eastAsia="Times New Roman" w:cs="Calibri"/>
                <w:color w:val="000000"/>
                <w:sz w:val="18"/>
                <w:szCs w:val="18"/>
              </w:rPr>
              <w:t>HCC</w:t>
            </w:r>
          </w:p>
        </w:tc>
        <w:tc>
          <w:tcPr>
            <w:tcW w:w="698" w:type="pct"/>
            <w:tcBorders>
              <w:top w:val="nil"/>
              <w:left w:val="nil"/>
              <w:bottom w:val="nil"/>
              <w:right w:val="nil"/>
            </w:tcBorders>
            <w:shd w:val="clear" w:color="auto" w:fill="auto"/>
            <w:noWrap/>
            <w:vAlign w:val="bottom"/>
            <w:hideMark/>
          </w:tcPr>
          <w:p w:rsidR="00100D7A" w:rsidRPr="008635B2" w:rsidRDefault="00100D7A" w:rsidP="001764F9">
            <w:pPr>
              <w:spacing w:after="0" w:line="240" w:lineRule="auto"/>
              <w:jc w:val="right"/>
              <w:rPr>
                <w:rFonts w:eastAsia="Times New Roman" w:cs="Calibri"/>
                <w:color w:val="000000"/>
                <w:sz w:val="18"/>
                <w:szCs w:val="18"/>
              </w:rPr>
            </w:pPr>
            <w:r w:rsidRPr="008635B2">
              <w:rPr>
                <w:rFonts w:eastAsia="Times New Roman" w:cs="Calibri"/>
                <w:color w:val="000000"/>
                <w:sz w:val="18"/>
                <w:szCs w:val="18"/>
              </w:rPr>
              <w:t>0.45</w:t>
            </w:r>
          </w:p>
        </w:tc>
        <w:tc>
          <w:tcPr>
            <w:tcW w:w="614" w:type="pct"/>
            <w:tcBorders>
              <w:top w:val="nil"/>
              <w:left w:val="nil"/>
              <w:bottom w:val="nil"/>
              <w:right w:val="nil"/>
            </w:tcBorders>
            <w:shd w:val="clear" w:color="auto" w:fill="auto"/>
            <w:noWrap/>
            <w:vAlign w:val="bottom"/>
            <w:hideMark/>
          </w:tcPr>
          <w:p w:rsidR="00100D7A" w:rsidRPr="008635B2" w:rsidRDefault="00100D7A" w:rsidP="001764F9">
            <w:pPr>
              <w:spacing w:after="0" w:line="240" w:lineRule="auto"/>
              <w:jc w:val="right"/>
              <w:rPr>
                <w:rFonts w:eastAsia="Times New Roman" w:cs="Calibri"/>
                <w:color w:val="000000"/>
                <w:sz w:val="18"/>
                <w:szCs w:val="18"/>
              </w:rPr>
            </w:pPr>
            <w:r>
              <w:rPr>
                <w:rFonts w:eastAsia="Times New Roman" w:cs="Calibri"/>
                <w:color w:val="000000"/>
                <w:sz w:val="18"/>
                <w:szCs w:val="18"/>
              </w:rPr>
              <w:t>–</w:t>
            </w:r>
          </w:p>
        </w:tc>
        <w:tc>
          <w:tcPr>
            <w:tcW w:w="855" w:type="pct"/>
            <w:tcBorders>
              <w:top w:val="nil"/>
              <w:left w:val="nil"/>
              <w:bottom w:val="nil"/>
              <w:right w:val="nil"/>
            </w:tcBorders>
            <w:shd w:val="clear" w:color="auto" w:fill="auto"/>
            <w:noWrap/>
            <w:vAlign w:val="bottom"/>
            <w:hideMark/>
          </w:tcPr>
          <w:p w:rsidR="00100D7A" w:rsidRPr="008635B2" w:rsidRDefault="00100D7A" w:rsidP="001764F9">
            <w:pPr>
              <w:spacing w:after="0" w:line="240" w:lineRule="auto"/>
              <w:jc w:val="right"/>
              <w:rPr>
                <w:rFonts w:eastAsia="Times New Roman" w:cs="Calibri"/>
                <w:color w:val="000000"/>
                <w:sz w:val="18"/>
                <w:szCs w:val="18"/>
              </w:rPr>
            </w:pPr>
            <w:r>
              <w:rPr>
                <w:rFonts w:eastAsia="Times New Roman" w:cs="Calibri"/>
                <w:color w:val="000000"/>
                <w:sz w:val="18"/>
                <w:szCs w:val="18"/>
              </w:rPr>
              <w:t>–</w:t>
            </w:r>
          </w:p>
        </w:tc>
        <w:tc>
          <w:tcPr>
            <w:tcW w:w="619" w:type="pct"/>
            <w:tcBorders>
              <w:top w:val="nil"/>
              <w:left w:val="nil"/>
              <w:bottom w:val="nil"/>
              <w:right w:val="nil"/>
            </w:tcBorders>
            <w:shd w:val="clear" w:color="auto" w:fill="auto"/>
            <w:noWrap/>
            <w:vAlign w:val="bottom"/>
            <w:hideMark/>
          </w:tcPr>
          <w:p w:rsidR="00100D7A" w:rsidRPr="008635B2" w:rsidRDefault="00100D7A" w:rsidP="001764F9">
            <w:pPr>
              <w:spacing w:after="0" w:line="240" w:lineRule="auto"/>
              <w:jc w:val="center"/>
              <w:rPr>
                <w:rFonts w:eastAsia="Times New Roman" w:cs="Calibri"/>
                <w:color w:val="000000"/>
                <w:sz w:val="18"/>
                <w:szCs w:val="18"/>
              </w:rPr>
            </w:pPr>
            <w:r w:rsidRPr="008635B2">
              <w:rPr>
                <w:rFonts w:eastAsia="Times New Roman" w:cs="Calibri"/>
                <w:color w:val="000000"/>
                <w:sz w:val="18"/>
                <w:szCs w:val="18"/>
              </w:rPr>
              <w:fldChar w:fldCharType="begin" w:fldLock="1"/>
            </w:r>
            <w:r>
              <w:rPr>
                <w:rFonts w:eastAsia="Times New Roman" w:cs="Calibri"/>
                <w:color w:val="000000"/>
                <w:sz w:val="18"/>
                <w:szCs w:val="18"/>
              </w:rPr>
              <w:instrText>ADDIN CSL_CITATION { "citationItems" : [ { "id" : "ITEM-1", "itemData" : { "ISBN" : "1366-5278", "ISSN" : "13665278", "PMID" : "16750059", "abstract" : "OBJECTIVES: To determine whether combined therapy with interferon-alpha and ribavirin was more effective and cost-effective than no treatment for patients with mild chronic hepatitis C. DESIGN: A multicentre, randomised, controlled, non-blinded trial assessed the efficacy of combination therapy. A Markov model used these efficacy data combined with data on transition probabilities, costs and health-related quality of life (HRQoL) to assess the lifetime cost-effectiveness of the intervention. SETTING: A multicentre NHS setting. PARTICIPANTS: Treatment-naive, adult patients with histologically mild chronic hepatitis C (Ishak necroinflammatory scores &lt;4 and fibrosis scores &lt;3 on liver biopsy). INTERVENTIONS: Patients were randomised to receive interferon-alpha and ribavirin for 48 weeks or no treatment (control). MAIN OUTCOME MEASURES: The primary outcome measure was the proportion of patients having a sustained virological response (SVR), measured at 6 months after cessation of therapy. Secondary outcome measures were: the ability of early phase kinetics to predict the eventual outcome of treating mild disease; HRQoL measured using the Short Form 36 and EuroQol (5 Dimensions) questionnaires, and the cost per quality-adjusted life-year (QALY) of interferon-alpha and ribavirin for mild disease compared with no treatment. RESULTS: In the treatment group, 32 out of 98 patients (33%) achieved an SVR. Patients infected with genotype 1 had a lower SVR than those infected with genotype non-1 (18% versus 49%, p = 0.02). No patients who failed to achieve a 2-log drop in viral load at 12 weeks achieved an SVR. HRQoL fell during treatment and rose with treatment cessation. For patients having an SVR there were modest improvements in HRQoL at 6 months post-treatment. The mean cost per QALY gained was 4535 pounds sterling for 40-year-old patients with genotype non-1 and 25,188 pounds sterling for patients with genotype 1. For patients with genotype 1 aged 65, providing interferon-alpha and ribavirin for mild disease led to fewer QALYs gained, and a mean cost per QALY of 53,017 pounds sterling. The model using efficacy estimates from the literature, showed that the cost per QALY gained from providing pegylated interferon alpha-2b and ribavirin at a mild stage rather than a moderate stage was 7821 pounds sterling for patients with genotype non-1 and 28,409 pounds sterling for patients with genotype 1. CONCLUSIONS: Based on the evidence collected in this study, interferon\u2026", "author" : [ { "dropping-particle" : "", "family" : "Wright", "given" : "M.", "non-dropping-particle" : "", "parse-names" : false, "suffix" : "" }, { "dropping-particle" : "", "family" : "Grieve", "given" : "R.", "non-dropping-particle" : "", "parse-names" : false, "suffix" : "" }, { "dropping-particle" : "", "family" : "Roberts", "given" : "J.", "non-dropping-particle" : "", "parse-names" : false, "suffix" : "" }, { "dropping-particle" : "", "family" : "Main", "given" : "J.", "non-dropping-particle" : "", "parse-names" : false, "suffix" : "" }, { "dropping-particle" : "", "family" : "Thomas", "given" : "H. C.", "non-dropping-particle" : "", "parse-names" : false, "suffix" : "" }, { "dropping-particle" : "", "family" : "UK Mild Hepatitis C Trial Investigators", "given" : "", "non-dropping-particle" : "", "parse-names" : false, "suffix" : "" } ], "container-title" : "Health technology assessment (NHS)", "id" : "ITEM-1", "issue" : "21", "issued" : { "date-parts" : [ [ "2006" ] ] }, "title" : "Health benefits of antiviral therapy for mild chronic hepatitis C: randomised controlled trial and economic evaluation.", "type" : "article-journal", "volume" : "10" }, "uris" : [ "http://www.mendeley.com/documents/?uuid=66ba4aa8-b8ad-4aac-8c62-f3a523206a64" ] } ], "mendeley" : { "formattedCitation" : "[22]", "plainTextFormattedCitation" : "[22]", "previouslyFormattedCitation" : "[22]" }, "properties" : { "noteIndex" : 0 }, "schema" : "https://github.com/citation-style-language/schema/raw/master/csl-citation.json" }</w:instrText>
            </w:r>
            <w:r w:rsidRPr="008635B2">
              <w:rPr>
                <w:rFonts w:eastAsia="Times New Roman" w:cs="Calibri"/>
                <w:color w:val="000000"/>
                <w:sz w:val="18"/>
                <w:szCs w:val="18"/>
              </w:rPr>
              <w:fldChar w:fldCharType="separate"/>
            </w:r>
            <w:r w:rsidRPr="00E46EFA">
              <w:rPr>
                <w:rFonts w:eastAsia="Times New Roman" w:cs="Calibri"/>
                <w:noProof/>
                <w:color w:val="000000"/>
                <w:sz w:val="18"/>
                <w:szCs w:val="18"/>
              </w:rPr>
              <w:t>[22]</w:t>
            </w:r>
            <w:r w:rsidRPr="008635B2">
              <w:rPr>
                <w:rFonts w:eastAsia="Times New Roman" w:cs="Calibri"/>
                <w:color w:val="000000"/>
                <w:sz w:val="18"/>
                <w:szCs w:val="18"/>
              </w:rPr>
              <w:fldChar w:fldCharType="end"/>
            </w:r>
          </w:p>
        </w:tc>
      </w:tr>
      <w:tr w:rsidR="00100D7A" w:rsidRPr="008635B2" w:rsidTr="001764F9">
        <w:trPr>
          <w:trHeight w:val="285"/>
        </w:trPr>
        <w:tc>
          <w:tcPr>
            <w:tcW w:w="2214" w:type="pct"/>
            <w:tcBorders>
              <w:top w:val="nil"/>
              <w:left w:val="nil"/>
              <w:bottom w:val="nil"/>
              <w:right w:val="nil"/>
            </w:tcBorders>
            <w:shd w:val="clear" w:color="auto" w:fill="auto"/>
            <w:noWrap/>
            <w:vAlign w:val="bottom"/>
            <w:hideMark/>
          </w:tcPr>
          <w:p w:rsidR="00100D7A" w:rsidRPr="008635B2" w:rsidRDefault="00100D7A" w:rsidP="001764F9">
            <w:pPr>
              <w:spacing w:after="0" w:line="240" w:lineRule="auto"/>
              <w:rPr>
                <w:rFonts w:eastAsia="Times New Roman" w:cs="Calibri"/>
                <w:color w:val="000000"/>
                <w:sz w:val="18"/>
                <w:szCs w:val="18"/>
              </w:rPr>
            </w:pPr>
            <w:r w:rsidRPr="008635B2">
              <w:rPr>
                <w:rFonts w:eastAsia="Times New Roman" w:cs="Calibri"/>
                <w:color w:val="000000"/>
                <w:sz w:val="18"/>
                <w:szCs w:val="18"/>
              </w:rPr>
              <w:t>LTX</w:t>
            </w:r>
          </w:p>
        </w:tc>
        <w:tc>
          <w:tcPr>
            <w:tcW w:w="698" w:type="pct"/>
            <w:tcBorders>
              <w:top w:val="nil"/>
              <w:left w:val="nil"/>
              <w:bottom w:val="nil"/>
              <w:right w:val="nil"/>
            </w:tcBorders>
            <w:shd w:val="clear" w:color="auto" w:fill="auto"/>
            <w:noWrap/>
            <w:vAlign w:val="bottom"/>
            <w:hideMark/>
          </w:tcPr>
          <w:p w:rsidR="00100D7A" w:rsidRPr="008635B2" w:rsidRDefault="00100D7A" w:rsidP="001764F9">
            <w:pPr>
              <w:spacing w:after="0" w:line="240" w:lineRule="auto"/>
              <w:jc w:val="right"/>
              <w:rPr>
                <w:rFonts w:eastAsia="Times New Roman" w:cs="Calibri"/>
                <w:color w:val="000000"/>
                <w:sz w:val="18"/>
                <w:szCs w:val="18"/>
              </w:rPr>
            </w:pPr>
            <w:r w:rsidRPr="008635B2">
              <w:rPr>
                <w:rFonts w:eastAsia="Times New Roman" w:cs="Calibri"/>
                <w:color w:val="000000"/>
                <w:sz w:val="18"/>
                <w:szCs w:val="18"/>
              </w:rPr>
              <w:t>0.45</w:t>
            </w:r>
          </w:p>
        </w:tc>
        <w:tc>
          <w:tcPr>
            <w:tcW w:w="614" w:type="pct"/>
            <w:tcBorders>
              <w:top w:val="nil"/>
              <w:left w:val="nil"/>
              <w:bottom w:val="nil"/>
              <w:right w:val="nil"/>
            </w:tcBorders>
            <w:shd w:val="clear" w:color="auto" w:fill="auto"/>
            <w:noWrap/>
            <w:vAlign w:val="bottom"/>
            <w:hideMark/>
          </w:tcPr>
          <w:p w:rsidR="00100D7A" w:rsidRPr="008635B2" w:rsidRDefault="00100D7A" w:rsidP="001764F9">
            <w:pPr>
              <w:spacing w:after="0" w:line="240" w:lineRule="auto"/>
              <w:jc w:val="right"/>
              <w:rPr>
                <w:rFonts w:eastAsia="Times New Roman" w:cs="Calibri"/>
                <w:color w:val="000000"/>
                <w:sz w:val="18"/>
                <w:szCs w:val="18"/>
              </w:rPr>
            </w:pPr>
            <w:r>
              <w:rPr>
                <w:rFonts w:eastAsia="Times New Roman" w:cs="Calibri"/>
                <w:color w:val="000000"/>
                <w:sz w:val="18"/>
                <w:szCs w:val="18"/>
              </w:rPr>
              <w:t>–</w:t>
            </w:r>
          </w:p>
        </w:tc>
        <w:tc>
          <w:tcPr>
            <w:tcW w:w="855" w:type="pct"/>
            <w:tcBorders>
              <w:top w:val="nil"/>
              <w:left w:val="nil"/>
              <w:bottom w:val="nil"/>
              <w:right w:val="nil"/>
            </w:tcBorders>
            <w:shd w:val="clear" w:color="auto" w:fill="auto"/>
            <w:noWrap/>
            <w:vAlign w:val="bottom"/>
            <w:hideMark/>
          </w:tcPr>
          <w:p w:rsidR="00100D7A" w:rsidRPr="008635B2" w:rsidRDefault="00100D7A" w:rsidP="001764F9">
            <w:pPr>
              <w:spacing w:after="0" w:line="240" w:lineRule="auto"/>
              <w:jc w:val="right"/>
              <w:rPr>
                <w:rFonts w:eastAsia="Times New Roman" w:cs="Calibri"/>
                <w:color w:val="000000"/>
                <w:sz w:val="18"/>
                <w:szCs w:val="18"/>
              </w:rPr>
            </w:pPr>
            <w:r>
              <w:rPr>
                <w:rFonts w:eastAsia="Times New Roman" w:cs="Calibri"/>
                <w:color w:val="000000"/>
                <w:sz w:val="18"/>
                <w:szCs w:val="18"/>
              </w:rPr>
              <w:t>–</w:t>
            </w:r>
          </w:p>
        </w:tc>
        <w:tc>
          <w:tcPr>
            <w:tcW w:w="619" w:type="pct"/>
            <w:tcBorders>
              <w:top w:val="nil"/>
              <w:left w:val="nil"/>
              <w:bottom w:val="nil"/>
              <w:right w:val="nil"/>
            </w:tcBorders>
            <w:shd w:val="clear" w:color="auto" w:fill="auto"/>
            <w:noWrap/>
            <w:vAlign w:val="bottom"/>
            <w:hideMark/>
          </w:tcPr>
          <w:p w:rsidR="00100D7A" w:rsidRPr="008635B2" w:rsidRDefault="00100D7A" w:rsidP="001764F9">
            <w:pPr>
              <w:spacing w:after="0" w:line="240" w:lineRule="auto"/>
              <w:jc w:val="center"/>
              <w:rPr>
                <w:rFonts w:eastAsia="Times New Roman" w:cs="Calibri"/>
                <w:color w:val="000000"/>
                <w:sz w:val="18"/>
                <w:szCs w:val="18"/>
              </w:rPr>
            </w:pPr>
            <w:r>
              <w:rPr>
                <w:rFonts w:eastAsia="Times New Roman" w:cs="Calibri"/>
                <w:color w:val="000000"/>
                <w:sz w:val="18"/>
                <w:szCs w:val="18"/>
              </w:rPr>
              <w:t>Assumption</w:t>
            </w:r>
          </w:p>
        </w:tc>
      </w:tr>
      <w:tr w:rsidR="00100D7A" w:rsidRPr="008635B2" w:rsidTr="001764F9">
        <w:trPr>
          <w:trHeight w:val="285"/>
        </w:trPr>
        <w:tc>
          <w:tcPr>
            <w:tcW w:w="2214" w:type="pct"/>
            <w:tcBorders>
              <w:top w:val="nil"/>
              <w:left w:val="nil"/>
              <w:right w:val="nil"/>
            </w:tcBorders>
            <w:shd w:val="clear" w:color="auto" w:fill="auto"/>
            <w:noWrap/>
            <w:vAlign w:val="bottom"/>
            <w:hideMark/>
          </w:tcPr>
          <w:p w:rsidR="00100D7A" w:rsidRPr="008635B2" w:rsidRDefault="00100D7A" w:rsidP="001764F9">
            <w:pPr>
              <w:spacing w:after="0" w:line="240" w:lineRule="auto"/>
              <w:rPr>
                <w:rFonts w:eastAsia="Times New Roman" w:cs="Calibri"/>
                <w:color w:val="000000"/>
                <w:sz w:val="18"/>
                <w:szCs w:val="18"/>
              </w:rPr>
            </w:pPr>
            <w:r w:rsidRPr="008635B2">
              <w:rPr>
                <w:rFonts w:eastAsia="Times New Roman" w:cs="Calibri"/>
                <w:color w:val="000000"/>
                <w:sz w:val="18"/>
                <w:szCs w:val="18"/>
              </w:rPr>
              <w:t>Post-LTX</w:t>
            </w:r>
          </w:p>
        </w:tc>
        <w:tc>
          <w:tcPr>
            <w:tcW w:w="698" w:type="pct"/>
            <w:tcBorders>
              <w:top w:val="nil"/>
              <w:left w:val="nil"/>
              <w:right w:val="nil"/>
            </w:tcBorders>
            <w:shd w:val="clear" w:color="auto" w:fill="auto"/>
            <w:noWrap/>
            <w:vAlign w:val="bottom"/>
            <w:hideMark/>
          </w:tcPr>
          <w:p w:rsidR="00100D7A" w:rsidRPr="008635B2" w:rsidRDefault="00100D7A" w:rsidP="001764F9">
            <w:pPr>
              <w:spacing w:after="0" w:line="240" w:lineRule="auto"/>
              <w:jc w:val="right"/>
              <w:rPr>
                <w:rFonts w:eastAsia="Times New Roman" w:cs="Calibri"/>
                <w:color w:val="000000"/>
                <w:sz w:val="18"/>
                <w:szCs w:val="18"/>
              </w:rPr>
            </w:pPr>
            <w:r w:rsidRPr="008635B2">
              <w:rPr>
                <w:rFonts w:eastAsia="Times New Roman" w:cs="Calibri"/>
                <w:color w:val="000000"/>
                <w:sz w:val="18"/>
                <w:szCs w:val="18"/>
              </w:rPr>
              <w:t>0.67</w:t>
            </w:r>
          </w:p>
        </w:tc>
        <w:tc>
          <w:tcPr>
            <w:tcW w:w="614" w:type="pct"/>
            <w:tcBorders>
              <w:top w:val="nil"/>
              <w:left w:val="nil"/>
              <w:right w:val="nil"/>
            </w:tcBorders>
            <w:shd w:val="clear" w:color="auto" w:fill="auto"/>
            <w:noWrap/>
            <w:vAlign w:val="bottom"/>
            <w:hideMark/>
          </w:tcPr>
          <w:p w:rsidR="00100D7A" w:rsidRPr="008635B2" w:rsidRDefault="00100D7A" w:rsidP="001764F9">
            <w:pPr>
              <w:spacing w:after="0" w:line="240" w:lineRule="auto"/>
              <w:jc w:val="right"/>
              <w:rPr>
                <w:rFonts w:eastAsia="Times New Roman" w:cs="Calibri"/>
                <w:color w:val="000000"/>
                <w:sz w:val="18"/>
                <w:szCs w:val="18"/>
              </w:rPr>
            </w:pPr>
            <w:r>
              <w:rPr>
                <w:rFonts w:eastAsia="Times New Roman" w:cs="Calibri"/>
                <w:color w:val="000000"/>
                <w:sz w:val="18"/>
                <w:szCs w:val="18"/>
              </w:rPr>
              <w:t>–</w:t>
            </w:r>
          </w:p>
        </w:tc>
        <w:tc>
          <w:tcPr>
            <w:tcW w:w="855" w:type="pct"/>
            <w:tcBorders>
              <w:top w:val="nil"/>
              <w:left w:val="nil"/>
              <w:right w:val="nil"/>
            </w:tcBorders>
            <w:shd w:val="clear" w:color="auto" w:fill="auto"/>
            <w:noWrap/>
            <w:vAlign w:val="bottom"/>
            <w:hideMark/>
          </w:tcPr>
          <w:p w:rsidR="00100D7A" w:rsidRPr="008635B2" w:rsidRDefault="00100D7A" w:rsidP="001764F9">
            <w:pPr>
              <w:spacing w:after="0" w:line="240" w:lineRule="auto"/>
              <w:jc w:val="right"/>
              <w:rPr>
                <w:rFonts w:eastAsia="Times New Roman" w:cs="Calibri"/>
                <w:color w:val="000000"/>
                <w:sz w:val="18"/>
                <w:szCs w:val="18"/>
              </w:rPr>
            </w:pPr>
            <w:r>
              <w:rPr>
                <w:rFonts w:eastAsia="Times New Roman" w:cs="Calibri"/>
                <w:color w:val="000000"/>
                <w:sz w:val="18"/>
                <w:szCs w:val="18"/>
              </w:rPr>
              <w:t>–</w:t>
            </w:r>
          </w:p>
        </w:tc>
        <w:tc>
          <w:tcPr>
            <w:tcW w:w="619" w:type="pct"/>
            <w:tcBorders>
              <w:top w:val="nil"/>
              <w:left w:val="nil"/>
              <w:right w:val="nil"/>
            </w:tcBorders>
            <w:shd w:val="clear" w:color="auto" w:fill="auto"/>
            <w:noWrap/>
            <w:vAlign w:val="bottom"/>
            <w:hideMark/>
          </w:tcPr>
          <w:p w:rsidR="00100D7A" w:rsidRPr="008635B2" w:rsidRDefault="00100D7A" w:rsidP="001764F9">
            <w:pPr>
              <w:spacing w:after="0" w:line="240" w:lineRule="auto"/>
              <w:jc w:val="center"/>
              <w:rPr>
                <w:rFonts w:eastAsia="Times New Roman" w:cs="Calibri"/>
                <w:color w:val="000000"/>
                <w:sz w:val="18"/>
                <w:szCs w:val="18"/>
              </w:rPr>
            </w:pPr>
            <w:r w:rsidRPr="008635B2">
              <w:rPr>
                <w:rFonts w:eastAsia="Times New Roman" w:cs="Calibri"/>
                <w:color w:val="000000"/>
                <w:sz w:val="18"/>
                <w:szCs w:val="18"/>
              </w:rPr>
              <w:fldChar w:fldCharType="begin" w:fldLock="1"/>
            </w:r>
            <w:r>
              <w:rPr>
                <w:rFonts w:eastAsia="Times New Roman" w:cs="Calibri"/>
                <w:color w:val="000000"/>
                <w:sz w:val="18"/>
                <w:szCs w:val="18"/>
              </w:rPr>
              <w:instrText>ADDIN CSL_CITATION { "citationItems" : [ { "id" : "ITEM-1", "itemData" : { "ISBN" : "1366-5278", "ISSN" : "13665278", "PMID" : "16750059", "abstract" : "OBJECTIVES: To determine whether combined therapy with interferon-alpha and ribavirin was more effective and cost-effective than no treatment for patients with mild chronic hepatitis C. DESIGN: A multicentre, randomised, controlled, non-blinded trial assessed the efficacy of combination therapy. A Markov model used these efficacy data combined with data on transition probabilities, costs and health-related quality of life (HRQoL) to assess the lifetime cost-effectiveness of the intervention. SETTING: A multicentre NHS setting. PARTICIPANTS: Treatment-naive, adult patients with histologically mild chronic hepatitis C (Ishak necroinflammatory scores &lt;4 and fibrosis scores &lt;3 on liver biopsy). INTERVENTIONS: Patients were randomised to receive interferon-alpha and ribavirin for 48 weeks or no treatment (control). MAIN OUTCOME MEASURES: The primary outcome measure was the proportion of patients having a sustained virological response (SVR), measured at 6 months after cessation of therapy. Secondary outcome measures were: the ability of early phase kinetics to predict the eventual outcome of treating mild disease; HRQoL measured using the Short Form 36 and EuroQol (5 Dimensions) questionnaires, and the cost per quality-adjusted life-year (QALY) of interferon-alpha and ribavirin for mild disease compared with no treatment. RESULTS: In the treatment group, 32 out of 98 patients (33%) achieved an SVR. Patients infected with genotype 1 had a lower SVR than those infected with genotype non-1 (18% versus 49%, p = 0.02). No patients who failed to achieve a 2-log drop in viral load at 12 weeks achieved an SVR. HRQoL fell during treatment and rose with treatment cessation. For patients having an SVR there were modest improvements in HRQoL at 6 months post-treatment. The mean cost per QALY gained was 4535 pounds sterling for 40-year-old patients with genotype non-1 and 25,188 pounds sterling for patients with genotype 1. For patients with genotype 1 aged 65, providing interferon-alpha and ribavirin for mild disease led to fewer QALYs gained, and a mean cost per QALY of 53,017 pounds sterling. The model using efficacy estimates from the literature, showed that the cost per QALY gained from providing pegylated interferon alpha-2b and ribavirin at a mild stage rather than a moderate stage was 7821 pounds sterling for patients with genotype non-1 and 28,409 pounds sterling for patients with genotype 1. CONCLUSIONS: Based on the evidence collected in this study, interferon\u2026", "author" : [ { "dropping-particle" : "", "family" : "Wright", "given" : "M.", "non-dropping-particle" : "", "parse-names" : false, "suffix" : "" }, { "dropping-particle" : "", "family" : "Grieve", "given" : "R.", "non-dropping-particle" : "", "parse-names" : false, "suffix" : "" }, { "dropping-particle" : "", "family" : "Roberts", "given" : "J.", "non-dropping-particle" : "", "parse-names" : false, "suffix" : "" }, { "dropping-particle" : "", "family" : "Main", "given" : "J.", "non-dropping-particle" : "", "parse-names" : false, "suffix" : "" }, { "dropping-particle" : "", "family" : "Thomas", "given" : "H. C.", "non-dropping-particle" : "", "parse-names" : false, "suffix" : "" }, { "dropping-particle" : "", "family" : "UK Mild Hepatitis C Trial Investigators", "given" : "", "non-dropping-particle" : "", "parse-names" : false, "suffix" : "" } ], "container-title" : "Health technology assessment (NHS)", "id" : "ITEM-1", "issue" : "21", "issued" : { "date-parts" : [ [ "2006" ] ] }, "title" : "Health benefits of antiviral therapy for mild chronic hepatitis C: randomised controlled trial and economic evaluation.", "type" : "article-journal", "volume" : "10" }, "uris" : [ "http://www.mendeley.com/documents/?uuid=66ba4aa8-b8ad-4aac-8c62-f3a523206a64" ] } ], "mendeley" : { "formattedCitation" : "[22]", "plainTextFormattedCitation" : "[22]", "previouslyFormattedCitation" : "[22]" }, "properties" : { "noteIndex" : 0 }, "schema" : "https://github.com/citation-style-language/schema/raw/master/csl-citation.json" }</w:instrText>
            </w:r>
            <w:r w:rsidRPr="008635B2">
              <w:rPr>
                <w:rFonts w:eastAsia="Times New Roman" w:cs="Calibri"/>
                <w:color w:val="000000"/>
                <w:sz w:val="18"/>
                <w:szCs w:val="18"/>
              </w:rPr>
              <w:fldChar w:fldCharType="separate"/>
            </w:r>
            <w:r w:rsidRPr="00E46EFA">
              <w:rPr>
                <w:rFonts w:eastAsia="Times New Roman" w:cs="Calibri"/>
                <w:noProof/>
                <w:color w:val="000000"/>
                <w:sz w:val="18"/>
                <w:szCs w:val="18"/>
              </w:rPr>
              <w:t>[22]</w:t>
            </w:r>
            <w:r w:rsidRPr="008635B2">
              <w:rPr>
                <w:rFonts w:eastAsia="Times New Roman" w:cs="Calibri"/>
                <w:color w:val="000000"/>
                <w:sz w:val="18"/>
                <w:szCs w:val="18"/>
              </w:rPr>
              <w:fldChar w:fldCharType="end"/>
            </w:r>
          </w:p>
        </w:tc>
      </w:tr>
      <w:tr w:rsidR="00100D7A" w:rsidRPr="008635B2" w:rsidTr="001764F9">
        <w:trPr>
          <w:trHeight w:val="285"/>
        </w:trPr>
        <w:tc>
          <w:tcPr>
            <w:tcW w:w="2214" w:type="pct"/>
            <w:tcBorders>
              <w:top w:val="nil"/>
              <w:left w:val="nil"/>
              <w:right w:val="nil"/>
            </w:tcBorders>
            <w:shd w:val="clear" w:color="auto" w:fill="auto"/>
            <w:noWrap/>
            <w:vAlign w:val="bottom"/>
            <w:hideMark/>
          </w:tcPr>
          <w:p w:rsidR="00100D7A" w:rsidRPr="008635B2" w:rsidRDefault="00100D7A" w:rsidP="001764F9">
            <w:pPr>
              <w:spacing w:after="0" w:line="240" w:lineRule="auto"/>
              <w:rPr>
                <w:rFonts w:eastAsia="Times New Roman" w:cs="Calibri"/>
                <w:color w:val="000000"/>
                <w:sz w:val="18"/>
                <w:szCs w:val="18"/>
              </w:rPr>
            </w:pPr>
            <w:r w:rsidRPr="008635B2">
              <w:rPr>
                <w:rFonts w:eastAsia="Times New Roman" w:cs="Calibri"/>
                <w:color w:val="000000"/>
                <w:sz w:val="18"/>
                <w:szCs w:val="18"/>
              </w:rPr>
              <w:t>Death</w:t>
            </w:r>
          </w:p>
        </w:tc>
        <w:tc>
          <w:tcPr>
            <w:tcW w:w="698" w:type="pct"/>
            <w:tcBorders>
              <w:top w:val="nil"/>
              <w:left w:val="nil"/>
              <w:right w:val="nil"/>
            </w:tcBorders>
            <w:shd w:val="clear" w:color="auto" w:fill="auto"/>
            <w:noWrap/>
            <w:vAlign w:val="bottom"/>
            <w:hideMark/>
          </w:tcPr>
          <w:p w:rsidR="00100D7A" w:rsidRPr="008635B2" w:rsidRDefault="00100D7A" w:rsidP="001764F9">
            <w:pPr>
              <w:spacing w:after="0" w:line="240" w:lineRule="auto"/>
              <w:jc w:val="right"/>
              <w:rPr>
                <w:rFonts w:eastAsia="Times New Roman" w:cs="Calibri"/>
                <w:color w:val="000000"/>
                <w:sz w:val="18"/>
                <w:szCs w:val="18"/>
              </w:rPr>
            </w:pPr>
            <w:r w:rsidRPr="008635B2">
              <w:rPr>
                <w:rFonts w:eastAsia="Times New Roman" w:cs="Calibri"/>
                <w:color w:val="000000"/>
                <w:sz w:val="18"/>
                <w:szCs w:val="18"/>
              </w:rPr>
              <w:t>0.0</w:t>
            </w:r>
          </w:p>
        </w:tc>
        <w:tc>
          <w:tcPr>
            <w:tcW w:w="614" w:type="pct"/>
            <w:tcBorders>
              <w:top w:val="nil"/>
              <w:left w:val="nil"/>
              <w:right w:val="nil"/>
            </w:tcBorders>
            <w:shd w:val="clear" w:color="auto" w:fill="auto"/>
            <w:noWrap/>
            <w:vAlign w:val="bottom"/>
            <w:hideMark/>
          </w:tcPr>
          <w:p w:rsidR="00100D7A" w:rsidRPr="008635B2" w:rsidRDefault="00100D7A" w:rsidP="001764F9">
            <w:pPr>
              <w:spacing w:after="0" w:line="240" w:lineRule="auto"/>
              <w:jc w:val="right"/>
              <w:rPr>
                <w:rFonts w:eastAsia="Times New Roman" w:cs="Calibri"/>
                <w:color w:val="000000"/>
                <w:sz w:val="18"/>
                <w:szCs w:val="18"/>
              </w:rPr>
            </w:pPr>
            <w:r>
              <w:rPr>
                <w:rFonts w:eastAsia="Times New Roman" w:cs="Calibri"/>
                <w:color w:val="000000"/>
                <w:sz w:val="18"/>
                <w:szCs w:val="18"/>
              </w:rPr>
              <w:t>–</w:t>
            </w:r>
          </w:p>
        </w:tc>
        <w:tc>
          <w:tcPr>
            <w:tcW w:w="855" w:type="pct"/>
            <w:tcBorders>
              <w:top w:val="nil"/>
              <w:left w:val="nil"/>
              <w:right w:val="nil"/>
            </w:tcBorders>
            <w:shd w:val="clear" w:color="auto" w:fill="auto"/>
            <w:noWrap/>
            <w:vAlign w:val="bottom"/>
            <w:hideMark/>
          </w:tcPr>
          <w:p w:rsidR="00100D7A" w:rsidRPr="008635B2" w:rsidRDefault="00100D7A" w:rsidP="001764F9">
            <w:pPr>
              <w:spacing w:after="0" w:line="240" w:lineRule="auto"/>
              <w:jc w:val="right"/>
              <w:rPr>
                <w:rFonts w:eastAsia="Times New Roman" w:cs="Calibri"/>
                <w:color w:val="000000"/>
                <w:sz w:val="18"/>
                <w:szCs w:val="18"/>
              </w:rPr>
            </w:pPr>
            <w:r>
              <w:rPr>
                <w:rFonts w:eastAsia="Times New Roman" w:cs="Calibri"/>
                <w:color w:val="000000"/>
                <w:sz w:val="18"/>
                <w:szCs w:val="18"/>
              </w:rPr>
              <w:t>–</w:t>
            </w:r>
          </w:p>
        </w:tc>
        <w:tc>
          <w:tcPr>
            <w:tcW w:w="619" w:type="pct"/>
            <w:tcBorders>
              <w:top w:val="nil"/>
              <w:left w:val="nil"/>
              <w:right w:val="nil"/>
            </w:tcBorders>
            <w:shd w:val="clear" w:color="auto" w:fill="auto"/>
            <w:noWrap/>
            <w:vAlign w:val="bottom"/>
            <w:hideMark/>
          </w:tcPr>
          <w:p w:rsidR="00100D7A" w:rsidRPr="008635B2" w:rsidRDefault="00100D7A" w:rsidP="001764F9">
            <w:pPr>
              <w:spacing w:after="0" w:line="240" w:lineRule="auto"/>
              <w:jc w:val="center"/>
              <w:rPr>
                <w:rFonts w:eastAsia="Times New Roman" w:cs="Calibri"/>
                <w:color w:val="000000"/>
                <w:sz w:val="18"/>
                <w:szCs w:val="18"/>
              </w:rPr>
            </w:pPr>
            <w:r>
              <w:rPr>
                <w:rFonts w:eastAsia="Times New Roman" w:cs="Calibri"/>
                <w:color w:val="000000"/>
                <w:sz w:val="18"/>
                <w:szCs w:val="18"/>
              </w:rPr>
              <w:t>Assumption</w:t>
            </w:r>
          </w:p>
        </w:tc>
      </w:tr>
      <w:tr w:rsidR="00100D7A" w:rsidRPr="008635B2" w:rsidTr="001764F9">
        <w:trPr>
          <w:trHeight w:val="285"/>
        </w:trPr>
        <w:tc>
          <w:tcPr>
            <w:tcW w:w="2214" w:type="pct"/>
            <w:tcBorders>
              <w:top w:val="nil"/>
              <w:left w:val="nil"/>
              <w:right w:val="nil"/>
            </w:tcBorders>
            <w:shd w:val="clear" w:color="auto" w:fill="auto"/>
            <w:noWrap/>
            <w:vAlign w:val="bottom"/>
          </w:tcPr>
          <w:p w:rsidR="00100D7A" w:rsidRPr="008635B2" w:rsidRDefault="00100D7A" w:rsidP="001764F9">
            <w:pPr>
              <w:spacing w:after="0" w:line="240" w:lineRule="auto"/>
              <w:rPr>
                <w:rFonts w:eastAsia="Times New Roman" w:cs="Calibri"/>
                <w:color w:val="000000"/>
                <w:sz w:val="18"/>
                <w:szCs w:val="18"/>
              </w:rPr>
            </w:pPr>
            <w:r w:rsidRPr="003D4E23">
              <w:rPr>
                <w:rFonts w:eastAsia="Times New Roman" w:cs="Calibri"/>
                <w:color w:val="000000"/>
                <w:sz w:val="18"/>
                <w:szCs w:val="18"/>
              </w:rPr>
              <w:t xml:space="preserve">Utility </w:t>
            </w:r>
            <w:r>
              <w:rPr>
                <w:rFonts w:eastAsia="Times New Roman" w:cs="Calibri"/>
                <w:color w:val="000000"/>
                <w:sz w:val="18"/>
                <w:szCs w:val="18"/>
              </w:rPr>
              <w:t>decrement</w:t>
            </w:r>
            <w:r w:rsidRPr="003D4E23">
              <w:rPr>
                <w:rFonts w:eastAsia="Times New Roman" w:cs="Calibri"/>
                <w:color w:val="000000"/>
                <w:sz w:val="18"/>
                <w:szCs w:val="18"/>
              </w:rPr>
              <w:t xml:space="preserve"> </w:t>
            </w:r>
            <w:r>
              <w:rPr>
                <w:rFonts w:eastAsia="Times New Roman" w:cs="Calibri"/>
                <w:color w:val="000000"/>
                <w:sz w:val="18"/>
                <w:szCs w:val="18"/>
              </w:rPr>
              <w:t>if nonfatal adverse events related to biopsy</w:t>
            </w:r>
          </w:p>
        </w:tc>
        <w:tc>
          <w:tcPr>
            <w:tcW w:w="698" w:type="pct"/>
            <w:tcBorders>
              <w:top w:val="nil"/>
              <w:left w:val="nil"/>
              <w:right w:val="nil"/>
            </w:tcBorders>
            <w:shd w:val="clear" w:color="auto" w:fill="auto"/>
            <w:noWrap/>
            <w:vAlign w:val="bottom"/>
          </w:tcPr>
          <w:p w:rsidR="00100D7A" w:rsidRPr="008635B2" w:rsidRDefault="00100D7A" w:rsidP="001764F9">
            <w:pPr>
              <w:spacing w:after="0" w:line="240" w:lineRule="auto"/>
              <w:jc w:val="right"/>
              <w:rPr>
                <w:rFonts w:eastAsia="Times New Roman" w:cs="Calibri"/>
                <w:color w:val="000000"/>
                <w:sz w:val="18"/>
                <w:szCs w:val="18"/>
              </w:rPr>
            </w:pPr>
            <w:r>
              <w:rPr>
                <w:rFonts w:eastAsia="Times New Roman" w:cs="Calibri"/>
                <w:color w:val="000000"/>
                <w:sz w:val="18"/>
                <w:szCs w:val="18"/>
              </w:rPr>
              <w:t>0.20</w:t>
            </w:r>
          </w:p>
        </w:tc>
        <w:tc>
          <w:tcPr>
            <w:tcW w:w="614" w:type="pct"/>
            <w:tcBorders>
              <w:top w:val="nil"/>
              <w:left w:val="nil"/>
              <w:right w:val="nil"/>
            </w:tcBorders>
            <w:shd w:val="clear" w:color="auto" w:fill="auto"/>
            <w:noWrap/>
            <w:vAlign w:val="bottom"/>
          </w:tcPr>
          <w:p w:rsidR="00100D7A" w:rsidRPr="008635B2" w:rsidRDefault="00100D7A" w:rsidP="001764F9">
            <w:pPr>
              <w:spacing w:after="0" w:line="240" w:lineRule="auto"/>
              <w:jc w:val="right"/>
              <w:rPr>
                <w:rFonts w:eastAsia="Times New Roman" w:cs="Calibri"/>
                <w:color w:val="000000"/>
                <w:sz w:val="18"/>
                <w:szCs w:val="18"/>
              </w:rPr>
            </w:pPr>
            <w:r>
              <w:rPr>
                <w:rFonts w:eastAsia="Times New Roman" w:cs="Calibri"/>
                <w:color w:val="000000"/>
                <w:sz w:val="18"/>
                <w:szCs w:val="18"/>
              </w:rPr>
              <w:t>0.10</w:t>
            </w:r>
            <w:r w:rsidRPr="008635B2">
              <w:rPr>
                <w:rFonts w:eastAsia="Times New Roman" w:cs="Calibri"/>
                <w:color w:val="000000"/>
                <w:sz w:val="18"/>
                <w:szCs w:val="18"/>
              </w:rPr>
              <w:t>−</w:t>
            </w:r>
            <w:r>
              <w:rPr>
                <w:rFonts w:eastAsia="Times New Roman" w:cs="Calibri"/>
                <w:color w:val="000000"/>
                <w:sz w:val="18"/>
                <w:szCs w:val="18"/>
              </w:rPr>
              <w:t>0.25</w:t>
            </w:r>
          </w:p>
        </w:tc>
        <w:tc>
          <w:tcPr>
            <w:tcW w:w="855" w:type="pct"/>
            <w:tcBorders>
              <w:top w:val="nil"/>
              <w:left w:val="nil"/>
              <w:right w:val="nil"/>
            </w:tcBorders>
            <w:shd w:val="clear" w:color="auto" w:fill="auto"/>
            <w:noWrap/>
            <w:vAlign w:val="bottom"/>
          </w:tcPr>
          <w:p w:rsidR="00100D7A" w:rsidRPr="008635B2" w:rsidRDefault="00100D7A" w:rsidP="001764F9">
            <w:pPr>
              <w:spacing w:after="0" w:line="240" w:lineRule="auto"/>
              <w:jc w:val="right"/>
              <w:rPr>
                <w:rFonts w:eastAsia="Times New Roman" w:cs="Calibri"/>
                <w:color w:val="000000"/>
                <w:sz w:val="18"/>
                <w:szCs w:val="18"/>
              </w:rPr>
            </w:pPr>
            <w:r>
              <w:rPr>
                <w:rFonts w:eastAsia="Times New Roman" w:cs="Calibri"/>
                <w:color w:val="000000"/>
                <w:sz w:val="18"/>
                <w:szCs w:val="18"/>
              </w:rPr>
              <w:t>U(0.10;0.25)</w:t>
            </w:r>
          </w:p>
        </w:tc>
        <w:tc>
          <w:tcPr>
            <w:tcW w:w="619" w:type="pct"/>
            <w:tcBorders>
              <w:top w:val="nil"/>
              <w:left w:val="nil"/>
              <w:right w:val="nil"/>
            </w:tcBorders>
            <w:shd w:val="clear" w:color="auto" w:fill="auto"/>
            <w:noWrap/>
            <w:vAlign w:val="bottom"/>
          </w:tcPr>
          <w:p w:rsidR="00100D7A" w:rsidRPr="008635B2" w:rsidRDefault="00100D7A" w:rsidP="001764F9">
            <w:pPr>
              <w:spacing w:after="0" w:line="240" w:lineRule="auto"/>
              <w:jc w:val="center"/>
              <w:rPr>
                <w:rFonts w:eastAsia="Times New Roman" w:cs="Calibri"/>
                <w:color w:val="000000"/>
                <w:sz w:val="18"/>
                <w:szCs w:val="18"/>
              </w:rPr>
            </w:pPr>
            <w:r>
              <w:rPr>
                <w:rFonts w:eastAsia="Times New Roman" w:cs="Calibri"/>
                <w:color w:val="000000"/>
                <w:sz w:val="18"/>
                <w:szCs w:val="18"/>
              </w:rPr>
              <w:fldChar w:fldCharType="begin" w:fldLock="1"/>
            </w:r>
            <w:r>
              <w:rPr>
                <w:rFonts w:eastAsia="Times New Roman" w:cs="Calibri"/>
                <w:color w:val="000000"/>
                <w:sz w:val="18"/>
                <w:szCs w:val="18"/>
              </w:rPr>
              <w:instrText>ADDIN CSL_CITATION { "citationItems" : [ { "id" : "ITEM-1", "itemData" : { "DOI" : "10.3310/hta16040", "ISBN" : "1366-5278 (Print)\\r1366-5278 (Linking)", "ISSN" : "20464924", "PMID" : "22333291", "abstract" : "BACKGROUND: Excessive alcohol consumption may lead to the development of alcohol-related liver disease (ALD). Liver biopsy may be used in patients with suspected ALD to confirm the diagnosis, exclude other or additional liver pathologies, and provide accurate staging of the degree of liver injury in order to enable the prediction of prognosis and inform treatment decisions. However, as it is an invasive procedure that carries the risk of morbidity and mortality, current UK guidance recommends that biopsy is not required to confirm the diagnosis in patients with a high clinical suspicion of ALD in whom blood tests have excluded other causes of liver disease, unless it is necessary to confirm a diagnosis of acute alcoholic hepatitis in order to inform specific treatment decisions.\\n\\nOBJECTIVES: To evaluate the diagnostic accuracy, cost-effectiveness, and effect on patient outcomes of four non-invasive tests for liver fibrosis [the Enhanced Liver Fibrosis (ELF\u2122) test (Siemens Healthcare Diagnostic Inc., Tarrytown, NY, USA), FibroTest (BioPredictive, Paris, France), FibroMAX (BioPredictive, Paris, France) and transient elastography (FibroScan(\u00ae); produced by EchoSens, Paris, France and distributed in the UK by Artemis Medical Ltd, Kent, UK)] in patients suspected of having ALD.\\n\\nDATA SOURCES: A systematic review was undertaken to identify studies reporting the diagnostic and prognostic accuracy of the ELF test, FibroTest, FibroMAX, and FibroScan for the identification of liver fibrosis and associated conditions in patients with suspected ALD. The following databases were searched in January 2010: MEDLINE (from 1950 to January 2010), MEDLINE In-Process &amp; Other Non-Indexed Citations (from 1950 to January 2010), EMBASE (from 1980 to January 2010), Cochrane Database of Systematic Reviews (from 1996 to January 2010), Cochrane Central Register of Controlled Trials (from 1898 to January 2010), Cochrane Methodology Register (from 1904 to January 2010), Database of Abstracts of Reviews of Effects (from 1995 to January 2010), HTA Database (from 1995 to January 2010), NHS Economic Evaluation Database (from 1995 to January 2010), Cumulative Index to Nursing and Allied Health Literature (from 1982 to January 2010), Web of Knowledge and Science Citation Index (from 1969 to January 2010).\\n\\nREVIEW METHODS: Study quality was assessed using the QUADAS (Quality Assessment of Diagnostic Accuracy Studies) checklist. Owing to the heterogeneity of the studies, no formal meta\u2026", "author" : [ { "dropping-particle" : "", "family" : "Stevenson", "given" : "M.", "non-dropping-particle" : "", "parse-names" : false, "suffix" : "" }, { "dropping-particle" : "", "family" : "Lloyd-Jones", "given" : "M.", "non-dropping-particle" : "", "parse-names" : false, "suffix" : "" }, { "dropping-particle" : "", "family" : "Morgan", "given" : "M. Y.", "non-dropping-particle" : "", "parse-names" : false, "suffix" : "" }, { "dropping-particle" : "", "family" : "Wong", "given" : "R.", "non-dropping-particle" : "", "parse-names" : false, "suffix" : "" } ], "container-title" : "Health technology assessment (NHS)", "id" : "ITEM-1", "issue" : "4", "issued" : { "date-parts" : [ [ "2012" ] ] }, "page" : "1-174", "title" : "Non-invasive diagnostic assessment tools for the detection of liver fibrosis in patients with suspected alcohol-related liver disease: a systematic review and economic evaluation.", "type" : "article-journal", "volume" : "16" }, "uris" : [ "http://www.mendeley.com/documents/?uuid=0bc97fb0-6980-4836-8f8f-46ba6f4020ac" ] } ], "mendeley" : { "formattedCitation" : "[23]", "plainTextFormattedCitation" : "[23]", "previouslyFormattedCitation" : "[23]" }, "properties" : { "noteIndex" : 0 }, "schema" : "https://github.com/citation-style-language/schema/raw/master/csl-citation.json" }</w:instrText>
            </w:r>
            <w:r>
              <w:rPr>
                <w:rFonts w:eastAsia="Times New Roman" w:cs="Calibri"/>
                <w:color w:val="000000"/>
                <w:sz w:val="18"/>
                <w:szCs w:val="18"/>
              </w:rPr>
              <w:fldChar w:fldCharType="separate"/>
            </w:r>
            <w:r w:rsidRPr="00E46EFA">
              <w:rPr>
                <w:rFonts w:eastAsia="Times New Roman" w:cs="Calibri"/>
                <w:noProof/>
                <w:color w:val="000000"/>
                <w:sz w:val="18"/>
                <w:szCs w:val="18"/>
              </w:rPr>
              <w:t>[23]</w:t>
            </w:r>
            <w:r>
              <w:rPr>
                <w:rFonts w:eastAsia="Times New Roman" w:cs="Calibri"/>
                <w:color w:val="000000"/>
                <w:sz w:val="18"/>
                <w:szCs w:val="18"/>
              </w:rPr>
              <w:fldChar w:fldCharType="end"/>
            </w:r>
          </w:p>
        </w:tc>
      </w:tr>
      <w:tr w:rsidR="00100D7A" w:rsidRPr="008635B2" w:rsidTr="001764F9">
        <w:trPr>
          <w:trHeight w:val="285"/>
        </w:trPr>
        <w:tc>
          <w:tcPr>
            <w:tcW w:w="2214" w:type="pct"/>
            <w:tcBorders>
              <w:top w:val="nil"/>
              <w:left w:val="nil"/>
              <w:bottom w:val="single" w:sz="4" w:space="0" w:color="auto"/>
              <w:right w:val="nil"/>
            </w:tcBorders>
            <w:shd w:val="clear" w:color="auto" w:fill="auto"/>
            <w:noWrap/>
            <w:vAlign w:val="bottom"/>
          </w:tcPr>
          <w:p w:rsidR="00100D7A" w:rsidRPr="008635B2" w:rsidRDefault="00100D7A" w:rsidP="001764F9">
            <w:pPr>
              <w:spacing w:after="0" w:line="240" w:lineRule="auto"/>
              <w:rPr>
                <w:rFonts w:eastAsia="Times New Roman" w:cs="Calibri"/>
                <w:color w:val="000000"/>
                <w:sz w:val="18"/>
                <w:szCs w:val="18"/>
              </w:rPr>
            </w:pPr>
            <w:r w:rsidRPr="003D4E23">
              <w:rPr>
                <w:rFonts w:eastAsia="Times New Roman" w:cs="Calibri"/>
                <w:color w:val="000000"/>
                <w:sz w:val="18"/>
                <w:szCs w:val="18"/>
              </w:rPr>
              <w:t xml:space="preserve">Utility </w:t>
            </w:r>
            <w:r>
              <w:rPr>
                <w:rFonts w:eastAsia="Times New Roman" w:cs="Calibri"/>
                <w:color w:val="000000"/>
                <w:sz w:val="18"/>
                <w:szCs w:val="18"/>
              </w:rPr>
              <w:t>decrement</w:t>
            </w:r>
            <w:r w:rsidRPr="003D4E23">
              <w:rPr>
                <w:rFonts w:eastAsia="Times New Roman" w:cs="Calibri"/>
                <w:color w:val="000000"/>
                <w:sz w:val="18"/>
                <w:szCs w:val="18"/>
              </w:rPr>
              <w:t xml:space="preserve"> during treatment</w:t>
            </w:r>
            <w:r>
              <w:rPr>
                <w:rFonts w:eastAsia="Times New Roman" w:cs="Calibri"/>
                <w:color w:val="000000"/>
                <w:sz w:val="18"/>
                <w:szCs w:val="18"/>
              </w:rPr>
              <w:t xml:space="preserve"> with antivirals</w:t>
            </w:r>
          </w:p>
        </w:tc>
        <w:tc>
          <w:tcPr>
            <w:tcW w:w="698" w:type="pct"/>
            <w:tcBorders>
              <w:top w:val="nil"/>
              <w:left w:val="nil"/>
              <w:bottom w:val="single" w:sz="4" w:space="0" w:color="auto"/>
              <w:right w:val="nil"/>
            </w:tcBorders>
            <w:shd w:val="clear" w:color="auto" w:fill="auto"/>
            <w:noWrap/>
            <w:vAlign w:val="bottom"/>
          </w:tcPr>
          <w:p w:rsidR="00100D7A" w:rsidRPr="008635B2" w:rsidRDefault="00100D7A" w:rsidP="001764F9">
            <w:pPr>
              <w:spacing w:after="0" w:line="240" w:lineRule="auto"/>
              <w:jc w:val="right"/>
              <w:rPr>
                <w:rFonts w:eastAsia="Times New Roman" w:cs="Calibri"/>
                <w:color w:val="000000"/>
                <w:sz w:val="18"/>
                <w:szCs w:val="18"/>
              </w:rPr>
            </w:pPr>
            <w:r>
              <w:rPr>
                <w:rFonts w:eastAsia="Times New Roman" w:cs="Calibri"/>
                <w:color w:val="000000"/>
                <w:sz w:val="18"/>
                <w:szCs w:val="18"/>
              </w:rPr>
              <w:t>0.11</w:t>
            </w:r>
          </w:p>
        </w:tc>
        <w:tc>
          <w:tcPr>
            <w:tcW w:w="614" w:type="pct"/>
            <w:tcBorders>
              <w:top w:val="nil"/>
              <w:left w:val="nil"/>
              <w:bottom w:val="single" w:sz="4" w:space="0" w:color="auto"/>
              <w:right w:val="nil"/>
            </w:tcBorders>
            <w:shd w:val="clear" w:color="auto" w:fill="auto"/>
            <w:noWrap/>
            <w:vAlign w:val="bottom"/>
          </w:tcPr>
          <w:p w:rsidR="00100D7A" w:rsidRPr="008635B2" w:rsidRDefault="00100D7A" w:rsidP="001764F9">
            <w:pPr>
              <w:spacing w:after="0" w:line="240" w:lineRule="auto"/>
              <w:jc w:val="right"/>
              <w:rPr>
                <w:rFonts w:eastAsia="Times New Roman" w:cs="Calibri"/>
                <w:color w:val="000000"/>
                <w:sz w:val="18"/>
                <w:szCs w:val="18"/>
              </w:rPr>
            </w:pPr>
            <w:r>
              <w:rPr>
                <w:rFonts w:eastAsia="Times New Roman" w:cs="Calibri"/>
                <w:color w:val="000000"/>
                <w:sz w:val="18"/>
                <w:szCs w:val="18"/>
              </w:rPr>
              <w:t>–</w:t>
            </w:r>
          </w:p>
        </w:tc>
        <w:tc>
          <w:tcPr>
            <w:tcW w:w="855" w:type="pct"/>
            <w:tcBorders>
              <w:top w:val="nil"/>
              <w:left w:val="nil"/>
              <w:bottom w:val="single" w:sz="4" w:space="0" w:color="auto"/>
              <w:right w:val="nil"/>
            </w:tcBorders>
            <w:shd w:val="clear" w:color="auto" w:fill="auto"/>
            <w:noWrap/>
            <w:vAlign w:val="bottom"/>
          </w:tcPr>
          <w:p w:rsidR="00100D7A" w:rsidRPr="008635B2" w:rsidRDefault="00100D7A" w:rsidP="001764F9">
            <w:pPr>
              <w:spacing w:after="0" w:line="240" w:lineRule="auto"/>
              <w:jc w:val="right"/>
              <w:rPr>
                <w:rFonts w:eastAsia="Times New Roman" w:cs="Calibri"/>
                <w:color w:val="000000"/>
                <w:sz w:val="18"/>
                <w:szCs w:val="18"/>
              </w:rPr>
            </w:pPr>
            <w:r>
              <w:rPr>
                <w:rFonts w:eastAsia="Times New Roman" w:cs="Calibri"/>
                <w:color w:val="000000"/>
                <w:sz w:val="18"/>
                <w:szCs w:val="18"/>
              </w:rPr>
              <w:t>–</w:t>
            </w:r>
          </w:p>
        </w:tc>
        <w:tc>
          <w:tcPr>
            <w:tcW w:w="619" w:type="pct"/>
            <w:tcBorders>
              <w:top w:val="nil"/>
              <w:left w:val="nil"/>
              <w:bottom w:val="single" w:sz="4" w:space="0" w:color="auto"/>
              <w:right w:val="nil"/>
            </w:tcBorders>
            <w:shd w:val="clear" w:color="auto" w:fill="auto"/>
            <w:noWrap/>
            <w:vAlign w:val="bottom"/>
          </w:tcPr>
          <w:p w:rsidR="00100D7A" w:rsidRPr="008635B2" w:rsidRDefault="00100D7A" w:rsidP="001764F9">
            <w:pPr>
              <w:spacing w:after="0" w:line="240" w:lineRule="auto"/>
              <w:jc w:val="center"/>
              <w:rPr>
                <w:rFonts w:eastAsia="Times New Roman" w:cs="Calibri"/>
                <w:color w:val="000000"/>
                <w:sz w:val="18"/>
                <w:szCs w:val="18"/>
              </w:rPr>
            </w:pPr>
            <w:r w:rsidRPr="008635B2">
              <w:rPr>
                <w:rFonts w:eastAsia="Times New Roman" w:cs="Calibri"/>
                <w:color w:val="000000"/>
                <w:sz w:val="18"/>
                <w:szCs w:val="18"/>
              </w:rPr>
              <w:fldChar w:fldCharType="begin" w:fldLock="1"/>
            </w:r>
            <w:r>
              <w:rPr>
                <w:rFonts w:eastAsia="Times New Roman" w:cs="Calibri"/>
                <w:color w:val="000000"/>
                <w:sz w:val="18"/>
                <w:szCs w:val="18"/>
              </w:rPr>
              <w:instrText>ADDIN CSL_CITATION { "citationItems" : [ { "id" : "ITEM-1", "itemData" : { "ISBN" : "1366-5278", "ISSN" : "13665278", "PMID" : "16750059", "abstract" : "OBJECTIVES: To determine whether combined therapy with interferon-alpha and ribavirin was more effective and cost-effective than no treatment for patients with mild chronic hepatitis C. DESIGN: A multicentre, randomised, controlled, non-blinded trial assessed the efficacy of combination therapy. A Markov model used these efficacy data combined with data on transition probabilities, costs and health-related quality of life (HRQoL) to assess the lifetime cost-effectiveness of the intervention. SETTING: A multicentre NHS setting. PARTICIPANTS: Treatment-naive, adult patients with histologically mild chronic hepatitis C (Ishak necroinflammatory scores &lt;4 and fibrosis scores &lt;3 on liver biopsy). INTERVENTIONS: Patients were randomised to receive interferon-alpha and ribavirin for 48 weeks or no treatment (control). MAIN OUTCOME MEASURES: The primary outcome measure was the proportion of patients having a sustained virological response (SVR), measured at 6 months after cessation of therapy. Secondary outcome measures were: the ability of early phase kinetics to predict the eventual outcome of treating mild disease; HRQoL measured using the Short Form 36 and EuroQol (5 Dimensions) questionnaires, and the cost per quality-adjusted life-year (QALY) of interferon-alpha and ribavirin for mild disease compared with no treatment. RESULTS: In the treatment group, 32 out of 98 patients (33%) achieved an SVR. Patients infected with genotype 1 had a lower SVR than those infected with genotype non-1 (18% versus 49%, p = 0.02). No patients who failed to achieve a 2-log drop in viral load at 12 weeks achieved an SVR. HRQoL fell during treatment and rose with treatment cessation. For patients having an SVR there were modest improvements in HRQoL at 6 months post-treatment. The mean cost per QALY gained was 4535 pounds sterling for 40-year-old patients with genotype non-1 and 25,188 pounds sterling for patients with genotype 1. For patients with genotype 1 aged 65, providing interferon-alpha and ribavirin for mild disease led to fewer QALYs gained, and a mean cost per QALY of 53,017 pounds sterling. The model using efficacy estimates from the literature, showed that the cost per QALY gained from providing pegylated interferon alpha-2b and ribavirin at a mild stage rather than a moderate stage was 7821 pounds sterling for patients with genotype non-1 and 28,409 pounds sterling for patients with genotype 1. CONCLUSIONS: Based on the evidence collected in this study, interferon\u2026", "author" : [ { "dropping-particle" : "", "family" : "Wright", "given" : "M.", "non-dropping-particle" : "", "parse-names" : false, "suffix" : "" }, { "dropping-particle" : "", "family" : "Grieve", "given" : "R.", "non-dropping-particle" : "", "parse-names" : false, "suffix" : "" }, { "dropping-particle" : "", "family" : "Roberts", "given" : "J.", "non-dropping-particle" : "", "parse-names" : false, "suffix" : "" }, { "dropping-particle" : "", "family" : "Main", "given" : "J.", "non-dropping-particle" : "", "parse-names" : false, "suffix" : "" }, { "dropping-particle" : "", "family" : "Thomas", "given" : "H. C.", "non-dropping-particle" : "", "parse-names" : false, "suffix" : "" }, { "dropping-particle" : "", "family" : "UK Mild Hepatitis C Trial Investigators", "given" : "", "non-dropping-particle" : "", "parse-names" : false, "suffix" : "" } ], "container-title" : "Health technology assessment (NHS)", "id" : "ITEM-1", "issue" : "21", "issued" : { "date-parts" : [ [ "2006" ] ] }, "title" : "Health benefits of antiviral therapy for mild chronic hepatitis C: randomised controlled trial and economic evaluation.", "type" : "article-journal", "volume" : "10" }, "uris" : [ "http://www.mendeley.com/documents/?uuid=66ba4aa8-b8ad-4aac-8c62-f3a523206a64" ] } ], "mendeley" : { "formattedCitation" : "[22]", "plainTextFormattedCitation" : "[22]", "previouslyFormattedCitation" : "[22]" }, "properties" : { "noteIndex" : 0 }, "schema" : "https://github.com/citation-style-language/schema/raw/master/csl-citation.json" }</w:instrText>
            </w:r>
            <w:r w:rsidRPr="008635B2">
              <w:rPr>
                <w:rFonts w:eastAsia="Times New Roman" w:cs="Calibri"/>
                <w:color w:val="000000"/>
                <w:sz w:val="18"/>
                <w:szCs w:val="18"/>
              </w:rPr>
              <w:fldChar w:fldCharType="separate"/>
            </w:r>
            <w:r w:rsidRPr="00E46EFA">
              <w:rPr>
                <w:rFonts w:eastAsia="Times New Roman" w:cs="Calibri"/>
                <w:noProof/>
                <w:color w:val="000000"/>
                <w:sz w:val="18"/>
                <w:szCs w:val="18"/>
              </w:rPr>
              <w:t>[22]</w:t>
            </w:r>
            <w:r w:rsidRPr="008635B2">
              <w:rPr>
                <w:rFonts w:eastAsia="Times New Roman" w:cs="Calibri"/>
                <w:color w:val="000000"/>
                <w:sz w:val="18"/>
                <w:szCs w:val="18"/>
              </w:rPr>
              <w:fldChar w:fldCharType="end"/>
            </w:r>
          </w:p>
        </w:tc>
      </w:tr>
      <w:tr w:rsidR="00100D7A" w:rsidRPr="008635B2" w:rsidTr="001764F9">
        <w:trPr>
          <w:trHeight w:val="285"/>
        </w:trPr>
        <w:tc>
          <w:tcPr>
            <w:tcW w:w="5000" w:type="pct"/>
            <w:gridSpan w:val="5"/>
            <w:tcBorders>
              <w:top w:val="single" w:sz="4" w:space="0" w:color="auto"/>
              <w:left w:val="nil"/>
              <w:right w:val="nil"/>
            </w:tcBorders>
            <w:shd w:val="clear" w:color="auto" w:fill="auto"/>
            <w:noWrap/>
            <w:vAlign w:val="bottom"/>
          </w:tcPr>
          <w:p w:rsidR="00100D7A" w:rsidRDefault="00100D7A" w:rsidP="001764F9">
            <w:pPr>
              <w:spacing w:after="0" w:line="240" w:lineRule="auto"/>
              <w:jc w:val="both"/>
              <w:rPr>
                <w:rFonts w:eastAsia="Times New Roman" w:cs="Calibri"/>
                <w:color w:val="000000"/>
                <w:sz w:val="18"/>
                <w:szCs w:val="18"/>
              </w:rPr>
            </w:pPr>
            <w:r>
              <w:rPr>
                <w:rFonts w:eastAsia="Times New Roman" w:cs="Calibri"/>
                <w:color w:val="000000"/>
                <w:sz w:val="18"/>
                <w:szCs w:val="18"/>
              </w:rPr>
              <w:t>Note: Same utilities for ALD model (SVR states correspond to abstinence states in ALD model)</w:t>
            </w:r>
          </w:p>
          <w:p w:rsidR="00100D7A" w:rsidRDefault="00100D7A" w:rsidP="001764F9">
            <w:pPr>
              <w:spacing w:after="0" w:line="240" w:lineRule="auto"/>
              <w:jc w:val="both"/>
              <w:rPr>
                <w:rFonts w:eastAsia="Times New Roman" w:cs="Calibri"/>
                <w:color w:val="000000"/>
                <w:sz w:val="18"/>
                <w:szCs w:val="18"/>
              </w:rPr>
            </w:pPr>
            <w:r w:rsidRPr="007F6E9C">
              <w:rPr>
                <w:rFonts w:eastAsia="Times New Roman" w:cs="Calibri"/>
                <w:color w:val="000000"/>
                <w:sz w:val="18"/>
                <w:szCs w:val="18"/>
              </w:rPr>
              <w:t xml:space="preserve">F0-F1: </w:t>
            </w:r>
            <w:r>
              <w:rPr>
                <w:rFonts w:eastAsia="Times New Roman" w:cs="Calibri"/>
                <w:color w:val="000000"/>
                <w:sz w:val="18"/>
                <w:szCs w:val="18"/>
              </w:rPr>
              <w:t>n</w:t>
            </w:r>
            <w:r w:rsidRPr="007F6E9C">
              <w:rPr>
                <w:rFonts w:eastAsia="Times New Roman" w:cs="Calibri"/>
                <w:color w:val="000000"/>
                <w:sz w:val="18"/>
                <w:szCs w:val="18"/>
              </w:rPr>
              <w:t xml:space="preserve">o fibrosis or mild fibrosis; F2-F3: moderate or severe fibrosis; F4: </w:t>
            </w:r>
            <w:r>
              <w:rPr>
                <w:rFonts w:eastAsia="Times New Roman" w:cs="Calibri"/>
                <w:color w:val="000000"/>
                <w:sz w:val="18"/>
                <w:szCs w:val="18"/>
              </w:rPr>
              <w:t>c</w:t>
            </w:r>
            <w:r w:rsidRPr="007F6E9C">
              <w:rPr>
                <w:rFonts w:eastAsia="Times New Roman" w:cs="Calibri"/>
                <w:color w:val="000000"/>
                <w:sz w:val="18"/>
                <w:szCs w:val="18"/>
              </w:rPr>
              <w:t xml:space="preserve">irrhosis; DC: </w:t>
            </w:r>
            <w:r>
              <w:rPr>
                <w:rFonts w:eastAsia="Times New Roman" w:cs="Calibri"/>
                <w:color w:val="000000"/>
                <w:sz w:val="18"/>
                <w:szCs w:val="18"/>
              </w:rPr>
              <w:t>d</w:t>
            </w:r>
            <w:r w:rsidRPr="007F6E9C">
              <w:rPr>
                <w:rFonts w:eastAsia="Times New Roman" w:cs="Calibri"/>
                <w:color w:val="000000"/>
                <w:sz w:val="18"/>
                <w:szCs w:val="18"/>
              </w:rPr>
              <w:t xml:space="preserve">ecompensated cirrhosis; HCC: </w:t>
            </w:r>
            <w:r>
              <w:rPr>
                <w:rFonts w:eastAsia="Times New Roman" w:cs="Calibri"/>
                <w:color w:val="000000"/>
                <w:sz w:val="18"/>
                <w:szCs w:val="18"/>
              </w:rPr>
              <w:t>h</w:t>
            </w:r>
            <w:r w:rsidRPr="007F6E9C">
              <w:rPr>
                <w:rFonts w:eastAsia="Times New Roman" w:cs="Calibri"/>
                <w:color w:val="000000"/>
                <w:sz w:val="18"/>
                <w:szCs w:val="18"/>
              </w:rPr>
              <w:t xml:space="preserve">epatocellular carcinoma; LTX: </w:t>
            </w:r>
            <w:r>
              <w:rPr>
                <w:rFonts w:eastAsia="Times New Roman" w:cs="Calibri"/>
                <w:color w:val="000000"/>
                <w:sz w:val="18"/>
                <w:szCs w:val="18"/>
              </w:rPr>
              <w:t>l</w:t>
            </w:r>
            <w:r w:rsidRPr="007F6E9C">
              <w:rPr>
                <w:rFonts w:eastAsia="Times New Roman" w:cs="Calibri"/>
                <w:color w:val="000000"/>
                <w:sz w:val="18"/>
                <w:szCs w:val="18"/>
              </w:rPr>
              <w:t>iver transplantation.</w:t>
            </w:r>
            <w:r>
              <w:rPr>
                <w:rFonts w:eastAsia="Times New Roman" w:cs="Calibri"/>
                <w:color w:val="000000"/>
                <w:sz w:val="18"/>
                <w:szCs w:val="18"/>
              </w:rPr>
              <w:t xml:space="preserve"> SVR: sustained virological response.</w:t>
            </w:r>
          </w:p>
          <w:p w:rsidR="00100D7A" w:rsidRPr="008635B2" w:rsidRDefault="00100D7A" w:rsidP="001764F9">
            <w:pPr>
              <w:spacing w:after="0" w:line="240" w:lineRule="auto"/>
              <w:jc w:val="both"/>
              <w:rPr>
                <w:rFonts w:eastAsia="Times New Roman" w:cs="Calibri"/>
                <w:color w:val="000000"/>
                <w:sz w:val="18"/>
                <w:szCs w:val="18"/>
              </w:rPr>
            </w:pPr>
            <w:r>
              <w:rPr>
                <w:rFonts w:asciiTheme="majorHAnsi" w:eastAsia="Times New Roman" w:hAnsiTheme="majorHAnsi" w:cs="Calibri"/>
                <w:color w:val="000000"/>
                <w:sz w:val="18"/>
                <w:szCs w:val="18"/>
              </w:rPr>
              <w:t>* PSA: probabilistic sensitivity analysis. In uniform (U) distributions, parameters correspond to minimum and maximum values.</w:t>
            </w:r>
          </w:p>
        </w:tc>
      </w:tr>
    </w:tbl>
    <w:p w:rsidR="00100D7A" w:rsidRDefault="00100D7A" w:rsidP="00100D7A">
      <w:pPr>
        <w:spacing w:line="480" w:lineRule="auto"/>
        <w:jc w:val="both"/>
        <w:rPr>
          <w:lang w:val="en-GB"/>
        </w:rPr>
      </w:pPr>
    </w:p>
    <w:p w:rsidR="00100D7A" w:rsidRDefault="00100D7A" w:rsidP="00100D7A">
      <w:pPr>
        <w:spacing w:after="200"/>
        <w:rPr>
          <w:lang w:val="en-GB"/>
        </w:rPr>
      </w:pPr>
      <w:r>
        <w:rPr>
          <w:lang w:val="en-GB"/>
        </w:rPr>
        <w:br w:type="page"/>
      </w:r>
    </w:p>
    <w:p w:rsidR="00100D7A" w:rsidRDefault="00100D7A" w:rsidP="00100D7A">
      <w:pPr>
        <w:spacing w:line="480" w:lineRule="auto"/>
        <w:jc w:val="both"/>
      </w:pPr>
      <w:r w:rsidRPr="008635B2">
        <w:rPr>
          <w:b/>
        </w:rPr>
        <w:lastRenderedPageBreak/>
        <w:t xml:space="preserve">Table </w:t>
      </w:r>
      <w:r>
        <w:rPr>
          <w:b/>
        </w:rPr>
        <w:t>S2</w:t>
      </w:r>
      <w:r>
        <w:t>.</w:t>
      </w:r>
      <w:r w:rsidR="00C20F04">
        <w:t xml:space="preserve"> Unit</w:t>
      </w:r>
      <w:r>
        <w:t xml:space="preserve"> </w:t>
      </w:r>
      <w:r w:rsidR="00C20F04">
        <w:t>c</w:t>
      </w:r>
      <w:r>
        <w:t>osts</w:t>
      </w:r>
    </w:p>
    <w:tbl>
      <w:tblPr>
        <w:tblW w:w="5000" w:type="pct"/>
        <w:tblLayout w:type="fixed"/>
        <w:tblCellMar>
          <w:left w:w="0" w:type="dxa"/>
          <w:right w:w="0" w:type="dxa"/>
        </w:tblCellMar>
        <w:tblLook w:val="04A0" w:firstRow="1" w:lastRow="0" w:firstColumn="1" w:lastColumn="0" w:noHBand="0" w:noVBand="1"/>
      </w:tblPr>
      <w:tblGrid>
        <w:gridCol w:w="2424"/>
        <w:gridCol w:w="1256"/>
        <w:gridCol w:w="1580"/>
        <w:gridCol w:w="1985"/>
        <w:gridCol w:w="1623"/>
      </w:tblGrid>
      <w:tr w:rsidR="00100D7A" w:rsidTr="001764F9">
        <w:trPr>
          <w:trHeight w:val="284"/>
        </w:trPr>
        <w:tc>
          <w:tcPr>
            <w:tcW w:w="1367"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100D7A" w:rsidRPr="008635B2" w:rsidRDefault="00100D7A" w:rsidP="001764F9">
            <w:pPr>
              <w:spacing w:after="0" w:line="240" w:lineRule="auto"/>
              <w:rPr>
                <w:rFonts w:eastAsia="Times New Roman" w:cs="Calibri"/>
                <w:b/>
                <w:color w:val="000000"/>
                <w:sz w:val="18"/>
                <w:szCs w:val="18"/>
              </w:rPr>
            </w:pPr>
            <w:r>
              <w:rPr>
                <w:rFonts w:eastAsia="Times New Roman" w:cs="Calibri"/>
                <w:b/>
                <w:color w:val="000000"/>
                <w:sz w:val="18"/>
                <w:szCs w:val="18"/>
              </w:rPr>
              <w:t>Cost item</w:t>
            </w:r>
          </w:p>
        </w:tc>
        <w:tc>
          <w:tcPr>
            <w:tcW w:w="708"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100D7A" w:rsidRPr="00E018C4" w:rsidRDefault="00100D7A" w:rsidP="001764F9">
            <w:pPr>
              <w:spacing w:after="0" w:line="240" w:lineRule="auto"/>
              <w:jc w:val="right"/>
              <w:rPr>
                <w:rFonts w:asciiTheme="majorHAnsi" w:eastAsia="Times New Roman" w:hAnsiTheme="majorHAnsi" w:cs="Calibri"/>
                <w:b/>
                <w:color w:val="000000"/>
                <w:sz w:val="18"/>
                <w:szCs w:val="18"/>
              </w:rPr>
            </w:pPr>
            <w:r>
              <w:rPr>
                <w:rFonts w:asciiTheme="majorHAnsi" w:eastAsia="Times New Roman" w:hAnsiTheme="majorHAnsi" w:cs="Calibri"/>
                <w:b/>
                <w:color w:val="000000"/>
                <w:sz w:val="18"/>
                <w:szCs w:val="18"/>
              </w:rPr>
              <w:t>Baseline (€)</w:t>
            </w:r>
          </w:p>
        </w:tc>
        <w:tc>
          <w:tcPr>
            <w:tcW w:w="891"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100D7A" w:rsidRPr="00E018C4" w:rsidRDefault="00100D7A" w:rsidP="001764F9">
            <w:pPr>
              <w:spacing w:after="0" w:line="240" w:lineRule="auto"/>
              <w:jc w:val="right"/>
              <w:rPr>
                <w:rFonts w:asciiTheme="majorHAnsi" w:eastAsia="Times New Roman" w:hAnsiTheme="majorHAnsi" w:cs="Calibri"/>
                <w:b/>
                <w:color w:val="000000"/>
                <w:sz w:val="18"/>
                <w:szCs w:val="18"/>
              </w:rPr>
            </w:pPr>
            <w:r>
              <w:rPr>
                <w:rFonts w:asciiTheme="majorHAnsi" w:eastAsia="Times New Roman" w:hAnsiTheme="majorHAnsi" w:cs="Calibri"/>
                <w:b/>
                <w:color w:val="000000"/>
                <w:sz w:val="18"/>
                <w:szCs w:val="18"/>
              </w:rPr>
              <w:t>Range</w:t>
            </w:r>
          </w:p>
        </w:tc>
        <w:tc>
          <w:tcPr>
            <w:tcW w:w="1119"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100D7A" w:rsidRPr="00E018C4" w:rsidRDefault="00100D7A" w:rsidP="001764F9">
            <w:pPr>
              <w:spacing w:after="0" w:line="240" w:lineRule="auto"/>
              <w:jc w:val="right"/>
              <w:rPr>
                <w:rFonts w:asciiTheme="majorHAnsi" w:eastAsia="Times New Roman" w:hAnsiTheme="majorHAnsi" w:cs="Calibri"/>
                <w:b/>
                <w:color w:val="000000"/>
                <w:sz w:val="18"/>
                <w:szCs w:val="18"/>
              </w:rPr>
            </w:pPr>
            <w:r w:rsidRPr="00E018C4">
              <w:rPr>
                <w:rFonts w:asciiTheme="majorHAnsi" w:eastAsia="Times New Roman" w:hAnsiTheme="majorHAnsi" w:cs="Calibri"/>
                <w:b/>
                <w:color w:val="000000"/>
                <w:sz w:val="18"/>
                <w:szCs w:val="18"/>
              </w:rPr>
              <w:t>PSA distribution</w:t>
            </w:r>
            <w:r>
              <w:rPr>
                <w:rFonts w:asciiTheme="majorHAnsi" w:eastAsia="Times New Roman" w:hAnsiTheme="majorHAnsi" w:cs="Calibri"/>
                <w:b/>
                <w:color w:val="000000"/>
                <w:sz w:val="18"/>
                <w:szCs w:val="18"/>
              </w:rPr>
              <w:t>*</w:t>
            </w:r>
          </w:p>
        </w:tc>
        <w:tc>
          <w:tcPr>
            <w:tcW w:w="91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100D7A" w:rsidRPr="00E018C4" w:rsidRDefault="00100D7A" w:rsidP="001764F9">
            <w:pPr>
              <w:spacing w:after="0" w:line="240" w:lineRule="auto"/>
              <w:jc w:val="center"/>
              <w:rPr>
                <w:rFonts w:asciiTheme="majorHAnsi" w:eastAsia="Times New Roman" w:hAnsiTheme="majorHAnsi" w:cs="Calibri"/>
                <w:b/>
                <w:color w:val="000000"/>
                <w:sz w:val="18"/>
                <w:szCs w:val="18"/>
              </w:rPr>
            </w:pPr>
            <w:r w:rsidRPr="00E018C4">
              <w:rPr>
                <w:rFonts w:asciiTheme="majorHAnsi" w:eastAsia="Times New Roman" w:hAnsiTheme="majorHAnsi" w:cs="Calibri"/>
                <w:b/>
                <w:color w:val="000000"/>
                <w:sz w:val="18"/>
                <w:szCs w:val="18"/>
              </w:rPr>
              <w:t>Source</w:t>
            </w:r>
          </w:p>
        </w:tc>
      </w:tr>
      <w:tr w:rsidR="00100D7A" w:rsidTr="001764F9">
        <w:trPr>
          <w:trHeight w:val="285"/>
        </w:trPr>
        <w:tc>
          <w:tcPr>
            <w:tcW w:w="1367" w:type="pct"/>
            <w:tcBorders>
              <w:top w:val="nil"/>
              <w:left w:val="nil"/>
              <w:bottom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rPr>
                <w:rFonts w:asciiTheme="majorHAnsi" w:hAnsiTheme="majorHAnsi" w:cs="Calibri"/>
                <w:b/>
                <w:color w:val="FF0000"/>
                <w:sz w:val="18"/>
                <w:szCs w:val="18"/>
              </w:rPr>
            </w:pPr>
            <w:r w:rsidRPr="00D546FD">
              <w:rPr>
                <w:rFonts w:asciiTheme="majorHAnsi" w:hAnsiTheme="majorHAnsi" w:cs="Calibri"/>
                <w:b/>
                <w:sz w:val="18"/>
                <w:szCs w:val="18"/>
              </w:rPr>
              <w:t>Health States</w:t>
            </w:r>
            <w:r>
              <w:rPr>
                <w:rFonts w:asciiTheme="majorHAnsi" w:hAnsiTheme="majorHAnsi" w:cs="Calibri"/>
                <w:b/>
                <w:sz w:val="18"/>
                <w:szCs w:val="18"/>
              </w:rPr>
              <w:t xml:space="preserve"> (annual cost)</w:t>
            </w:r>
          </w:p>
        </w:tc>
        <w:tc>
          <w:tcPr>
            <w:tcW w:w="708" w:type="pct"/>
            <w:tcBorders>
              <w:top w:val="nil"/>
              <w:left w:val="nil"/>
              <w:bottom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center"/>
              <w:rPr>
                <w:rFonts w:asciiTheme="majorHAnsi" w:hAnsiTheme="majorHAnsi" w:cs="Calibri"/>
                <w:sz w:val="18"/>
                <w:szCs w:val="18"/>
              </w:rPr>
            </w:pPr>
          </w:p>
        </w:tc>
        <w:tc>
          <w:tcPr>
            <w:tcW w:w="891" w:type="pct"/>
            <w:tcBorders>
              <w:top w:val="nil"/>
              <w:left w:val="nil"/>
              <w:bottom w:val="nil"/>
              <w:right w:val="nil"/>
            </w:tcBorders>
            <w:shd w:val="clear" w:color="auto" w:fill="auto"/>
            <w:noWrap/>
            <w:tcMar>
              <w:top w:w="15" w:type="dxa"/>
              <w:left w:w="15" w:type="dxa"/>
              <w:bottom w:w="0" w:type="dxa"/>
              <w:right w:w="15" w:type="dxa"/>
            </w:tcMar>
            <w:vAlign w:val="bottom"/>
            <w:hideMark/>
          </w:tcPr>
          <w:p w:rsidR="00100D7A" w:rsidRPr="00D546FD" w:rsidRDefault="00100D7A" w:rsidP="001764F9">
            <w:pPr>
              <w:spacing w:after="0"/>
              <w:jc w:val="center"/>
              <w:rPr>
                <w:rFonts w:asciiTheme="majorHAnsi" w:hAnsiTheme="majorHAnsi" w:cs="Calibri"/>
                <w:sz w:val="18"/>
                <w:szCs w:val="18"/>
              </w:rPr>
            </w:pPr>
          </w:p>
        </w:tc>
        <w:tc>
          <w:tcPr>
            <w:tcW w:w="1119" w:type="pct"/>
            <w:tcBorders>
              <w:top w:val="nil"/>
              <w:left w:val="nil"/>
              <w:bottom w:val="nil"/>
              <w:right w:val="nil"/>
            </w:tcBorders>
            <w:shd w:val="clear" w:color="auto" w:fill="auto"/>
            <w:noWrap/>
            <w:tcMar>
              <w:top w:w="15" w:type="dxa"/>
              <w:left w:w="15" w:type="dxa"/>
              <w:bottom w:w="0" w:type="dxa"/>
              <w:right w:w="15" w:type="dxa"/>
            </w:tcMar>
            <w:vAlign w:val="bottom"/>
            <w:hideMark/>
          </w:tcPr>
          <w:p w:rsidR="00100D7A" w:rsidRPr="00D546FD" w:rsidRDefault="00100D7A" w:rsidP="001764F9">
            <w:pPr>
              <w:spacing w:after="0"/>
              <w:jc w:val="center"/>
              <w:rPr>
                <w:rFonts w:asciiTheme="majorHAnsi" w:hAnsiTheme="majorHAnsi" w:cs="Calibri"/>
                <w:sz w:val="18"/>
                <w:szCs w:val="18"/>
              </w:rPr>
            </w:pPr>
          </w:p>
        </w:tc>
        <w:tc>
          <w:tcPr>
            <w:tcW w:w="915" w:type="pct"/>
            <w:tcBorders>
              <w:top w:val="nil"/>
              <w:left w:val="nil"/>
              <w:bottom w:val="nil"/>
              <w:right w:val="nil"/>
            </w:tcBorders>
            <w:shd w:val="clear" w:color="auto" w:fill="auto"/>
            <w:noWrap/>
            <w:tcMar>
              <w:top w:w="15" w:type="dxa"/>
              <w:left w:w="15" w:type="dxa"/>
              <w:bottom w:w="0" w:type="dxa"/>
              <w:right w:w="15" w:type="dxa"/>
            </w:tcMar>
            <w:vAlign w:val="bottom"/>
            <w:hideMark/>
          </w:tcPr>
          <w:p w:rsidR="00100D7A" w:rsidRPr="00D546FD" w:rsidRDefault="00100D7A" w:rsidP="001764F9">
            <w:pPr>
              <w:spacing w:after="0"/>
              <w:jc w:val="center"/>
              <w:rPr>
                <w:rFonts w:asciiTheme="majorHAnsi" w:hAnsiTheme="majorHAnsi" w:cs="Calibri"/>
                <w:sz w:val="18"/>
                <w:szCs w:val="18"/>
              </w:rPr>
            </w:pPr>
          </w:p>
        </w:tc>
      </w:tr>
      <w:tr w:rsidR="00100D7A" w:rsidTr="001764F9">
        <w:trPr>
          <w:trHeight w:val="285"/>
        </w:trPr>
        <w:tc>
          <w:tcPr>
            <w:tcW w:w="1367" w:type="pct"/>
            <w:tcBorders>
              <w:top w:val="nil"/>
              <w:left w:val="nil"/>
              <w:bottom w:val="nil"/>
              <w:right w:val="nil"/>
            </w:tcBorders>
            <w:shd w:val="clear" w:color="auto" w:fill="auto"/>
            <w:noWrap/>
            <w:tcMar>
              <w:top w:w="15" w:type="dxa"/>
              <w:left w:w="15" w:type="dxa"/>
              <w:bottom w:w="0" w:type="dxa"/>
              <w:right w:w="15" w:type="dxa"/>
            </w:tcMar>
            <w:vAlign w:val="bottom"/>
          </w:tcPr>
          <w:p w:rsidR="00100D7A" w:rsidRPr="008635B2" w:rsidRDefault="00100D7A" w:rsidP="001764F9">
            <w:pPr>
              <w:spacing w:after="0" w:line="240" w:lineRule="auto"/>
              <w:rPr>
                <w:rFonts w:eastAsia="Times New Roman" w:cs="Calibri"/>
                <w:color w:val="000000"/>
                <w:sz w:val="18"/>
                <w:szCs w:val="18"/>
              </w:rPr>
            </w:pPr>
            <w:r w:rsidRPr="008635B2">
              <w:rPr>
                <w:rFonts w:eastAsia="Times New Roman" w:cs="Calibri"/>
                <w:color w:val="000000"/>
                <w:sz w:val="18"/>
                <w:szCs w:val="18"/>
              </w:rPr>
              <w:t>F0-F1</w:t>
            </w:r>
          </w:p>
        </w:tc>
        <w:tc>
          <w:tcPr>
            <w:tcW w:w="708" w:type="pct"/>
            <w:tcBorders>
              <w:top w:val="nil"/>
              <w:left w:val="nil"/>
              <w:bottom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sz w:val="18"/>
                <w:szCs w:val="18"/>
              </w:rPr>
            </w:pPr>
            <w:r>
              <w:rPr>
                <w:rFonts w:asciiTheme="majorHAnsi" w:hAnsiTheme="majorHAnsi" w:cs="Calibri"/>
                <w:sz w:val="18"/>
                <w:szCs w:val="18"/>
              </w:rPr>
              <w:t>279</w:t>
            </w:r>
          </w:p>
        </w:tc>
        <w:tc>
          <w:tcPr>
            <w:tcW w:w="891" w:type="pct"/>
            <w:tcBorders>
              <w:top w:val="nil"/>
              <w:left w:val="nil"/>
              <w:bottom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sz w:val="18"/>
                <w:szCs w:val="18"/>
              </w:rPr>
            </w:pPr>
            <w:r>
              <w:rPr>
                <w:rFonts w:asciiTheme="majorHAnsi" w:hAnsiTheme="majorHAnsi" w:cs="Calibri"/>
                <w:sz w:val="18"/>
                <w:szCs w:val="18"/>
              </w:rPr>
              <w:t>–</w:t>
            </w:r>
          </w:p>
        </w:tc>
        <w:tc>
          <w:tcPr>
            <w:tcW w:w="1119" w:type="pct"/>
            <w:tcBorders>
              <w:top w:val="nil"/>
              <w:left w:val="nil"/>
              <w:bottom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sz w:val="18"/>
                <w:szCs w:val="18"/>
              </w:rPr>
            </w:pPr>
            <w:r>
              <w:rPr>
                <w:rFonts w:asciiTheme="majorHAnsi" w:hAnsiTheme="majorHAnsi" w:cs="Calibri"/>
                <w:sz w:val="18"/>
                <w:szCs w:val="18"/>
              </w:rPr>
              <w:t>–</w:t>
            </w:r>
          </w:p>
        </w:tc>
        <w:tc>
          <w:tcPr>
            <w:tcW w:w="915" w:type="pct"/>
            <w:tcBorders>
              <w:top w:val="nil"/>
              <w:left w:val="nil"/>
              <w:bottom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center"/>
              <w:rPr>
                <w:rFonts w:asciiTheme="majorHAnsi" w:hAnsiTheme="majorHAnsi" w:cs="Calibri"/>
                <w:sz w:val="18"/>
                <w:szCs w:val="18"/>
              </w:rPr>
            </w:pPr>
            <w:r>
              <w:rPr>
                <w:rFonts w:asciiTheme="majorHAnsi" w:hAnsiTheme="majorHAnsi" w:cs="Calibri"/>
                <w:sz w:val="18"/>
                <w:szCs w:val="18"/>
              </w:rPr>
              <w:fldChar w:fldCharType="begin" w:fldLock="1"/>
            </w:r>
            <w:r>
              <w:rPr>
                <w:rFonts w:asciiTheme="majorHAnsi" w:hAnsiTheme="majorHAnsi" w:cs="Calibri"/>
                <w:sz w:val="18"/>
                <w:szCs w:val="18"/>
              </w:rPr>
              <w:instrText>ADDIN CSL_CITATION { "citationItems" : [ { "id" : "ITEM-1", "itemData" : { "DOI" : "10.1136/gutjnl-2014-307772", "ISSN" : "0017-5749", "author" : [ { "dropping-particle" : "", "family" : "San Miguel", "given" : "Ram\u00f3n", "non-dropping-particle" : "", "parse-names" : false, "suffix" : "" }, { "dropping-particle" : "", "family" : "Gimeno-Ballester", "given" : "Vicente", "non-dropping-particle" : "", "parse-names" : false, "suffix" : "" }, { "dropping-particle" : "", "family" : "Bl\u00e1zquez", "given" : "Antonio", "non-dropping-particle" : "", "parse-names" : false, "suffix" : "" }, { "dropping-particle" : "", "family" : "Mar", "given" : "Javier", "non-dropping-particle" : "", "parse-names" : false, "suffix" : "" } ], "container-title" : "Gut", "id" : "ITEM-1", "issue" : "8", "issued" : { "date-parts" : [ [ "2015" ] ] }, "page" : "1277-1288", "title" : "Cost-effectiveness analysis of sofosbuvir-based regimens for chronic hepatitis C", "type" : "article-journal", "volume" : "64" }, "uris" : [ "http://www.mendeley.com/documents/?uuid=9065e32c-2a67-476d-b6c3-74e1254bf8d4" ] } ], "mendeley" : { "formattedCitation" : "[18]", "plainTextFormattedCitation" : "[18]", "previouslyFormattedCitation" : "[18]" }, "properties" : { "noteIndex" : 0 }, "schema" : "https://github.com/citation-style-language/schema/raw/master/csl-citation.json" }</w:instrText>
            </w:r>
            <w:r>
              <w:rPr>
                <w:rFonts w:asciiTheme="majorHAnsi" w:hAnsiTheme="majorHAnsi" w:cs="Calibri"/>
                <w:sz w:val="18"/>
                <w:szCs w:val="18"/>
              </w:rPr>
              <w:fldChar w:fldCharType="separate"/>
            </w:r>
            <w:r w:rsidRPr="00E46EFA">
              <w:rPr>
                <w:rFonts w:asciiTheme="majorHAnsi" w:hAnsiTheme="majorHAnsi" w:cs="Calibri"/>
                <w:noProof/>
                <w:sz w:val="18"/>
                <w:szCs w:val="18"/>
              </w:rPr>
              <w:t>[18]</w:t>
            </w:r>
            <w:r>
              <w:rPr>
                <w:rFonts w:asciiTheme="majorHAnsi" w:hAnsiTheme="majorHAnsi" w:cs="Calibri"/>
                <w:sz w:val="18"/>
                <w:szCs w:val="18"/>
              </w:rPr>
              <w:fldChar w:fldCharType="end"/>
            </w:r>
          </w:p>
        </w:tc>
      </w:tr>
      <w:tr w:rsidR="00100D7A" w:rsidTr="001764F9">
        <w:trPr>
          <w:trHeight w:val="285"/>
        </w:trPr>
        <w:tc>
          <w:tcPr>
            <w:tcW w:w="1367" w:type="pct"/>
            <w:tcBorders>
              <w:top w:val="nil"/>
              <w:left w:val="nil"/>
              <w:bottom w:val="nil"/>
              <w:right w:val="nil"/>
            </w:tcBorders>
            <w:shd w:val="clear" w:color="auto" w:fill="auto"/>
            <w:noWrap/>
            <w:tcMar>
              <w:top w:w="15" w:type="dxa"/>
              <w:left w:w="15" w:type="dxa"/>
              <w:bottom w:w="0" w:type="dxa"/>
              <w:right w:w="15" w:type="dxa"/>
            </w:tcMar>
            <w:vAlign w:val="bottom"/>
          </w:tcPr>
          <w:p w:rsidR="00100D7A" w:rsidRPr="008635B2" w:rsidRDefault="00100D7A" w:rsidP="001764F9">
            <w:pPr>
              <w:spacing w:after="0" w:line="240" w:lineRule="auto"/>
              <w:rPr>
                <w:rFonts w:eastAsia="Times New Roman" w:cs="Calibri"/>
                <w:color w:val="000000"/>
                <w:sz w:val="18"/>
                <w:szCs w:val="18"/>
              </w:rPr>
            </w:pPr>
            <w:r w:rsidRPr="008635B2">
              <w:rPr>
                <w:rFonts w:eastAsia="Times New Roman" w:cs="Calibri"/>
                <w:color w:val="000000"/>
                <w:sz w:val="18"/>
                <w:szCs w:val="18"/>
              </w:rPr>
              <w:t>F0-F1</w:t>
            </w:r>
            <w:r>
              <w:rPr>
                <w:rFonts w:eastAsia="Times New Roman" w:cs="Calibri"/>
                <w:color w:val="000000"/>
                <w:sz w:val="18"/>
                <w:szCs w:val="18"/>
              </w:rPr>
              <w:t xml:space="preserve"> and SVR</w:t>
            </w:r>
          </w:p>
        </w:tc>
        <w:tc>
          <w:tcPr>
            <w:tcW w:w="708" w:type="pct"/>
            <w:tcBorders>
              <w:top w:val="nil"/>
              <w:left w:val="nil"/>
              <w:bottom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sz w:val="18"/>
                <w:szCs w:val="18"/>
              </w:rPr>
            </w:pPr>
            <w:r>
              <w:rPr>
                <w:rFonts w:asciiTheme="majorHAnsi" w:hAnsiTheme="majorHAnsi" w:cs="Calibri"/>
                <w:sz w:val="18"/>
                <w:szCs w:val="18"/>
              </w:rPr>
              <w:t>114</w:t>
            </w:r>
          </w:p>
        </w:tc>
        <w:tc>
          <w:tcPr>
            <w:tcW w:w="891" w:type="pct"/>
            <w:tcBorders>
              <w:top w:val="nil"/>
              <w:left w:val="nil"/>
              <w:bottom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sz w:val="18"/>
                <w:szCs w:val="18"/>
              </w:rPr>
            </w:pPr>
          </w:p>
        </w:tc>
        <w:tc>
          <w:tcPr>
            <w:tcW w:w="1119" w:type="pct"/>
            <w:tcBorders>
              <w:top w:val="nil"/>
              <w:left w:val="nil"/>
              <w:bottom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sz w:val="18"/>
                <w:szCs w:val="18"/>
              </w:rPr>
            </w:pPr>
          </w:p>
        </w:tc>
        <w:tc>
          <w:tcPr>
            <w:tcW w:w="915" w:type="pct"/>
            <w:tcBorders>
              <w:top w:val="nil"/>
              <w:left w:val="nil"/>
              <w:bottom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center"/>
              <w:rPr>
                <w:rFonts w:asciiTheme="majorHAnsi" w:hAnsiTheme="majorHAnsi" w:cs="Calibri"/>
                <w:sz w:val="18"/>
                <w:szCs w:val="18"/>
              </w:rPr>
            </w:pPr>
            <w:r>
              <w:rPr>
                <w:rFonts w:asciiTheme="majorHAnsi" w:hAnsiTheme="majorHAnsi" w:cs="Calibri"/>
                <w:sz w:val="18"/>
                <w:szCs w:val="18"/>
              </w:rPr>
              <w:fldChar w:fldCharType="begin" w:fldLock="1"/>
            </w:r>
            <w:r>
              <w:rPr>
                <w:rFonts w:asciiTheme="majorHAnsi" w:hAnsiTheme="majorHAnsi" w:cs="Calibri"/>
                <w:sz w:val="18"/>
                <w:szCs w:val="18"/>
              </w:rPr>
              <w:instrText>ADDIN CSL_CITATION { "citationItems" : [ { "id" : "ITEM-1", "itemData" : { "DOI" : "10.1136/gutjnl-2014-307772", "ISSN" : "0017-5749", "author" : [ { "dropping-particle" : "", "family" : "San Miguel", "given" : "Ram\u00f3n", "non-dropping-particle" : "", "parse-names" : false, "suffix" : "" }, { "dropping-particle" : "", "family" : "Gimeno-Ballester", "given" : "Vicente", "non-dropping-particle" : "", "parse-names" : false, "suffix" : "" }, { "dropping-particle" : "", "family" : "Bl\u00e1zquez", "given" : "Antonio", "non-dropping-particle" : "", "parse-names" : false, "suffix" : "" }, { "dropping-particle" : "", "family" : "Mar", "given" : "Javier", "non-dropping-particle" : "", "parse-names" : false, "suffix" : "" } ], "container-title" : "Gut", "id" : "ITEM-1", "issue" : "8", "issued" : { "date-parts" : [ [ "2015" ] ] }, "page" : "1277-1288", "title" : "Cost-effectiveness analysis of sofosbuvir-based regimens for chronic hepatitis C", "type" : "article-journal", "volume" : "64" }, "uris" : [ "http://www.mendeley.com/documents/?uuid=9065e32c-2a67-476d-b6c3-74e1254bf8d4" ] } ], "mendeley" : { "formattedCitation" : "[18]", "plainTextFormattedCitation" : "[18]", "previouslyFormattedCitation" : "[18]" }, "properties" : { "noteIndex" : 0 }, "schema" : "https://github.com/citation-style-language/schema/raw/master/csl-citation.json" }</w:instrText>
            </w:r>
            <w:r>
              <w:rPr>
                <w:rFonts w:asciiTheme="majorHAnsi" w:hAnsiTheme="majorHAnsi" w:cs="Calibri"/>
                <w:sz w:val="18"/>
                <w:szCs w:val="18"/>
              </w:rPr>
              <w:fldChar w:fldCharType="separate"/>
            </w:r>
            <w:r w:rsidRPr="00E46EFA">
              <w:rPr>
                <w:rFonts w:asciiTheme="majorHAnsi" w:hAnsiTheme="majorHAnsi" w:cs="Calibri"/>
                <w:noProof/>
                <w:sz w:val="18"/>
                <w:szCs w:val="18"/>
              </w:rPr>
              <w:t>[18]</w:t>
            </w:r>
            <w:r>
              <w:rPr>
                <w:rFonts w:asciiTheme="majorHAnsi" w:hAnsiTheme="majorHAnsi" w:cs="Calibri"/>
                <w:sz w:val="18"/>
                <w:szCs w:val="18"/>
              </w:rPr>
              <w:fldChar w:fldCharType="end"/>
            </w:r>
          </w:p>
        </w:tc>
      </w:tr>
      <w:tr w:rsidR="00100D7A" w:rsidTr="001764F9">
        <w:trPr>
          <w:trHeight w:val="285"/>
        </w:trPr>
        <w:tc>
          <w:tcPr>
            <w:tcW w:w="1367" w:type="pct"/>
            <w:tcBorders>
              <w:top w:val="nil"/>
              <w:left w:val="nil"/>
              <w:bottom w:val="nil"/>
              <w:right w:val="nil"/>
            </w:tcBorders>
            <w:shd w:val="clear" w:color="auto" w:fill="auto"/>
            <w:noWrap/>
            <w:tcMar>
              <w:top w:w="15" w:type="dxa"/>
              <w:left w:w="15" w:type="dxa"/>
              <w:bottom w:w="0" w:type="dxa"/>
              <w:right w:w="15" w:type="dxa"/>
            </w:tcMar>
            <w:vAlign w:val="bottom"/>
          </w:tcPr>
          <w:p w:rsidR="00100D7A" w:rsidRPr="008635B2" w:rsidRDefault="00100D7A" w:rsidP="001764F9">
            <w:pPr>
              <w:spacing w:after="0" w:line="240" w:lineRule="auto"/>
              <w:rPr>
                <w:rFonts w:eastAsia="Times New Roman" w:cs="Calibri"/>
                <w:color w:val="000000"/>
                <w:sz w:val="18"/>
                <w:szCs w:val="18"/>
              </w:rPr>
            </w:pPr>
            <w:r w:rsidRPr="008635B2">
              <w:rPr>
                <w:rFonts w:eastAsia="Times New Roman" w:cs="Calibri"/>
                <w:color w:val="000000"/>
                <w:sz w:val="18"/>
                <w:szCs w:val="18"/>
              </w:rPr>
              <w:t>F2-F3</w:t>
            </w:r>
          </w:p>
        </w:tc>
        <w:tc>
          <w:tcPr>
            <w:tcW w:w="708" w:type="pct"/>
            <w:tcBorders>
              <w:top w:val="nil"/>
              <w:left w:val="nil"/>
              <w:bottom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sz w:val="18"/>
                <w:szCs w:val="18"/>
              </w:rPr>
            </w:pPr>
            <w:r>
              <w:rPr>
                <w:rFonts w:asciiTheme="majorHAnsi" w:hAnsiTheme="majorHAnsi" w:cs="Calibri"/>
                <w:sz w:val="18"/>
                <w:szCs w:val="18"/>
              </w:rPr>
              <w:t>279</w:t>
            </w:r>
          </w:p>
        </w:tc>
        <w:tc>
          <w:tcPr>
            <w:tcW w:w="891" w:type="pct"/>
            <w:tcBorders>
              <w:top w:val="nil"/>
              <w:left w:val="nil"/>
              <w:bottom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sz w:val="18"/>
                <w:szCs w:val="18"/>
              </w:rPr>
            </w:pPr>
          </w:p>
        </w:tc>
        <w:tc>
          <w:tcPr>
            <w:tcW w:w="1119" w:type="pct"/>
            <w:tcBorders>
              <w:top w:val="nil"/>
              <w:left w:val="nil"/>
              <w:bottom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sz w:val="18"/>
                <w:szCs w:val="18"/>
              </w:rPr>
            </w:pPr>
          </w:p>
        </w:tc>
        <w:tc>
          <w:tcPr>
            <w:tcW w:w="915" w:type="pct"/>
            <w:tcBorders>
              <w:top w:val="nil"/>
              <w:left w:val="nil"/>
              <w:bottom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center"/>
              <w:rPr>
                <w:rFonts w:asciiTheme="majorHAnsi" w:hAnsiTheme="majorHAnsi" w:cs="Calibri"/>
                <w:sz w:val="18"/>
                <w:szCs w:val="18"/>
              </w:rPr>
            </w:pPr>
            <w:r>
              <w:rPr>
                <w:rFonts w:asciiTheme="majorHAnsi" w:hAnsiTheme="majorHAnsi" w:cs="Calibri"/>
                <w:sz w:val="18"/>
                <w:szCs w:val="18"/>
              </w:rPr>
              <w:fldChar w:fldCharType="begin" w:fldLock="1"/>
            </w:r>
            <w:r>
              <w:rPr>
                <w:rFonts w:asciiTheme="majorHAnsi" w:hAnsiTheme="majorHAnsi" w:cs="Calibri"/>
                <w:sz w:val="18"/>
                <w:szCs w:val="18"/>
              </w:rPr>
              <w:instrText>ADDIN CSL_CITATION { "citationItems" : [ { "id" : "ITEM-1", "itemData" : { "DOI" : "10.1136/gutjnl-2014-307772", "ISSN" : "0017-5749", "author" : [ { "dropping-particle" : "", "family" : "San Miguel", "given" : "Ram\u00f3n", "non-dropping-particle" : "", "parse-names" : false, "suffix" : "" }, { "dropping-particle" : "", "family" : "Gimeno-Ballester", "given" : "Vicente", "non-dropping-particle" : "", "parse-names" : false, "suffix" : "" }, { "dropping-particle" : "", "family" : "Bl\u00e1zquez", "given" : "Antonio", "non-dropping-particle" : "", "parse-names" : false, "suffix" : "" }, { "dropping-particle" : "", "family" : "Mar", "given" : "Javier", "non-dropping-particle" : "", "parse-names" : false, "suffix" : "" } ], "container-title" : "Gut", "id" : "ITEM-1", "issue" : "8", "issued" : { "date-parts" : [ [ "2015" ] ] }, "page" : "1277-1288", "title" : "Cost-effectiveness analysis of sofosbuvir-based regimens for chronic hepatitis C", "type" : "article-journal", "volume" : "64" }, "uris" : [ "http://www.mendeley.com/documents/?uuid=9065e32c-2a67-476d-b6c3-74e1254bf8d4" ] } ], "mendeley" : { "formattedCitation" : "[18]", "plainTextFormattedCitation" : "[18]", "previouslyFormattedCitation" : "[18]" }, "properties" : { "noteIndex" : 0 }, "schema" : "https://github.com/citation-style-language/schema/raw/master/csl-citation.json" }</w:instrText>
            </w:r>
            <w:r>
              <w:rPr>
                <w:rFonts w:asciiTheme="majorHAnsi" w:hAnsiTheme="majorHAnsi" w:cs="Calibri"/>
                <w:sz w:val="18"/>
                <w:szCs w:val="18"/>
              </w:rPr>
              <w:fldChar w:fldCharType="separate"/>
            </w:r>
            <w:r w:rsidRPr="00E46EFA">
              <w:rPr>
                <w:rFonts w:asciiTheme="majorHAnsi" w:hAnsiTheme="majorHAnsi" w:cs="Calibri"/>
                <w:noProof/>
                <w:sz w:val="18"/>
                <w:szCs w:val="18"/>
              </w:rPr>
              <w:t>[18]</w:t>
            </w:r>
            <w:r>
              <w:rPr>
                <w:rFonts w:asciiTheme="majorHAnsi" w:hAnsiTheme="majorHAnsi" w:cs="Calibri"/>
                <w:sz w:val="18"/>
                <w:szCs w:val="18"/>
              </w:rPr>
              <w:fldChar w:fldCharType="end"/>
            </w:r>
          </w:p>
        </w:tc>
      </w:tr>
      <w:tr w:rsidR="00100D7A" w:rsidTr="001764F9">
        <w:trPr>
          <w:trHeight w:val="285"/>
        </w:trPr>
        <w:tc>
          <w:tcPr>
            <w:tcW w:w="1367" w:type="pct"/>
            <w:tcBorders>
              <w:top w:val="nil"/>
              <w:left w:val="nil"/>
              <w:bottom w:val="nil"/>
              <w:right w:val="nil"/>
            </w:tcBorders>
            <w:shd w:val="clear" w:color="auto" w:fill="auto"/>
            <w:noWrap/>
            <w:tcMar>
              <w:top w:w="15" w:type="dxa"/>
              <w:left w:w="15" w:type="dxa"/>
              <w:bottom w:w="0" w:type="dxa"/>
              <w:right w:w="15" w:type="dxa"/>
            </w:tcMar>
            <w:vAlign w:val="bottom"/>
          </w:tcPr>
          <w:p w:rsidR="00100D7A" w:rsidRPr="008635B2" w:rsidRDefault="00100D7A" w:rsidP="001764F9">
            <w:pPr>
              <w:spacing w:after="0" w:line="240" w:lineRule="auto"/>
              <w:rPr>
                <w:rFonts w:eastAsia="Times New Roman" w:cs="Calibri"/>
                <w:color w:val="000000"/>
                <w:sz w:val="18"/>
                <w:szCs w:val="18"/>
              </w:rPr>
            </w:pPr>
            <w:r w:rsidRPr="008635B2">
              <w:rPr>
                <w:rFonts w:eastAsia="Times New Roman" w:cs="Calibri"/>
                <w:color w:val="000000"/>
                <w:sz w:val="18"/>
                <w:szCs w:val="18"/>
              </w:rPr>
              <w:t>F2-F3</w:t>
            </w:r>
            <w:r>
              <w:rPr>
                <w:rFonts w:eastAsia="Times New Roman" w:cs="Calibri"/>
                <w:color w:val="000000"/>
                <w:sz w:val="18"/>
                <w:szCs w:val="18"/>
              </w:rPr>
              <w:t xml:space="preserve"> and SVR</w:t>
            </w:r>
          </w:p>
        </w:tc>
        <w:tc>
          <w:tcPr>
            <w:tcW w:w="708" w:type="pct"/>
            <w:tcBorders>
              <w:top w:val="nil"/>
              <w:left w:val="nil"/>
              <w:bottom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sz w:val="18"/>
                <w:szCs w:val="18"/>
              </w:rPr>
            </w:pPr>
            <w:r>
              <w:rPr>
                <w:rFonts w:asciiTheme="majorHAnsi" w:hAnsiTheme="majorHAnsi" w:cs="Calibri"/>
                <w:sz w:val="18"/>
                <w:szCs w:val="18"/>
              </w:rPr>
              <w:t>114</w:t>
            </w:r>
          </w:p>
        </w:tc>
        <w:tc>
          <w:tcPr>
            <w:tcW w:w="891" w:type="pct"/>
            <w:tcBorders>
              <w:top w:val="nil"/>
              <w:left w:val="nil"/>
              <w:bottom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sz w:val="18"/>
                <w:szCs w:val="18"/>
              </w:rPr>
            </w:pPr>
          </w:p>
        </w:tc>
        <w:tc>
          <w:tcPr>
            <w:tcW w:w="1119" w:type="pct"/>
            <w:tcBorders>
              <w:top w:val="nil"/>
              <w:left w:val="nil"/>
              <w:bottom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sz w:val="18"/>
                <w:szCs w:val="18"/>
              </w:rPr>
            </w:pPr>
          </w:p>
        </w:tc>
        <w:tc>
          <w:tcPr>
            <w:tcW w:w="915" w:type="pct"/>
            <w:tcBorders>
              <w:top w:val="nil"/>
              <w:left w:val="nil"/>
              <w:bottom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center"/>
              <w:rPr>
                <w:rFonts w:asciiTheme="majorHAnsi" w:hAnsiTheme="majorHAnsi" w:cs="Calibri"/>
                <w:sz w:val="18"/>
                <w:szCs w:val="18"/>
              </w:rPr>
            </w:pPr>
            <w:r>
              <w:rPr>
                <w:rFonts w:asciiTheme="majorHAnsi" w:hAnsiTheme="majorHAnsi" w:cs="Calibri"/>
                <w:sz w:val="18"/>
                <w:szCs w:val="18"/>
              </w:rPr>
              <w:fldChar w:fldCharType="begin" w:fldLock="1"/>
            </w:r>
            <w:r>
              <w:rPr>
                <w:rFonts w:asciiTheme="majorHAnsi" w:hAnsiTheme="majorHAnsi" w:cs="Calibri"/>
                <w:sz w:val="18"/>
                <w:szCs w:val="18"/>
              </w:rPr>
              <w:instrText>ADDIN CSL_CITATION { "citationItems" : [ { "id" : "ITEM-1", "itemData" : { "DOI" : "10.1136/gutjnl-2014-307772", "ISSN" : "0017-5749", "author" : [ { "dropping-particle" : "", "family" : "San Miguel", "given" : "Ram\u00f3n", "non-dropping-particle" : "", "parse-names" : false, "suffix" : "" }, { "dropping-particle" : "", "family" : "Gimeno-Ballester", "given" : "Vicente", "non-dropping-particle" : "", "parse-names" : false, "suffix" : "" }, { "dropping-particle" : "", "family" : "Bl\u00e1zquez", "given" : "Antonio", "non-dropping-particle" : "", "parse-names" : false, "suffix" : "" }, { "dropping-particle" : "", "family" : "Mar", "given" : "Javier", "non-dropping-particle" : "", "parse-names" : false, "suffix" : "" } ], "container-title" : "Gut", "id" : "ITEM-1", "issue" : "8", "issued" : { "date-parts" : [ [ "2015" ] ] }, "page" : "1277-1288", "title" : "Cost-effectiveness analysis of sofosbuvir-based regimens for chronic hepatitis C", "type" : "article-journal", "volume" : "64" }, "uris" : [ "http://www.mendeley.com/documents/?uuid=9065e32c-2a67-476d-b6c3-74e1254bf8d4" ] } ], "mendeley" : { "formattedCitation" : "[18]", "plainTextFormattedCitation" : "[18]", "previouslyFormattedCitation" : "[18]" }, "properties" : { "noteIndex" : 0 }, "schema" : "https://github.com/citation-style-language/schema/raw/master/csl-citation.json" }</w:instrText>
            </w:r>
            <w:r>
              <w:rPr>
                <w:rFonts w:asciiTheme="majorHAnsi" w:hAnsiTheme="majorHAnsi" w:cs="Calibri"/>
                <w:sz w:val="18"/>
                <w:szCs w:val="18"/>
              </w:rPr>
              <w:fldChar w:fldCharType="separate"/>
            </w:r>
            <w:r w:rsidRPr="00E46EFA">
              <w:rPr>
                <w:rFonts w:asciiTheme="majorHAnsi" w:hAnsiTheme="majorHAnsi" w:cs="Calibri"/>
                <w:noProof/>
                <w:sz w:val="18"/>
                <w:szCs w:val="18"/>
              </w:rPr>
              <w:t>[18]</w:t>
            </w:r>
            <w:r>
              <w:rPr>
                <w:rFonts w:asciiTheme="majorHAnsi" w:hAnsiTheme="majorHAnsi" w:cs="Calibri"/>
                <w:sz w:val="18"/>
                <w:szCs w:val="18"/>
              </w:rPr>
              <w:fldChar w:fldCharType="end"/>
            </w:r>
          </w:p>
        </w:tc>
      </w:tr>
      <w:tr w:rsidR="00100D7A" w:rsidTr="001764F9">
        <w:trPr>
          <w:trHeight w:val="285"/>
        </w:trPr>
        <w:tc>
          <w:tcPr>
            <w:tcW w:w="1367" w:type="pct"/>
            <w:tcBorders>
              <w:top w:val="nil"/>
              <w:left w:val="nil"/>
              <w:bottom w:val="nil"/>
              <w:right w:val="nil"/>
            </w:tcBorders>
            <w:shd w:val="clear" w:color="auto" w:fill="auto"/>
            <w:noWrap/>
            <w:tcMar>
              <w:top w:w="15" w:type="dxa"/>
              <w:left w:w="15" w:type="dxa"/>
              <w:bottom w:w="0" w:type="dxa"/>
              <w:right w:w="15" w:type="dxa"/>
            </w:tcMar>
            <w:vAlign w:val="bottom"/>
          </w:tcPr>
          <w:p w:rsidR="00100D7A" w:rsidRPr="008635B2" w:rsidRDefault="00100D7A" w:rsidP="001764F9">
            <w:pPr>
              <w:spacing w:after="0" w:line="240" w:lineRule="auto"/>
              <w:rPr>
                <w:rFonts w:eastAsia="Times New Roman" w:cs="Calibri"/>
                <w:color w:val="000000"/>
                <w:sz w:val="18"/>
                <w:szCs w:val="18"/>
              </w:rPr>
            </w:pPr>
            <w:r w:rsidRPr="008635B2">
              <w:rPr>
                <w:rFonts w:eastAsia="Times New Roman" w:cs="Calibri"/>
                <w:color w:val="000000"/>
                <w:sz w:val="18"/>
                <w:szCs w:val="18"/>
              </w:rPr>
              <w:t>F4</w:t>
            </w:r>
          </w:p>
        </w:tc>
        <w:tc>
          <w:tcPr>
            <w:tcW w:w="708" w:type="pct"/>
            <w:tcBorders>
              <w:top w:val="nil"/>
              <w:left w:val="nil"/>
              <w:bottom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sz w:val="18"/>
                <w:szCs w:val="18"/>
              </w:rPr>
            </w:pPr>
            <w:r>
              <w:rPr>
                <w:rFonts w:asciiTheme="majorHAnsi" w:hAnsiTheme="majorHAnsi" w:cs="Calibri"/>
                <w:sz w:val="18"/>
                <w:szCs w:val="18"/>
              </w:rPr>
              <w:t>408</w:t>
            </w:r>
          </w:p>
        </w:tc>
        <w:tc>
          <w:tcPr>
            <w:tcW w:w="891" w:type="pct"/>
            <w:tcBorders>
              <w:top w:val="nil"/>
              <w:left w:val="nil"/>
              <w:bottom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sz w:val="18"/>
                <w:szCs w:val="18"/>
              </w:rPr>
            </w:pPr>
          </w:p>
        </w:tc>
        <w:tc>
          <w:tcPr>
            <w:tcW w:w="1119" w:type="pct"/>
            <w:tcBorders>
              <w:top w:val="nil"/>
              <w:left w:val="nil"/>
              <w:bottom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sz w:val="18"/>
                <w:szCs w:val="18"/>
              </w:rPr>
            </w:pPr>
          </w:p>
        </w:tc>
        <w:tc>
          <w:tcPr>
            <w:tcW w:w="915" w:type="pct"/>
            <w:tcBorders>
              <w:top w:val="nil"/>
              <w:left w:val="nil"/>
              <w:bottom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center"/>
              <w:rPr>
                <w:rFonts w:asciiTheme="majorHAnsi" w:hAnsiTheme="majorHAnsi" w:cs="Calibri"/>
                <w:sz w:val="18"/>
                <w:szCs w:val="18"/>
              </w:rPr>
            </w:pPr>
            <w:r>
              <w:rPr>
                <w:rFonts w:asciiTheme="majorHAnsi" w:hAnsiTheme="majorHAnsi" w:cs="Calibri"/>
                <w:sz w:val="18"/>
                <w:szCs w:val="18"/>
              </w:rPr>
              <w:fldChar w:fldCharType="begin" w:fldLock="1"/>
            </w:r>
            <w:r>
              <w:rPr>
                <w:rFonts w:asciiTheme="majorHAnsi" w:hAnsiTheme="majorHAnsi" w:cs="Calibri"/>
                <w:sz w:val="18"/>
                <w:szCs w:val="18"/>
              </w:rPr>
              <w:instrText>ADDIN CSL_CITATION { "citationItems" : [ { "id" : "ITEM-1", "itemData" : { "DOI" : "10.1136/gutjnl-2014-307772", "ISSN" : "0017-5749", "author" : [ { "dropping-particle" : "", "family" : "San Miguel", "given" : "Ram\u00f3n", "non-dropping-particle" : "", "parse-names" : false, "suffix" : "" }, { "dropping-particle" : "", "family" : "Gimeno-Ballester", "given" : "Vicente", "non-dropping-particle" : "", "parse-names" : false, "suffix" : "" }, { "dropping-particle" : "", "family" : "Bl\u00e1zquez", "given" : "Antonio", "non-dropping-particle" : "", "parse-names" : false, "suffix" : "" }, { "dropping-particle" : "", "family" : "Mar", "given" : "Javier", "non-dropping-particle" : "", "parse-names" : false, "suffix" : "" } ], "container-title" : "Gut", "id" : "ITEM-1", "issue" : "8", "issued" : { "date-parts" : [ [ "2015" ] ] }, "page" : "1277-1288", "title" : "Cost-effectiveness analysis of sofosbuvir-based regimens for chronic hepatitis C", "type" : "article-journal", "volume" : "64" }, "uris" : [ "http://www.mendeley.com/documents/?uuid=9065e32c-2a67-476d-b6c3-74e1254bf8d4" ] } ], "mendeley" : { "formattedCitation" : "[18]", "plainTextFormattedCitation" : "[18]", "previouslyFormattedCitation" : "[18]" }, "properties" : { "noteIndex" : 0 }, "schema" : "https://github.com/citation-style-language/schema/raw/master/csl-citation.json" }</w:instrText>
            </w:r>
            <w:r>
              <w:rPr>
                <w:rFonts w:asciiTheme="majorHAnsi" w:hAnsiTheme="majorHAnsi" w:cs="Calibri"/>
                <w:sz w:val="18"/>
                <w:szCs w:val="18"/>
              </w:rPr>
              <w:fldChar w:fldCharType="separate"/>
            </w:r>
            <w:r w:rsidRPr="00E46EFA">
              <w:rPr>
                <w:rFonts w:asciiTheme="majorHAnsi" w:hAnsiTheme="majorHAnsi" w:cs="Calibri"/>
                <w:noProof/>
                <w:sz w:val="18"/>
                <w:szCs w:val="18"/>
              </w:rPr>
              <w:t>[18]</w:t>
            </w:r>
            <w:r>
              <w:rPr>
                <w:rFonts w:asciiTheme="majorHAnsi" w:hAnsiTheme="majorHAnsi" w:cs="Calibri"/>
                <w:sz w:val="18"/>
                <w:szCs w:val="18"/>
              </w:rPr>
              <w:fldChar w:fldCharType="end"/>
            </w:r>
          </w:p>
        </w:tc>
      </w:tr>
      <w:tr w:rsidR="00100D7A" w:rsidTr="001764F9">
        <w:trPr>
          <w:trHeight w:val="285"/>
        </w:trPr>
        <w:tc>
          <w:tcPr>
            <w:tcW w:w="1367" w:type="pct"/>
            <w:tcBorders>
              <w:top w:val="nil"/>
              <w:left w:val="nil"/>
              <w:bottom w:val="nil"/>
              <w:right w:val="nil"/>
            </w:tcBorders>
            <w:shd w:val="clear" w:color="auto" w:fill="auto"/>
            <w:noWrap/>
            <w:tcMar>
              <w:top w:w="15" w:type="dxa"/>
              <w:left w:w="15" w:type="dxa"/>
              <w:bottom w:w="0" w:type="dxa"/>
              <w:right w:w="15" w:type="dxa"/>
            </w:tcMar>
            <w:vAlign w:val="bottom"/>
          </w:tcPr>
          <w:p w:rsidR="00100D7A" w:rsidRPr="008635B2" w:rsidRDefault="00100D7A" w:rsidP="001764F9">
            <w:pPr>
              <w:spacing w:after="0" w:line="240" w:lineRule="auto"/>
              <w:rPr>
                <w:rFonts w:eastAsia="Times New Roman" w:cs="Calibri"/>
                <w:color w:val="000000"/>
                <w:sz w:val="18"/>
                <w:szCs w:val="18"/>
              </w:rPr>
            </w:pPr>
            <w:r w:rsidRPr="008635B2">
              <w:rPr>
                <w:rFonts w:eastAsia="Times New Roman" w:cs="Calibri"/>
                <w:color w:val="000000"/>
                <w:sz w:val="18"/>
                <w:szCs w:val="18"/>
              </w:rPr>
              <w:t>F4</w:t>
            </w:r>
            <w:r>
              <w:rPr>
                <w:rFonts w:eastAsia="Times New Roman" w:cs="Calibri"/>
                <w:color w:val="000000"/>
                <w:sz w:val="18"/>
                <w:szCs w:val="18"/>
              </w:rPr>
              <w:t xml:space="preserve"> and SVR</w:t>
            </w:r>
          </w:p>
        </w:tc>
        <w:tc>
          <w:tcPr>
            <w:tcW w:w="708" w:type="pct"/>
            <w:tcBorders>
              <w:top w:val="nil"/>
              <w:left w:val="nil"/>
              <w:bottom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sz w:val="18"/>
                <w:szCs w:val="18"/>
              </w:rPr>
            </w:pPr>
            <w:r>
              <w:rPr>
                <w:rFonts w:asciiTheme="majorHAnsi" w:hAnsiTheme="majorHAnsi" w:cs="Calibri"/>
                <w:sz w:val="18"/>
                <w:szCs w:val="18"/>
              </w:rPr>
              <w:t>165</w:t>
            </w:r>
          </w:p>
        </w:tc>
        <w:tc>
          <w:tcPr>
            <w:tcW w:w="891" w:type="pct"/>
            <w:tcBorders>
              <w:top w:val="nil"/>
              <w:left w:val="nil"/>
              <w:bottom w:val="nil"/>
              <w:right w:val="nil"/>
            </w:tcBorders>
            <w:shd w:val="clear" w:color="auto" w:fill="auto"/>
            <w:noWrap/>
            <w:tcMar>
              <w:top w:w="15" w:type="dxa"/>
              <w:left w:w="15" w:type="dxa"/>
              <w:bottom w:w="0" w:type="dxa"/>
              <w:right w:w="15" w:type="dxa"/>
            </w:tcMar>
            <w:vAlign w:val="bottom"/>
            <w:hideMark/>
          </w:tcPr>
          <w:p w:rsidR="00100D7A" w:rsidRPr="00D546FD" w:rsidRDefault="00100D7A" w:rsidP="001764F9">
            <w:pPr>
              <w:spacing w:after="0"/>
              <w:jc w:val="right"/>
              <w:rPr>
                <w:rFonts w:asciiTheme="majorHAnsi" w:hAnsiTheme="majorHAnsi" w:cs="Calibri"/>
                <w:sz w:val="18"/>
                <w:szCs w:val="18"/>
              </w:rPr>
            </w:pPr>
          </w:p>
        </w:tc>
        <w:tc>
          <w:tcPr>
            <w:tcW w:w="1119" w:type="pct"/>
            <w:tcBorders>
              <w:top w:val="nil"/>
              <w:left w:val="nil"/>
              <w:bottom w:val="nil"/>
              <w:right w:val="nil"/>
            </w:tcBorders>
            <w:shd w:val="clear" w:color="auto" w:fill="auto"/>
            <w:noWrap/>
            <w:tcMar>
              <w:top w:w="15" w:type="dxa"/>
              <w:left w:w="15" w:type="dxa"/>
              <w:bottom w:w="0" w:type="dxa"/>
              <w:right w:w="15" w:type="dxa"/>
            </w:tcMar>
            <w:vAlign w:val="bottom"/>
            <w:hideMark/>
          </w:tcPr>
          <w:p w:rsidR="00100D7A" w:rsidRPr="00D546FD" w:rsidRDefault="00100D7A" w:rsidP="001764F9">
            <w:pPr>
              <w:spacing w:after="0"/>
              <w:jc w:val="right"/>
              <w:rPr>
                <w:rFonts w:asciiTheme="majorHAnsi" w:hAnsiTheme="majorHAnsi" w:cs="Calibri"/>
                <w:sz w:val="18"/>
                <w:szCs w:val="18"/>
              </w:rPr>
            </w:pPr>
          </w:p>
        </w:tc>
        <w:tc>
          <w:tcPr>
            <w:tcW w:w="915" w:type="pct"/>
            <w:tcBorders>
              <w:top w:val="nil"/>
              <w:left w:val="nil"/>
              <w:bottom w:val="nil"/>
              <w:right w:val="nil"/>
            </w:tcBorders>
            <w:shd w:val="clear" w:color="auto" w:fill="auto"/>
            <w:noWrap/>
            <w:tcMar>
              <w:top w:w="15" w:type="dxa"/>
              <w:left w:w="15" w:type="dxa"/>
              <w:bottom w:w="0" w:type="dxa"/>
              <w:right w:w="15" w:type="dxa"/>
            </w:tcMar>
            <w:vAlign w:val="bottom"/>
            <w:hideMark/>
          </w:tcPr>
          <w:p w:rsidR="00100D7A" w:rsidRPr="00D546FD" w:rsidRDefault="00100D7A" w:rsidP="001764F9">
            <w:pPr>
              <w:spacing w:after="0"/>
              <w:jc w:val="center"/>
              <w:rPr>
                <w:rFonts w:asciiTheme="majorHAnsi" w:hAnsiTheme="majorHAnsi" w:cs="Calibri"/>
                <w:sz w:val="18"/>
                <w:szCs w:val="18"/>
              </w:rPr>
            </w:pPr>
            <w:r>
              <w:rPr>
                <w:rFonts w:asciiTheme="majorHAnsi" w:hAnsiTheme="majorHAnsi" w:cs="Calibri"/>
                <w:sz w:val="18"/>
                <w:szCs w:val="18"/>
              </w:rPr>
              <w:fldChar w:fldCharType="begin" w:fldLock="1"/>
            </w:r>
            <w:r>
              <w:rPr>
                <w:rFonts w:asciiTheme="majorHAnsi" w:hAnsiTheme="majorHAnsi" w:cs="Calibri"/>
                <w:sz w:val="18"/>
                <w:szCs w:val="18"/>
              </w:rPr>
              <w:instrText>ADDIN CSL_CITATION { "citationItems" : [ { "id" : "ITEM-1", "itemData" : { "DOI" : "10.1136/gutjnl-2014-307772", "ISSN" : "0017-5749", "author" : [ { "dropping-particle" : "", "family" : "San Miguel", "given" : "Ram\u00f3n", "non-dropping-particle" : "", "parse-names" : false, "suffix" : "" }, { "dropping-particle" : "", "family" : "Gimeno-Ballester", "given" : "Vicente", "non-dropping-particle" : "", "parse-names" : false, "suffix" : "" }, { "dropping-particle" : "", "family" : "Bl\u00e1zquez", "given" : "Antonio", "non-dropping-particle" : "", "parse-names" : false, "suffix" : "" }, { "dropping-particle" : "", "family" : "Mar", "given" : "Javier", "non-dropping-particle" : "", "parse-names" : false, "suffix" : "" } ], "container-title" : "Gut", "id" : "ITEM-1", "issue" : "8", "issued" : { "date-parts" : [ [ "2015" ] ] }, "page" : "1277-1288", "title" : "Cost-effectiveness analysis of sofosbuvir-based regimens for chronic hepatitis C", "type" : "article-journal", "volume" : "64" }, "uris" : [ "http://www.mendeley.com/documents/?uuid=9065e32c-2a67-476d-b6c3-74e1254bf8d4" ] } ], "mendeley" : { "formattedCitation" : "[18]", "plainTextFormattedCitation" : "[18]", "previouslyFormattedCitation" : "[18]" }, "properties" : { "noteIndex" : 0 }, "schema" : "https://github.com/citation-style-language/schema/raw/master/csl-citation.json" }</w:instrText>
            </w:r>
            <w:r>
              <w:rPr>
                <w:rFonts w:asciiTheme="majorHAnsi" w:hAnsiTheme="majorHAnsi" w:cs="Calibri"/>
                <w:sz w:val="18"/>
                <w:szCs w:val="18"/>
              </w:rPr>
              <w:fldChar w:fldCharType="separate"/>
            </w:r>
            <w:r w:rsidRPr="00E46EFA">
              <w:rPr>
                <w:rFonts w:asciiTheme="majorHAnsi" w:hAnsiTheme="majorHAnsi" w:cs="Calibri"/>
                <w:noProof/>
                <w:sz w:val="18"/>
                <w:szCs w:val="18"/>
              </w:rPr>
              <w:t>[18]</w:t>
            </w:r>
            <w:r>
              <w:rPr>
                <w:rFonts w:asciiTheme="majorHAnsi" w:hAnsiTheme="majorHAnsi" w:cs="Calibri"/>
                <w:sz w:val="18"/>
                <w:szCs w:val="18"/>
              </w:rPr>
              <w:fldChar w:fldCharType="end"/>
            </w:r>
          </w:p>
        </w:tc>
      </w:tr>
      <w:tr w:rsidR="00100D7A" w:rsidTr="001764F9">
        <w:trPr>
          <w:trHeight w:val="285"/>
        </w:trPr>
        <w:tc>
          <w:tcPr>
            <w:tcW w:w="1367" w:type="pct"/>
            <w:tcBorders>
              <w:top w:val="nil"/>
              <w:left w:val="nil"/>
              <w:bottom w:val="nil"/>
              <w:right w:val="nil"/>
            </w:tcBorders>
            <w:shd w:val="clear" w:color="auto" w:fill="auto"/>
            <w:noWrap/>
            <w:tcMar>
              <w:top w:w="15" w:type="dxa"/>
              <w:left w:w="15" w:type="dxa"/>
              <w:bottom w:w="0" w:type="dxa"/>
              <w:right w:w="15" w:type="dxa"/>
            </w:tcMar>
            <w:vAlign w:val="bottom"/>
          </w:tcPr>
          <w:p w:rsidR="00100D7A" w:rsidRPr="008635B2" w:rsidRDefault="00100D7A" w:rsidP="001764F9">
            <w:pPr>
              <w:spacing w:after="0" w:line="240" w:lineRule="auto"/>
              <w:rPr>
                <w:rFonts w:eastAsia="Times New Roman" w:cs="Calibri"/>
                <w:color w:val="000000"/>
                <w:sz w:val="18"/>
                <w:szCs w:val="18"/>
              </w:rPr>
            </w:pPr>
            <w:r w:rsidRPr="008635B2">
              <w:rPr>
                <w:rFonts w:eastAsia="Times New Roman" w:cs="Calibri"/>
                <w:color w:val="000000"/>
                <w:sz w:val="18"/>
                <w:szCs w:val="18"/>
              </w:rPr>
              <w:t>DC</w:t>
            </w:r>
          </w:p>
        </w:tc>
        <w:tc>
          <w:tcPr>
            <w:tcW w:w="708" w:type="pct"/>
            <w:tcBorders>
              <w:top w:val="nil"/>
              <w:left w:val="nil"/>
              <w:bottom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sz w:val="18"/>
                <w:szCs w:val="18"/>
              </w:rPr>
            </w:pPr>
            <w:r>
              <w:rPr>
                <w:rFonts w:asciiTheme="majorHAnsi" w:hAnsiTheme="majorHAnsi" w:cs="Calibri"/>
                <w:sz w:val="18"/>
                <w:szCs w:val="18"/>
              </w:rPr>
              <w:t>1320</w:t>
            </w:r>
          </w:p>
        </w:tc>
        <w:tc>
          <w:tcPr>
            <w:tcW w:w="891" w:type="pct"/>
            <w:tcBorders>
              <w:top w:val="nil"/>
              <w:left w:val="nil"/>
              <w:bottom w:val="nil"/>
              <w:right w:val="nil"/>
            </w:tcBorders>
            <w:shd w:val="clear" w:color="auto" w:fill="auto"/>
            <w:noWrap/>
            <w:tcMar>
              <w:top w:w="15" w:type="dxa"/>
              <w:left w:w="15" w:type="dxa"/>
              <w:bottom w:w="0" w:type="dxa"/>
              <w:right w:w="15" w:type="dxa"/>
            </w:tcMar>
            <w:vAlign w:val="bottom"/>
            <w:hideMark/>
          </w:tcPr>
          <w:p w:rsidR="00100D7A" w:rsidRPr="00D546FD" w:rsidRDefault="00100D7A" w:rsidP="001764F9">
            <w:pPr>
              <w:spacing w:after="0"/>
              <w:jc w:val="right"/>
              <w:rPr>
                <w:rFonts w:asciiTheme="majorHAnsi" w:hAnsiTheme="majorHAnsi" w:cs="Calibri"/>
                <w:sz w:val="18"/>
                <w:szCs w:val="18"/>
              </w:rPr>
            </w:pPr>
          </w:p>
        </w:tc>
        <w:tc>
          <w:tcPr>
            <w:tcW w:w="1119" w:type="pct"/>
            <w:tcBorders>
              <w:top w:val="nil"/>
              <w:left w:val="nil"/>
              <w:bottom w:val="nil"/>
              <w:right w:val="nil"/>
            </w:tcBorders>
            <w:shd w:val="clear" w:color="auto" w:fill="auto"/>
            <w:noWrap/>
            <w:tcMar>
              <w:top w:w="15" w:type="dxa"/>
              <w:left w:w="15" w:type="dxa"/>
              <w:bottom w:w="0" w:type="dxa"/>
              <w:right w:w="15" w:type="dxa"/>
            </w:tcMar>
            <w:vAlign w:val="bottom"/>
            <w:hideMark/>
          </w:tcPr>
          <w:p w:rsidR="00100D7A" w:rsidRPr="00D546FD" w:rsidRDefault="00100D7A" w:rsidP="001764F9">
            <w:pPr>
              <w:spacing w:after="0"/>
              <w:jc w:val="right"/>
              <w:rPr>
                <w:rFonts w:asciiTheme="majorHAnsi" w:hAnsiTheme="majorHAnsi" w:cs="Calibri"/>
                <w:sz w:val="18"/>
                <w:szCs w:val="18"/>
              </w:rPr>
            </w:pPr>
          </w:p>
        </w:tc>
        <w:tc>
          <w:tcPr>
            <w:tcW w:w="915" w:type="pct"/>
            <w:tcBorders>
              <w:top w:val="nil"/>
              <w:left w:val="nil"/>
              <w:bottom w:val="nil"/>
              <w:right w:val="nil"/>
            </w:tcBorders>
            <w:shd w:val="clear" w:color="auto" w:fill="auto"/>
            <w:noWrap/>
            <w:tcMar>
              <w:top w:w="15" w:type="dxa"/>
              <w:left w:w="15" w:type="dxa"/>
              <w:bottom w:w="0" w:type="dxa"/>
              <w:right w:w="15" w:type="dxa"/>
            </w:tcMar>
            <w:vAlign w:val="bottom"/>
            <w:hideMark/>
          </w:tcPr>
          <w:p w:rsidR="00100D7A" w:rsidRPr="00D546FD" w:rsidRDefault="00100D7A" w:rsidP="001764F9">
            <w:pPr>
              <w:spacing w:after="0"/>
              <w:jc w:val="center"/>
              <w:rPr>
                <w:rFonts w:asciiTheme="majorHAnsi" w:hAnsiTheme="majorHAnsi" w:cs="Calibri"/>
                <w:sz w:val="18"/>
                <w:szCs w:val="18"/>
              </w:rPr>
            </w:pPr>
            <w:r>
              <w:rPr>
                <w:rFonts w:asciiTheme="majorHAnsi" w:hAnsiTheme="majorHAnsi" w:cs="Calibri"/>
                <w:sz w:val="18"/>
                <w:szCs w:val="18"/>
              </w:rPr>
              <w:fldChar w:fldCharType="begin" w:fldLock="1"/>
            </w:r>
            <w:r>
              <w:rPr>
                <w:rFonts w:asciiTheme="majorHAnsi" w:hAnsiTheme="majorHAnsi" w:cs="Calibri"/>
                <w:sz w:val="18"/>
                <w:szCs w:val="18"/>
              </w:rPr>
              <w:instrText>ADDIN CSL_CITATION { "citationItems" : [ { "id" : "ITEM-1", "itemData" : { "DOI" : "10.1136/gutjnl-2014-307772", "ISSN" : "0017-5749", "author" : [ { "dropping-particle" : "", "family" : "San Miguel", "given" : "Ram\u00f3n", "non-dropping-particle" : "", "parse-names" : false, "suffix" : "" }, { "dropping-particle" : "", "family" : "Gimeno-Ballester", "given" : "Vicente", "non-dropping-particle" : "", "parse-names" : false, "suffix" : "" }, { "dropping-particle" : "", "family" : "Bl\u00e1zquez", "given" : "Antonio", "non-dropping-particle" : "", "parse-names" : false, "suffix" : "" }, { "dropping-particle" : "", "family" : "Mar", "given" : "Javier", "non-dropping-particle" : "", "parse-names" : false, "suffix" : "" } ], "container-title" : "Gut", "id" : "ITEM-1", "issue" : "8", "issued" : { "date-parts" : [ [ "2015" ] ] }, "page" : "1277-1288", "title" : "Cost-effectiveness analysis of sofosbuvir-based regimens for chronic hepatitis C", "type" : "article-journal", "volume" : "64" }, "uris" : [ "http://www.mendeley.com/documents/?uuid=9065e32c-2a67-476d-b6c3-74e1254bf8d4" ] } ], "mendeley" : { "formattedCitation" : "[18]", "plainTextFormattedCitation" : "[18]", "previouslyFormattedCitation" : "[18]" }, "properties" : { "noteIndex" : 0 }, "schema" : "https://github.com/citation-style-language/schema/raw/master/csl-citation.json" }</w:instrText>
            </w:r>
            <w:r>
              <w:rPr>
                <w:rFonts w:asciiTheme="majorHAnsi" w:hAnsiTheme="majorHAnsi" w:cs="Calibri"/>
                <w:sz w:val="18"/>
                <w:szCs w:val="18"/>
              </w:rPr>
              <w:fldChar w:fldCharType="separate"/>
            </w:r>
            <w:r w:rsidRPr="00E46EFA">
              <w:rPr>
                <w:rFonts w:asciiTheme="majorHAnsi" w:hAnsiTheme="majorHAnsi" w:cs="Calibri"/>
                <w:noProof/>
                <w:sz w:val="18"/>
                <w:szCs w:val="18"/>
              </w:rPr>
              <w:t>[18]</w:t>
            </w:r>
            <w:r>
              <w:rPr>
                <w:rFonts w:asciiTheme="majorHAnsi" w:hAnsiTheme="majorHAnsi" w:cs="Calibri"/>
                <w:sz w:val="18"/>
                <w:szCs w:val="18"/>
              </w:rPr>
              <w:fldChar w:fldCharType="end"/>
            </w:r>
          </w:p>
        </w:tc>
      </w:tr>
      <w:tr w:rsidR="00100D7A" w:rsidTr="001764F9">
        <w:trPr>
          <w:trHeight w:val="285"/>
        </w:trPr>
        <w:tc>
          <w:tcPr>
            <w:tcW w:w="1367" w:type="pct"/>
            <w:tcBorders>
              <w:top w:val="nil"/>
              <w:left w:val="nil"/>
              <w:bottom w:val="nil"/>
              <w:right w:val="nil"/>
            </w:tcBorders>
            <w:shd w:val="clear" w:color="auto" w:fill="auto"/>
            <w:noWrap/>
            <w:tcMar>
              <w:top w:w="15" w:type="dxa"/>
              <w:left w:w="15" w:type="dxa"/>
              <w:bottom w:w="0" w:type="dxa"/>
              <w:right w:w="15" w:type="dxa"/>
            </w:tcMar>
            <w:vAlign w:val="bottom"/>
          </w:tcPr>
          <w:p w:rsidR="00100D7A" w:rsidRPr="008635B2" w:rsidRDefault="00100D7A" w:rsidP="001764F9">
            <w:pPr>
              <w:spacing w:after="0" w:line="240" w:lineRule="auto"/>
              <w:rPr>
                <w:rFonts w:eastAsia="Times New Roman" w:cs="Calibri"/>
                <w:color w:val="000000"/>
                <w:sz w:val="18"/>
                <w:szCs w:val="18"/>
              </w:rPr>
            </w:pPr>
            <w:r w:rsidRPr="008635B2">
              <w:rPr>
                <w:rFonts w:eastAsia="Times New Roman" w:cs="Calibri"/>
                <w:color w:val="000000"/>
                <w:sz w:val="18"/>
                <w:szCs w:val="18"/>
              </w:rPr>
              <w:t>HCC</w:t>
            </w:r>
          </w:p>
        </w:tc>
        <w:tc>
          <w:tcPr>
            <w:tcW w:w="708" w:type="pct"/>
            <w:tcBorders>
              <w:top w:val="nil"/>
              <w:left w:val="nil"/>
              <w:bottom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sz w:val="18"/>
                <w:szCs w:val="18"/>
              </w:rPr>
            </w:pPr>
            <w:r>
              <w:rPr>
                <w:rFonts w:asciiTheme="majorHAnsi" w:hAnsiTheme="majorHAnsi" w:cs="Calibri"/>
                <w:sz w:val="18"/>
                <w:szCs w:val="18"/>
              </w:rPr>
              <w:t>4850</w:t>
            </w:r>
          </w:p>
        </w:tc>
        <w:tc>
          <w:tcPr>
            <w:tcW w:w="891" w:type="pct"/>
            <w:tcBorders>
              <w:top w:val="nil"/>
              <w:left w:val="nil"/>
              <w:bottom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sz w:val="18"/>
                <w:szCs w:val="18"/>
              </w:rPr>
            </w:pPr>
          </w:p>
        </w:tc>
        <w:tc>
          <w:tcPr>
            <w:tcW w:w="1119" w:type="pct"/>
            <w:tcBorders>
              <w:top w:val="nil"/>
              <w:left w:val="nil"/>
              <w:bottom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sz w:val="18"/>
                <w:szCs w:val="18"/>
              </w:rPr>
            </w:pPr>
          </w:p>
        </w:tc>
        <w:tc>
          <w:tcPr>
            <w:tcW w:w="915" w:type="pct"/>
            <w:tcBorders>
              <w:top w:val="nil"/>
              <w:left w:val="nil"/>
              <w:bottom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center"/>
              <w:rPr>
                <w:rFonts w:asciiTheme="majorHAnsi" w:hAnsiTheme="majorHAnsi" w:cs="Calibri"/>
                <w:sz w:val="18"/>
                <w:szCs w:val="18"/>
              </w:rPr>
            </w:pPr>
            <w:r>
              <w:rPr>
                <w:rFonts w:asciiTheme="majorHAnsi" w:hAnsiTheme="majorHAnsi" w:cs="Calibri"/>
                <w:sz w:val="18"/>
                <w:szCs w:val="18"/>
              </w:rPr>
              <w:fldChar w:fldCharType="begin" w:fldLock="1"/>
            </w:r>
            <w:r>
              <w:rPr>
                <w:rFonts w:asciiTheme="majorHAnsi" w:hAnsiTheme="majorHAnsi" w:cs="Calibri"/>
                <w:sz w:val="18"/>
                <w:szCs w:val="18"/>
              </w:rPr>
              <w:instrText>ADDIN CSL_CITATION { "citationItems" : [ { "id" : "ITEM-1", "itemData" : { "DOI" : "10.1136/gutjnl-2014-307772", "ISSN" : "0017-5749", "author" : [ { "dropping-particle" : "", "family" : "San Miguel", "given" : "Ram\u00f3n", "non-dropping-particle" : "", "parse-names" : false, "suffix" : "" }, { "dropping-particle" : "", "family" : "Gimeno-Ballester", "given" : "Vicente", "non-dropping-particle" : "", "parse-names" : false, "suffix" : "" }, { "dropping-particle" : "", "family" : "Bl\u00e1zquez", "given" : "Antonio", "non-dropping-particle" : "", "parse-names" : false, "suffix" : "" }, { "dropping-particle" : "", "family" : "Mar", "given" : "Javier", "non-dropping-particle" : "", "parse-names" : false, "suffix" : "" } ], "container-title" : "Gut", "id" : "ITEM-1", "issue" : "8", "issued" : { "date-parts" : [ [ "2015" ] ] }, "page" : "1277-1288", "title" : "Cost-effectiveness analysis of sofosbuvir-based regimens for chronic hepatitis C", "type" : "article-journal", "volume" : "64" }, "uris" : [ "http://www.mendeley.com/documents/?uuid=9065e32c-2a67-476d-b6c3-74e1254bf8d4" ] } ], "mendeley" : { "formattedCitation" : "[18]", "plainTextFormattedCitation" : "[18]", "previouslyFormattedCitation" : "[18]" }, "properties" : { "noteIndex" : 0 }, "schema" : "https://github.com/citation-style-language/schema/raw/master/csl-citation.json" }</w:instrText>
            </w:r>
            <w:r>
              <w:rPr>
                <w:rFonts w:asciiTheme="majorHAnsi" w:hAnsiTheme="majorHAnsi" w:cs="Calibri"/>
                <w:sz w:val="18"/>
                <w:szCs w:val="18"/>
              </w:rPr>
              <w:fldChar w:fldCharType="separate"/>
            </w:r>
            <w:r w:rsidRPr="00E46EFA">
              <w:rPr>
                <w:rFonts w:asciiTheme="majorHAnsi" w:hAnsiTheme="majorHAnsi" w:cs="Calibri"/>
                <w:noProof/>
                <w:sz w:val="18"/>
                <w:szCs w:val="18"/>
              </w:rPr>
              <w:t>[18]</w:t>
            </w:r>
            <w:r>
              <w:rPr>
                <w:rFonts w:asciiTheme="majorHAnsi" w:hAnsiTheme="majorHAnsi" w:cs="Calibri"/>
                <w:sz w:val="18"/>
                <w:szCs w:val="18"/>
              </w:rPr>
              <w:fldChar w:fldCharType="end"/>
            </w:r>
          </w:p>
        </w:tc>
      </w:tr>
      <w:tr w:rsidR="00100D7A" w:rsidTr="001764F9">
        <w:trPr>
          <w:trHeight w:val="285"/>
        </w:trPr>
        <w:tc>
          <w:tcPr>
            <w:tcW w:w="1367" w:type="pct"/>
            <w:tcBorders>
              <w:top w:val="nil"/>
              <w:left w:val="nil"/>
              <w:bottom w:val="nil"/>
              <w:right w:val="nil"/>
            </w:tcBorders>
            <w:shd w:val="clear" w:color="auto" w:fill="auto"/>
            <w:noWrap/>
            <w:tcMar>
              <w:top w:w="15" w:type="dxa"/>
              <w:left w:w="15" w:type="dxa"/>
              <w:bottom w:w="0" w:type="dxa"/>
              <w:right w:w="15" w:type="dxa"/>
            </w:tcMar>
            <w:vAlign w:val="bottom"/>
          </w:tcPr>
          <w:p w:rsidR="00100D7A" w:rsidRPr="008635B2" w:rsidRDefault="00100D7A" w:rsidP="001764F9">
            <w:pPr>
              <w:spacing w:after="0" w:line="240" w:lineRule="auto"/>
              <w:rPr>
                <w:rFonts w:eastAsia="Times New Roman" w:cs="Calibri"/>
                <w:color w:val="000000"/>
                <w:sz w:val="18"/>
                <w:szCs w:val="18"/>
              </w:rPr>
            </w:pPr>
            <w:r w:rsidRPr="008635B2">
              <w:rPr>
                <w:rFonts w:eastAsia="Times New Roman" w:cs="Calibri"/>
                <w:color w:val="000000"/>
                <w:sz w:val="18"/>
                <w:szCs w:val="18"/>
              </w:rPr>
              <w:t>Post-LTX</w:t>
            </w:r>
          </w:p>
        </w:tc>
        <w:tc>
          <w:tcPr>
            <w:tcW w:w="708" w:type="pct"/>
            <w:tcBorders>
              <w:top w:val="nil"/>
              <w:left w:val="nil"/>
              <w:bottom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sz w:val="18"/>
                <w:szCs w:val="18"/>
              </w:rPr>
            </w:pPr>
            <w:r>
              <w:rPr>
                <w:rFonts w:asciiTheme="majorHAnsi" w:hAnsiTheme="majorHAnsi" w:cs="Calibri"/>
                <w:sz w:val="18"/>
                <w:szCs w:val="18"/>
              </w:rPr>
              <w:t>4268</w:t>
            </w:r>
          </w:p>
        </w:tc>
        <w:tc>
          <w:tcPr>
            <w:tcW w:w="891" w:type="pct"/>
            <w:tcBorders>
              <w:top w:val="nil"/>
              <w:left w:val="nil"/>
              <w:bottom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sz w:val="18"/>
                <w:szCs w:val="18"/>
              </w:rPr>
            </w:pPr>
          </w:p>
        </w:tc>
        <w:tc>
          <w:tcPr>
            <w:tcW w:w="1119" w:type="pct"/>
            <w:tcBorders>
              <w:top w:val="nil"/>
              <w:left w:val="nil"/>
              <w:bottom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sz w:val="18"/>
                <w:szCs w:val="18"/>
              </w:rPr>
            </w:pPr>
          </w:p>
        </w:tc>
        <w:tc>
          <w:tcPr>
            <w:tcW w:w="915" w:type="pct"/>
            <w:tcBorders>
              <w:top w:val="nil"/>
              <w:left w:val="nil"/>
              <w:bottom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center"/>
              <w:rPr>
                <w:rFonts w:asciiTheme="majorHAnsi" w:hAnsiTheme="majorHAnsi" w:cs="Calibri"/>
                <w:sz w:val="18"/>
                <w:szCs w:val="18"/>
              </w:rPr>
            </w:pPr>
            <w:r>
              <w:rPr>
                <w:rFonts w:asciiTheme="majorHAnsi" w:hAnsiTheme="majorHAnsi" w:cs="Calibri"/>
                <w:sz w:val="18"/>
                <w:szCs w:val="18"/>
              </w:rPr>
              <w:fldChar w:fldCharType="begin" w:fldLock="1"/>
            </w:r>
            <w:r>
              <w:rPr>
                <w:rFonts w:asciiTheme="majorHAnsi" w:hAnsiTheme="majorHAnsi" w:cs="Calibri"/>
                <w:sz w:val="18"/>
                <w:szCs w:val="18"/>
              </w:rPr>
              <w:instrText>ADDIN CSL_CITATION { "citationItems" : [ { "id" : "ITEM-1", "itemData" : { "DOI" : "10.1136/gutjnl-2014-307772", "ISSN" : "0017-5749", "author" : [ { "dropping-particle" : "", "family" : "San Miguel", "given" : "Ram\u00f3n", "non-dropping-particle" : "", "parse-names" : false, "suffix" : "" }, { "dropping-particle" : "", "family" : "Gimeno-Ballester", "given" : "Vicente", "non-dropping-particle" : "", "parse-names" : false, "suffix" : "" }, { "dropping-particle" : "", "family" : "Bl\u00e1zquez", "given" : "Antonio", "non-dropping-particle" : "", "parse-names" : false, "suffix" : "" }, { "dropping-particle" : "", "family" : "Mar", "given" : "Javier", "non-dropping-particle" : "", "parse-names" : false, "suffix" : "" } ], "container-title" : "Gut", "id" : "ITEM-1", "issue" : "8", "issued" : { "date-parts" : [ [ "2015" ] ] }, "page" : "1277-1288", "title" : "Cost-effectiveness analysis of sofosbuvir-based regimens for chronic hepatitis C", "type" : "article-journal", "volume" : "64" }, "uris" : [ "http://www.mendeley.com/documents/?uuid=9065e32c-2a67-476d-b6c3-74e1254bf8d4" ] } ], "mendeley" : { "formattedCitation" : "[18]", "plainTextFormattedCitation" : "[18]", "previouslyFormattedCitation" : "[18]" }, "properties" : { "noteIndex" : 0 }, "schema" : "https://github.com/citation-style-language/schema/raw/master/csl-citation.json" }</w:instrText>
            </w:r>
            <w:r>
              <w:rPr>
                <w:rFonts w:asciiTheme="majorHAnsi" w:hAnsiTheme="majorHAnsi" w:cs="Calibri"/>
                <w:sz w:val="18"/>
                <w:szCs w:val="18"/>
              </w:rPr>
              <w:fldChar w:fldCharType="separate"/>
            </w:r>
            <w:r w:rsidRPr="00E46EFA">
              <w:rPr>
                <w:rFonts w:asciiTheme="majorHAnsi" w:hAnsiTheme="majorHAnsi" w:cs="Calibri"/>
                <w:noProof/>
                <w:sz w:val="18"/>
                <w:szCs w:val="18"/>
              </w:rPr>
              <w:t>[18]</w:t>
            </w:r>
            <w:r>
              <w:rPr>
                <w:rFonts w:asciiTheme="majorHAnsi" w:hAnsiTheme="majorHAnsi" w:cs="Calibri"/>
                <w:sz w:val="18"/>
                <w:szCs w:val="18"/>
              </w:rPr>
              <w:fldChar w:fldCharType="end"/>
            </w:r>
          </w:p>
        </w:tc>
      </w:tr>
      <w:tr w:rsidR="00100D7A" w:rsidTr="001764F9">
        <w:trPr>
          <w:trHeight w:val="285"/>
        </w:trPr>
        <w:tc>
          <w:tcPr>
            <w:tcW w:w="1367" w:type="pct"/>
            <w:tcBorders>
              <w:top w:val="nil"/>
              <w:left w:val="nil"/>
              <w:bottom w:val="nil"/>
              <w:right w:val="nil"/>
            </w:tcBorders>
            <w:shd w:val="clear" w:color="auto" w:fill="auto"/>
            <w:noWrap/>
            <w:tcMar>
              <w:top w:w="15" w:type="dxa"/>
              <w:left w:w="15" w:type="dxa"/>
              <w:bottom w:w="0" w:type="dxa"/>
              <w:right w:w="15" w:type="dxa"/>
            </w:tcMar>
            <w:vAlign w:val="bottom"/>
          </w:tcPr>
          <w:p w:rsidR="00100D7A" w:rsidRPr="008635B2" w:rsidRDefault="00100D7A" w:rsidP="001764F9">
            <w:pPr>
              <w:spacing w:after="0" w:line="240" w:lineRule="auto"/>
              <w:rPr>
                <w:rFonts w:eastAsia="Times New Roman" w:cs="Calibri"/>
                <w:color w:val="000000"/>
                <w:sz w:val="18"/>
                <w:szCs w:val="18"/>
              </w:rPr>
            </w:pPr>
            <w:r w:rsidRPr="008635B2">
              <w:rPr>
                <w:rFonts w:eastAsia="Times New Roman" w:cs="Calibri"/>
                <w:color w:val="000000"/>
                <w:sz w:val="18"/>
                <w:szCs w:val="18"/>
              </w:rPr>
              <w:t>Death</w:t>
            </w:r>
          </w:p>
        </w:tc>
        <w:tc>
          <w:tcPr>
            <w:tcW w:w="708" w:type="pct"/>
            <w:tcBorders>
              <w:top w:val="nil"/>
              <w:left w:val="nil"/>
              <w:bottom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sz w:val="18"/>
                <w:szCs w:val="18"/>
              </w:rPr>
            </w:pPr>
            <w:r>
              <w:rPr>
                <w:rFonts w:asciiTheme="majorHAnsi" w:hAnsiTheme="majorHAnsi" w:cs="Calibri"/>
                <w:sz w:val="18"/>
                <w:szCs w:val="18"/>
              </w:rPr>
              <w:t>0</w:t>
            </w:r>
          </w:p>
        </w:tc>
        <w:tc>
          <w:tcPr>
            <w:tcW w:w="891" w:type="pct"/>
            <w:tcBorders>
              <w:top w:val="nil"/>
              <w:left w:val="nil"/>
              <w:bottom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sz w:val="18"/>
                <w:szCs w:val="18"/>
              </w:rPr>
            </w:pPr>
          </w:p>
        </w:tc>
        <w:tc>
          <w:tcPr>
            <w:tcW w:w="1119" w:type="pct"/>
            <w:tcBorders>
              <w:top w:val="nil"/>
              <w:left w:val="nil"/>
              <w:bottom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sz w:val="18"/>
                <w:szCs w:val="18"/>
              </w:rPr>
            </w:pPr>
          </w:p>
        </w:tc>
        <w:tc>
          <w:tcPr>
            <w:tcW w:w="915" w:type="pct"/>
            <w:tcBorders>
              <w:top w:val="nil"/>
              <w:left w:val="nil"/>
              <w:bottom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center"/>
              <w:rPr>
                <w:rFonts w:asciiTheme="majorHAnsi" w:hAnsiTheme="majorHAnsi" w:cs="Calibri"/>
                <w:sz w:val="18"/>
                <w:szCs w:val="18"/>
              </w:rPr>
            </w:pPr>
            <w:r>
              <w:rPr>
                <w:rFonts w:asciiTheme="majorHAnsi" w:hAnsiTheme="majorHAnsi" w:cs="Calibri"/>
                <w:sz w:val="18"/>
                <w:szCs w:val="18"/>
              </w:rPr>
              <w:t>Assumption</w:t>
            </w:r>
          </w:p>
        </w:tc>
      </w:tr>
      <w:tr w:rsidR="00100D7A" w:rsidTr="001764F9">
        <w:trPr>
          <w:trHeight w:val="285"/>
        </w:trPr>
        <w:tc>
          <w:tcPr>
            <w:tcW w:w="1367" w:type="pct"/>
            <w:tcBorders>
              <w:top w:val="nil"/>
              <w:left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rPr>
                <w:rFonts w:asciiTheme="majorHAnsi" w:hAnsiTheme="majorHAnsi" w:cs="Calibri"/>
                <w:color w:val="FF0000"/>
                <w:sz w:val="18"/>
                <w:szCs w:val="18"/>
              </w:rPr>
            </w:pPr>
          </w:p>
        </w:tc>
        <w:tc>
          <w:tcPr>
            <w:tcW w:w="708" w:type="pct"/>
            <w:tcBorders>
              <w:top w:val="nil"/>
              <w:left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sz w:val="18"/>
                <w:szCs w:val="18"/>
              </w:rPr>
            </w:pPr>
          </w:p>
        </w:tc>
        <w:tc>
          <w:tcPr>
            <w:tcW w:w="891" w:type="pct"/>
            <w:tcBorders>
              <w:top w:val="nil"/>
              <w:left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sz w:val="18"/>
                <w:szCs w:val="18"/>
              </w:rPr>
            </w:pPr>
          </w:p>
        </w:tc>
        <w:tc>
          <w:tcPr>
            <w:tcW w:w="1119" w:type="pct"/>
            <w:tcBorders>
              <w:top w:val="nil"/>
              <w:left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sz w:val="18"/>
                <w:szCs w:val="18"/>
              </w:rPr>
            </w:pPr>
          </w:p>
        </w:tc>
        <w:tc>
          <w:tcPr>
            <w:tcW w:w="915" w:type="pct"/>
            <w:tcBorders>
              <w:top w:val="nil"/>
              <w:left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center"/>
              <w:rPr>
                <w:rFonts w:asciiTheme="majorHAnsi" w:hAnsiTheme="majorHAnsi" w:cs="Calibri"/>
                <w:sz w:val="18"/>
                <w:szCs w:val="18"/>
              </w:rPr>
            </w:pPr>
          </w:p>
        </w:tc>
      </w:tr>
      <w:tr w:rsidR="00100D7A" w:rsidTr="001764F9">
        <w:trPr>
          <w:trHeight w:val="285"/>
        </w:trPr>
        <w:tc>
          <w:tcPr>
            <w:tcW w:w="1367" w:type="pct"/>
            <w:tcBorders>
              <w:left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rPr>
                <w:rFonts w:asciiTheme="majorHAnsi" w:hAnsiTheme="majorHAnsi" w:cs="Calibri"/>
                <w:b/>
                <w:color w:val="000000"/>
                <w:sz w:val="18"/>
                <w:szCs w:val="18"/>
              </w:rPr>
            </w:pPr>
            <w:r>
              <w:rPr>
                <w:rFonts w:asciiTheme="majorHAnsi" w:hAnsiTheme="majorHAnsi" w:cs="Calibri"/>
                <w:b/>
                <w:color w:val="000000"/>
                <w:sz w:val="18"/>
                <w:szCs w:val="18"/>
              </w:rPr>
              <w:t>Transition costs</w:t>
            </w:r>
          </w:p>
        </w:tc>
        <w:tc>
          <w:tcPr>
            <w:tcW w:w="708" w:type="pct"/>
            <w:tcBorders>
              <w:left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color w:val="000000"/>
                <w:sz w:val="18"/>
                <w:szCs w:val="18"/>
              </w:rPr>
            </w:pPr>
          </w:p>
        </w:tc>
        <w:tc>
          <w:tcPr>
            <w:tcW w:w="891" w:type="pct"/>
            <w:tcBorders>
              <w:left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color w:val="000000"/>
                <w:sz w:val="18"/>
                <w:szCs w:val="18"/>
              </w:rPr>
            </w:pPr>
          </w:p>
        </w:tc>
        <w:tc>
          <w:tcPr>
            <w:tcW w:w="1119" w:type="pct"/>
            <w:tcBorders>
              <w:left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color w:val="000000"/>
                <w:sz w:val="18"/>
                <w:szCs w:val="18"/>
              </w:rPr>
            </w:pPr>
          </w:p>
        </w:tc>
        <w:tc>
          <w:tcPr>
            <w:tcW w:w="915" w:type="pct"/>
            <w:tcBorders>
              <w:left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rPr>
                <w:rFonts w:asciiTheme="majorHAnsi" w:hAnsiTheme="majorHAnsi" w:cs="Calibri"/>
                <w:color w:val="000000"/>
                <w:sz w:val="18"/>
                <w:szCs w:val="18"/>
              </w:rPr>
            </w:pPr>
          </w:p>
        </w:tc>
      </w:tr>
      <w:tr w:rsidR="00100D7A" w:rsidTr="001764F9">
        <w:trPr>
          <w:trHeight w:val="285"/>
        </w:trPr>
        <w:tc>
          <w:tcPr>
            <w:tcW w:w="1367" w:type="pct"/>
            <w:tcBorders>
              <w:left w:val="nil"/>
              <w:right w:val="nil"/>
            </w:tcBorders>
            <w:shd w:val="clear" w:color="auto" w:fill="auto"/>
            <w:noWrap/>
            <w:tcMar>
              <w:top w:w="15" w:type="dxa"/>
              <w:left w:w="15" w:type="dxa"/>
              <w:bottom w:w="0" w:type="dxa"/>
              <w:right w:w="15" w:type="dxa"/>
            </w:tcMar>
            <w:vAlign w:val="bottom"/>
          </w:tcPr>
          <w:p w:rsidR="00100D7A" w:rsidRPr="00666C1A" w:rsidRDefault="00100D7A" w:rsidP="001764F9">
            <w:pPr>
              <w:spacing w:after="0"/>
              <w:rPr>
                <w:rFonts w:asciiTheme="majorHAnsi" w:hAnsiTheme="majorHAnsi" w:cs="Calibri"/>
                <w:color w:val="000000"/>
                <w:sz w:val="18"/>
                <w:szCs w:val="18"/>
              </w:rPr>
            </w:pPr>
            <w:r w:rsidRPr="00666C1A">
              <w:rPr>
                <w:rFonts w:asciiTheme="majorHAnsi" w:hAnsiTheme="majorHAnsi" w:cs="Calibri"/>
                <w:color w:val="000000"/>
                <w:sz w:val="18"/>
                <w:szCs w:val="18"/>
              </w:rPr>
              <w:t>To DC</w:t>
            </w:r>
          </w:p>
        </w:tc>
        <w:tc>
          <w:tcPr>
            <w:tcW w:w="708" w:type="pct"/>
            <w:tcBorders>
              <w:left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color w:val="000000"/>
                <w:sz w:val="18"/>
                <w:szCs w:val="18"/>
              </w:rPr>
            </w:pPr>
            <w:r>
              <w:rPr>
                <w:rFonts w:asciiTheme="majorHAnsi" w:hAnsiTheme="majorHAnsi" w:cs="Calibri"/>
                <w:color w:val="000000"/>
                <w:sz w:val="18"/>
                <w:szCs w:val="18"/>
              </w:rPr>
              <w:t>3505</w:t>
            </w:r>
          </w:p>
        </w:tc>
        <w:tc>
          <w:tcPr>
            <w:tcW w:w="891" w:type="pct"/>
            <w:tcBorders>
              <w:left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color w:val="000000"/>
                <w:sz w:val="18"/>
                <w:szCs w:val="18"/>
              </w:rPr>
            </w:pPr>
            <w:r>
              <w:rPr>
                <w:rFonts w:asciiTheme="majorHAnsi" w:hAnsiTheme="majorHAnsi" w:cs="Calibri"/>
                <w:color w:val="000000"/>
                <w:sz w:val="18"/>
                <w:szCs w:val="18"/>
              </w:rPr>
              <w:t>–</w:t>
            </w:r>
          </w:p>
        </w:tc>
        <w:tc>
          <w:tcPr>
            <w:tcW w:w="1119" w:type="pct"/>
            <w:tcBorders>
              <w:left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color w:val="000000"/>
                <w:sz w:val="18"/>
                <w:szCs w:val="18"/>
              </w:rPr>
            </w:pPr>
            <w:r>
              <w:rPr>
                <w:rFonts w:asciiTheme="majorHAnsi" w:hAnsiTheme="majorHAnsi" w:cs="Calibri"/>
                <w:color w:val="000000"/>
                <w:sz w:val="18"/>
                <w:szCs w:val="18"/>
              </w:rPr>
              <w:t>–</w:t>
            </w:r>
          </w:p>
        </w:tc>
        <w:tc>
          <w:tcPr>
            <w:tcW w:w="915" w:type="pct"/>
            <w:tcBorders>
              <w:left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center"/>
              <w:rPr>
                <w:rFonts w:asciiTheme="majorHAnsi" w:hAnsiTheme="majorHAnsi" w:cs="Calibri"/>
                <w:color w:val="000000"/>
                <w:sz w:val="18"/>
                <w:szCs w:val="18"/>
              </w:rPr>
            </w:pPr>
            <w:r>
              <w:rPr>
                <w:rFonts w:asciiTheme="majorHAnsi" w:hAnsiTheme="majorHAnsi" w:cs="Calibri"/>
                <w:color w:val="000000"/>
                <w:sz w:val="18"/>
                <w:szCs w:val="18"/>
              </w:rPr>
              <w:fldChar w:fldCharType="begin" w:fldLock="1"/>
            </w:r>
            <w:r>
              <w:rPr>
                <w:rFonts w:asciiTheme="majorHAnsi" w:hAnsiTheme="majorHAnsi" w:cs="Calibri"/>
                <w:color w:val="000000"/>
                <w:sz w:val="18"/>
                <w:szCs w:val="18"/>
              </w:rPr>
              <w:instrText>ADDIN CSL_CITATION { "citationItems" : [ { "id" : "ITEM-1", "itemData" : { "URL" : "http://www.msssi.gob.es/estadEstudios/estadisticas/cmbd.htm", "accessed" : { "date-parts" : [ [ "2015", "4", "21" ] ] }, "author" : [ { "dropping-particle" : "", "family" : "Ministerio de Sanidad", "given" : "Servicios Sociales e Igualdad", "non-dropping-particle" : "", "parse-names" : false, "suffix" : "" } ], "id" : "ITEM-1", "issued" : { "date-parts" : [ [ "2013" ] ] }, "title" : "Registro de Altas de los Hospitales Generales del Sistema Nacional de Salud", "type" : "webpage" }, "uris" : [ "http://www.mendeley.com/documents/?uuid=6e77079a-1f16-4065-8c09-31299fa2a247" ] } ], "mendeley" : { "formattedCitation" : "[37]", "plainTextFormattedCitation" : "[37]", "previouslyFormattedCitation" : "[37]" }, "properties" : { "noteIndex" : 0 }, "schema" : "https://github.com/citation-style-language/schema/raw/master/csl-citation.json" }</w:instrText>
            </w:r>
            <w:r>
              <w:rPr>
                <w:rFonts w:asciiTheme="majorHAnsi" w:hAnsiTheme="majorHAnsi" w:cs="Calibri"/>
                <w:color w:val="000000"/>
                <w:sz w:val="18"/>
                <w:szCs w:val="18"/>
              </w:rPr>
              <w:fldChar w:fldCharType="separate"/>
            </w:r>
            <w:r w:rsidRPr="00E46EFA">
              <w:rPr>
                <w:rFonts w:asciiTheme="majorHAnsi" w:hAnsiTheme="majorHAnsi" w:cs="Calibri"/>
                <w:noProof/>
                <w:color w:val="000000"/>
                <w:sz w:val="18"/>
                <w:szCs w:val="18"/>
              </w:rPr>
              <w:t>[37]</w:t>
            </w:r>
            <w:r>
              <w:rPr>
                <w:rFonts w:asciiTheme="majorHAnsi" w:hAnsiTheme="majorHAnsi" w:cs="Calibri"/>
                <w:color w:val="000000"/>
                <w:sz w:val="18"/>
                <w:szCs w:val="18"/>
              </w:rPr>
              <w:fldChar w:fldCharType="end"/>
            </w:r>
          </w:p>
        </w:tc>
      </w:tr>
      <w:tr w:rsidR="00100D7A" w:rsidTr="001764F9">
        <w:trPr>
          <w:trHeight w:val="285"/>
        </w:trPr>
        <w:tc>
          <w:tcPr>
            <w:tcW w:w="1367" w:type="pct"/>
            <w:tcBorders>
              <w:left w:val="nil"/>
              <w:right w:val="nil"/>
            </w:tcBorders>
            <w:shd w:val="clear" w:color="auto" w:fill="auto"/>
            <w:noWrap/>
            <w:tcMar>
              <w:top w:w="15" w:type="dxa"/>
              <w:left w:w="15" w:type="dxa"/>
              <w:bottom w:w="0" w:type="dxa"/>
              <w:right w:w="15" w:type="dxa"/>
            </w:tcMar>
            <w:vAlign w:val="bottom"/>
          </w:tcPr>
          <w:p w:rsidR="00100D7A" w:rsidRPr="00666C1A" w:rsidRDefault="00100D7A" w:rsidP="001764F9">
            <w:pPr>
              <w:spacing w:after="0"/>
              <w:rPr>
                <w:rFonts w:asciiTheme="majorHAnsi" w:hAnsiTheme="majorHAnsi" w:cs="Calibri"/>
                <w:color w:val="000000"/>
                <w:sz w:val="18"/>
                <w:szCs w:val="18"/>
              </w:rPr>
            </w:pPr>
            <w:r w:rsidRPr="00666C1A">
              <w:rPr>
                <w:rFonts w:asciiTheme="majorHAnsi" w:hAnsiTheme="majorHAnsi" w:cs="Calibri"/>
                <w:color w:val="000000"/>
                <w:sz w:val="18"/>
                <w:szCs w:val="18"/>
              </w:rPr>
              <w:t>To HCC</w:t>
            </w:r>
          </w:p>
        </w:tc>
        <w:tc>
          <w:tcPr>
            <w:tcW w:w="708" w:type="pct"/>
            <w:tcBorders>
              <w:left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color w:val="000000"/>
                <w:sz w:val="18"/>
                <w:szCs w:val="18"/>
              </w:rPr>
            </w:pPr>
            <w:r>
              <w:rPr>
                <w:rFonts w:asciiTheme="majorHAnsi" w:hAnsiTheme="majorHAnsi" w:cs="Calibri"/>
                <w:color w:val="000000"/>
                <w:sz w:val="18"/>
                <w:szCs w:val="18"/>
              </w:rPr>
              <w:t>7155</w:t>
            </w:r>
          </w:p>
        </w:tc>
        <w:tc>
          <w:tcPr>
            <w:tcW w:w="891" w:type="pct"/>
            <w:tcBorders>
              <w:left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color w:val="000000"/>
                <w:sz w:val="18"/>
                <w:szCs w:val="18"/>
              </w:rPr>
            </w:pPr>
          </w:p>
        </w:tc>
        <w:tc>
          <w:tcPr>
            <w:tcW w:w="1119" w:type="pct"/>
            <w:tcBorders>
              <w:left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color w:val="000000"/>
                <w:sz w:val="18"/>
                <w:szCs w:val="18"/>
              </w:rPr>
            </w:pPr>
          </w:p>
        </w:tc>
        <w:tc>
          <w:tcPr>
            <w:tcW w:w="915" w:type="pct"/>
            <w:tcBorders>
              <w:left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center"/>
              <w:rPr>
                <w:rFonts w:asciiTheme="majorHAnsi" w:hAnsiTheme="majorHAnsi" w:cs="Calibri"/>
                <w:color w:val="000000"/>
                <w:sz w:val="18"/>
                <w:szCs w:val="18"/>
              </w:rPr>
            </w:pPr>
            <w:r>
              <w:rPr>
                <w:rFonts w:asciiTheme="majorHAnsi" w:hAnsiTheme="majorHAnsi" w:cs="Calibri"/>
                <w:color w:val="000000"/>
                <w:sz w:val="18"/>
                <w:szCs w:val="18"/>
              </w:rPr>
              <w:fldChar w:fldCharType="begin" w:fldLock="1"/>
            </w:r>
            <w:r>
              <w:rPr>
                <w:rFonts w:asciiTheme="majorHAnsi" w:hAnsiTheme="majorHAnsi" w:cs="Calibri"/>
                <w:color w:val="000000"/>
                <w:sz w:val="18"/>
                <w:szCs w:val="18"/>
              </w:rPr>
              <w:instrText>ADDIN CSL_CITATION { "citationItems" : [ { "id" : "ITEM-1", "itemData" : { "URL" : "http://www.msssi.gob.es/estadEstudios/estadisticas/cmbd.htm", "accessed" : { "date-parts" : [ [ "2015", "4", "21" ] ] }, "author" : [ { "dropping-particle" : "", "family" : "Ministerio de Sanidad", "given" : "Servicios Sociales e Igualdad", "non-dropping-particle" : "", "parse-names" : false, "suffix" : "" } ], "id" : "ITEM-1", "issued" : { "date-parts" : [ [ "2013" ] ] }, "title" : "Registro de Altas de los Hospitales Generales del Sistema Nacional de Salud", "type" : "webpage" }, "uris" : [ "http://www.mendeley.com/documents/?uuid=6e77079a-1f16-4065-8c09-31299fa2a247" ] } ], "mendeley" : { "formattedCitation" : "[37]", "plainTextFormattedCitation" : "[37]", "previouslyFormattedCitation" : "[37]" }, "properties" : { "noteIndex" : 0 }, "schema" : "https://github.com/citation-style-language/schema/raw/master/csl-citation.json" }</w:instrText>
            </w:r>
            <w:r>
              <w:rPr>
                <w:rFonts w:asciiTheme="majorHAnsi" w:hAnsiTheme="majorHAnsi" w:cs="Calibri"/>
                <w:color w:val="000000"/>
                <w:sz w:val="18"/>
                <w:szCs w:val="18"/>
              </w:rPr>
              <w:fldChar w:fldCharType="separate"/>
            </w:r>
            <w:r w:rsidRPr="00E46EFA">
              <w:rPr>
                <w:rFonts w:asciiTheme="majorHAnsi" w:hAnsiTheme="majorHAnsi" w:cs="Calibri"/>
                <w:noProof/>
                <w:color w:val="000000"/>
                <w:sz w:val="18"/>
                <w:szCs w:val="18"/>
              </w:rPr>
              <w:t>[37]</w:t>
            </w:r>
            <w:r>
              <w:rPr>
                <w:rFonts w:asciiTheme="majorHAnsi" w:hAnsiTheme="majorHAnsi" w:cs="Calibri"/>
                <w:color w:val="000000"/>
                <w:sz w:val="18"/>
                <w:szCs w:val="18"/>
              </w:rPr>
              <w:fldChar w:fldCharType="end"/>
            </w:r>
          </w:p>
        </w:tc>
      </w:tr>
      <w:tr w:rsidR="00100D7A" w:rsidTr="001764F9">
        <w:trPr>
          <w:trHeight w:val="285"/>
        </w:trPr>
        <w:tc>
          <w:tcPr>
            <w:tcW w:w="1367" w:type="pct"/>
            <w:tcBorders>
              <w:left w:val="nil"/>
              <w:right w:val="nil"/>
            </w:tcBorders>
            <w:shd w:val="clear" w:color="auto" w:fill="auto"/>
            <w:noWrap/>
            <w:tcMar>
              <w:top w:w="15" w:type="dxa"/>
              <w:left w:w="15" w:type="dxa"/>
              <w:bottom w:w="0" w:type="dxa"/>
              <w:right w:w="15" w:type="dxa"/>
            </w:tcMar>
            <w:vAlign w:val="bottom"/>
          </w:tcPr>
          <w:p w:rsidR="00100D7A" w:rsidRPr="00666C1A" w:rsidRDefault="00100D7A" w:rsidP="001764F9">
            <w:pPr>
              <w:spacing w:after="0"/>
              <w:rPr>
                <w:rFonts w:asciiTheme="majorHAnsi" w:hAnsiTheme="majorHAnsi" w:cs="Calibri"/>
                <w:color w:val="000000"/>
                <w:sz w:val="18"/>
                <w:szCs w:val="18"/>
              </w:rPr>
            </w:pPr>
            <w:r>
              <w:rPr>
                <w:rFonts w:asciiTheme="majorHAnsi" w:hAnsiTheme="majorHAnsi" w:cs="Calibri"/>
                <w:color w:val="000000"/>
                <w:sz w:val="18"/>
                <w:szCs w:val="18"/>
              </w:rPr>
              <w:t>LTX</w:t>
            </w:r>
          </w:p>
        </w:tc>
        <w:tc>
          <w:tcPr>
            <w:tcW w:w="708" w:type="pct"/>
            <w:tcBorders>
              <w:left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color w:val="000000"/>
                <w:sz w:val="18"/>
                <w:szCs w:val="18"/>
              </w:rPr>
            </w:pPr>
            <w:r>
              <w:rPr>
                <w:rFonts w:asciiTheme="majorHAnsi" w:hAnsiTheme="majorHAnsi" w:cs="Calibri"/>
                <w:color w:val="000000"/>
                <w:sz w:val="18"/>
                <w:szCs w:val="18"/>
              </w:rPr>
              <w:t>68904</w:t>
            </w:r>
          </w:p>
        </w:tc>
        <w:tc>
          <w:tcPr>
            <w:tcW w:w="891" w:type="pct"/>
            <w:tcBorders>
              <w:left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color w:val="000000"/>
                <w:sz w:val="18"/>
                <w:szCs w:val="18"/>
              </w:rPr>
            </w:pPr>
          </w:p>
        </w:tc>
        <w:tc>
          <w:tcPr>
            <w:tcW w:w="1119" w:type="pct"/>
            <w:tcBorders>
              <w:left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color w:val="000000"/>
                <w:sz w:val="18"/>
                <w:szCs w:val="18"/>
              </w:rPr>
            </w:pPr>
          </w:p>
        </w:tc>
        <w:tc>
          <w:tcPr>
            <w:tcW w:w="915" w:type="pct"/>
            <w:tcBorders>
              <w:left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center"/>
              <w:rPr>
                <w:rFonts w:asciiTheme="majorHAnsi" w:hAnsiTheme="majorHAnsi" w:cs="Calibri"/>
                <w:color w:val="000000"/>
                <w:sz w:val="18"/>
                <w:szCs w:val="18"/>
              </w:rPr>
            </w:pPr>
            <w:r>
              <w:rPr>
                <w:rFonts w:asciiTheme="majorHAnsi" w:hAnsiTheme="majorHAnsi" w:cs="Calibri"/>
                <w:color w:val="000000"/>
                <w:sz w:val="18"/>
                <w:szCs w:val="18"/>
              </w:rPr>
              <w:fldChar w:fldCharType="begin" w:fldLock="1"/>
            </w:r>
            <w:r>
              <w:rPr>
                <w:rFonts w:asciiTheme="majorHAnsi" w:hAnsiTheme="majorHAnsi" w:cs="Calibri"/>
                <w:color w:val="000000"/>
                <w:sz w:val="18"/>
                <w:szCs w:val="18"/>
              </w:rPr>
              <w:instrText>ADDIN CSL_CITATION { "citationItems" : [ { "id" : "ITEM-1", "itemData" : { "URL" : "http://www.msssi.gob.es/estadEstudios/estadisticas/cmbd.htm", "accessed" : { "date-parts" : [ [ "2015", "4", "21" ] ] }, "author" : [ { "dropping-particle" : "", "family" : "Ministerio de Sanidad", "given" : "Servicios Sociales e Igualdad", "non-dropping-particle" : "", "parse-names" : false, "suffix" : "" } ], "id" : "ITEM-1", "issued" : { "date-parts" : [ [ "2013" ] ] }, "title" : "Registro de Altas de los Hospitales Generales del Sistema Nacional de Salud", "type" : "webpage" }, "uris" : [ "http://www.mendeley.com/documents/?uuid=6e77079a-1f16-4065-8c09-31299fa2a247" ] } ], "mendeley" : { "formattedCitation" : "[37]", "plainTextFormattedCitation" : "[37]", "previouslyFormattedCitation" : "[37]" }, "properties" : { "noteIndex" : 0 }, "schema" : "https://github.com/citation-style-language/schema/raw/master/csl-citation.json" }</w:instrText>
            </w:r>
            <w:r>
              <w:rPr>
                <w:rFonts w:asciiTheme="majorHAnsi" w:hAnsiTheme="majorHAnsi" w:cs="Calibri"/>
                <w:color w:val="000000"/>
                <w:sz w:val="18"/>
                <w:szCs w:val="18"/>
              </w:rPr>
              <w:fldChar w:fldCharType="separate"/>
            </w:r>
            <w:r w:rsidRPr="00E46EFA">
              <w:rPr>
                <w:rFonts w:asciiTheme="majorHAnsi" w:hAnsiTheme="majorHAnsi" w:cs="Calibri"/>
                <w:noProof/>
                <w:color w:val="000000"/>
                <w:sz w:val="18"/>
                <w:szCs w:val="18"/>
              </w:rPr>
              <w:t>[37]</w:t>
            </w:r>
            <w:r>
              <w:rPr>
                <w:rFonts w:asciiTheme="majorHAnsi" w:hAnsiTheme="majorHAnsi" w:cs="Calibri"/>
                <w:color w:val="000000"/>
                <w:sz w:val="18"/>
                <w:szCs w:val="18"/>
              </w:rPr>
              <w:fldChar w:fldCharType="end"/>
            </w:r>
          </w:p>
        </w:tc>
      </w:tr>
      <w:tr w:rsidR="00100D7A" w:rsidTr="001764F9">
        <w:trPr>
          <w:trHeight w:val="285"/>
        </w:trPr>
        <w:tc>
          <w:tcPr>
            <w:tcW w:w="1367" w:type="pct"/>
            <w:tcBorders>
              <w:left w:val="nil"/>
              <w:right w:val="nil"/>
            </w:tcBorders>
            <w:shd w:val="clear" w:color="auto" w:fill="auto"/>
            <w:noWrap/>
            <w:tcMar>
              <w:top w:w="15" w:type="dxa"/>
              <w:left w:w="15" w:type="dxa"/>
              <w:bottom w:w="0" w:type="dxa"/>
              <w:right w:w="15" w:type="dxa"/>
            </w:tcMar>
            <w:vAlign w:val="bottom"/>
          </w:tcPr>
          <w:p w:rsidR="00100D7A" w:rsidRPr="00666C1A" w:rsidRDefault="00100D7A" w:rsidP="001764F9">
            <w:pPr>
              <w:spacing w:after="0"/>
              <w:rPr>
                <w:rFonts w:asciiTheme="majorHAnsi" w:hAnsiTheme="majorHAnsi" w:cs="Calibri"/>
                <w:color w:val="000000"/>
                <w:sz w:val="18"/>
                <w:szCs w:val="18"/>
              </w:rPr>
            </w:pPr>
          </w:p>
        </w:tc>
        <w:tc>
          <w:tcPr>
            <w:tcW w:w="708" w:type="pct"/>
            <w:tcBorders>
              <w:left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color w:val="000000"/>
                <w:sz w:val="18"/>
                <w:szCs w:val="18"/>
              </w:rPr>
            </w:pPr>
          </w:p>
        </w:tc>
        <w:tc>
          <w:tcPr>
            <w:tcW w:w="891" w:type="pct"/>
            <w:tcBorders>
              <w:left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color w:val="000000"/>
                <w:sz w:val="18"/>
                <w:szCs w:val="18"/>
              </w:rPr>
            </w:pPr>
          </w:p>
        </w:tc>
        <w:tc>
          <w:tcPr>
            <w:tcW w:w="1119" w:type="pct"/>
            <w:tcBorders>
              <w:left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color w:val="000000"/>
                <w:sz w:val="18"/>
                <w:szCs w:val="18"/>
              </w:rPr>
            </w:pPr>
          </w:p>
        </w:tc>
        <w:tc>
          <w:tcPr>
            <w:tcW w:w="915" w:type="pct"/>
            <w:tcBorders>
              <w:left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center"/>
              <w:rPr>
                <w:rFonts w:asciiTheme="majorHAnsi" w:hAnsiTheme="majorHAnsi" w:cs="Calibri"/>
                <w:color w:val="000000"/>
                <w:sz w:val="18"/>
                <w:szCs w:val="18"/>
              </w:rPr>
            </w:pPr>
          </w:p>
        </w:tc>
      </w:tr>
      <w:tr w:rsidR="00100D7A" w:rsidRPr="00666C1A" w:rsidTr="001764F9">
        <w:trPr>
          <w:trHeight w:val="285"/>
        </w:trPr>
        <w:tc>
          <w:tcPr>
            <w:tcW w:w="1367" w:type="pct"/>
            <w:tcBorders>
              <w:left w:val="nil"/>
              <w:right w:val="nil"/>
            </w:tcBorders>
            <w:shd w:val="clear" w:color="auto" w:fill="auto"/>
            <w:noWrap/>
            <w:tcMar>
              <w:top w:w="15" w:type="dxa"/>
              <w:left w:w="15" w:type="dxa"/>
              <w:bottom w:w="0" w:type="dxa"/>
              <w:right w:w="15" w:type="dxa"/>
            </w:tcMar>
            <w:vAlign w:val="bottom"/>
          </w:tcPr>
          <w:p w:rsidR="00100D7A" w:rsidRPr="00666C1A" w:rsidRDefault="00100D7A" w:rsidP="001764F9">
            <w:pPr>
              <w:spacing w:after="0"/>
              <w:rPr>
                <w:rFonts w:asciiTheme="majorHAnsi" w:hAnsiTheme="majorHAnsi" w:cs="Calibri"/>
                <w:b/>
                <w:color w:val="000000"/>
                <w:sz w:val="18"/>
                <w:szCs w:val="18"/>
              </w:rPr>
            </w:pPr>
            <w:r w:rsidRPr="00666C1A">
              <w:rPr>
                <w:rFonts w:asciiTheme="majorHAnsi" w:hAnsiTheme="majorHAnsi" w:cs="Calibri"/>
                <w:b/>
                <w:color w:val="000000"/>
                <w:sz w:val="18"/>
                <w:szCs w:val="18"/>
              </w:rPr>
              <w:t>Treatment costs</w:t>
            </w:r>
          </w:p>
        </w:tc>
        <w:tc>
          <w:tcPr>
            <w:tcW w:w="708" w:type="pct"/>
            <w:tcBorders>
              <w:left w:val="nil"/>
              <w:right w:val="nil"/>
            </w:tcBorders>
            <w:shd w:val="clear" w:color="auto" w:fill="auto"/>
            <w:noWrap/>
            <w:tcMar>
              <w:top w:w="15" w:type="dxa"/>
              <w:left w:w="15" w:type="dxa"/>
              <w:bottom w:w="0" w:type="dxa"/>
              <w:right w:w="15" w:type="dxa"/>
            </w:tcMar>
            <w:vAlign w:val="bottom"/>
          </w:tcPr>
          <w:p w:rsidR="00100D7A" w:rsidRPr="00666C1A" w:rsidRDefault="00100D7A" w:rsidP="001764F9">
            <w:pPr>
              <w:spacing w:after="0"/>
              <w:jc w:val="right"/>
              <w:rPr>
                <w:rFonts w:asciiTheme="majorHAnsi" w:hAnsiTheme="majorHAnsi" w:cs="Calibri"/>
                <w:b/>
                <w:color w:val="000000"/>
                <w:sz w:val="18"/>
                <w:szCs w:val="18"/>
              </w:rPr>
            </w:pPr>
          </w:p>
        </w:tc>
        <w:tc>
          <w:tcPr>
            <w:tcW w:w="891" w:type="pct"/>
            <w:tcBorders>
              <w:left w:val="nil"/>
              <w:right w:val="nil"/>
            </w:tcBorders>
            <w:shd w:val="clear" w:color="auto" w:fill="auto"/>
            <w:noWrap/>
            <w:tcMar>
              <w:top w:w="15" w:type="dxa"/>
              <w:left w:w="15" w:type="dxa"/>
              <w:bottom w:w="0" w:type="dxa"/>
              <w:right w:w="15" w:type="dxa"/>
            </w:tcMar>
            <w:vAlign w:val="bottom"/>
          </w:tcPr>
          <w:p w:rsidR="00100D7A" w:rsidRPr="00666C1A" w:rsidRDefault="00100D7A" w:rsidP="001764F9">
            <w:pPr>
              <w:spacing w:after="0"/>
              <w:jc w:val="right"/>
              <w:rPr>
                <w:rFonts w:asciiTheme="majorHAnsi" w:hAnsiTheme="majorHAnsi" w:cs="Calibri"/>
                <w:b/>
                <w:color w:val="000000"/>
                <w:sz w:val="18"/>
                <w:szCs w:val="18"/>
              </w:rPr>
            </w:pPr>
          </w:p>
        </w:tc>
        <w:tc>
          <w:tcPr>
            <w:tcW w:w="1119" w:type="pct"/>
            <w:tcBorders>
              <w:left w:val="nil"/>
              <w:right w:val="nil"/>
            </w:tcBorders>
            <w:shd w:val="clear" w:color="auto" w:fill="auto"/>
            <w:noWrap/>
            <w:tcMar>
              <w:top w:w="15" w:type="dxa"/>
              <w:left w:w="15" w:type="dxa"/>
              <w:bottom w:w="0" w:type="dxa"/>
              <w:right w:w="15" w:type="dxa"/>
            </w:tcMar>
            <w:vAlign w:val="bottom"/>
          </w:tcPr>
          <w:p w:rsidR="00100D7A" w:rsidRPr="00666C1A" w:rsidRDefault="00100D7A" w:rsidP="001764F9">
            <w:pPr>
              <w:spacing w:after="0"/>
              <w:jc w:val="right"/>
              <w:rPr>
                <w:rFonts w:asciiTheme="majorHAnsi" w:hAnsiTheme="majorHAnsi" w:cs="Calibri"/>
                <w:b/>
                <w:color w:val="000000"/>
                <w:sz w:val="18"/>
                <w:szCs w:val="18"/>
              </w:rPr>
            </w:pPr>
          </w:p>
        </w:tc>
        <w:tc>
          <w:tcPr>
            <w:tcW w:w="915" w:type="pct"/>
            <w:tcBorders>
              <w:left w:val="nil"/>
              <w:right w:val="nil"/>
            </w:tcBorders>
            <w:shd w:val="clear" w:color="auto" w:fill="auto"/>
            <w:noWrap/>
            <w:tcMar>
              <w:top w:w="15" w:type="dxa"/>
              <w:left w:w="15" w:type="dxa"/>
              <w:bottom w:w="0" w:type="dxa"/>
              <w:right w:w="15" w:type="dxa"/>
            </w:tcMar>
            <w:vAlign w:val="bottom"/>
          </w:tcPr>
          <w:p w:rsidR="00100D7A" w:rsidRPr="00666C1A" w:rsidRDefault="00100D7A" w:rsidP="001764F9">
            <w:pPr>
              <w:spacing w:after="0"/>
              <w:jc w:val="center"/>
              <w:rPr>
                <w:rFonts w:asciiTheme="majorHAnsi" w:hAnsiTheme="majorHAnsi" w:cs="Calibri"/>
                <w:b/>
                <w:color w:val="000000"/>
                <w:sz w:val="18"/>
                <w:szCs w:val="18"/>
              </w:rPr>
            </w:pPr>
          </w:p>
        </w:tc>
      </w:tr>
      <w:tr w:rsidR="00100D7A" w:rsidTr="001764F9">
        <w:trPr>
          <w:trHeight w:val="285"/>
        </w:trPr>
        <w:tc>
          <w:tcPr>
            <w:tcW w:w="1367" w:type="pct"/>
            <w:tcBorders>
              <w:left w:val="nil"/>
              <w:right w:val="nil"/>
            </w:tcBorders>
            <w:shd w:val="clear" w:color="auto" w:fill="auto"/>
            <w:noWrap/>
            <w:tcMar>
              <w:top w:w="15" w:type="dxa"/>
              <w:left w:w="15" w:type="dxa"/>
              <w:bottom w:w="0" w:type="dxa"/>
              <w:right w:w="15" w:type="dxa"/>
            </w:tcMar>
            <w:vAlign w:val="bottom"/>
          </w:tcPr>
          <w:p w:rsidR="00100D7A" w:rsidRPr="00666C1A" w:rsidRDefault="00100D7A" w:rsidP="001764F9">
            <w:pPr>
              <w:spacing w:after="0"/>
              <w:rPr>
                <w:rFonts w:asciiTheme="majorHAnsi" w:hAnsiTheme="majorHAnsi" w:cs="Calibri"/>
                <w:color w:val="000000"/>
                <w:sz w:val="18"/>
                <w:szCs w:val="18"/>
              </w:rPr>
            </w:pPr>
            <w:r>
              <w:rPr>
                <w:rFonts w:asciiTheme="majorHAnsi" w:hAnsiTheme="majorHAnsi" w:cs="Calibri"/>
                <w:color w:val="000000"/>
                <w:sz w:val="18"/>
                <w:szCs w:val="18"/>
              </w:rPr>
              <w:t>Sofosbuvir + Ledipasvir (12w)</w:t>
            </w:r>
          </w:p>
        </w:tc>
        <w:tc>
          <w:tcPr>
            <w:tcW w:w="708" w:type="pct"/>
            <w:tcBorders>
              <w:left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color w:val="000000"/>
                <w:sz w:val="18"/>
                <w:szCs w:val="18"/>
              </w:rPr>
            </w:pPr>
            <w:r>
              <w:rPr>
                <w:rFonts w:asciiTheme="majorHAnsi" w:hAnsiTheme="majorHAnsi" w:cs="Calibri"/>
                <w:color w:val="000000"/>
                <w:sz w:val="18"/>
                <w:szCs w:val="18"/>
              </w:rPr>
              <w:t>47000</w:t>
            </w:r>
          </w:p>
        </w:tc>
        <w:tc>
          <w:tcPr>
            <w:tcW w:w="891" w:type="pct"/>
            <w:tcBorders>
              <w:left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color w:val="000000"/>
                <w:sz w:val="18"/>
                <w:szCs w:val="18"/>
              </w:rPr>
            </w:pPr>
            <w:r>
              <w:rPr>
                <w:rFonts w:asciiTheme="majorHAnsi" w:hAnsiTheme="majorHAnsi" w:cs="Calibri"/>
                <w:color w:val="000000"/>
                <w:sz w:val="18"/>
                <w:szCs w:val="18"/>
              </w:rPr>
              <w:t>25000</w:t>
            </w:r>
            <w:r w:rsidRPr="008635B2">
              <w:rPr>
                <w:rFonts w:eastAsia="Times New Roman" w:cs="Calibri"/>
                <w:color w:val="000000"/>
                <w:sz w:val="18"/>
                <w:szCs w:val="18"/>
              </w:rPr>
              <w:t>−</w:t>
            </w:r>
            <w:r>
              <w:rPr>
                <w:rFonts w:asciiTheme="majorHAnsi" w:hAnsiTheme="majorHAnsi" w:cs="Calibri"/>
                <w:color w:val="000000"/>
                <w:sz w:val="18"/>
                <w:szCs w:val="18"/>
              </w:rPr>
              <w:t>72000</w:t>
            </w:r>
          </w:p>
        </w:tc>
        <w:tc>
          <w:tcPr>
            <w:tcW w:w="1119" w:type="pct"/>
            <w:tcBorders>
              <w:left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color w:val="000000"/>
                <w:sz w:val="18"/>
                <w:szCs w:val="18"/>
              </w:rPr>
            </w:pPr>
            <w:r>
              <w:rPr>
                <w:rFonts w:asciiTheme="majorHAnsi" w:hAnsiTheme="majorHAnsi" w:cs="Calibri"/>
                <w:color w:val="000000"/>
                <w:sz w:val="18"/>
                <w:szCs w:val="18"/>
              </w:rPr>
              <w:t>γ(47000;21020)</w:t>
            </w:r>
          </w:p>
        </w:tc>
        <w:tc>
          <w:tcPr>
            <w:tcW w:w="915" w:type="pct"/>
            <w:tcBorders>
              <w:left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center"/>
              <w:rPr>
                <w:rFonts w:asciiTheme="majorHAnsi" w:hAnsiTheme="majorHAnsi" w:cs="Calibri"/>
                <w:color w:val="000000"/>
                <w:sz w:val="18"/>
                <w:szCs w:val="18"/>
              </w:rPr>
            </w:pPr>
            <w:r>
              <w:rPr>
                <w:rFonts w:asciiTheme="majorHAnsi" w:hAnsiTheme="majorHAnsi" w:cs="Calibri"/>
                <w:color w:val="000000"/>
                <w:sz w:val="18"/>
                <w:szCs w:val="18"/>
              </w:rPr>
              <w:fldChar w:fldCharType="begin" w:fldLock="1"/>
            </w:r>
            <w:r>
              <w:rPr>
                <w:rFonts w:asciiTheme="majorHAnsi" w:hAnsiTheme="majorHAnsi" w:cs="Calibri"/>
                <w:color w:val="000000"/>
                <w:sz w:val="18"/>
                <w:szCs w:val="18"/>
              </w:rPr>
              <w:instrText>ADDIN CSL_CITATION { "citationItems" : [ { "id" : "ITEM-1", "itemData" : { "URL" : "http://www.vademecum.es/", "accessed" : { "date-parts" : [ [ "2015", "5", "5" ] ] }, "author" : [ { "dropping-particle" : "", "family" : "Vidal Vademecum Spain", "given" : "", "non-dropping-particle" : "", "parse-names" : false, "suffix" : "" } ], "id" : "ITEM-1", "issued" : { "date-parts" : [ [ "0" ] ] }, "title" : "VADEMECUM", "type" : "webpage" }, "uris" : [ "http://www.mendeley.com/documents/?uuid=160829c8-e466-4625-809a-f38377eb45a7" ] } ], "mendeley" : { "formattedCitation" : "[38]", "plainTextFormattedCitation" : "[38]", "previouslyFormattedCitation" : "[38]" }, "properties" : { "noteIndex" : 0 }, "schema" : "https://github.com/citation-style-language/schema/raw/master/csl-citation.json" }</w:instrText>
            </w:r>
            <w:r>
              <w:rPr>
                <w:rFonts w:asciiTheme="majorHAnsi" w:hAnsiTheme="majorHAnsi" w:cs="Calibri"/>
                <w:color w:val="000000"/>
                <w:sz w:val="18"/>
                <w:szCs w:val="18"/>
              </w:rPr>
              <w:fldChar w:fldCharType="separate"/>
            </w:r>
            <w:r w:rsidRPr="00E46EFA">
              <w:rPr>
                <w:rFonts w:asciiTheme="majorHAnsi" w:hAnsiTheme="majorHAnsi" w:cs="Calibri"/>
                <w:noProof/>
                <w:color w:val="000000"/>
                <w:sz w:val="18"/>
                <w:szCs w:val="18"/>
              </w:rPr>
              <w:t>[38]</w:t>
            </w:r>
            <w:r>
              <w:rPr>
                <w:rFonts w:asciiTheme="majorHAnsi" w:hAnsiTheme="majorHAnsi" w:cs="Calibri"/>
                <w:color w:val="000000"/>
                <w:sz w:val="18"/>
                <w:szCs w:val="18"/>
              </w:rPr>
              <w:fldChar w:fldCharType="end"/>
            </w:r>
          </w:p>
        </w:tc>
      </w:tr>
      <w:tr w:rsidR="00100D7A" w:rsidTr="001764F9">
        <w:trPr>
          <w:trHeight w:val="285"/>
        </w:trPr>
        <w:tc>
          <w:tcPr>
            <w:tcW w:w="1367" w:type="pct"/>
            <w:tcBorders>
              <w:left w:val="nil"/>
              <w:right w:val="nil"/>
            </w:tcBorders>
            <w:shd w:val="clear" w:color="auto" w:fill="auto"/>
            <w:noWrap/>
            <w:tcMar>
              <w:top w:w="15" w:type="dxa"/>
              <w:left w:w="15" w:type="dxa"/>
              <w:bottom w:w="0" w:type="dxa"/>
              <w:right w:w="15" w:type="dxa"/>
            </w:tcMar>
            <w:vAlign w:val="bottom"/>
          </w:tcPr>
          <w:p w:rsidR="00100D7A" w:rsidRPr="00666C1A" w:rsidRDefault="00100D7A" w:rsidP="001764F9">
            <w:pPr>
              <w:spacing w:after="0"/>
              <w:rPr>
                <w:rFonts w:asciiTheme="majorHAnsi" w:hAnsiTheme="majorHAnsi" w:cs="Calibri"/>
                <w:color w:val="000000"/>
                <w:sz w:val="18"/>
                <w:szCs w:val="18"/>
              </w:rPr>
            </w:pPr>
            <w:r>
              <w:rPr>
                <w:rFonts w:asciiTheme="majorHAnsi" w:hAnsiTheme="majorHAnsi" w:cs="Calibri"/>
                <w:color w:val="000000"/>
                <w:sz w:val="18"/>
                <w:szCs w:val="18"/>
              </w:rPr>
              <w:t>Alcohol detoxification therapy</w:t>
            </w:r>
          </w:p>
        </w:tc>
        <w:tc>
          <w:tcPr>
            <w:tcW w:w="708" w:type="pct"/>
            <w:tcBorders>
              <w:left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color w:val="000000"/>
                <w:sz w:val="18"/>
                <w:szCs w:val="18"/>
              </w:rPr>
            </w:pPr>
            <w:r>
              <w:rPr>
                <w:rFonts w:asciiTheme="majorHAnsi" w:hAnsiTheme="majorHAnsi" w:cs="Calibri"/>
                <w:color w:val="000000"/>
                <w:sz w:val="18"/>
                <w:szCs w:val="18"/>
              </w:rPr>
              <w:t>518</w:t>
            </w:r>
          </w:p>
        </w:tc>
        <w:tc>
          <w:tcPr>
            <w:tcW w:w="891" w:type="pct"/>
            <w:tcBorders>
              <w:left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color w:val="000000"/>
                <w:sz w:val="18"/>
                <w:szCs w:val="18"/>
              </w:rPr>
            </w:pPr>
            <w:r>
              <w:rPr>
                <w:rFonts w:asciiTheme="majorHAnsi" w:hAnsiTheme="majorHAnsi" w:cs="Calibri"/>
                <w:color w:val="000000"/>
                <w:sz w:val="18"/>
                <w:szCs w:val="18"/>
              </w:rPr>
              <w:t>173</w:t>
            </w:r>
            <w:r w:rsidRPr="008635B2">
              <w:rPr>
                <w:rFonts w:eastAsia="Times New Roman" w:cs="Calibri"/>
                <w:color w:val="000000"/>
                <w:sz w:val="18"/>
                <w:szCs w:val="18"/>
              </w:rPr>
              <w:t>−</w:t>
            </w:r>
            <w:r>
              <w:rPr>
                <w:rFonts w:asciiTheme="majorHAnsi" w:hAnsiTheme="majorHAnsi" w:cs="Calibri"/>
                <w:color w:val="000000"/>
                <w:sz w:val="18"/>
                <w:szCs w:val="18"/>
              </w:rPr>
              <w:t>1036</w:t>
            </w:r>
          </w:p>
        </w:tc>
        <w:tc>
          <w:tcPr>
            <w:tcW w:w="1119" w:type="pct"/>
            <w:tcBorders>
              <w:left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color w:val="000000"/>
                <w:sz w:val="18"/>
                <w:szCs w:val="18"/>
              </w:rPr>
            </w:pPr>
            <w:r>
              <w:rPr>
                <w:rFonts w:asciiTheme="majorHAnsi" w:hAnsiTheme="majorHAnsi" w:cs="Calibri"/>
                <w:color w:val="000000"/>
                <w:sz w:val="18"/>
                <w:szCs w:val="18"/>
              </w:rPr>
              <w:t>γ(518;232)</w:t>
            </w:r>
          </w:p>
        </w:tc>
        <w:tc>
          <w:tcPr>
            <w:tcW w:w="915" w:type="pct"/>
            <w:tcBorders>
              <w:left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center"/>
              <w:rPr>
                <w:rFonts w:asciiTheme="majorHAnsi" w:hAnsiTheme="majorHAnsi" w:cs="Calibri"/>
                <w:color w:val="000000"/>
                <w:sz w:val="18"/>
                <w:szCs w:val="18"/>
              </w:rPr>
            </w:pPr>
            <w:r>
              <w:rPr>
                <w:rFonts w:asciiTheme="majorHAnsi" w:hAnsiTheme="majorHAnsi" w:cs="Calibri"/>
                <w:color w:val="000000"/>
                <w:sz w:val="18"/>
                <w:szCs w:val="18"/>
              </w:rPr>
              <w:t>HCB</w:t>
            </w:r>
          </w:p>
        </w:tc>
      </w:tr>
      <w:tr w:rsidR="00100D7A" w:rsidTr="001764F9">
        <w:trPr>
          <w:trHeight w:val="285"/>
        </w:trPr>
        <w:tc>
          <w:tcPr>
            <w:tcW w:w="1367" w:type="pct"/>
            <w:tcBorders>
              <w:left w:val="nil"/>
              <w:right w:val="nil"/>
            </w:tcBorders>
            <w:shd w:val="clear" w:color="auto" w:fill="auto"/>
            <w:noWrap/>
            <w:tcMar>
              <w:top w:w="15" w:type="dxa"/>
              <w:left w:w="15" w:type="dxa"/>
              <w:bottom w:w="0" w:type="dxa"/>
              <w:right w:w="15" w:type="dxa"/>
            </w:tcMar>
            <w:vAlign w:val="bottom"/>
          </w:tcPr>
          <w:p w:rsidR="00100D7A" w:rsidRPr="00666C1A" w:rsidRDefault="00100D7A" w:rsidP="001764F9">
            <w:pPr>
              <w:spacing w:after="0"/>
              <w:rPr>
                <w:rFonts w:asciiTheme="majorHAnsi" w:hAnsiTheme="majorHAnsi" w:cs="Calibri"/>
                <w:color w:val="000000"/>
                <w:sz w:val="18"/>
                <w:szCs w:val="18"/>
              </w:rPr>
            </w:pPr>
          </w:p>
        </w:tc>
        <w:tc>
          <w:tcPr>
            <w:tcW w:w="708" w:type="pct"/>
            <w:tcBorders>
              <w:left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color w:val="000000"/>
                <w:sz w:val="18"/>
                <w:szCs w:val="18"/>
              </w:rPr>
            </w:pPr>
          </w:p>
        </w:tc>
        <w:tc>
          <w:tcPr>
            <w:tcW w:w="891" w:type="pct"/>
            <w:tcBorders>
              <w:left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color w:val="000000"/>
                <w:sz w:val="18"/>
                <w:szCs w:val="18"/>
              </w:rPr>
            </w:pPr>
          </w:p>
        </w:tc>
        <w:tc>
          <w:tcPr>
            <w:tcW w:w="1119" w:type="pct"/>
            <w:tcBorders>
              <w:left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color w:val="000000"/>
                <w:sz w:val="18"/>
                <w:szCs w:val="18"/>
              </w:rPr>
            </w:pPr>
          </w:p>
        </w:tc>
        <w:tc>
          <w:tcPr>
            <w:tcW w:w="915" w:type="pct"/>
            <w:tcBorders>
              <w:left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rPr>
                <w:rFonts w:asciiTheme="majorHAnsi" w:hAnsiTheme="majorHAnsi" w:cs="Calibri"/>
                <w:color w:val="000000"/>
                <w:sz w:val="18"/>
                <w:szCs w:val="18"/>
              </w:rPr>
            </w:pPr>
          </w:p>
        </w:tc>
      </w:tr>
      <w:tr w:rsidR="00100D7A" w:rsidTr="001764F9">
        <w:trPr>
          <w:trHeight w:val="285"/>
        </w:trPr>
        <w:tc>
          <w:tcPr>
            <w:tcW w:w="1367" w:type="pct"/>
            <w:tcBorders>
              <w:left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rPr>
                <w:rFonts w:asciiTheme="majorHAnsi" w:hAnsiTheme="majorHAnsi" w:cs="Calibri"/>
                <w:b/>
                <w:color w:val="000000"/>
                <w:sz w:val="18"/>
                <w:szCs w:val="18"/>
              </w:rPr>
            </w:pPr>
            <w:r w:rsidRPr="00D546FD">
              <w:rPr>
                <w:rFonts w:asciiTheme="majorHAnsi" w:hAnsiTheme="majorHAnsi" w:cs="Calibri"/>
                <w:b/>
                <w:color w:val="000000"/>
                <w:sz w:val="18"/>
                <w:szCs w:val="18"/>
              </w:rPr>
              <w:t xml:space="preserve">Unit </w:t>
            </w:r>
            <w:r>
              <w:rPr>
                <w:rFonts w:asciiTheme="majorHAnsi" w:hAnsiTheme="majorHAnsi" w:cs="Calibri"/>
                <w:b/>
                <w:color w:val="000000"/>
                <w:sz w:val="18"/>
                <w:szCs w:val="18"/>
              </w:rPr>
              <w:t xml:space="preserve">cost of </w:t>
            </w:r>
            <w:r w:rsidRPr="00D546FD">
              <w:rPr>
                <w:rFonts w:asciiTheme="majorHAnsi" w:hAnsiTheme="majorHAnsi" w:cs="Calibri"/>
                <w:b/>
                <w:color w:val="000000"/>
                <w:sz w:val="18"/>
                <w:szCs w:val="18"/>
              </w:rPr>
              <w:t>test</w:t>
            </w:r>
            <w:r>
              <w:rPr>
                <w:rFonts w:asciiTheme="majorHAnsi" w:hAnsiTheme="majorHAnsi" w:cs="Calibri"/>
                <w:b/>
                <w:color w:val="000000"/>
                <w:sz w:val="18"/>
                <w:szCs w:val="18"/>
              </w:rPr>
              <w:t>s</w:t>
            </w:r>
          </w:p>
        </w:tc>
        <w:tc>
          <w:tcPr>
            <w:tcW w:w="708" w:type="pct"/>
            <w:tcBorders>
              <w:left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color w:val="000000"/>
                <w:sz w:val="18"/>
                <w:szCs w:val="18"/>
              </w:rPr>
            </w:pPr>
          </w:p>
        </w:tc>
        <w:tc>
          <w:tcPr>
            <w:tcW w:w="891" w:type="pct"/>
            <w:tcBorders>
              <w:left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color w:val="000000"/>
                <w:sz w:val="18"/>
                <w:szCs w:val="18"/>
              </w:rPr>
            </w:pPr>
          </w:p>
        </w:tc>
        <w:tc>
          <w:tcPr>
            <w:tcW w:w="1119" w:type="pct"/>
            <w:tcBorders>
              <w:left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right"/>
              <w:rPr>
                <w:rFonts w:asciiTheme="majorHAnsi" w:hAnsiTheme="majorHAnsi" w:cs="Calibri"/>
                <w:color w:val="000000"/>
                <w:sz w:val="18"/>
                <w:szCs w:val="18"/>
              </w:rPr>
            </w:pPr>
          </w:p>
        </w:tc>
        <w:tc>
          <w:tcPr>
            <w:tcW w:w="915" w:type="pct"/>
            <w:tcBorders>
              <w:left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rPr>
                <w:rFonts w:asciiTheme="majorHAnsi" w:hAnsiTheme="majorHAnsi" w:cs="Calibri"/>
                <w:color w:val="000000"/>
                <w:sz w:val="18"/>
                <w:szCs w:val="18"/>
              </w:rPr>
            </w:pPr>
          </w:p>
        </w:tc>
      </w:tr>
      <w:tr w:rsidR="00100D7A" w:rsidTr="001764F9">
        <w:trPr>
          <w:trHeight w:val="285"/>
        </w:trPr>
        <w:tc>
          <w:tcPr>
            <w:tcW w:w="1367" w:type="pct"/>
            <w:tcBorders>
              <w:left w:val="nil"/>
              <w:bottom w:val="nil"/>
              <w:right w:val="nil"/>
            </w:tcBorders>
            <w:shd w:val="clear" w:color="auto" w:fill="auto"/>
            <w:noWrap/>
            <w:tcMar>
              <w:top w:w="15" w:type="dxa"/>
              <w:left w:w="15" w:type="dxa"/>
              <w:bottom w:w="0" w:type="dxa"/>
              <w:right w:w="15" w:type="dxa"/>
            </w:tcMar>
            <w:vAlign w:val="bottom"/>
            <w:hideMark/>
          </w:tcPr>
          <w:p w:rsidR="00100D7A" w:rsidRPr="00D546FD" w:rsidRDefault="00100D7A" w:rsidP="001764F9">
            <w:pPr>
              <w:spacing w:after="0"/>
              <w:rPr>
                <w:rFonts w:asciiTheme="majorHAnsi" w:hAnsiTheme="majorHAnsi" w:cs="Calibri"/>
                <w:sz w:val="18"/>
                <w:szCs w:val="18"/>
              </w:rPr>
            </w:pPr>
            <w:r>
              <w:rPr>
                <w:rFonts w:asciiTheme="majorHAnsi" w:hAnsiTheme="majorHAnsi" w:cs="Calibri"/>
                <w:sz w:val="18"/>
                <w:szCs w:val="18"/>
              </w:rPr>
              <w:t>ELF</w:t>
            </w:r>
          </w:p>
        </w:tc>
        <w:tc>
          <w:tcPr>
            <w:tcW w:w="708" w:type="pct"/>
            <w:tcBorders>
              <w:left w:val="nil"/>
              <w:bottom w:val="nil"/>
              <w:right w:val="nil"/>
            </w:tcBorders>
            <w:shd w:val="clear" w:color="auto" w:fill="auto"/>
            <w:noWrap/>
            <w:tcMar>
              <w:top w:w="15" w:type="dxa"/>
              <w:left w:w="15" w:type="dxa"/>
              <w:bottom w:w="0" w:type="dxa"/>
              <w:right w:w="15" w:type="dxa"/>
            </w:tcMar>
            <w:vAlign w:val="bottom"/>
            <w:hideMark/>
          </w:tcPr>
          <w:p w:rsidR="00100D7A" w:rsidRPr="00D546FD" w:rsidRDefault="00100D7A" w:rsidP="001764F9">
            <w:pPr>
              <w:spacing w:after="0"/>
              <w:jc w:val="right"/>
              <w:rPr>
                <w:rFonts w:asciiTheme="majorHAnsi" w:hAnsiTheme="majorHAnsi" w:cs="Calibri"/>
                <w:color w:val="000000"/>
                <w:sz w:val="18"/>
                <w:szCs w:val="18"/>
              </w:rPr>
            </w:pPr>
            <w:r>
              <w:rPr>
                <w:rFonts w:asciiTheme="majorHAnsi" w:hAnsiTheme="majorHAnsi" w:cs="Calibri"/>
                <w:color w:val="000000"/>
                <w:sz w:val="18"/>
                <w:szCs w:val="18"/>
              </w:rPr>
              <w:t>84.6</w:t>
            </w:r>
          </w:p>
        </w:tc>
        <w:tc>
          <w:tcPr>
            <w:tcW w:w="891" w:type="pct"/>
            <w:tcBorders>
              <w:left w:val="nil"/>
              <w:bottom w:val="nil"/>
              <w:right w:val="nil"/>
            </w:tcBorders>
            <w:shd w:val="clear" w:color="auto" w:fill="auto"/>
            <w:noWrap/>
            <w:tcMar>
              <w:top w:w="15" w:type="dxa"/>
              <w:left w:w="15" w:type="dxa"/>
              <w:bottom w:w="0" w:type="dxa"/>
              <w:right w:w="15" w:type="dxa"/>
            </w:tcMar>
            <w:vAlign w:val="bottom"/>
            <w:hideMark/>
          </w:tcPr>
          <w:p w:rsidR="00100D7A" w:rsidRPr="00D546FD" w:rsidRDefault="00100D7A" w:rsidP="001764F9">
            <w:pPr>
              <w:spacing w:after="0"/>
              <w:jc w:val="right"/>
              <w:rPr>
                <w:rFonts w:asciiTheme="majorHAnsi" w:hAnsiTheme="majorHAnsi" w:cs="Calibri"/>
                <w:color w:val="000000"/>
                <w:sz w:val="18"/>
                <w:szCs w:val="18"/>
              </w:rPr>
            </w:pPr>
            <w:r>
              <w:rPr>
                <w:rFonts w:asciiTheme="majorHAnsi" w:hAnsiTheme="majorHAnsi" w:cs="Calibri"/>
                <w:color w:val="000000"/>
                <w:sz w:val="18"/>
                <w:szCs w:val="18"/>
              </w:rPr>
              <w:t>63</w:t>
            </w:r>
            <w:r w:rsidRPr="008635B2">
              <w:rPr>
                <w:rFonts w:eastAsia="Times New Roman" w:cs="Calibri"/>
                <w:color w:val="000000"/>
                <w:sz w:val="18"/>
                <w:szCs w:val="18"/>
              </w:rPr>
              <w:t>−</w:t>
            </w:r>
            <w:r>
              <w:rPr>
                <w:rFonts w:asciiTheme="majorHAnsi" w:hAnsiTheme="majorHAnsi" w:cs="Calibri"/>
                <w:color w:val="000000"/>
                <w:sz w:val="18"/>
                <w:szCs w:val="18"/>
              </w:rPr>
              <w:t>126</w:t>
            </w:r>
          </w:p>
        </w:tc>
        <w:tc>
          <w:tcPr>
            <w:tcW w:w="1119" w:type="pct"/>
            <w:tcBorders>
              <w:left w:val="nil"/>
              <w:bottom w:val="nil"/>
              <w:right w:val="nil"/>
            </w:tcBorders>
            <w:shd w:val="clear" w:color="auto" w:fill="auto"/>
            <w:noWrap/>
            <w:tcMar>
              <w:top w:w="15" w:type="dxa"/>
              <w:left w:w="15" w:type="dxa"/>
              <w:bottom w:w="0" w:type="dxa"/>
              <w:right w:w="15" w:type="dxa"/>
            </w:tcMar>
            <w:vAlign w:val="bottom"/>
            <w:hideMark/>
          </w:tcPr>
          <w:p w:rsidR="00100D7A" w:rsidRPr="00D546FD" w:rsidRDefault="00100D7A" w:rsidP="001764F9">
            <w:pPr>
              <w:spacing w:after="0"/>
              <w:jc w:val="right"/>
              <w:rPr>
                <w:rFonts w:asciiTheme="majorHAnsi" w:hAnsiTheme="majorHAnsi" w:cs="Calibri"/>
                <w:color w:val="000000"/>
                <w:sz w:val="18"/>
                <w:szCs w:val="18"/>
              </w:rPr>
            </w:pPr>
            <w:r>
              <w:rPr>
                <w:rFonts w:asciiTheme="majorHAnsi" w:hAnsiTheme="majorHAnsi" w:cs="Calibri"/>
                <w:color w:val="000000"/>
                <w:sz w:val="18"/>
                <w:szCs w:val="18"/>
              </w:rPr>
              <w:t>γ(84.6;38)</w:t>
            </w:r>
          </w:p>
        </w:tc>
        <w:tc>
          <w:tcPr>
            <w:tcW w:w="915" w:type="pct"/>
            <w:tcBorders>
              <w:left w:val="nil"/>
              <w:bottom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center"/>
              <w:rPr>
                <w:rFonts w:asciiTheme="majorHAnsi" w:hAnsiTheme="majorHAnsi" w:cs="Calibri"/>
                <w:color w:val="000000"/>
                <w:sz w:val="18"/>
                <w:szCs w:val="18"/>
              </w:rPr>
            </w:pPr>
            <w:r>
              <w:rPr>
                <w:rFonts w:asciiTheme="majorHAnsi" w:hAnsiTheme="majorHAnsi" w:cs="Calibri"/>
                <w:color w:val="000000"/>
                <w:sz w:val="18"/>
                <w:szCs w:val="18"/>
              </w:rPr>
              <w:t>HCB</w:t>
            </w:r>
          </w:p>
        </w:tc>
      </w:tr>
      <w:tr w:rsidR="00100D7A" w:rsidTr="001764F9">
        <w:trPr>
          <w:trHeight w:val="285"/>
        </w:trPr>
        <w:tc>
          <w:tcPr>
            <w:tcW w:w="1367" w:type="pct"/>
            <w:tcBorders>
              <w:top w:val="nil"/>
              <w:left w:val="nil"/>
              <w:right w:val="nil"/>
            </w:tcBorders>
            <w:shd w:val="clear" w:color="auto" w:fill="auto"/>
            <w:noWrap/>
            <w:tcMar>
              <w:top w:w="15" w:type="dxa"/>
              <w:left w:w="15" w:type="dxa"/>
              <w:bottom w:w="0" w:type="dxa"/>
              <w:right w:w="15" w:type="dxa"/>
            </w:tcMar>
            <w:vAlign w:val="bottom"/>
            <w:hideMark/>
          </w:tcPr>
          <w:p w:rsidR="00100D7A" w:rsidRPr="00D546FD" w:rsidRDefault="00095FA4" w:rsidP="001764F9">
            <w:pPr>
              <w:spacing w:after="0"/>
              <w:rPr>
                <w:rFonts w:asciiTheme="majorHAnsi" w:hAnsiTheme="majorHAnsi" w:cs="Calibri"/>
                <w:sz w:val="18"/>
                <w:szCs w:val="18"/>
              </w:rPr>
            </w:pPr>
            <w:r>
              <w:rPr>
                <w:rFonts w:asciiTheme="majorHAnsi" w:hAnsiTheme="majorHAnsi" w:cs="Calibri"/>
                <w:sz w:val="18"/>
                <w:szCs w:val="18"/>
              </w:rPr>
              <w:t>LSM</w:t>
            </w:r>
          </w:p>
        </w:tc>
        <w:tc>
          <w:tcPr>
            <w:tcW w:w="708" w:type="pct"/>
            <w:tcBorders>
              <w:top w:val="nil"/>
              <w:left w:val="nil"/>
              <w:right w:val="nil"/>
            </w:tcBorders>
            <w:shd w:val="clear" w:color="auto" w:fill="auto"/>
            <w:noWrap/>
            <w:tcMar>
              <w:top w:w="15" w:type="dxa"/>
              <w:left w:w="15" w:type="dxa"/>
              <w:bottom w:w="0" w:type="dxa"/>
              <w:right w:w="15" w:type="dxa"/>
            </w:tcMar>
            <w:vAlign w:val="bottom"/>
            <w:hideMark/>
          </w:tcPr>
          <w:p w:rsidR="00100D7A" w:rsidRPr="00D546FD" w:rsidRDefault="00100D7A" w:rsidP="001764F9">
            <w:pPr>
              <w:spacing w:after="0"/>
              <w:jc w:val="right"/>
              <w:rPr>
                <w:rFonts w:asciiTheme="majorHAnsi" w:hAnsiTheme="majorHAnsi" w:cs="Calibri"/>
                <w:color w:val="000000"/>
                <w:sz w:val="18"/>
                <w:szCs w:val="18"/>
              </w:rPr>
            </w:pPr>
            <w:r w:rsidRPr="00D546FD">
              <w:rPr>
                <w:rFonts w:asciiTheme="majorHAnsi" w:hAnsiTheme="majorHAnsi" w:cs="Calibri"/>
                <w:color w:val="000000"/>
                <w:sz w:val="18"/>
                <w:szCs w:val="18"/>
              </w:rPr>
              <w:t>80</w:t>
            </w:r>
          </w:p>
        </w:tc>
        <w:tc>
          <w:tcPr>
            <w:tcW w:w="891" w:type="pct"/>
            <w:tcBorders>
              <w:top w:val="nil"/>
              <w:left w:val="nil"/>
              <w:right w:val="nil"/>
            </w:tcBorders>
            <w:shd w:val="clear" w:color="auto" w:fill="auto"/>
            <w:noWrap/>
            <w:tcMar>
              <w:top w:w="15" w:type="dxa"/>
              <w:left w:w="15" w:type="dxa"/>
              <w:bottom w:w="0" w:type="dxa"/>
              <w:right w:w="15" w:type="dxa"/>
            </w:tcMar>
            <w:vAlign w:val="bottom"/>
            <w:hideMark/>
          </w:tcPr>
          <w:p w:rsidR="00100D7A" w:rsidRPr="00D546FD" w:rsidRDefault="00100D7A" w:rsidP="001764F9">
            <w:pPr>
              <w:spacing w:after="0"/>
              <w:jc w:val="right"/>
              <w:rPr>
                <w:rFonts w:asciiTheme="majorHAnsi" w:hAnsiTheme="majorHAnsi" w:cs="Calibri"/>
                <w:color w:val="000000"/>
                <w:sz w:val="18"/>
                <w:szCs w:val="18"/>
              </w:rPr>
            </w:pPr>
            <w:r>
              <w:rPr>
                <w:rFonts w:asciiTheme="majorHAnsi" w:hAnsiTheme="majorHAnsi" w:cs="Calibri"/>
                <w:color w:val="000000"/>
                <w:sz w:val="18"/>
                <w:szCs w:val="18"/>
              </w:rPr>
              <w:t>60</w:t>
            </w:r>
            <w:r w:rsidRPr="008635B2">
              <w:rPr>
                <w:rFonts w:eastAsia="Times New Roman" w:cs="Calibri"/>
                <w:color w:val="000000"/>
                <w:sz w:val="18"/>
                <w:szCs w:val="18"/>
              </w:rPr>
              <w:t>−</w:t>
            </w:r>
            <w:r>
              <w:rPr>
                <w:rFonts w:asciiTheme="majorHAnsi" w:hAnsiTheme="majorHAnsi" w:cs="Calibri"/>
                <w:color w:val="000000"/>
                <w:sz w:val="18"/>
                <w:szCs w:val="18"/>
              </w:rPr>
              <w:t>120</w:t>
            </w:r>
          </w:p>
        </w:tc>
        <w:tc>
          <w:tcPr>
            <w:tcW w:w="1119" w:type="pct"/>
            <w:tcBorders>
              <w:top w:val="nil"/>
              <w:left w:val="nil"/>
              <w:right w:val="nil"/>
            </w:tcBorders>
            <w:shd w:val="clear" w:color="auto" w:fill="auto"/>
            <w:noWrap/>
            <w:tcMar>
              <w:top w:w="15" w:type="dxa"/>
              <w:left w:w="15" w:type="dxa"/>
              <w:bottom w:w="0" w:type="dxa"/>
              <w:right w:w="15" w:type="dxa"/>
            </w:tcMar>
            <w:vAlign w:val="bottom"/>
            <w:hideMark/>
          </w:tcPr>
          <w:p w:rsidR="00100D7A" w:rsidRPr="00D546FD" w:rsidRDefault="00100D7A" w:rsidP="001764F9">
            <w:pPr>
              <w:spacing w:after="0"/>
              <w:jc w:val="right"/>
              <w:rPr>
                <w:rFonts w:asciiTheme="majorHAnsi" w:hAnsiTheme="majorHAnsi" w:cs="Calibri"/>
                <w:color w:val="000000"/>
                <w:sz w:val="18"/>
                <w:szCs w:val="18"/>
              </w:rPr>
            </w:pPr>
            <w:r>
              <w:rPr>
                <w:rFonts w:asciiTheme="majorHAnsi" w:hAnsiTheme="majorHAnsi" w:cs="Calibri"/>
                <w:color w:val="000000"/>
                <w:sz w:val="18"/>
                <w:szCs w:val="18"/>
              </w:rPr>
              <w:t>γ(80;36)</w:t>
            </w:r>
          </w:p>
        </w:tc>
        <w:tc>
          <w:tcPr>
            <w:tcW w:w="915" w:type="pct"/>
            <w:tcBorders>
              <w:top w:val="nil"/>
              <w:left w:val="nil"/>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center"/>
              <w:rPr>
                <w:rFonts w:asciiTheme="majorHAnsi" w:hAnsiTheme="majorHAnsi" w:cs="Calibri"/>
                <w:color w:val="000000"/>
                <w:sz w:val="18"/>
                <w:szCs w:val="18"/>
              </w:rPr>
            </w:pPr>
            <w:r>
              <w:rPr>
                <w:rFonts w:asciiTheme="majorHAnsi" w:hAnsiTheme="majorHAnsi" w:cs="Calibri"/>
                <w:color w:val="000000"/>
                <w:sz w:val="18"/>
                <w:szCs w:val="18"/>
              </w:rPr>
              <w:t>HCB</w:t>
            </w:r>
          </w:p>
        </w:tc>
      </w:tr>
      <w:tr w:rsidR="00100D7A" w:rsidTr="001764F9">
        <w:trPr>
          <w:trHeight w:val="285"/>
        </w:trPr>
        <w:tc>
          <w:tcPr>
            <w:tcW w:w="1367"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00D7A" w:rsidRPr="00D546FD" w:rsidRDefault="00100D7A" w:rsidP="001764F9">
            <w:pPr>
              <w:spacing w:after="0"/>
              <w:rPr>
                <w:rFonts w:asciiTheme="majorHAnsi" w:hAnsiTheme="majorHAnsi" w:cs="Calibri"/>
                <w:sz w:val="18"/>
                <w:szCs w:val="18"/>
              </w:rPr>
            </w:pPr>
            <w:r w:rsidRPr="00D546FD">
              <w:rPr>
                <w:rFonts w:asciiTheme="majorHAnsi" w:hAnsiTheme="majorHAnsi" w:cs="Calibri"/>
                <w:sz w:val="18"/>
                <w:szCs w:val="18"/>
              </w:rPr>
              <w:t>Biopsy</w:t>
            </w:r>
          </w:p>
        </w:tc>
        <w:tc>
          <w:tcPr>
            <w:tcW w:w="708"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00D7A" w:rsidRPr="00D546FD" w:rsidRDefault="00100D7A" w:rsidP="001764F9">
            <w:pPr>
              <w:spacing w:after="0"/>
              <w:jc w:val="right"/>
              <w:rPr>
                <w:rFonts w:asciiTheme="majorHAnsi" w:hAnsiTheme="majorHAnsi" w:cs="Calibri"/>
                <w:color w:val="000000"/>
                <w:sz w:val="18"/>
                <w:szCs w:val="18"/>
              </w:rPr>
            </w:pPr>
            <w:r w:rsidRPr="00D546FD">
              <w:rPr>
                <w:rFonts w:asciiTheme="majorHAnsi" w:hAnsiTheme="majorHAnsi" w:cs="Calibri"/>
                <w:color w:val="000000"/>
                <w:sz w:val="18"/>
                <w:szCs w:val="18"/>
              </w:rPr>
              <w:t>429</w:t>
            </w:r>
          </w:p>
        </w:tc>
        <w:tc>
          <w:tcPr>
            <w:tcW w:w="891"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00D7A" w:rsidRPr="00D546FD" w:rsidRDefault="00100D7A" w:rsidP="001764F9">
            <w:pPr>
              <w:spacing w:after="0"/>
              <w:jc w:val="right"/>
              <w:rPr>
                <w:rFonts w:asciiTheme="majorHAnsi" w:hAnsiTheme="majorHAnsi" w:cs="Calibri"/>
                <w:color w:val="000000"/>
                <w:sz w:val="18"/>
                <w:szCs w:val="18"/>
              </w:rPr>
            </w:pPr>
            <w:r>
              <w:rPr>
                <w:rFonts w:asciiTheme="majorHAnsi" w:hAnsiTheme="majorHAnsi" w:cs="Calibri"/>
                <w:color w:val="000000"/>
                <w:sz w:val="18"/>
                <w:szCs w:val="18"/>
              </w:rPr>
              <w:t>322</w:t>
            </w:r>
            <w:r w:rsidRPr="008635B2">
              <w:rPr>
                <w:rFonts w:eastAsia="Times New Roman" w:cs="Calibri"/>
                <w:color w:val="000000"/>
                <w:sz w:val="18"/>
                <w:szCs w:val="18"/>
              </w:rPr>
              <w:t>−</w:t>
            </w:r>
            <w:r>
              <w:rPr>
                <w:rFonts w:asciiTheme="majorHAnsi" w:hAnsiTheme="majorHAnsi" w:cs="Calibri"/>
                <w:color w:val="000000"/>
                <w:sz w:val="18"/>
                <w:szCs w:val="18"/>
              </w:rPr>
              <w:t>644</w:t>
            </w:r>
          </w:p>
        </w:tc>
        <w:tc>
          <w:tcPr>
            <w:tcW w:w="1119"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100D7A" w:rsidRPr="00D546FD" w:rsidRDefault="00100D7A" w:rsidP="001764F9">
            <w:pPr>
              <w:spacing w:after="0"/>
              <w:jc w:val="right"/>
              <w:rPr>
                <w:rFonts w:asciiTheme="majorHAnsi" w:hAnsiTheme="majorHAnsi" w:cs="Calibri"/>
                <w:color w:val="000000"/>
                <w:sz w:val="18"/>
                <w:szCs w:val="18"/>
              </w:rPr>
            </w:pPr>
            <w:r>
              <w:rPr>
                <w:rFonts w:asciiTheme="majorHAnsi" w:hAnsiTheme="majorHAnsi" w:cs="Calibri"/>
                <w:color w:val="000000"/>
                <w:sz w:val="18"/>
                <w:szCs w:val="18"/>
              </w:rPr>
              <w:t>γ(429;192)</w:t>
            </w:r>
          </w:p>
        </w:tc>
        <w:tc>
          <w:tcPr>
            <w:tcW w:w="915" w:type="pct"/>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100D7A" w:rsidRPr="00D546FD" w:rsidRDefault="00100D7A" w:rsidP="001764F9">
            <w:pPr>
              <w:spacing w:after="0"/>
              <w:jc w:val="center"/>
              <w:rPr>
                <w:rFonts w:asciiTheme="majorHAnsi" w:hAnsiTheme="majorHAnsi" w:cs="Calibri"/>
                <w:color w:val="000000"/>
                <w:sz w:val="18"/>
                <w:szCs w:val="18"/>
              </w:rPr>
            </w:pPr>
            <w:r>
              <w:rPr>
                <w:rFonts w:asciiTheme="majorHAnsi" w:hAnsiTheme="majorHAnsi" w:cs="Calibri"/>
                <w:color w:val="000000"/>
                <w:sz w:val="18"/>
                <w:szCs w:val="18"/>
              </w:rPr>
              <w:t>HCB</w:t>
            </w:r>
          </w:p>
        </w:tc>
      </w:tr>
      <w:tr w:rsidR="00100D7A" w:rsidTr="001764F9">
        <w:trPr>
          <w:trHeight w:val="285"/>
        </w:trPr>
        <w:tc>
          <w:tcPr>
            <w:tcW w:w="5000" w:type="pct"/>
            <w:gridSpan w:val="5"/>
            <w:tcBorders>
              <w:top w:val="single" w:sz="4" w:space="0" w:color="auto"/>
              <w:left w:val="nil"/>
              <w:right w:val="nil"/>
            </w:tcBorders>
            <w:shd w:val="clear" w:color="auto" w:fill="auto"/>
            <w:noWrap/>
            <w:tcMar>
              <w:top w:w="15" w:type="dxa"/>
              <w:left w:w="15" w:type="dxa"/>
              <w:bottom w:w="0" w:type="dxa"/>
              <w:right w:w="15" w:type="dxa"/>
            </w:tcMar>
            <w:vAlign w:val="bottom"/>
          </w:tcPr>
          <w:p w:rsidR="00100D7A" w:rsidRDefault="00100D7A" w:rsidP="001764F9">
            <w:pPr>
              <w:spacing w:after="0" w:line="240" w:lineRule="auto"/>
              <w:rPr>
                <w:rFonts w:eastAsia="Times New Roman" w:cs="Calibri"/>
                <w:color w:val="000000"/>
                <w:sz w:val="18"/>
                <w:szCs w:val="18"/>
              </w:rPr>
            </w:pPr>
            <w:r w:rsidRPr="007F6E9C">
              <w:rPr>
                <w:rFonts w:eastAsia="Times New Roman" w:cs="Calibri"/>
                <w:color w:val="000000"/>
                <w:sz w:val="18"/>
                <w:szCs w:val="18"/>
              </w:rPr>
              <w:t xml:space="preserve">F0-F1: </w:t>
            </w:r>
            <w:r>
              <w:rPr>
                <w:rFonts w:eastAsia="Times New Roman" w:cs="Calibri"/>
                <w:color w:val="000000"/>
                <w:sz w:val="18"/>
                <w:szCs w:val="18"/>
              </w:rPr>
              <w:t>n</w:t>
            </w:r>
            <w:r w:rsidRPr="007F6E9C">
              <w:rPr>
                <w:rFonts w:eastAsia="Times New Roman" w:cs="Calibri"/>
                <w:color w:val="000000"/>
                <w:sz w:val="18"/>
                <w:szCs w:val="18"/>
              </w:rPr>
              <w:t xml:space="preserve">o fibrosis or mild fibrosis; F2-F3: moderate or severe fibrosis; F4: </w:t>
            </w:r>
            <w:r>
              <w:rPr>
                <w:rFonts w:eastAsia="Times New Roman" w:cs="Calibri"/>
                <w:color w:val="000000"/>
                <w:sz w:val="18"/>
                <w:szCs w:val="18"/>
              </w:rPr>
              <w:t>c</w:t>
            </w:r>
            <w:r w:rsidRPr="007F6E9C">
              <w:rPr>
                <w:rFonts w:eastAsia="Times New Roman" w:cs="Calibri"/>
                <w:color w:val="000000"/>
                <w:sz w:val="18"/>
                <w:szCs w:val="18"/>
              </w:rPr>
              <w:t xml:space="preserve">irrhosis; DC: </w:t>
            </w:r>
            <w:r>
              <w:rPr>
                <w:rFonts w:eastAsia="Times New Roman" w:cs="Calibri"/>
                <w:color w:val="000000"/>
                <w:sz w:val="18"/>
                <w:szCs w:val="18"/>
              </w:rPr>
              <w:t>d</w:t>
            </w:r>
            <w:r w:rsidRPr="007F6E9C">
              <w:rPr>
                <w:rFonts w:eastAsia="Times New Roman" w:cs="Calibri"/>
                <w:color w:val="000000"/>
                <w:sz w:val="18"/>
                <w:szCs w:val="18"/>
              </w:rPr>
              <w:t xml:space="preserve">ecompensated cirrhosis; HCC: </w:t>
            </w:r>
            <w:r>
              <w:rPr>
                <w:rFonts w:eastAsia="Times New Roman" w:cs="Calibri"/>
                <w:color w:val="000000"/>
                <w:sz w:val="18"/>
                <w:szCs w:val="18"/>
              </w:rPr>
              <w:t>h</w:t>
            </w:r>
            <w:r w:rsidRPr="007F6E9C">
              <w:rPr>
                <w:rFonts w:eastAsia="Times New Roman" w:cs="Calibri"/>
                <w:color w:val="000000"/>
                <w:sz w:val="18"/>
                <w:szCs w:val="18"/>
              </w:rPr>
              <w:t xml:space="preserve">epatocellular carcinoma; LTX: </w:t>
            </w:r>
            <w:r>
              <w:rPr>
                <w:rFonts w:eastAsia="Times New Roman" w:cs="Calibri"/>
                <w:color w:val="000000"/>
                <w:sz w:val="18"/>
                <w:szCs w:val="18"/>
              </w:rPr>
              <w:t>l</w:t>
            </w:r>
            <w:r w:rsidRPr="007F6E9C">
              <w:rPr>
                <w:rFonts w:eastAsia="Times New Roman" w:cs="Calibri"/>
                <w:color w:val="000000"/>
                <w:sz w:val="18"/>
                <w:szCs w:val="18"/>
              </w:rPr>
              <w:t>iver transplantation.</w:t>
            </w:r>
            <w:r>
              <w:rPr>
                <w:rFonts w:eastAsia="Times New Roman" w:cs="Calibri"/>
                <w:color w:val="000000"/>
                <w:sz w:val="18"/>
                <w:szCs w:val="18"/>
              </w:rPr>
              <w:t xml:space="preserve"> SVR: sustained virological response.</w:t>
            </w:r>
          </w:p>
          <w:p w:rsidR="00100D7A" w:rsidRDefault="00100D7A" w:rsidP="001764F9">
            <w:pPr>
              <w:spacing w:after="0"/>
              <w:rPr>
                <w:rFonts w:asciiTheme="majorHAnsi" w:hAnsiTheme="majorHAnsi" w:cs="Calibri"/>
                <w:color w:val="000000"/>
                <w:sz w:val="18"/>
                <w:szCs w:val="18"/>
              </w:rPr>
            </w:pPr>
            <w:r>
              <w:rPr>
                <w:rFonts w:asciiTheme="majorHAnsi" w:eastAsia="Times New Roman" w:hAnsiTheme="majorHAnsi" w:cs="Calibri"/>
                <w:color w:val="000000"/>
                <w:sz w:val="18"/>
                <w:szCs w:val="18"/>
              </w:rPr>
              <w:t>* PSA: probabilistic sensitivity analysis. In gamma (</w:t>
            </w:r>
            <w:r>
              <w:rPr>
                <w:rFonts w:asciiTheme="majorHAnsi" w:hAnsiTheme="majorHAnsi" w:cs="Calibri"/>
                <w:color w:val="000000"/>
                <w:sz w:val="18"/>
                <w:szCs w:val="18"/>
              </w:rPr>
              <w:t>γ</w:t>
            </w:r>
            <w:r>
              <w:rPr>
                <w:rFonts w:asciiTheme="majorHAnsi" w:eastAsia="Times New Roman" w:hAnsiTheme="majorHAnsi" w:cs="Calibri"/>
                <w:color w:val="000000"/>
                <w:sz w:val="18"/>
                <w:szCs w:val="18"/>
              </w:rPr>
              <w:t>) distributions, parameters correspond to mean and standard deviation.</w:t>
            </w:r>
          </w:p>
        </w:tc>
      </w:tr>
    </w:tbl>
    <w:p w:rsidR="00100D7A" w:rsidRDefault="00100D7A" w:rsidP="00100D7A">
      <w:pPr>
        <w:spacing w:line="480" w:lineRule="auto"/>
        <w:jc w:val="both"/>
        <w:rPr>
          <w:lang w:val="en-GB"/>
        </w:rPr>
      </w:pPr>
    </w:p>
    <w:p w:rsidR="00C30E36" w:rsidRDefault="00FF2E5D"/>
    <w:sectPr w:rsidR="00C30E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D7A"/>
    <w:rsid w:val="00095FA4"/>
    <w:rsid w:val="00100D7A"/>
    <w:rsid w:val="001A37FF"/>
    <w:rsid w:val="002771E4"/>
    <w:rsid w:val="004030CB"/>
    <w:rsid w:val="00C20F04"/>
    <w:rsid w:val="00FF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7A"/>
    <w:pPr>
      <w:spacing w:after="120"/>
    </w:pPr>
    <w:rPr>
      <w:rFonts w:ascii="Cambria" w:hAnsi="Cambria"/>
    </w:rPr>
  </w:style>
  <w:style w:type="paragraph" w:styleId="Ttulo1">
    <w:name w:val="heading 1"/>
    <w:basedOn w:val="Normal"/>
    <w:next w:val="Normal"/>
    <w:link w:val="Ttulo1Car"/>
    <w:uiPriority w:val="1"/>
    <w:qFormat/>
    <w:rsid w:val="001A37FF"/>
    <w:pPr>
      <w:keepNext/>
      <w:spacing w:before="480" w:after="0" w:line="240" w:lineRule="auto"/>
      <w:outlineLvl w:val="0"/>
    </w:pPr>
    <w:rPr>
      <w:rFonts w:ascii="Garamond" w:eastAsia="Times New Roman" w:hAnsi="Garamond" w:cs="Times New Roman"/>
      <w:b/>
      <w:kern w:val="28"/>
      <w:sz w:val="28"/>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1A37FF"/>
    <w:rPr>
      <w:rFonts w:ascii="Garamond" w:eastAsia="Times New Roman" w:hAnsi="Garamond" w:cs="Times New Roman"/>
      <w:b/>
      <w:kern w:val="28"/>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7A"/>
    <w:pPr>
      <w:spacing w:after="120"/>
    </w:pPr>
    <w:rPr>
      <w:rFonts w:ascii="Cambria" w:hAnsi="Cambria"/>
    </w:rPr>
  </w:style>
  <w:style w:type="paragraph" w:styleId="Ttulo1">
    <w:name w:val="heading 1"/>
    <w:basedOn w:val="Normal"/>
    <w:next w:val="Normal"/>
    <w:link w:val="Ttulo1Car"/>
    <w:uiPriority w:val="1"/>
    <w:qFormat/>
    <w:rsid w:val="001A37FF"/>
    <w:pPr>
      <w:keepNext/>
      <w:spacing w:before="480" w:after="0" w:line="240" w:lineRule="auto"/>
      <w:outlineLvl w:val="0"/>
    </w:pPr>
    <w:rPr>
      <w:rFonts w:ascii="Garamond" w:eastAsia="Times New Roman" w:hAnsi="Garamond" w:cs="Times New Roman"/>
      <w:b/>
      <w:kern w:val="28"/>
      <w:sz w:val="28"/>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1A37FF"/>
    <w:rPr>
      <w:rFonts w:ascii="Garamond" w:eastAsia="Times New Roman" w:hAnsi="Garamond" w:cs="Times New Roman"/>
      <w:b/>
      <w:kern w:val="28"/>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9535</Words>
  <Characters>54351</Characters>
  <Application>Microsoft Office Word</Application>
  <DocSecurity>0</DocSecurity>
  <Lines>452</Lines>
  <Paragraphs>127</Paragraphs>
  <ScaleCrop>false</ScaleCrop>
  <Company>HP</Company>
  <LinksUpToDate>false</LinksUpToDate>
  <CharactersWithSpaces>63759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SOTO, MARCELO (FUN.CLI.)</dc:creator>
  <cp:lastModifiedBy>SOTO, MARCELO (FUN.CLI.)</cp:lastModifiedBy>
  <cp:revision>4</cp:revision>
  <dcterms:created xsi:type="dcterms:W3CDTF">2016-02-16T14:24:00Z</dcterms:created>
  <dcterms:modified xsi:type="dcterms:W3CDTF">2016-08-30T15:36:00Z</dcterms:modified>
</cp:coreProperties>
</file>