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28" w:rsidRPr="00AD3FC6" w:rsidRDefault="00342728" w:rsidP="00AD3FC6">
      <w:pPr>
        <w:adjustRightInd w:val="0"/>
        <w:snapToGrid w:val="0"/>
        <w:spacing w:line="360" w:lineRule="auto"/>
        <w:jc w:val="both"/>
        <w:rPr>
          <w:rFonts w:ascii="Book Antiqua" w:eastAsia="BatangChe" w:hAnsi="Book Antiqua"/>
          <w:i/>
        </w:rPr>
      </w:pPr>
      <w:r w:rsidRPr="00AD3FC6">
        <w:rPr>
          <w:rFonts w:ascii="Book Antiqua" w:eastAsia="BatangChe" w:hAnsi="Book Antiqua"/>
          <w:b/>
        </w:rPr>
        <w:t xml:space="preserve">Name of journal: </w:t>
      </w:r>
      <w:r w:rsidRPr="00E05E65">
        <w:rPr>
          <w:rFonts w:ascii="Book Antiqua" w:eastAsia="BatangChe" w:hAnsi="Book Antiqua"/>
          <w:i/>
        </w:rPr>
        <w:t>World Journal of Diabetes</w:t>
      </w:r>
    </w:p>
    <w:p w:rsidR="00342728" w:rsidRPr="00AD3FC6" w:rsidRDefault="00342728" w:rsidP="00AD3FC6">
      <w:pPr>
        <w:adjustRightInd w:val="0"/>
        <w:snapToGrid w:val="0"/>
        <w:spacing w:line="360" w:lineRule="auto"/>
        <w:jc w:val="both"/>
        <w:rPr>
          <w:rFonts w:ascii="Book Antiqua" w:hAnsi="Book Antiqua"/>
          <w:b/>
          <w:lang w:eastAsia="zh-CN"/>
        </w:rPr>
      </w:pPr>
      <w:r w:rsidRPr="00AD3FC6">
        <w:rPr>
          <w:rFonts w:ascii="Book Antiqua" w:eastAsia="BatangChe" w:hAnsi="Book Antiqua"/>
          <w:b/>
        </w:rPr>
        <w:t>ESPS Manuscript NO:</w:t>
      </w:r>
      <w:r>
        <w:rPr>
          <w:rFonts w:ascii="Book Antiqua" w:hAnsi="Book Antiqua"/>
          <w:b/>
          <w:lang w:eastAsia="zh-CN"/>
        </w:rPr>
        <w:t xml:space="preserve"> </w:t>
      </w:r>
      <w:r w:rsidRPr="00AD3FC6">
        <w:rPr>
          <w:rFonts w:ascii="Book Antiqua" w:hAnsi="Book Antiqua"/>
          <w:b/>
        </w:rPr>
        <w:t>3</w:t>
      </w:r>
      <w:r w:rsidRPr="00AD3FC6">
        <w:rPr>
          <w:rFonts w:ascii="Book Antiqua" w:hAnsi="Book Antiqua"/>
          <w:b/>
          <w:lang w:eastAsia="zh-CN"/>
        </w:rPr>
        <w:t>135</w:t>
      </w:r>
    </w:p>
    <w:p w:rsidR="00342728" w:rsidRDefault="00342728" w:rsidP="00AD3FC6">
      <w:pPr>
        <w:spacing w:line="360" w:lineRule="auto"/>
        <w:jc w:val="both"/>
        <w:rPr>
          <w:rFonts w:ascii="Book Antiqua" w:hAnsi="Book Antiqua"/>
          <w:b/>
          <w:color w:val="000000"/>
          <w:lang w:eastAsia="zh-CN"/>
        </w:rPr>
      </w:pPr>
      <w:r w:rsidRPr="00AD3FC6">
        <w:rPr>
          <w:rFonts w:ascii="Book Antiqua" w:eastAsia="BatangChe" w:hAnsi="Book Antiqua"/>
          <w:b/>
        </w:rPr>
        <w:t>Columns:</w:t>
      </w:r>
      <w:r w:rsidRPr="00E05E65">
        <w:rPr>
          <w:rFonts w:ascii="Book Antiqua" w:hAnsi="Book Antiqua"/>
          <w:b/>
          <w:lang w:eastAsia="zh-CN"/>
        </w:rPr>
        <w:t xml:space="preserve"> </w:t>
      </w:r>
      <w:r w:rsidRPr="009555F6">
        <w:rPr>
          <w:rFonts w:ascii="Book Antiqua" w:hAnsi="Book Antiqua"/>
          <w:b/>
          <w:color w:val="000000"/>
          <w:lang w:eastAsia="zh-CN"/>
        </w:rPr>
        <w:t>FIELD OF VISION</w:t>
      </w:r>
    </w:p>
    <w:p w:rsidR="00342728" w:rsidRPr="00AD3FC6" w:rsidRDefault="00342728" w:rsidP="00AD3FC6">
      <w:pPr>
        <w:spacing w:line="360" w:lineRule="auto"/>
        <w:jc w:val="both"/>
        <w:rPr>
          <w:rFonts w:ascii="Book Antiqua" w:hAnsi="Book Antiqua"/>
          <w:b/>
          <w:lang w:eastAsia="zh-CN"/>
        </w:rPr>
      </w:pPr>
    </w:p>
    <w:p w:rsidR="00342728" w:rsidRPr="00AD3FC6" w:rsidRDefault="00342728" w:rsidP="00AD3FC6">
      <w:pPr>
        <w:spacing w:line="360" w:lineRule="auto"/>
        <w:jc w:val="both"/>
        <w:rPr>
          <w:rFonts w:ascii="Book Antiqua" w:hAnsi="Book Antiqua" w:cs="Arial"/>
          <w:b/>
        </w:rPr>
      </w:pPr>
      <w:r w:rsidRPr="00AD3FC6">
        <w:rPr>
          <w:rFonts w:ascii="Book Antiqua" w:hAnsi="Book Antiqua" w:cs="Arial"/>
          <w:b/>
          <w:bCs/>
        </w:rPr>
        <w:t>Status of autoimmune diabetes</w:t>
      </w:r>
      <w:r w:rsidRPr="00AD3FC6">
        <w:rPr>
          <w:rFonts w:ascii="Book Antiqua" w:hAnsi="Book Antiqua" w:cs="Arial"/>
          <w:b/>
        </w:rPr>
        <w:t xml:space="preserve"> 20-years after generation of BDC2.5-TCR transgenic non-obese diabetic</w:t>
      </w:r>
      <w:r w:rsidRPr="00AD3FC6">
        <w:rPr>
          <w:rFonts w:ascii="Book Antiqua" w:hAnsi="Book Antiqua" w:cs="Arial"/>
          <w:b/>
          <w:lang w:eastAsia="zh-CN"/>
        </w:rPr>
        <w:t xml:space="preserve"> </w:t>
      </w:r>
      <w:r w:rsidRPr="00AD3FC6">
        <w:rPr>
          <w:rFonts w:ascii="Book Antiqua" w:hAnsi="Book Antiqua" w:cs="Arial"/>
          <w:b/>
        </w:rPr>
        <w:t>mouse</w:t>
      </w:r>
    </w:p>
    <w:p w:rsidR="00342728" w:rsidRPr="00AD3FC6" w:rsidRDefault="00342728" w:rsidP="00AD3FC6">
      <w:pPr>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cs="Arial"/>
        </w:rPr>
      </w:pPr>
      <w:r w:rsidRPr="00AD3FC6">
        <w:rPr>
          <w:rFonts w:ascii="Book Antiqua" w:hAnsi="Book Antiqua" w:cs="Arial"/>
        </w:rPr>
        <w:t xml:space="preserve">Ramirez </w:t>
      </w:r>
      <w:r w:rsidRPr="00AD3FC6">
        <w:rPr>
          <w:rFonts w:ascii="Book Antiqua" w:hAnsi="Book Antiqua" w:cs="Arial"/>
          <w:lang w:eastAsia="zh-CN"/>
        </w:rPr>
        <w:t>L</w:t>
      </w:r>
      <w:r w:rsidRPr="00AD3FC6">
        <w:rPr>
          <w:rFonts w:ascii="Book Antiqua" w:hAnsi="Book Antiqua" w:cs="Arial"/>
          <w:i/>
          <w:lang w:eastAsia="zh-CN"/>
        </w:rPr>
        <w:t xml:space="preserve"> et al</w:t>
      </w:r>
      <w:r w:rsidRPr="00AD3FC6">
        <w:rPr>
          <w:rFonts w:ascii="Book Antiqua" w:hAnsi="Book Antiqua" w:cs="Arial"/>
          <w:lang w:eastAsia="zh-CN"/>
        </w:rPr>
        <w:t xml:space="preserve">. </w:t>
      </w:r>
      <w:r w:rsidRPr="00AD3FC6">
        <w:rPr>
          <w:rFonts w:ascii="Book Antiqua" w:hAnsi="Book Antiqua" w:cs="Arial"/>
        </w:rPr>
        <w:t>Lessons from BDC2.5 TCR-Transgenic NOD mouse</w:t>
      </w:r>
    </w:p>
    <w:p w:rsidR="00342728" w:rsidRPr="00AD3FC6" w:rsidRDefault="00342728" w:rsidP="00AD3FC6">
      <w:pPr>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cs="Arial"/>
        </w:rPr>
      </w:pPr>
      <w:smartTag w:uri="urn:schemas-microsoft-com:office:smarttags" w:element="place">
        <w:smartTag w:uri="urn:schemas-microsoft-com:office:smarttags" w:element="City">
          <w:r w:rsidRPr="00AD3FC6">
            <w:rPr>
              <w:rFonts w:ascii="Book Antiqua" w:hAnsi="Book Antiqua" w:cs="Arial"/>
            </w:rPr>
            <w:t>Lourdes</w:t>
          </w:r>
        </w:smartTag>
      </w:smartTag>
      <w:r w:rsidRPr="00AD3FC6">
        <w:rPr>
          <w:rFonts w:ascii="Book Antiqua" w:hAnsi="Book Antiqua" w:cs="Arial"/>
        </w:rPr>
        <w:t xml:space="preserve"> Ramirez</w:t>
      </w:r>
      <w:r w:rsidRPr="00AD3FC6">
        <w:rPr>
          <w:rFonts w:ascii="Book Antiqua" w:hAnsi="Book Antiqua" w:cs="Arial"/>
          <w:lang w:eastAsia="zh-CN"/>
        </w:rPr>
        <w:t xml:space="preserve">, </w:t>
      </w:r>
      <w:r w:rsidRPr="00AD3FC6">
        <w:rPr>
          <w:rFonts w:ascii="Book Antiqua" w:hAnsi="Book Antiqua" w:cs="Arial"/>
        </w:rPr>
        <w:t>Abdel Rahim AR Hamad</w:t>
      </w:r>
    </w:p>
    <w:p w:rsidR="00342728" w:rsidRPr="00AD3FC6" w:rsidRDefault="00342728" w:rsidP="00AD3FC6">
      <w:pPr>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cs="Arial"/>
          <w:lang w:eastAsia="zh-CN"/>
        </w:rPr>
      </w:pPr>
      <w:r w:rsidRPr="00AD3FC6">
        <w:rPr>
          <w:rFonts w:ascii="Book Antiqua" w:hAnsi="Book Antiqua" w:cs="Arial"/>
        </w:rPr>
        <w:t>Lourdes Ramirez</w:t>
      </w:r>
      <w:r w:rsidRPr="00AD3FC6">
        <w:rPr>
          <w:rFonts w:ascii="Book Antiqua" w:hAnsi="Book Antiqua" w:cs="Arial"/>
          <w:lang w:eastAsia="zh-CN"/>
        </w:rPr>
        <w:t xml:space="preserve">, </w:t>
      </w:r>
      <w:r w:rsidRPr="00AD3FC6">
        <w:rPr>
          <w:rFonts w:ascii="Book Antiqua" w:hAnsi="Book Antiqua" w:cs="Arial"/>
        </w:rPr>
        <w:t>Abdel Rahim AR Hamad</w:t>
      </w:r>
      <w:r w:rsidRPr="00AD3FC6">
        <w:rPr>
          <w:rFonts w:ascii="Book Antiqua" w:hAnsi="Book Antiqua" w:cs="Arial"/>
          <w:lang w:eastAsia="zh-CN"/>
        </w:rPr>
        <w:t xml:space="preserve">, </w:t>
      </w:r>
      <w:r w:rsidRPr="00AD3FC6">
        <w:rPr>
          <w:rFonts w:ascii="Book Antiqua" w:hAnsi="Book Antiqua" w:cs="Arial"/>
        </w:rPr>
        <w:t xml:space="preserve">Department of Pathology, Johns Hopkins University School of Medicine, Ross </w:t>
      </w:r>
      <w:smartTag w:uri="urn:schemas-microsoft-com:office:smarttags" w:element="chmetcnv">
        <w:smartTagPr>
          <w:attr w:name="UnitName" w:val="a"/>
          <w:attr w:name="SourceValue" w:val="373441"/>
          <w:attr w:name="HasSpace" w:val="False"/>
          <w:attr w:name="Negative" w:val="False"/>
          <w:attr w:name="NumberType" w:val="1"/>
          <w:attr w:name="TCSC" w:val="0"/>
        </w:smartTagPr>
        <w:r w:rsidRPr="00AD3FC6">
          <w:rPr>
            <w:rFonts w:ascii="Book Antiqua" w:hAnsi="Book Antiqua" w:cs="Arial"/>
          </w:rPr>
          <w:t>664G</w:t>
        </w:r>
      </w:smartTag>
      <w:r w:rsidRPr="00AD3FC6">
        <w:rPr>
          <w:rFonts w:ascii="Book Antiqua" w:hAnsi="Book Antiqua" w:cs="Arial"/>
        </w:rPr>
        <w:t>, 720 Rutland Ave, Baltimore, MD 21205</w:t>
      </w:r>
      <w:r w:rsidRPr="00AD3FC6">
        <w:rPr>
          <w:rFonts w:ascii="Book Antiqua" w:hAnsi="Book Antiqua" w:cs="Arial"/>
          <w:lang w:eastAsia="zh-CN"/>
        </w:rPr>
        <w:t>, United States</w:t>
      </w:r>
    </w:p>
    <w:p w:rsidR="00342728" w:rsidRPr="00AD3FC6" w:rsidRDefault="00342728" w:rsidP="00AD3FC6">
      <w:pPr>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b/>
          <w:lang w:eastAsia="zh-CN"/>
        </w:rPr>
      </w:pPr>
      <w:r w:rsidRPr="00AD3FC6">
        <w:rPr>
          <w:rFonts w:ascii="Book Antiqua" w:hAnsi="Book Antiqua"/>
          <w:b/>
        </w:rPr>
        <w:t>Supported by</w:t>
      </w:r>
      <w:r w:rsidRPr="00AD3FC6">
        <w:rPr>
          <w:rFonts w:ascii="Book Antiqua" w:hAnsi="Book Antiqua"/>
          <w:b/>
          <w:lang w:eastAsia="zh-CN"/>
        </w:rPr>
        <w:t xml:space="preserve"> </w:t>
      </w:r>
      <w:r w:rsidRPr="00AD3FC6">
        <w:rPr>
          <w:rFonts w:ascii="Book Antiqua" w:hAnsi="Book Antiqua"/>
        </w:rPr>
        <w:t>The NIH (1R56AI099027 and 1R01AI099027-01) and American Heart Association (10GRNT4200003)</w:t>
      </w:r>
    </w:p>
    <w:p w:rsidR="00342728" w:rsidRPr="00AD3FC6" w:rsidRDefault="00342728" w:rsidP="00AD3FC6">
      <w:pPr>
        <w:spacing w:line="360" w:lineRule="auto"/>
        <w:jc w:val="both"/>
        <w:rPr>
          <w:rFonts w:ascii="Book Antiqua" w:hAnsi="Book Antiqua" w:cs="Arial"/>
          <w:lang w:eastAsia="zh-CN"/>
        </w:rPr>
      </w:pPr>
    </w:p>
    <w:p w:rsidR="00342728" w:rsidRPr="00AD3FC6" w:rsidRDefault="00342728" w:rsidP="00AD3FC6">
      <w:pPr>
        <w:spacing w:line="360" w:lineRule="auto"/>
        <w:jc w:val="both"/>
        <w:rPr>
          <w:rFonts w:ascii="Book Antiqua" w:hAnsi="Book Antiqua" w:cs="Arial"/>
          <w:lang w:eastAsia="zh-CN"/>
        </w:rPr>
      </w:pPr>
      <w:r w:rsidRPr="00AD3FC6">
        <w:rPr>
          <w:rFonts w:ascii="Book Antiqua" w:hAnsi="Book Antiqua"/>
          <w:b/>
        </w:rPr>
        <w:t>Author contributions:</w:t>
      </w:r>
      <w:r w:rsidRPr="00AD3FC6">
        <w:rPr>
          <w:rFonts w:ascii="Book Antiqua" w:hAnsi="Book Antiqua"/>
          <w:b/>
          <w:lang w:eastAsia="zh-CN"/>
        </w:rPr>
        <w:t xml:space="preserve"> </w:t>
      </w:r>
      <w:r w:rsidRPr="00AD3FC6">
        <w:rPr>
          <w:rFonts w:ascii="Book Antiqua" w:hAnsi="Book Antiqua"/>
          <w:lang w:eastAsia="zh-CN"/>
        </w:rPr>
        <w:t>Both authors</w:t>
      </w:r>
      <w:r w:rsidRPr="00AD3FC6">
        <w:rPr>
          <w:rFonts w:ascii="Book Antiqua" w:hAnsi="Book Antiqua" w:cs="Tahoma"/>
          <w:color w:val="000000"/>
          <w:spacing w:val="-5"/>
        </w:rPr>
        <w:t xml:space="preserve"> contributed to this paper</w:t>
      </w:r>
      <w:r w:rsidRPr="00AD3FC6">
        <w:rPr>
          <w:rFonts w:ascii="Book Antiqua" w:hAnsi="Book Antiqua" w:cs="Tahoma"/>
          <w:color w:val="000000"/>
          <w:spacing w:val="-5"/>
          <w:lang w:eastAsia="zh-CN"/>
        </w:rPr>
        <w:t>.</w:t>
      </w:r>
    </w:p>
    <w:p w:rsidR="00342728" w:rsidRPr="00AD3FC6" w:rsidRDefault="00342728" w:rsidP="00AD3FC6">
      <w:pPr>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cs="Arial"/>
          <w:lang w:eastAsia="zh-CN"/>
        </w:rPr>
      </w:pPr>
      <w:r w:rsidRPr="00F9758A">
        <w:rPr>
          <w:rFonts w:ascii="Book Antiqua" w:hAnsi="Book Antiqua"/>
          <w:b/>
        </w:rPr>
        <w:t>Correspondence to:</w:t>
      </w:r>
      <w:r w:rsidRPr="00F9758A">
        <w:rPr>
          <w:rFonts w:ascii="Book Antiqua" w:hAnsi="Book Antiqua" w:cs="Arial"/>
          <w:b/>
        </w:rPr>
        <w:t xml:space="preserve"> Abdel Rahim AR Hamad</w:t>
      </w:r>
      <w:r w:rsidRPr="00F9758A">
        <w:rPr>
          <w:rFonts w:ascii="Book Antiqua" w:hAnsi="Book Antiqua" w:cs="Arial"/>
          <w:b/>
          <w:lang w:eastAsia="zh-CN"/>
        </w:rPr>
        <w:t>,</w:t>
      </w:r>
      <w:r w:rsidRPr="00F9758A">
        <w:rPr>
          <w:rFonts w:ascii="Book Antiqua" w:hAnsi="Book Antiqua" w:cs="Arial"/>
          <w:lang w:eastAsia="zh-CN"/>
        </w:rPr>
        <w:t xml:space="preserve"> </w:t>
      </w:r>
      <w:r w:rsidRPr="00205705">
        <w:rPr>
          <w:rFonts w:ascii="Book Antiqua" w:hAnsi="Book Antiqua" w:cs="Arial"/>
          <w:b/>
        </w:rPr>
        <w:t xml:space="preserve"> Assistant Professor</w:t>
      </w:r>
      <w:r w:rsidRPr="00205705">
        <w:rPr>
          <w:rFonts w:ascii="Book Antiqua" w:hAnsi="Book Antiqua" w:cs="Arial"/>
          <w:b/>
          <w:lang w:eastAsia="zh-CN"/>
        </w:rPr>
        <w:t>,</w:t>
      </w:r>
      <w:r w:rsidRPr="00D20181">
        <w:rPr>
          <w:rFonts w:ascii="Book Antiqua" w:hAnsi="Book Antiqua" w:cs="Arial"/>
        </w:rPr>
        <w:t xml:space="preserve"> </w:t>
      </w:r>
      <w:r w:rsidRPr="00AD3FC6">
        <w:rPr>
          <w:rFonts w:ascii="Book Antiqua" w:hAnsi="Book Antiqua" w:cs="Arial"/>
        </w:rPr>
        <w:t xml:space="preserve">Department of Pathology, Johns Hopkins University School of Medicine, Ross </w:t>
      </w:r>
      <w:smartTag w:uri="urn:schemas-microsoft-com:office:smarttags" w:element="chmetcnv">
        <w:smartTagPr>
          <w:attr w:name="UnitName" w:val="a"/>
          <w:attr w:name="SourceValue" w:val="373441"/>
          <w:attr w:name="HasSpace" w:val="False"/>
          <w:attr w:name="Negative" w:val="False"/>
          <w:attr w:name="NumberType" w:val="1"/>
          <w:attr w:name="TCSC" w:val="0"/>
        </w:smartTagPr>
        <w:r w:rsidRPr="00AD3FC6">
          <w:rPr>
            <w:rFonts w:ascii="Book Antiqua" w:hAnsi="Book Antiqua" w:cs="Arial"/>
          </w:rPr>
          <w:t>664G</w:t>
        </w:r>
      </w:smartTag>
      <w:r w:rsidRPr="00AD3FC6">
        <w:rPr>
          <w:rFonts w:ascii="Book Antiqua" w:hAnsi="Book Antiqua" w:cs="Arial"/>
        </w:rPr>
        <w:t>, 720 Rutland Ave, Baltimore, MD 21205</w:t>
      </w:r>
      <w:r w:rsidRPr="00AD3FC6">
        <w:rPr>
          <w:rFonts w:ascii="Book Antiqua" w:hAnsi="Book Antiqua" w:cs="Arial"/>
          <w:lang w:eastAsia="zh-CN"/>
        </w:rPr>
        <w:t xml:space="preserve">, United States. </w:t>
      </w:r>
      <w:hyperlink r:id="rId7" w:history="1">
        <w:r w:rsidRPr="00AD3FC6">
          <w:rPr>
            <w:rStyle w:val="a7"/>
            <w:rFonts w:ascii="Book Antiqua" w:hAnsi="Book Antiqua" w:cs="Arial"/>
          </w:rPr>
          <w:t>ahamad@jhmi.edu</w:t>
        </w:r>
      </w:hyperlink>
    </w:p>
    <w:p w:rsidR="00342728" w:rsidRPr="00AD3FC6" w:rsidRDefault="00342728" w:rsidP="00AD3FC6">
      <w:pPr>
        <w:spacing w:line="360" w:lineRule="auto"/>
        <w:jc w:val="both"/>
        <w:rPr>
          <w:rFonts w:ascii="Book Antiqua" w:hAnsi="Book Antiqua" w:cs="Arial"/>
          <w:lang w:eastAsia="zh-CN"/>
        </w:rPr>
      </w:pPr>
    </w:p>
    <w:p w:rsidR="00342728" w:rsidRPr="00AD3FC6" w:rsidRDefault="00342728" w:rsidP="00AD3FC6">
      <w:pPr>
        <w:spacing w:line="360" w:lineRule="auto"/>
        <w:jc w:val="both"/>
        <w:rPr>
          <w:rFonts w:ascii="Book Antiqua" w:hAnsi="Book Antiqua"/>
          <w:b/>
        </w:rPr>
      </w:pPr>
      <w:r w:rsidRPr="00AD3FC6">
        <w:rPr>
          <w:rFonts w:ascii="Book Antiqua" w:hAnsi="Book Antiqua"/>
          <w:b/>
        </w:rPr>
        <w:t>Telephone:</w:t>
      </w:r>
      <w:r w:rsidRPr="00AD3FC6">
        <w:rPr>
          <w:rFonts w:ascii="Book Antiqua" w:hAnsi="Book Antiqua"/>
          <w:b/>
          <w:lang w:eastAsia="zh-CN"/>
        </w:rPr>
        <w:t xml:space="preserve"> </w:t>
      </w:r>
      <w:r w:rsidRPr="00AD3FC6">
        <w:rPr>
          <w:rFonts w:ascii="Book Antiqua" w:hAnsi="Book Antiqua"/>
          <w:lang w:eastAsia="zh-CN"/>
        </w:rPr>
        <w:t>+1-</w:t>
      </w:r>
      <w:r w:rsidRPr="00AD3FC6">
        <w:rPr>
          <w:rFonts w:ascii="Book Antiqua" w:hAnsi="Book Antiqua" w:cs="Arial"/>
        </w:rPr>
        <w:t xml:space="preserve"> 410-6143021 </w:t>
      </w:r>
      <w:r w:rsidRPr="00AD3FC6">
        <w:rPr>
          <w:rFonts w:ascii="Book Antiqua" w:hAnsi="Book Antiqua" w:cs="Arial"/>
          <w:b/>
          <w:color w:val="000000"/>
          <w:lang w:val="fr-FR"/>
        </w:rPr>
        <w:t>Fax</w:t>
      </w:r>
      <w:r w:rsidRPr="00AD3FC6">
        <w:rPr>
          <w:rFonts w:ascii="Book Antiqua" w:hAnsi="Book Antiqua"/>
          <w:b/>
        </w:rPr>
        <w:t>:</w:t>
      </w:r>
      <w:r w:rsidRPr="00AD3FC6">
        <w:rPr>
          <w:rFonts w:ascii="Book Antiqua" w:hAnsi="Book Antiqua"/>
          <w:b/>
          <w:lang w:eastAsia="zh-CN"/>
        </w:rPr>
        <w:t xml:space="preserve"> </w:t>
      </w:r>
      <w:r w:rsidRPr="00AD3FC6">
        <w:rPr>
          <w:rFonts w:ascii="Book Antiqua" w:hAnsi="Book Antiqua"/>
          <w:lang w:eastAsia="zh-CN"/>
        </w:rPr>
        <w:t>+1-</w:t>
      </w:r>
      <w:r w:rsidRPr="00AD3FC6">
        <w:rPr>
          <w:rFonts w:ascii="Book Antiqua" w:hAnsi="Book Antiqua" w:cs="Arial"/>
        </w:rPr>
        <w:t xml:space="preserve"> 410-6143548</w:t>
      </w:r>
    </w:p>
    <w:p w:rsidR="00342728" w:rsidRPr="00AD3FC6" w:rsidRDefault="00342728" w:rsidP="00AD3FC6">
      <w:pPr>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lang w:eastAsia="zh-CN"/>
        </w:rPr>
      </w:pPr>
      <w:r w:rsidRPr="00AD3FC6">
        <w:rPr>
          <w:rFonts w:ascii="Book Antiqua" w:hAnsi="Book Antiqua"/>
          <w:b/>
        </w:rPr>
        <w:t>Received:</w:t>
      </w:r>
      <w:r w:rsidRPr="00AD3FC6">
        <w:rPr>
          <w:rFonts w:ascii="Book Antiqua" w:hAnsi="Book Antiqua"/>
          <w:lang w:eastAsia="zh-CN"/>
        </w:rPr>
        <w:t xml:space="preserve"> April 9, 2013</w:t>
      </w:r>
      <w:r w:rsidRPr="00AD3FC6">
        <w:rPr>
          <w:rFonts w:ascii="Book Antiqua" w:hAnsi="Book Antiqua"/>
        </w:rPr>
        <w:t xml:space="preserve">   </w:t>
      </w:r>
      <w:r w:rsidRPr="00AD3FC6">
        <w:rPr>
          <w:rFonts w:ascii="Book Antiqua" w:hAnsi="Book Antiqua"/>
          <w:b/>
        </w:rPr>
        <w:t>Revised:</w:t>
      </w:r>
      <w:r w:rsidRPr="00AD3FC6">
        <w:rPr>
          <w:rFonts w:ascii="Book Antiqua" w:hAnsi="Book Antiqua"/>
        </w:rPr>
        <w:t xml:space="preserve">  </w:t>
      </w:r>
      <w:r w:rsidRPr="00AD3FC6">
        <w:rPr>
          <w:rFonts w:ascii="Book Antiqua" w:hAnsi="Book Antiqua"/>
          <w:lang w:eastAsia="zh-CN"/>
        </w:rPr>
        <w:t>May 22, 2013</w:t>
      </w:r>
    </w:p>
    <w:p w:rsidR="006A7EB4" w:rsidRPr="002A1266" w:rsidRDefault="00342728" w:rsidP="006A7EB4">
      <w:r w:rsidRPr="00AD3FC6">
        <w:rPr>
          <w:rFonts w:ascii="Book Antiqua" w:hAnsi="Book Antiqua"/>
          <w:b/>
        </w:rPr>
        <w:t xml:space="preserve">Accepted: </w:t>
      </w:r>
      <w:r w:rsidR="006A7EB4" w:rsidRPr="002A1266">
        <w:t>June 8, 2013</w:t>
      </w:r>
    </w:p>
    <w:p w:rsidR="00342728" w:rsidRPr="00AD3FC6" w:rsidRDefault="00342728" w:rsidP="00AD3FC6">
      <w:pPr>
        <w:spacing w:line="360" w:lineRule="auto"/>
        <w:jc w:val="both"/>
        <w:rPr>
          <w:rFonts w:ascii="Book Antiqua" w:hAnsi="Book Antiqua"/>
          <w:b/>
        </w:rPr>
      </w:pPr>
      <w:bookmarkStart w:id="0" w:name="_GoBack"/>
      <w:bookmarkEnd w:id="0"/>
      <w:r w:rsidRPr="00AD3FC6">
        <w:rPr>
          <w:rFonts w:ascii="Book Antiqua" w:hAnsi="Book Antiqua"/>
          <w:b/>
        </w:rPr>
        <w:t xml:space="preserve"> </w:t>
      </w:r>
    </w:p>
    <w:p w:rsidR="00342728" w:rsidRPr="00AD3FC6" w:rsidRDefault="00342728" w:rsidP="00AD3FC6">
      <w:pPr>
        <w:spacing w:line="360" w:lineRule="auto"/>
        <w:jc w:val="both"/>
        <w:rPr>
          <w:rFonts w:ascii="Book Antiqua" w:hAnsi="Book Antiqua"/>
          <w:b/>
        </w:rPr>
      </w:pPr>
      <w:r w:rsidRPr="00AD3FC6">
        <w:rPr>
          <w:rFonts w:ascii="Book Antiqua" w:hAnsi="Book Antiqua"/>
          <w:b/>
        </w:rPr>
        <w:t xml:space="preserve">Published online: </w:t>
      </w:r>
    </w:p>
    <w:p w:rsidR="00342728" w:rsidRPr="00AD3FC6" w:rsidRDefault="00342728" w:rsidP="00AD3FC6">
      <w:pPr>
        <w:spacing w:line="360" w:lineRule="auto"/>
        <w:jc w:val="both"/>
        <w:rPr>
          <w:rFonts w:ascii="Book Antiqua" w:hAnsi="Book Antiqua" w:cs="Arial"/>
          <w:lang w:eastAsia="zh-CN"/>
        </w:rPr>
      </w:pPr>
    </w:p>
    <w:p w:rsidR="00342728" w:rsidRDefault="00342728" w:rsidP="00AD3FC6">
      <w:pPr>
        <w:spacing w:line="360" w:lineRule="auto"/>
        <w:jc w:val="both"/>
        <w:rPr>
          <w:rFonts w:ascii="Book Antiqua" w:hAnsi="Book Antiqua" w:cs="Arial"/>
          <w:b/>
          <w:lang w:eastAsia="zh-CN"/>
        </w:rPr>
      </w:pPr>
    </w:p>
    <w:p w:rsidR="00342728" w:rsidRDefault="00342728" w:rsidP="00AD3FC6">
      <w:pPr>
        <w:spacing w:line="360" w:lineRule="auto"/>
        <w:jc w:val="both"/>
        <w:rPr>
          <w:rFonts w:ascii="Book Antiqua" w:hAnsi="Book Antiqua" w:cs="Arial"/>
          <w:b/>
          <w:lang w:eastAsia="zh-CN"/>
        </w:rPr>
      </w:pPr>
    </w:p>
    <w:p w:rsidR="00342728" w:rsidRPr="00AD3FC6" w:rsidRDefault="00342728" w:rsidP="00AD3FC6">
      <w:pPr>
        <w:spacing w:line="360" w:lineRule="auto"/>
        <w:jc w:val="both"/>
        <w:rPr>
          <w:rFonts w:ascii="Book Antiqua" w:hAnsi="Book Antiqua" w:cs="Arial"/>
          <w:b/>
        </w:rPr>
      </w:pPr>
      <w:r w:rsidRPr="00AD3FC6">
        <w:rPr>
          <w:rFonts w:ascii="Book Antiqua" w:hAnsi="Book Antiqua" w:cs="Arial"/>
          <w:b/>
        </w:rPr>
        <w:t>Abstract</w:t>
      </w:r>
    </w:p>
    <w:p w:rsidR="00342728" w:rsidRPr="00AD3FC6" w:rsidRDefault="00342728" w:rsidP="00AD3FC6">
      <w:pPr>
        <w:autoSpaceDE w:val="0"/>
        <w:autoSpaceDN w:val="0"/>
        <w:adjustRightInd w:val="0"/>
        <w:spacing w:line="360" w:lineRule="auto"/>
        <w:jc w:val="both"/>
        <w:rPr>
          <w:rFonts w:ascii="Book Antiqua" w:hAnsi="Book Antiqua" w:cs="Arial"/>
        </w:rPr>
      </w:pPr>
      <w:r w:rsidRPr="00AD3FC6">
        <w:rPr>
          <w:rFonts w:ascii="Book Antiqua" w:hAnsi="Book Antiqua" w:cs="Arial"/>
        </w:rPr>
        <w:t xml:space="preserve">Type 1 diabetes (T1D) is an autoimmune disease that results from the destruction of insulin-producing β cells by autoreactive T cells, leading to </w:t>
      </w:r>
      <w:r w:rsidRPr="00AD3FC6">
        <w:rPr>
          <w:rFonts w:ascii="Book Antiqua" w:hAnsi="Book Antiqua" w:cs="Arial"/>
          <w:shd w:val="clear" w:color="auto" w:fill="FFFFFF"/>
        </w:rPr>
        <w:t>lifelong dependency on insulin therapy and increased risk of long-term cardiovascular complications</w:t>
      </w:r>
      <w:r w:rsidRPr="00AD3FC6">
        <w:rPr>
          <w:rFonts w:ascii="Book Antiqua" w:hAnsi="Book Antiqua" w:cs="Arial"/>
        </w:rPr>
        <w:t>. Here we take the opportunity of the 20</w:t>
      </w:r>
      <w:r w:rsidRPr="00AD3FC6">
        <w:rPr>
          <w:rFonts w:ascii="Book Antiqua" w:hAnsi="Book Antiqua" w:cs="Arial"/>
          <w:vertAlign w:val="superscript"/>
        </w:rPr>
        <w:t>th</w:t>
      </w:r>
      <w:r w:rsidRPr="00AD3FC6">
        <w:rPr>
          <w:rFonts w:ascii="Book Antiqua" w:hAnsi="Book Antiqua" w:cs="Arial"/>
        </w:rPr>
        <w:t xml:space="preserve"> anniversary of the generation of the BDC2.5 TCR transgenic non-obese diabetic (NOD) mouse model, to provide a brief overview of the significant progress that has been made during the last 20 years in our understanding of the role of T cells in the disease pathogenesis that included development of hundreds of reagents that block or even reverse new-onset disease by directly or indirectly controlling T cells. In the last part, we reflect on the sobering fact that none of these strategies has shown significant efficacy in clinical trials and discuss potential reasons hindering translation of the preclinical findings into successful therapeutic strategies and potential ways forward.</w:t>
      </w:r>
    </w:p>
    <w:p w:rsidR="00342728" w:rsidRPr="00AD3FC6" w:rsidRDefault="00342728" w:rsidP="00AD3FC6">
      <w:pPr>
        <w:autoSpaceDE w:val="0"/>
        <w:autoSpaceDN w:val="0"/>
        <w:adjustRightInd w:val="0"/>
        <w:spacing w:line="360" w:lineRule="auto"/>
        <w:jc w:val="both"/>
        <w:rPr>
          <w:rFonts w:ascii="Book Antiqua" w:hAnsi="Book Antiqua" w:cs="Arial"/>
          <w:b/>
        </w:rPr>
      </w:pPr>
    </w:p>
    <w:p w:rsidR="00342728" w:rsidRPr="00AD3FC6" w:rsidRDefault="00342728" w:rsidP="00AD3FC6">
      <w:pPr>
        <w:spacing w:line="360" w:lineRule="auto"/>
        <w:jc w:val="both"/>
        <w:rPr>
          <w:rFonts w:ascii="Book Antiqua" w:hAnsi="Book Antiqua"/>
        </w:rPr>
      </w:pPr>
      <w:r w:rsidRPr="00AD3FC6">
        <w:rPr>
          <w:rFonts w:ascii="Book Antiqua" w:hAnsi="Book Antiqua"/>
        </w:rPr>
        <w:sym w:font="Symbol" w:char="F0D3"/>
      </w:r>
      <w:r w:rsidRPr="00AD3FC6">
        <w:rPr>
          <w:rFonts w:ascii="Book Antiqua" w:hAnsi="Book Antiqua"/>
        </w:rPr>
        <w:t xml:space="preserve"> 2013 Baishideng. All rights reserved.</w:t>
      </w:r>
    </w:p>
    <w:p w:rsidR="00342728" w:rsidRPr="00AD3FC6" w:rsidRDefault="00342728" w:rsidP="00AD3FC6">
      <w:pPr>
        <w:autoSpaceDE w:val="0"/>
        <w:autoSpaceDN w:val="0"/>
        <w:adjustRightInd w:val="0"/>
        <w:spacing w:line="360" w:lineRule="auto"/>
        <w:jc w:val="both"/>
        <w:rPr>
          <w:rFonts w:ascii="Book Antiqua" w:hAnsi="Book Antiqua" w:cs="Arial"/>
        </w:rPr>
      </w:pPr>
    </w:p>
    <w:p w:rsidR="00342728" w:rsidRPr="00AD3FC6" w:rsidRDefault="00342728" w:rsidP="00AD3FC6">
      <w:pPr>
        <w:spacing w:line="360" w:lineRule="auto"/>
        <w:jc w:val="both"/>
        <w:rPr>
          <w:rFonts w:ascii="Book Antiqua" w:hAnsi="Book Antiqua" w:cs="Arial"/>
          <w:lang w:eastAsia="zh-CN"/>
        </w:rPr>
      </w:pPr>
      <w:r w:rsidRPr="00AD3FC6">
        <w:rPr>
          <w:rFonts w:ascii="Book Antiqua" w:hAnsi="Book Antiqua" w:cs="Arial"/>
          <w:b/>
        </w:rPr>
        <w:t>Key words:</w:t>
      </w:r>
      <w:r w:rsidRPr="00AD3FC6">
        <w:rPr>
          <w:rFonts w:ascii="Book Antiqua" w:hAnsi="Book Antiqua" w:cs="Arial"/>
        </w:rPr>
        <w:t xml:space="preserve"> Autoimmune diabetes; Immunotherapy; T cells; BDC2.5 T cells, Anti-CD3, Immunosuppression</w:t>
      </w:r>
    </w:p>
    <w:p w:rsidR="00342728" w:rsidRPr="00AD3FC6" w:rsidRDefault="00342728" w:rsidP="00AD3FC6">
      <w:pPr>
        <w:spacing w:line="360" w:lineRule="auto"/>
        <w:jc w:val="both"/>
        <w:rPr>
          <w:rFonts w:ascii="Book Antiqua" w:hAnsi="Book Antiqua" w:cs="Arial"/>
          <w:b/>
          <w:lang w:eastAsia="zh-CN"/>
        </w:rPr>
      </w:pPr>
    </w:p>
    <w:p w:rsidR="00342728" w:rsidRPr="00AD3FC6" w:rsidRDefault="00342728" w:rsidP="00AD3FC6">
      <w:pPr>
        <w:spacing w:line="360" w:lineRule="auto"/>
        <w:jc w:val="both"/>
        <w:rPr>
          <w:rFonts w:ascii="Book Antiqua" w:hAnsi="Book Antiqua" w:cs="Arial"/>
          <w:lang w:eastAsia="zh-CN"/>
        </w:rPr>
      </w:pPr>
      <w:r w:rsidRPr="00AD3FC6">
        <w:rPr>
          <w:rFonts w:ascii="Book Antiqua" w:hAnsi="Book Antiqua" w:cs="Arial"/>
          <w:b/>
        </w:rPr>
        <w:t>Core tip</w:t>
      </w:r>
      <w:r w:rsidRPr="00AD3FC6">
        <w:rPr>
          <w:rFonts w:ascii="Book Antiqua" w:hAnsi="Book Antiqua" w:cs="Arial"/>
          <w:b/>
          <w:lang w:eastAsia="zh-CN"/>
        </w:rPr>
        <w:t xml:space="preserve">: </w:t>
      </w:r>
      <w:r w:rsidRPr="00AD3FC6">
        <w:rPr>
          <w:rFonts w:ascii="Book Antiqua" w:hAnsi="Book Antiqua" w:cs="Arial"/>
        </w:rPr>
        <w:t>Our understanding of type 1 diabetes pathogenesis has significantly improved over the last three decades. We went from not knowing very little to acquisition of significant details about the role of the immune system and different T cell subsets in the disease process. The non-obese diabetic mouse model contributed and continues to contribute to our understanding of the disease process. This article pays tributes to the major role T-cells</w:t>
      </w:r>
      <w:r w:rsidRPr="00AD3FC6">
        <w:rPr>
          <w:rFonts w:ascii="Book Antiqua" w:hAnsi="Book Antiqua" w:cs="Arial"/>
          <w:lang w:eastAsia="zh-CN"/>
        </w:rPr>
        <w:t xml:space="preserve"> </w:t>
      </w:r>
      <w:r w:rsidRPr="00AD3FC6">
        <w:rPr>
          <w:rFonts w:ascii="Book Antiqua" w:hAnsi="Book Antiqua" w:cs="Arial"/>
        </w:rPr>
        <w:t>bearing -cell – speci fic T-cell receptors transgenic mouse played in shaping of our understanding of the disease process. We also divulge to briefly discuss current challenges facing development of a safe immunotherapy for the disease.</w:t>
      </w:r>
    </w:p>
    <w:p w:rsidR="00342728" w:rsidRPr="00AD3FC6" w:rsidRDefault="00342728" w:rsidP="00AD3FC6">
      <w:pPr>
        <w:spacing w:line="360" w:lineRule="auto"/>
        <w:jc w:val="both"/>
        <w:rPr>
          <w:rFonts w:ascii="Book Antiqua" w:hAnsi="Book Antiqua" w:cs="Arial"/>
          <w:lang w:eastAsia="zh-CN"/>
        </w:rPr>
      </w:pPr>
    </w:p>
    <w:p w:rsidR="00342728" w:rsidRPr="00AD3FC6" w:rsidRDefault="00342728" w:rsidP="00AD3FC6">
      <w:pPr>
        <w:spacing w:line="360" w:lineRule="auto"/>
        <w:jc w:val="both"/>
        <w:rPr>
          <w:rFonts w:ascii="Book Antiqua" w:hAnsi="Book Antiqua" w:cs="Arial"/>
          <w:lang w:eastAsia="zh-CN"/>
        </w:rPr>
      </w:pPr>
      <w:r w:rsidRPr="00AD3FC6">
        <w:rPr>
          <w:rFonts w:ascii="Book Antiqua" w:hAnsi="Book Antiqua" w:cs="Arial"/>
        </w:rPr>
        <w:t>Ramirez L</w:t>
      </w:r>
      <w:r w:rsidRPr="00AD3FC6">
        <w:rPr>
          <w:rFonts w:ascii="Book Antiqua" w:hAnsi="Book Antiqua" w:cs="Arial"/>
          <w:lang w:eastAsia="zh-CN"/>
        </w:rPr>
        <w:t xml:space="preserve">, </w:t>
      </w:r>
      <w:r w:rsidRPr="00AD3FC6">
        <w:rPr>
          <w:rFonts w:ascii="Book Antiqua" w:hAnsi="Book Antiqua" w:cs="Arial"/>
        </w:rPr>
        <w:t>Hamad ARAR</w:t>
      </w:r>
      <w:r w:rsidRPr="00AD3FC6">
        <w:rPr>
          <w:rFonts w:ascii="Book Antiqua" w:hAnsi="Book Antiqua" w:cs="Arial"/>
          <w:lang w:eastAsia="zh-CN"/>
        </w:rPr>
        <w:t>.</w:t>
      </w:r>
      <w:r w:rsidRPr="00AD3FC6">
        <w:rPr>
          <w:rFonts w:ascii="Book Antiqua" w:hAnsi="Book Antiqua"/>
        </w:rPr>
        <w:t xml:space="preserve"> </w:t>
      </w:r>
      <w:r w:rsidRPr="00AD3FC6">
        <w:rPr>
          <w:rFonts w:ascii="Book Antiqua" w:hAnsi="Book Antiqua" w:cs="Arial"/>
          <w:lang w:eastAsia="zh-CN"/>
        </w:rPr>
        <w:t>Status of autoimmune diabetes 20-years after generation of BDC2.5-TCR transgenic non-obese diabetic mouse</w:t>
      </w:r>
    </w:p>
    <w:p w:rsidR="00342728" w:rsidRPr="00AD3FC6" w:rsidRDefault="00342728" w:rsidP="00AD3FC6">
      <w:pPr>
        <w:spacing w:line="360" w:lineRule="auto"/>
        <w:jc w:val="both"/>
        <w:rPr>
          <w:rFonts w:ascii="Book Antiqua" w:hAnsi="Book Antiqua"/>
          <w:b/>
          <w:iCs/>
          <w:lang w:eastAsia="zh-CN"/>
        </w:rPr>
      </w:pPr>
    </w:p>
    <w:p w:rsidR="00342728" w:rsidRPr="00AD3FC6" w:rsidRDefault="00342728" w:rsidP="00AD3FC6">
      <w:pPr>
        <w:spacing w:line="360" w:lineRule="auto"/>
        <w:jc w:val="both"/>
        <w:rPr>
          <w:rFonts w:ascii="Book Antiqua" w:hAnsi="Book Antiqua"/>
          <w:iCs/>
        </w:rPr>
      </w:pPr>
      <w:r w:rsidRPr="00AD3FC6">
        <w:rPr>
          <w:rFonts w:ascii="Book Antiqua" w:hAnsi="Book Antiqua"/>
          <w:b/>
          <w:iCs/>
        </w:rPr>
        <w:t xml:space="preserve">Available from: </w:t>
      </w:r>
    </w:p>
    <w:p w:rsidR="00342728" w:rsidRPr="00AD3FC6" w:rsidRDefault="00342728" w:rsidP="00AD3FC6">
      <w:pPr>
        <w:spacing w:line="360" w:lineRule="auto"/>
        <w:jc w:val="both"/>
        <w:rPr>
          <w:rFonts w:ascii="Book Antiqua" w:hAnsi="Book Antiqua"/>
        </w:rPr>
      </w:pPr>
      <w:r w:rsidRPr="00AD3FC6">
        <w:rPr>
          <w:rFonts w:ascii="Book Antiqua" w:hAnsi="Book Antiqua"/>
          <w:b/>
          <w:iCs/>
        </w:rPr>
        <w:t xml:space="preserve">DOI: </w:t>
      </w:r>
    </w:p>
    <w:p w:rsidR="00342728" w:rsidRPr="00AD3FC6" w:rsidRDefault="00342728" w:rsidP="00AD3FC6">
      <w:pPr>
        <w:spacing w:line="360" w:lineRule="auto"/>
        <w:jc w:val="both"/>
        <w:rPr>
          <w:rFonts w:ascii="Book Antiqua" w:hAnsi="Book Antiqua" w:cs="Arial"/>
          <w:b/>
          <w:lang w:eastAsia="zh-CN"/>
        </w:rPr>
      </w:pPr>
    </w:p>
    <w:p w:rsidR="00342728" w:rsidRPr="00AD3FC6" w:rsidRDefault="00342728" w:rsidP="00AD3FC6">
      <w:pPr>
        <w:spacing w:line="360" w:lineRule="auto"/>
        <w:jc w:val="both"/>
        <w:rPr>
          <w:rFonts w:ascii="Book Antiqua" w:hAnsi="Book Antiqua" w:cs="Arial"/>
        </w:rPr>
      </w:pPr>
      <w:r w:rsidRPr="00AD3FC6">
        <w:rPr>
          <w:rFonts w:ascii="Book Antiqua" w:hAnsi="Book Antiqua" w:cs="Arial"/>
        </w:rPr>
        <w:t xml:space="preserve"> </w:t>
      </w:r>
    </w:p>
    <w:p w:rsidR="00342728" w:rsidRPr="009555F6" w:rsidRDefault="00342728" w:rsidP="00E05E65">
      <w:pPr>
        <w:snapToGrid w:val="0"/>
        <w:spacing w:line="360" w:lineRule="auto"/>
        <w:rPr>
          <w:rFonts w:ascii="Book Antiqua" w:hAnsi="Book Antiqua"/>
          <w:b/>
        </w:rPr>
      </w:pPr>
      <w:bookmarkStart w:id="1" w:name="OLE_LINK808"/>
      <w:bookmarkStart w:id="2" w:name="OLE_LINK809"/>
      <w:bookmarkStart w:id="3" w:name="OLE_LINK1062"/>
      <w:r w:rsidRPr="009555F6">
        <w:rPr>
          <w:rFonts w:ascii="Book Antiqua" w:hAnsi="Book Antiqua"/>
          <w:b/>
        </w:rPr>
        <w:t xml:space="preserve">COMMENTARY ON HOT TOPICS </w:t>
      </w:r>
    </w:p>
    <w:bookmarkEnd w:id="1"/>
    <w:bookmarkEnd w:id="2"/>
    <w:bookmarkEnd w:id="3"/>
    <w:p w:rsidR="00342728" w:rsidRPr="00AD3FC6" w:rsidRDefault="00342728" w:rsidP="00AD3FC6">
      <w:pPr>
        <w:spacing w:line="360" w:lineRule="auto"/>
        <w:jc w:val="both"/>
        <w:rPr>
          <w:rFonts w:ascii="Book Antiqua" w:hAnsi="Book Antiqua" w:cs="Arial"/>
          <w:b/>
          <w:u w:val="single"/>
        </w:rPr>
      </w:pPr>
      <w:r w:rsidRPr="00AD3FC6">
        <w:rPr>
          <w:rFonts w:ascii="Book Antiqua" w:hAnsi="Book Antiqua" w:cs="Arial"/>
        </w:rPr>
        <w:t xml:space="preserve">Diabetes is a heterogeneous metabolic disease caused by glucose intolerance and manifested clinically as hyperglycemia. Based on the underlying cause of the hyperglycemia, diabetes is divided into type 1 (T1D) and 2 (T2D). Type 1 diabetes is autoimmune in nature and results from the destruction of insulin-producing β cells by autoreactive T cells, leading to insulin deficiency and dependency on exogenous insulin to maintain glucose homeostasis. In contrast, T2D is a complex metabolic disorder associated with insulin resistance in peripheral tissues. Currently, there is no cure for either type of diabetes. In the interim, T1D is managed by multiple daily injections of insulin, whereas T2D is controlled by medications that improve insulin sensitivity and/or reduce glucose production by the liver. Maintenance of glucose homeostasis, however, is challenging and most patients eventually develop fatal cardiovascular complications. Intensive efforts are therefore being directed toward development of cure or prevention strategies. Small animal models play profoundly important roles in these efforts, particularly in T1D research. </w:t>
      </w:r>
    </w:p>
    <w:p w:rsidR="00342728" w:rsidRPr="00AD3FC6" w:rsidRDefault="00342728" w:rsidP="00AD3FC6">
      <w:pPr>
        <w:autoSpaceDE w:val="0"/>
        <w:autoSpaceDN w:val="0"/>
        <w:adjustRightInd w:val="0"/>
        <w:spacing w:line="360" w:lineRule="auto"/>
        <w:ind w:firstLineChars="200" w:firstLine="480"/>
        <w:jc w:val="both"/>
        <w:rPr>
          <w:rFonts w:ascii="Book Antiqua" w:hAnsi="Book Antiqua" w:cs="Arial"/>
        </w:rPr>
      </w:pPr>
      <w:r w:rsidRPr="00AD3FC6">
        <w:rPr>
          <w:rFonts w:ascii="Book Antiqua" w:hAnsi="Book Antiqua" w:cs="Arial"/>
        </w:rPr>
        <w:t>Small animal research in T1D began in earnest with the development and use of spontaneous and induced disease models in 1970s and 80s. Among several T1D models, the non-obese diabetic (NOD) mouse became the most commonly used and favorite model soon after its development about 33 years ago</w:t>
      </w:r>
      <w:r w:rsidRPr="00AD3FC6">
        <w:rPr>
          <w:rFonts w:ascii="Book Antiqua" w:hAnsi="Book Antiqua" w:cs="Arial"/>
          <w:vertAlign w:val="superscript"/>
          <w:lang w:eastAsia="zh-CN"/>
        </w:rPr>
        <w:t>[1]</w:t>
      </w:r>
      <w:r w:rsidRPr="00AD3FC6">
        <w:rPr>
          <w:rFonts w:ascii="Book Antiqua" w:hAnsi="Book Antiqua" w:cs="Arial"/>
        </w:rPr>
        <w:t>. The value of the NOD mouse in understanding the disease mechanism increased exponentially in the late 80s</w:t>
      </w:r>
      <w:r w:rsidRPr="00AD3FC6">
        <w:rPr>
          <w:rFonts w:ascii="Book Antiqua" w:hAnsi="Book Antiqua" w:cs="Arial"/>
          <w:color w:val="FF0000"/>
        </w:rPr>
        <w:t xml:space="preserve"> </w:t>
      </w:r>
      <w:r w:rsidRPr="00AD3FC6">
        <w:rPr>
          <w:rFonts w:ascii="Book Antiqua" w:hAnsi="Book Antiqua" w:cs="Arial"/>
        </w:rPr>
        <w:t>and early 90s following development of technologies that allowed engineering of the genome to generate mice bearing particular transgenes or lacking specific molecules to interrogate their roles in the disease process</w:t>
      </w:r>
      <w:r w:rsidRPr="00AD3FC6">
        <w:rPr>
          <w:rFonts w:ascii="Book Antiqua" w:hAnsi="Book Antiqua" w:cs="Arial"/>
          <w:vertAlign w:val="superscript"/>
          <w:lang w:eastAsia="zh-CN"/>
        </w:rPr>
        <w:t>[2]</w:t>
      </w:r>
      <w:r w:rsidRPr="00AD3FC6">
        <w:rPr>
          <w:rFonts w:ascii="Book Antiqua" w:hAnsi="Book Antiqua" w:cs="Arial"/>
        </w:rPr>
        <w:t>. Consequently, more than 250 different genetically modified NOD mice were produced and characterized (http://jaxmice.jax.org/findmice/index.html). Results of these efforts uncovered a wealth of information about the roles of various cell types and molecules in modulating T cells and established key cellular and molecular events in the disease process.</w:t>
      </w:r>
    </w:p>
    <w:p w:rsidR="00342728" w:rsidRPr="00AD3FC6" w:rsidRDefault="00342728" w:rsidP="00AD3FC6">
      <w:pPr>
        <w:spacing w:line="360" w:lineRule="auto"/>
        <w:ind w:firstLineChars="200" w:firstLine="480"/>
        <w:jc w:val="both"/>
        <w:rPr>
          <w:rFonts w:ascii="Book Antiqua" w:hAnsi="Book Antiqua" w:cs="Arial"/>
        </w:rPr>
      </w:pPr>
      <w:r w:rsidRPr="00AD3FC6">
        <w:rPr>
          <w:rFonts w:ascii="Book Antiqua" w:hAnsi="Book Antiqua" w:cs="Arial"/>
        </w:rPr>
        <w:t xml:space="preserve">Of interest is that uncovering the role of T cells in autoimmune diabetes traversed several key steps that culminated in the generation of the NOD mouse bearing TCR transgenic T cells [reviewed in detail in by Haskins </w:t>
      </w:r>
      <w:r w:rsidRPr="00AD3FC6">
        <w:rPr>
          <w:rFonts w:ascii="Book Antiqua" w:hAnsi="Book Antiqua" w:cs="Arial"/>
          <w:i/>
        </w:rPr>
        <w:t>et al</w:t>
      </w:r>
      <w:r w:rsidRPr="00AD3FC6">
        <w:rPr>
          <w:rFonts w:ascii="Book Antiqua" w:hAnsi="Book Antiqua" w:cs="Arial"/>
          <w:vertAlign w:val="superscript"/>
          <w:lang w:eastAsia="zh-CN"/>
        </w:rPr>
        <w:t>[3]</w:t>
      </w:r>
      <w:r w:rsidRPr="00AD3FC6">
        <w:rPr>
          <w:rFonts w:ascii="Book Antiqua" w:hAnsi="Book Antiqua" w:cs="Arial"/>
        </w:rPr>
        <w:t>. Considerable evidence accumulated in the early 1990s indicating a central role for T cells in mediating T1D in mice. These included demonstration that the disease development can be prevented by immunosuppressive agents that target T cells</w:t>
      </w:r>
      <w:r w:rsidRPr="00AD3FC6">
        <w:rPr>
          <w:rFonts w:ascii="Book Antiqua" w:hAnsi="Book Antiqua" w:cs="Arial"/>
          <w:vertAlign w:val="superscript"/>
          <w:lang w:eastAsia="zh-CN"/>
        </w:rPr>
        <w:t>[4]</w:t>
      </w:r>
      <w:r w:rsidRPr="00AD3FC6">
        <w:rPr>
          <w:rFonts w:ascii="Book Antiqua" w:hAnsi="Book Antiqua" w:cs="Arial"/>
        </w:rPr>
        <w:t xml:space="preserve">, and by anti-CD4 </w:t>
      </w:r>
      <w:r w:rsidRPr="00AD3FC6">
        <w:rPr>
          <w:rFonts w:ascii="Book Antiqua" w:hAnsi="Book Antiqua" w:cs="Arial"/>
        </w:rPr>
        <w:lastRenderedPageBreak/>
        <w:t>and anti-CD8 antibody treatments</w:t>
      </w:r>
      <w:r w:rsidRPr="00AD3FC6">
        <w:rPr>
          <w:rFonts w:ascii="Book Antiqua" w:hAnsi="Book Antiqua" w:cs="Arial"/>
          <w:vertAlign w:val="superscript"/>
          <w:lang w:eastAsia="zh-CN"/>
        </w:rPr>
        <w:t>[5,6]</w:t>
      </w:r>
      <w:r w:rsidRPr="00AD3FC6">
        <w:rPr>
          <w:rFonts w:ascii="Book Antiqua" w:hAnsi="Book Antiqua" w:cs="Arial"/>
        </w:rPr>
        <w:t>. Furthermore, the disease was shown to be transferrable to neonatal NOD mice and immunodeficient NOD</w:t>
      </w:r>
      <w:r w:rsidRPr="00AD3FC6">
        <w:rPr>
          <w:rFonts w:ascii="Book Antiqua" w:hAnsi="Book Antiqua" w:cs="Arial"/>
          <w:lang w:eastAsia="zh-CN"/>
        </w:rPr>
        <w:t>-</w:t>
      </w:r>
      <w:r w:rsidRPr="00AD3FC6">
        <w:rPr>
          <w:rFonts w:ascii="Book Antiqua" w:hAnsi="Book Antiqua" w:cs="Arial"/>
        </w:rPr>
        <w:t>severe combined immunodeficiency mice  (NOD</w:t>
      </w:r>
      <w:r w:rsidRPr="00AD3FC6">
        <w:rPr>
          <w:rFonts w:ascii="Book Antiqua" w:hAnsi="Book Antiqua" w:cs="Arial"/>
          <w:lang w:eastAsia="zh-CN"/>
        </w:rPr>
        <w:t>-</w:t>
      </w:r>
      <w:r w:rsidRPr="00AD3FC6">
        <w:rPr>
          <w:rFonts w:ascii="Book Antiqua" w:hAnsi="Book Antiqua" w:cs="Arial"/>
        </w:rPr>
        <w:t>SCID) by adoptive transfer of T cells from spontaneously diabetic NOD donors</w:t>
      </w:r>
      <w:r w:rsidRPr="00AD3FC6">
        <w:rPr>
          <w:rFonts w:ascii="Book Antiqua" w:hAnsi="Book Antiqua" w:cs="Arial"/>
          <w:vertAlign w:val="superscript"/>
          <w:lang w:eastAsia="zh-CN"/>
        </w:rPr>
        <w:t>[7]</w:t>
      </w:r>
      <w:r w:rsidRPr="00AD3FC6">
        <w:rPr>
          <w:rFonts w:ascii="Book Antiqua" w:hAnsi="Book Antiqua" w:cs="Arial"/>
        </w:rPr>
        <w:t>. A clearer picture of the role of T cells began to emerge with the generation of islet antigen-specific T cell clones.</w:t>
      </w:r>
      <w:r w:rsidRPr="00AD3FC6">
        <w:rPr>
          <w:rFonts w:ascii="Book Antiqua" w:hAnsi="Book Antiqua" w:cs="Arial"/>
          <w:color w:val="FF0000"/>
        </w:rPr>
        <w:t xml:space="preserve"> </w:t>
      </w:r>
      <w:r w:rsidRPr="00AD3FC6">
        <w:rPr>
          <w:rFonts w:ascii="Book Antiqua" w:hAnsi="Book Antiqua" w:cs="Arial"/>
        </w:rPr>
        <w:t>Several groups independently generated islet antigen-specific T cell clones capable of transferring the disease to susceptible recipients</w:t>
      </w:r>
      <w:r w:rsidRPr="00AD3FC6">
        <w:rPr>
          <w:rFonts w:ascii="Book Antiqua" w:hAnsi="Book Antiqua" w:cs="Arial"/>
          <w:vertAlign w:val="superscript"/>
          <w:lang w:eastAsia="zh-CN"/>
        </w:rPr>
        <w:t>[4]</w:t>
      </w:r>
      <w:r w:rsidRPr="00AD3FC6">
        <w:rPr>
          <w:rFonts w:ascii="Book Antiqua" w:hAnsi="Book Antiqua" w:cs="Arial"/>
        </w:rPr>
        <w:t>. It was found that different T cell clones expressed different T-cell receptor</w:t>
      </w:r>
      <w:r w:rsidRPr="00AD3FC6">
        <w:rPr>
          <w:rFonts w:ascii="Book Antiqua" w:hAnsi="Book Antiqua" w:cs="Arial"/>
          <w:lang w:eastAsia="zh-CN"/>
        </w:rPr>
        <w:t xml:space="preserve">s </w:t>
      </w:r>
      <w:r w:rsidRPr="00AD3FC6">
        <w:rPr>
          <w:rFonts w:ascii="Book Antiqua" w:hAnsi="Book Antiqua" w:cs="Arial"/>
        </w:rPr>
        <w:t>(TCR</w:t>
      </w:r>
      <w:r w:rsidRPr="00AD3FC6">
        <w:rPr>
          <w:rFonts w:ascii="Book Antiqua" w:hAnsi="Book Antiqua" w:cs="Arial"/>
          <w:lang w:eastAsia="zh-CN"/>
        </w:rPr>
        <w:t>s</w:t>
      </w:r>
      <w:r w:rsidRPr="00AD3FC6">
        <w:rPr>
          <w:rFonts w:ascii="Book Antiqua" w:hAnsi="Book Antiqua" w:cs="Arial"/>
        </w:rPr>
        <w:t>), suggesting for the first time that islet-specific T cells recognize several different islet antigens and pointing to the complexity of the disease. Among the well-characterized clones is the BDC2.5 clone, the TCR that was later used to generate the T-cells</w:t>
      </w:r>
      <w:r w:rsidRPr="00AD3FC6">
        <w:rPr>
          <w:rFonts w:ascii="Book Antiqua" w:hAnsi="Book Antiqua" w:cs="Arial"/>
          <w:lang w:eastAsia="zh-CN"/>
        </w:rPr>
        <w:t xml:space="preserve"> </w:t>
      </w:r>
      <w:r w:rsidRPr="00AD3FC6">
        <w:rPr>
          <w:rFonts w:ascii="Book Antiqua" w:hAnsi="Book Antiqua" w:cs="Arial"/>
        </w:rPr>
        <w:t>bearing -cell – speci fic T-cell receptors (BDC 2.5 TCR) transgenic (</w:t>
      </w:r>
      <w:r w:rsidRPr="00AD3FC6">
        <w:rPr>
          <w:rFonts w:ascii="Book Antiqua" w:hAnsi="Book Antiqua" w:cs="Arial"/>
          <w:lang w:eastAsia="zh-CN"/>
        </w:rPr>
        <w:t>t</w:t>
      </w:r>
      <w:r w:rsidRPr="00AD3FC6">
        <w:rPr>
          <w:rFonts w:ascii="Book Antiqua" w:hAnsi="Book Antiqua" w:cs="Arial"/>
        </w:rPr>
        <w:t>g) mouse in 1993</w:t>
      </w:r>
      <w:r w:rsidRPr="00AD3FC6">
        <w:rPr>
          <w:rFonts w:ascii="Book Antiqua" w:hAnsi="Book Antiqua" w:cs="Arial"/>
          <w:vertAlign w:val="superscript"/>
          <w:lang w:eastAsia="zh-CN"/>
        </w:rPr>
        <w:t>[8]</w:t>
      </w:r>
      <w:r w:rsidRPr="00AD3FC6">
        <w:rPr>
          <w:rFonts w:ascii="Book Antiqua" w:hAnsi="Book Antiqua" w:cs="Arial"/>
        </w:rPr>
        <w:t xml:space="preserve">. Thus, generation of T cell clones was crucial in cementing the role of T cell in the disease pathogenesis and the existence of diabetogenic T cells in autoimmune-prone hosts. Yet clones have limited value in providing details regarding the nature and in vivo action mechanisms of diabetogenic T cells. Among the pressing questions (some of which are still incompletely understood) are how autoreactive T cells escape negative selection, where they reside in the periphery, what triggers them to become diabetogenic, and how they cause the disease. Diabetogenic T cells among the peripheral T cell repertoire are rare and the lack of appropriate reagents that permit their identification in vivo precluded addressing these questions directly </w:t>
      </w:r>
      <w:r w:rsidRPr="00AD3FC6">
        <w:rPr>
          <w:rFonts w:ascii="Book Antiqua" w:hAnsi="Book Antiqua" w:cs="Arial"/>
          <w:i/>
        </w:rPr>
        <w:t>in vivo</w:t>
      </w:r>
      <w:r w:rsidRPr="00AD3FC6">
        <w:rPr>
          <w:rFonts w:ascii="Book Antiqua" w:hAnsi="Book Antiqua" w:cs="Arial"/>
        </w:rPr>
        <w:t xml:space="preserve"> in unmanipulated NOD mice. To overcome this problem, researchers generated TCR tg mice by using TCRs derived from generated clones. Among the widely used TCR transgenic mice in autoimmune diabetes is the BDC2.5 TCR tg mouse generated in 1993 by Katz</w:t>
      </w:r>
      <w:r w:rsidRPr="00AD3FC6">
        <w:rPr>
          <w:rFonts w:ascii="Book Antiqua" w:hAnsi="Book Antiqua" w:cs="Arial"/>
          <w:i/>
        </w:rPr>
        <w:t xml:space="preserve"> et al</w:t>
      </w:r>
      <w:r w:rsidRPr="00AD3FC6">
        <w:rPr>
          <w:rFonts w:ascii="Book Antiqua" w:hAnsi="Book Antiqua" w:cs="Arial"/>
          <w:vertAlign w:val="superscript"/>
          <w:lang w:eastAsia="zh-CN"/>
        </w:rPr>
        <w:t>[8]</w:t>
      </w:r>
      <w:r w:rsidRPr="00AD3FC6">
        <w:rPr>
          <w:rFonts w:ascii="Book Antiqua" w:hAnsi="Book Antiqua" w:cs="Arial"/>
        </w:rPr>
        <w:t>, in which all T cells express the TCRα (Vα1) and β (Vβ4) chain genes from the BDC2.5 TCR CD4 T cell clone</w:t>
      </w:r>
      <w:r w:rsidRPr="00AD3FC6">
        <w:rPr>
          <w:rFonts w:ascii="Book Antiqua" w:hAnsi="Book Antiqua" w:cs="Arial"/>
          <w:vertAlign w:val="superscript"/>
          <w:lang w:eastAsia="zh-CN"/>
        </w:rPr>
        <w:t>[9]</w:t>
      </w:r>
      <w:r w:rsidRPr="00AD3FC6">
        <w:rPr>
          <w:rFonts w:ascii="Book Antiqua" w:hAnsi="Book Antiqua" w:cs="Arial"/>
        </w:rPr>
        <w:t>.</w:t>
      </w:r>
      <w:r w:rsidRPr="00AD3FC6">
        <w:rPr>
          <w:rFonts w:ascii="Book Antiqua" w:hAnsi="Book Antiqua"/>
        </w:rPr>
        <w:t xml:space="preserve"> </w:t>
      </w:r>
      <w:r w:rsidRPr="00AD3FC6">
        <w:rPr>
          <w:rFonts w:ascii="Book Antiqua" w:hAnsi="Book Antiqua" w:cs="Arial"/>
        </w:rPr>
        <w:t>Unlike in wild type NOD mice, which harbor a diverse repertoire where autoreactive T cells are very rare and are difficult to track in vivo, all T cells in BDC2.5 tg mice recognize and respond uniformly to an elusive islet autoantigen [It was recently reported by two groups</w:t>
      </w:r>
      <w:r w:rsidRPr="00AD3FC6">
        <w:rPr>
          <w:rFonts w:ascii="Book Antiqua" w:hAnsi="Book Antiqua" w:cs="Arial"/>
          <w:vertAlign w:val="superscript"/>
          <w:lang w:eastAsia="zh-CN"/>
        </w:rPr>
        <w:t>[10,11]</w:t>
      </w:r>
      <w:r w:rsidRPr="00AD3FC6">
        <w:rPr>
          <w:rFonts w:ascii="Book Antiqua" w:hAnsi="Book Antiqua" w:cs="Arial"/>
        </w:rPr>
        <w:t xml:space="preserve"> that BDC2.5 T cells recognize peptides from chromogranin A (ChgA)]. Therefore, by studying T cells in BDC2.5 tg mice, the authors were able to track the behavior and fate of diabetogenic T cells in vivo and test hypotheses pertaining to roles of thymic selection, site of priming and peripheral activation of diabetogenic T cells, trafficking, and timing of response to islet autoantigens. Results showed that diabetogenic TCR can be produced in a large proportion of thymocytes in the TCR αβ tg mice, are positively selected without undergoing massive clonal deletion, and migrate to the periphery where they constitute the majority of the T cell repertoire. The model is still providing an important </w:t>
      </w:r>
      <w:r w:rsidRPr="00AD3FC6">
        <w:rPr>
          <w:rFonts w:ascii="Book Antiqua" w:hAnsi="Book Antiqua" w:cs="Arial"/>
        </w:rPr>
        <w:lastRenderedPageBreak/>
        <w:t xml:space="preserve">platform for </w:t>
      </w:r>
      <w:r w:rsidRPr="009C396C">
        <w:rPr>
          <w:rFonts w:ascii="Book Antiqua" w:hAnsi="Book Antiqua" w:cs="Arial"/>
          <w:i/>
        </w:rPr>
        <w:t>in vivo</w:t>
      </w:r>
      <w:r w:rsidRPr="00AD3FC6">
        <w:rPr>
          <w:rFonts w:ascii="Book Antiqua" w:hAnsi="Book Antiqua" w:cs="Arial"/>
        </w:rPr>
        <w:t xml:space="preserve"> dissecting of diabetogenic T cells, including roles of various molecules and cell types in modulating their pathogenicity. It has not only resulted in a wealth of information regarding pathogenesis of autoimmune diabetes, but also shed light on the immune system and autoimmunity. </w:t>
      </w:r>
    </w:p>
    <w:p w:rsidR="00342728" w:rsidRPr="00AD3FC6" w:rsidRDefault="00342728" w:rsidP="00AD3FC6">
      <w:pPr>
        <w:pStyle w:val="a6"/>
        <w:spacing w:before="0" w:beforeAutospacing="0" w:after="0" w:afterAutospacing="0" w:line="360" w:lineRule="auto"/>
        <w:ind w:firstLineChars="200" w:firstLine="480"/>
        <w:jc w:val="both"/>
        <w:rPr>
          <w:rFonts w:ascii="Book Antiqua" w:hAnsi="Book Antiqua" w:cs="Arial"/>
        </w:rPr>
      </w:pPr>
      <w:r w:rsidRPr="00AD3FC6">
        <w:rPr>
          <w:rFonts w:ascii="Book Antiqua" w:hAnsi="Book Antiqua" w:cs="Arial"/>
        </w:rPr>
        <w:t>Tracking disease development in BDC2.5 TCR tg mice showed that initiation of the disease is highly regulated with two important checkpoints controlling the diabetogenic process. These two checkpoints are especially evident and synchronous in BDC2.5 tg mice. The autoreactive T cells appear to ignore the β cells for the first 2 w</w:t>
      </w:r>
      <w:r w:rsidRPr="00AD3FC6">
        <w:rPr>
          <w:rFonts w:ascii="Book Antiqua" w:hAnsi="Book Antiqua" w:cs="Arial"/>
          <w:lang w:eastAsia="zh-CN"/>
        </w:rPr>
        <w:t>k</w:t>
      </w:r>
      <w:r w:rsidRPr="00AD3FC6">
        <w:rPr>
          <w:rFonts w:ascii="Book Antiqua" w:hAnsi="Book Antiqua" w:cs="Arial"/>
        </w:rPr>
        <w:t xml:space="preserve"> of life. Soon after, BDC2.5 T cells abruptly invade the pancreatic islets resulting in insulitis that progresses rapidly, with almost all islets heavily infiltrated by the age of 3 to 4 weeks.</w:t>
      </w:r>
      <w:r w:rsidRPr="00AD3FC6">
        <w:rPr>
          <w:rFonts w:ascii="Book Antiqua" w:hAnsi="Book Antiqua"/>
        </w:rPr>
        <w:t xml:space="preserve"> </w:t>
      </w:r>
      <w:r w:rsidRPr="00AD3FC6">
        <w:rPr>
          <w:rFonts w:ascii="Book Antiqua" w:hAnsi="Book Antiqua" w:cs="Arial"/>
        </w:rPr>
        <w:t xml:space="preserve">Surprising at the time, however, was the observation that insulitis in most BDC2.5 tg mice never progresses to full-blown diabetes. But when the BDC2.5 transgene is introduced into NOD-Rag-1 knockout mice, they do develop aggressive disease at a very early age. Failure of BDC2.5 TCR tg mice to develop full-blown disease in Rag-1-sufficient background was due to incomplete allelic exclusion of endogenous TCRβ chains, resulting in developing thymocytes that differentiate into regulatory T cells that oppose the pathogenic effect of diabetogenic T cells leading to standstill insulitis. On the other hand, in the absence of the </w:t>
      </w:r>
      <w:r w:rsidRPr="00750BF6">
        <w:rPr>
          <w:rFonts w:ascii="Book Antiqua" w:hAnsi="Book Antiqua" w:cs="Arial"/>
          <w:i/>
        </w:rPr>
        <w:t>Rag-1</w:t>
      </w:r>
      <w:r w:rsidRPr="00AD3FC6">
        <w:rPr>
          <w:rFonts w:ascii="Book Antiqua" w:hAnsi="Book Antiqua" w:cs="Arial"/>
        </w:rPr>
        <w:t xml:space="preserve"> gene all developing T cells bear the BDC2.5 TCR transgene, resulting in a pathogenic repertoire devoid of regulatory cells, inducing a rapid onset of aggressive disease. The results provide critical hints of a major role for regulatory T cells in opposing the disease development. The synchronous development of the disease in BDC2.5 mice combined with other studies, including adoptive transfer of BDC2.5 T cells, led to the concept that immunoregulatory mechanisms exist at two check points, at the </w:t>
      </w:r>
      <w:r>
        <w:rPr>
          <w:rFonts w:ascii="Book Antiqua" w:hAnsi="Book Antiqua" w:cs="Arial"/>
        </w:rPr>
        <w:t>pancreatic draining lymph nodes</w:t>
      </w:r>
      <w:r w:rsidRPr="00AD3FC6">
        <w:rPr>
          <w:rFonts w:ascii="Book Antiqua" w:hAnsi="Book Antiqua" w:cs="Arial"/>
        </w:rPr>
        <w:t xml:space="preserve"> and the islet itself, respectively. Breach of these checkpoints by diabetogenic T cells is clearly visualized in NOD mice by using adoptive transfer of BDC2.5 in appropriate hosts</w:t>
      </w:r>
      <w:r w:rsidRPr="00AD3FC6">
        <w:rPr>
          <w:rFonts w:ascii="Book Antiqua" w:hAnsi="Book Antiqua" w:cs="Arial"/>
          <w:vertAlign w:val="superscript"/>
          <w:lang w:eastAsia="zh-CN"/>
        </w:rPr>
        <w:t>[12,13]</w:t>
      </w:r>
      <w:r w:rsidRPr="00AD3FC6">
        <w:rPr>
          <w:rFonts w:ascii="Book Antiqua" w:hAnsi="Book Antiqua" w:cs="Arial"/>
        </w:rPr>
        <w:t>. This paradigm is depicted in Figure 1. Subsequent studies revealed critical roles for regulatory T and B cells and various molecules involved in controlling the major checkpoints, and prevention and cure of the disease in the NOD mouse. Over the last two decades, vast numbers of molecules necessary for maintaining immunoregulatory mechanisms and others that facilitate their subversion have been identified. Targeting these molecules identified more than 250 interventions capable of preventing the disease in the NOD mouse. Some, like treatment with anti-CD3</w:t>
      </w:r>
      <w:r w:rsidRPr="00AD3FC6">
        <w:rPr>
          <w:rFonts w:ascii="Book Antiqua" w:hAnsi="Book Antiqua" w:cs="Arial"/>
          <w:vertAlign w:val="superscript"/>
          <w:lang w:eastAsia="zh-CN"/>
        </w:rPr>
        <w:t>[14]</w:t>
      </w:r>
      <w:r w:rsidRPr="00AD3FC6">
        <w:rPr>
          <w:rFonts w:ascii="Book Antiqua" w:hAnsi="Book Antiqua" w:cs="Arial"/>
        </w:rPr>
        <w:t xml:space="preserve"> and anti-CD20</w:t>
      </w:r>
      <w:r w:rsidRPr="00AD3FC6">
        <w:rPr>
          <w:rFonts w:ascii="Book Antiqua" w:hAnsi="Book Antiqua" w:cs="Arial"/>
          <w:vertAlign w:val="superscript"/>
          <w:lang w:eastAsia="zh-CN"/>
        </w:rPr>
        <w:t>[15]</w:t>
      </w:r>
      <w:r w:rsidRPr="00AD3FC6">
        <w:rPr>
          <w:rFonts w:ascii="Book Antiqua" w:hAnsi="Book Antiqua" w:cs="Arial"/>
        </w:rPr>
        <w:t xml:space="preserve"> reversed the disease in as many as 30%</w:t>
      </w:r>
      <w:r w:rsidRPr="00AD3FC6">
        <w:rPr>
          <w:rFonts w:ascii="Book Antiqua" w:hAnsi="Book Antiqua" w:cs="Arial"/>
          <w:lang w:eastAsia="zh-CN"/>
        </w:rPr>
        <w:t>-</w:t>
      </w:r>
      <w:r w:rsidRPr="00AD3FC6">
        <w:rPr>
          <w:rFonts w:ascii="Book Antiqua" w:hAnsi="Book Antiqua" w:cs="Arial"/>
        </w:rPr>
        <w:t>50% of new-onset cases, raising hope of developing strategies to reverse disease in newly diabetic patients.</w:t>
      </w:r>
      <w:r w:rsidRPr="00AD3FC6">
        <w:rPr>
          <w:rFonts w:ascii="Book Antiqua" w:hAnsi="Book Antiqua" w:cs="Arial"/>
          <w:shd w:val="clear" w:color="auto" w:fill="FFFFFF"/>
        </w:rPr>
        <w:t xml:space="preserve"> Consequently, in the last few years, clinical trials have been conducted to test efficacy of several molecules including anti-CD3 and anti-CD20.</w:t>
      </w:r>
    </w:p>
    <w:p w:rsidR="00342728" w:rsidRPr="00AD3FC6" w:rsidRDefault="00342728" w:rsidP="00AD3FC6">
      <w:pPr>
        <w:autoSpaceDE w:val="0"/>
        <w:autoSpaceDN w:val="0"/>
        <w:adjustRightInd w:val="0"/>
        <w:spacing w:line="360" w:lineRule="auto"/>
        <w:jc w:val="both"/>
        <w:rPr>
          <w:rFonts w:ascii="Book Antiqua" w:hAnsi="Book Antiqua" w:cs="Arial"/>
        </w:rPr>
      </w:pPr>
    </w:p>
    <w:p w:rsidR="00342728" w:rsidRPr="00E05E65" w:rsidRDefault="00342728" w:rsidP="00AD3FC6">
      <w:pPr>
        <w:autoSpaceDE w:val="0"/>
        <w:autoSpaceDN w:val="0"/>
        <w:adjustRightInd w:val="0"/>
        <w:spacing w:line="360" w:lineRule="auto"/>
        <w:jc w:val="both"/>
        <w:rPr>
          <w:rFonts w:ascii="Book Antiqua" w:hAnsi="Book Antiqua" w:cs="Arial"/>
          <w:b/>
          <w:i/>
          <w:color w:val="000000"/>
          <w:lang w:eastAsia="zh-CN"/>
        </w:rPr>
      </w:pPr>
      <w:r w:rsidRPr="00E05E65">
        <w:rPr>
          <w:rFonts w:ascii="Book Antiqua" w:hAnsi="Book Antiqua" w:cs="Arial"/>
          <w:b/>
          <w:i/>
          <w:color w:val="000000"/>
        </w:rPr>
        <w:t>Sobering reality facing translation of preclinical data into effective immunotherapeutics and ways forward</w:t>
      </w:r>
    </w:p>
    <w:p w:rsidR="00342728" w:rsidRPr="00AD3FC6" w:rsidRDefault="00342728" w:rsidP="00AD3FC6">
      <w:pPr>
        <w:pStyle w:val="a6"/>
        <w:spacing w:before="0" w:beforeAutospacing="0" w:after="0" w:afterAutospacing="0" w:line="360" w:lineRule="auto"/>
        <w:jc w:val="both"/>
        <w:rPr>
          <w:rFonts w:ascii="Book Antiqua" w:hAnsi="Book Antiqua" w:cs="Arial"/>
        </w:rPr>
      </w:pPr>
      <w:r w:rsidRPr="00AD3FC6">
        <w:rPr>
          <w:rFonts w:ascii="Book Antiqua" w:hAnsi="Book Antiqua" w:cs="Arial"/>
        </w:rPr>
        <w:t>Translating immunotherapies found effective in preclinical studies into human therapies is proving challenging</w:t>
      </w:r>
      <w:r w:rsidRPr="00AD3FC6">
        <w:rPr>
          <w:rFonts w:ascii="Book Antiqua" w:hAnsi="Book Antiqua" w:cs="Arial"/>
          <w:vertAlign w:val="superscript"/>
          <w:lang w:eastAsia="zh-CN"/>
        </w:rPr>
        <w:t>[16]</w:t>
      </w:r>
      <w:r w:rsidRPr="00AD3FC6">
        <w:rPr>
          <w:rFonts w:ascii="Book Antiqua" w:hAnsi="Book Antiqua" w:cs="Arial"/>
        </w:rPr>
        <w:t xml:space="preserve">, at least for now. Several high profile clinical trials </w:t>
      </w:r>
      <w:r w:rsidRPr="00AD3FC6">
        <w:rPr>
          <w:rFonts w:ascii="Book Antiqua" w:hAnsi="Book Antiqua" w:cs="Arial"/>
          <w:shd w:val="clear" w:color="auto" w:fill="FFFFFF"/>
        </w:rPr>
        <w:t>including phase III have failed to demonstrate significant efficacy for all those tested</w:t>
      </w:r>
      <w:r w:rsidRPr="00AD3FC6">
        <w:rPr>
          <w:rFonts w:ascii="Book Antiqua" w:hAnsi="Book Antiqua" w:cs="Arial"/>
          <w:vertAlign w:val="superscript"/>
          <w:lang w:eastAsia="zh-CN"/>
        </w:rPr>
        <w:t>[17,18]</w:t>
      </w:r>
      <w:r w:rsidRPr="00AD3FC6">
        <w:rPr>
          <w:rFonts w:ascii="Book Antiqua" w:hAnsi="Book Antiqua" w:cs="Arial"/>
          <w:shd w:val="clear" w:color="auto" w:fill="FFFFFF"/>
        </w:rPr>
        <w:t>. The disappointing results in the clinic are forcing a retreat to drawing boards and generating second thoughts about whether the NOD mouse has surpassed its life expectancy as a research model and even the value of NOD mice in predicting and evaluating</w:t>
      </w:r>
      <w:r w:rsidRPr="00AD3FC6">
        <w:rPr>
          <w:rFonts w:ascii="Book Antiqua" w:hAnsi="Book Antiqua" w:cs="Arial"/>
        </w:rPr>
        <w:t xml:space="preserve"> immunotherapy for T1D</w:t>
      </w:r>
      <w:r w:rsidRPr="00AD3FC6">
        <w:rPr>
          <w:rFonts w:ascii="Book Antiqua" w:hAnsi="Book Antiqua" w:cs="Arial"/>
          <w:shd w:val="clear" w:color="auto" w:fill="FFFFFF"/>
        </w:rPr>
        <w:t xml:space="preserve">. </w:t>
      </w:r>
      <w:r w:rsidRPr="00AD3FC6">
        <w:rPr>
          <w:rFonts w:ascii="Book Antiqua" w:hAnsi="Book Antiqua" w:cs="Arial"/>
        </w:rPr>
        <w:t>It is easy to lay the blame on biologic differences between humans and mice, accentuated by more than 60 million years since their divergence into two species that differ in size, lifespan</w:t>
      </w:r>
      <w:r w:rsidRPr="00AD3FC6">
        <w:rPr>
          <w:rFonts w:ascii="Book Antiqua" w:hAnsi="Book Antiqua" w:cs="Arial"/>
          <w:b/>
          <w:bCs/>
        </w:rPr>
        <w:t>,</w:t>
      </w:r>
      <w:r w:rsidRPr="00AD3FC6">
        <w:rPr>
          <w:rFonts w:ascii="Book Antiqua" w:hAnsi="Book Antiqua" w:cs="Arial"/>
        </w:rPr>
        <w:t xml:space="preserve"> and lifestyle (habitat/environment). </w:t>
      </w:r>
      <w:r w:rsidRPr="00AD3FC6">
        <w:rPr>
          <w:rFonts w:ascii="Book Antiqua" w:hAnsi="Book Antiqua" w:cs="Arial"/>
          <w:bCs/>
        </w:rPr>
        <w:t>The immune system in humans and mice, however, are generally quite similar, and with few notable exceptions, most paradigms translate well between them. Thus, the</w:t>
      </w:r>
      <w:r w:rsidRPr="00AD3FC6">
        <w:rPr>
          <w:rFonts w:ascii="Book Antiqua" w:hAnsi="Book Antiqua" w:cs="Arial"/>
        </w:rPr>
        <w:t xml:space="preserve"> intangible efficacy of </w:t>
      </w:r>
      <w:r w:rsidRPr="00AD3FC6">
        <w:rPr>
          <w:rFonts w:ascii="Book Antiqua" w:hAnsi="Book Antiqua" w:cs="Arial"/>
          <w:bCs/>
        </w:rPr>
        <w:t>modalities such as anti-CD3</w:t>
      </w:r>
      <w:r w:rsidRPr="00AD3FC6">
        <w:rPr>
          <w:rFonts w:ascii="Book Antiqua" w:hAnsi="Book Antiqua" w:cs="Arial"/>
        </w:rPr>
        <w:t xml:space="preserve"> in humans </w:t>
      </w:r>
      <w:r w:rsidRPr="00AD3FC6">
        <w:rPr>
          <w:rFonts w:ascii="Book Antiqua" w:hAnsi="Book Antiqua" w:cs="Arial"/>
          <w:bCs/>
        </w:rPr>
        <w:t>is not entirely</w:t>
      </w:r>
      <w:r w:rsidRPr="00AD3FC6">
        <w:rPr>
          <w:rFonts w:ascii="Book Antiqua" w:hAnsi="Book Antiqua" w:cs="Arial"/>
          <w:b/>
          <w:bCs/>
        </w:rPr>
        <w:t xml:space="preserve"> </w:t>
      </w:r>
      <w:r w:rsidRPr="00AD3FC6">
        <w:rPr>
          <w:rFonts w:ascii="Book Antiqua" w:hAnsi="Book Antiqua" w:cs="Arial"/>
        </w:rPr>
        <w:t xml:space="preserve">justified by biologic differences between the two species.  </w:t>
      </w:r>
    </w:p>
    <w:p w:rsidR="00342728" w:rsidRDefault="00342728" w:rsidP="00AD3FC6">
      <w:pPr>
        <w:pStyle w:val="a6"/>
        <w:spacing w:before="0" w:beforeAutospacing="0" w:after="0" w:afterAutospacing="0" w:line="360" w:lineRule="auto"/>
        <w:ind w:firstLineChars="200" w:firstLine="480"/>
        <w:jc w:val="both"/>
        <w:rPr>
          <w:rFonts w:ascii="Book Antiqua" w:hAnsi="Book Antiqua" w:cs="Arial"/>
          <w:lang w:eastAsia="zh-CN"/>
        </w:rPr>
      </w:pPr>
      <w:r w:rsidRPr="00AD3FC6">
        <w:rPr>
          <w:rFonts w:ascii="Book Antiqua" w:hAnsi="Book Antiqua" w:cs="Arial"/>
          <w:bCs/>
        </w:rPr>
        <w:t>W</w:t>
      </w:r>
      <w:r w:rsidRPr="00AD3FC6">
        <w:rPr>
          <w:rFonts w:ascii="Book Antiqua" w:hAnsi="Book Antiqua" w:cs="Arial"/>
        </w:rPr>
        <w:t>e argue that environmental factors play a dominant, if not the dominant role, in subverting therapeutic efficacy of modulators acting alone or in synergy with genetic factors</w:t>
      </w:r>
      <w:r w:rsidRPr="00AD3FC6">
        <w:rPr>
          <w:rFonts w:ascii="Book Antiqua" w:hAnsi="Book Antiqua" w:cs="Arial"/>
          <w:vertAlign w:val="superscript"/>
          <w:lang w:eastAsia="zh-CN"/>
        </w:rPr>
        <w:t>[19,20]</w:t>
      </w:r>
      <w:r w:rsidRPr="00AD3FC6">
        <w:rPr>
          <w:rFonts w:ascii="Book Antiqua" w:hAnsi="Book Antiqua" w:cs="Arial"/>
        </w:rPr>
        <w:t>.</w:t>
      </w:r>
      <w:r w:rsidRPr="00AD3FC6">
        <w:rPr>
          <w:rFonts w:ascii="Book Antiqua" w:hAnsi="Book Antiqua"/>
        </w:rPr>
        <w:t xml:space="preserve"> </w:t>
      </w:r>
      <w:r w:rsidRPr="00AD3FC6">
        <w:rPr>
          <w:rFonts w:ascii="Book Antiqua" w:hAnsi="Book Antiqua" w:cs="Arial"/>
        </w:rPr>
        <w:t>This is</w:t>
      </w:r>
      <w:r w:rsidRPr="00AD3FC6">
        <w:rPr>
          <w:rFonts w:ascii="Book Antiqua" w:hAnsi="Book Antiqua"/>
        </w:rPr>
        <w:t xml:space="preserve"> </w:t>
      </w:r>
      <w:r w:rsidRPr="00AD3FC6">
        <w:rPr>
          <w:rFonts w:ascii="Book Antiqua" w:hAnsi="Book Antiqua" w:cs="Arial"/>
        </w:rPr>
        <w:t>acutely evident in the NOD mouse itself. For instance, the variability of anti-CD3 efficacy in reversing new-onset hyperglycemia ranges from about 30%</w:t>
      </w:r>
      <w:r w:rsidRPr="00AD3FC6">
        <w:rPr>
          <w:rFonts w:ascii="Book Antiqua" w:hAnsi="Book Antiqua" w:cs="Arial"/>
          <w:lang w:eastAsia="zh-CN"/>
        </w:rPr>
        <w:t>-</w:t>
      </w:r>
      <w:r w:rsidRPr="00AD3FC6">
        <w:rPr>
          <w:rFonts w:ascii="Book Antiqua" w:hAnsi="Book Antiqua" w:cs="Arial"/>
        </w:rPr>
        <w:t>80% in newly diabetic NOD mice housed in the same facility</w:t>
      </w:r>
      <w:r w:rsidRPr="00AD3FC6">
        <w:rPr>
          <w:rFonts w:ascii="Book Antiqua" w:hAnsi="Book Antiqua" w:cs="Arial"/>
          <w:vertAlign w:val="superscript"/>
          <w:lang w:eastAsia="zh-CN"/>
        </w:rPr>
        <w:t>[14,21]</w:t>
      </w:r>
      <w:r w:rsidRPr="00AD3FC6">
        <w:rPr>
          <w:rFonts w:ascii="Book Antiqua" w:hAnsi="Book Antiqua" w:cs="Arial"/>
        </w:rPr>
        <w:t xml:space="preserve"> and mostly likely mice in the same cage responded differently. The low efficacy in NOD mice given the extremely small variations in their genetic makeup and exogenous influence of the environment suggests that treating the same mice under virtually identical conditions, the treatment would be successful only once out of at least two attempts. Applying the comparison to patients with markedly different genetic backgrounds, types of food, environment, and microbiota, the odds of success would be extremely low. Therefore, there is still much to be learned in the NOD mouse to uncover causes of variability on rate of disease onset, timing and response to treatment. In addition, understanding why females are more susceptible to disease than males</w:t>
      </w:r>
      <w:r w:rsidRPr="00AD3FC6">
        <w:rPr>
          <w:rFonts w:ascii="Book Antiqua" w:hAnsi="Book Antiqua" w:cs="Arial"/>
          <w:vertAlign w:val="superscript"/>
          <w:lang w:eastAsia="zh-CN"/>
        </w:rPr>
        <w:t>[22-24]</w:t>
      </w:r>
      <w:r w:rsidRPr="00AD3FC6">
        <w:rPr>
          <w:rFonts w:ascii="Book Antiqua" w:hAnsi="Book Antiqua" w:cs="Arial"/>
        </w:rPr>
        <w:t xml:space="preserve"> and why NOD mice housed in conventional facilities do not develop disease remains unclear</w:t>
      </w:r>
      <w:r w:rsidRPr="00AD3FC6">
        <w:rPr>
          <w:rFonts w:ascii="Book Antiqua" w:hAnsi="Book Antiqua" w:cs="Arial"/>
          <w:vertAlign w:val="superscript"/>
          <w:lang w:eastAsia="zh-CN"/>
        </w:rPr>
        <w:t>[25]</w:t>
      </w:r>
      <w:r w:rsidRPr="00AD3FC6">
        <w:rPr>
          <w:rFonts w:ascii="Book Antiqua" w:hAnsi="Book Antiqua" w:cs="Arial"/>
        </w:rPr>
        <w:t>. It will also be important to understand why inactivation of molecules such as Fas death receptor or its ligand prevents disease in NOD mice</w:t>
      </w:r>
      <w:r w:rsidRPr="00AD3FC6">
        <w:rPr>
          <w:rFonts w:ascii="Book Antiqua" w:hAnsi="Book Antiqua" w:cs="Arial"/>
          <w:vertAlign w:val="superscript"/>
          <w:lang w:eastAsia="zh-CN"/>
        </w:rPr>
        <w:t>[13,16,26-29]</w:t>
      </w:r>
      <w:r w:rsidRPr="00AD3FC6">
        <w:rPr>
          <w:rFonts w:ascii="Book Antiqua" w:hAnsi="Book Antiqua" w:cs="Arial"/>
        </w:rPr>
        <w:t>.  Understanding mechanisms underlying these observations would provide important clues that could potentially facilitate the development of therapeutic strategies with high efficacy rates that are effective in both mice and men.</w:t>
      </w:r>
    </w:p>
    <w:p w:rsidR="00342728" w:rsidRPr="00AD3FC6" w:rsidRDefault="00342728" w:rsidP="00AD3FC6">
      <w:pPr>
        <w:pStyle w:val="a6"/>
        <w:spacing w:before="0" w:beforeAutospacing="0" w:after="0" w:afterAutospacing="0" w:line="360" w:lineRule="auto"/>
        <w:ind w:firstLineChars="200" w:firstLine="480"/>
        <w:jc w:val="both"/>
        <w:rPr>
          <w:rFonts w:ascii="Book Antiqua" w:hAnsi="Book Antiqua" w:cs="Arial"/>
          <w:lang w:eastAsia="zh-CN"/>
        </w:rPr>
      </w:pPr>
    </w:p>
    <w:p w:rsidR="00342728" w:rsidRPr="00AD3FC6" w:rsidRDefault="00342728" w:rsidP="00AD3FC6">
      <w:pPr>
        <w:spacing w:line="360" w:lineRule="auto"/>
        <w:jc w:val="both"/>
        <w:rPr>
          <w:rFonts w:ascii="Book Antiqua" w:hAnsi="Book Antiqua" w:cs="Arial"/>
          <w:lang w:eastAsia="zh-CN"/>
        </w:rPr>
      </w:pPr>
      <w:r w:rsidRPr="00AD3FC6">
        <w:rPr>
          <w:rFonts w:ascii="Book Antiqua" w:hAnsi="Book Antiqua" w:cs="Arial"/>
          <w:b/>
        </w:rPr>
        <w:t>ACKNOWLEDGEMENT</w:t>
      </w:r>
      <w:r w:rsidRPr="00AD3FC6">
        <w:rPr>
          <w:rFonts w:ascii="Book Antiqua" w:hAnsi="Book Antiqua" w:cs="Arial"/>
          <w:b/>
          <w:lang w:eastAsia="zh-CN"/>
        </w:rPr>
        <w:t>S</w:t>
      </w:r>
    </w:p>
    <w:p w:rsidR="00342728" w:rsidRPr="00AD3FC6" w:rsidRDefault="00342728" w:rsidP="00AD3FC6">
      <w:pPr>
        <w:pStyle w:val="DataField11pt-Single"/>
        <w:tabs>
          <w:tab w:val="left" w:pos="720"/>
          <w:tab w:val="left" w:pos="1620"/>
        </w:tabs>
        <w:autoSpaceDE/>
        <w:autoSpaceDN/>
        <w:spacing w:line="360" w:lineRule="auto"/>
        <w:jc w:val="both"/>
        <w:rPr>
          <w:rFonts w:ascii="Book Antiqua" w:hAnsi="Book Antiqua"/>
          <w:sz w:val="24"/>
          <w:szCs w:val="24"/>
        </w:rPr>
      </w:pPr>
      <w:r w:rsidRPr="00AD3FC6">
        <w:rPr>
          <w:rFonts w:ascii="Book Antiqua" w:hAnsi="Book Antiqua"/>
          <w:sz w:val="24"/>
          <w:szCs w:val="24"/>
        </w:rPr>
        <w:t xml:space="preserve">We apologize for not having the opportunity to cite all seminal work describing islet reactive clones and transgenic mice expressing islet antigens. </w:t>
      </w:r>
    </w:p>
    <w:p w:rsidR="00342728" w:rsidRPr="00AD3FC6" w:rsidRDefault="00342728" w:rsidP="00AD3FC6">
      <w:pPr>
        <w:spacing w:line="360" w:lineRule="auto"/>
        <w:jc w:val="both"/>
        <w:rPr>
          <w:rFonts w:ascii="Book Antiqua" w:hAnsi="Book Antiqua" w:cs="Arial"/>
          <w:lang w:eastAsia="zh-CN"/>
        </w:rPr>
      </w:pPr>
    </w:p>
    <w:p w:rsidR="00342728" w:rsidRPr="00AD3FC6" w:rsidRDefault="00342728" w:rsidP="00AD3FC6">
      <w:pPr>
        <w:spacing w:line="360" w:lineRule="auto"/>
        <w:jc w:val="both"/>
        <w:rPr>
          <w:rFonts w:ascii="Book Antiqua" w:hAnsi="Book Antiqua" w:cs="Arial"/>
          <w:kern w:val="36"/>
        </w:rPr>
      </w:pPr>
      <w:r w:rsidRPr="00AD3FC6">
        <w:rPr>
          <w:rFonts w:ascii="Book Antiqua" w:hAnsi="Book Antiqua" w:cs="Arial"/>
          <w:b/>
        </w:rPr>
        <w:t xml:space="preserve">REFERENCES </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 </w:t>
      </w:r>
      <w:r w:rsidRPr="00AD3FC6">
        <w:rPr>
          <w:rFonts w:ascii="Book Antiqua" w:hAnsi="Book Antiqua" w:cs="宋体"/>
          <w:b/>
          <w:bCs/>
          <w:lang w:eastAsia="zh-CN"/>
        </w:rPr>
        <w:t>Makino S</w:t>
      </w:r>
      <w:r w:rsidRPr="00AD3FC6">
        <w:rPr>
          <w:rFonts w:ascii="Book Antiqua" w:hAnsi="Book Antiqua" w:cs="宋体"/>
          <w:lang w:eastAsia="zh-CN"/>
        </w:rPr>
        <w:t xml:space="preserve">, Kunimoto K, Muraoka Y, Mizushima Y, Katagiri K, Tochino Y. Breeding of a non-obese, diabetic strain of mice. </w:t>
      </w:r>
      <w:r w:rsidRPr="00AD3FC6">
        <w:rPr>
          <w:rFonts w:ascii="Book Antiqua" w:hAnsi="Book Antiqua" w:cs="宋体"/>
          <w:i/>
          <w:iCs/>
          <w:lang w:eastAsia="zh-CN"/>
        </w:rPr>
        <w:t>Jikken Dobutsu</w:t>
      </w:r>
      <w:r w:rsidRPr="00AD3FC6">
        <w:rPr>
          <w:rFonts w:ascii="Book Antiqua" w:hAnsi="Book Antiqua" w:cs="宋体"/>
          <w:lang w:eastAsia="zh-CN"/>
        </w:rPr>
        <w:t xml:space="preserve"> 1980; </w:t>
      </w:r>
      <w:r w:rsidRPr="00AD3FC6">
        <w:rPr>
          <w:rFonts w:ascii="Book Antiqua" w:hAnsi="Book Antiqua" w:cs="宋体"/>
          <w:b/>
          <w:bCs/>
          <w:lang w:eastAsia="zh-CN"/>
        </w:rPr>
        <w:t>29</w:t>
      </w:r>
      <w:r w:rsidRPr="00AD3FC6">
        <w:rPr>
          <w:rFonts w:ascii="Book Antiqua" w:hAnsi="Book Antiqua" w:cs="宋体"/>
          <w:lang w:eastAsia="zh-CN"/>
        </w:rPr>
        <w:t>: 1-13 [PMID: 6995140]</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 </w:t>
      </w:r>
      <w:r w:rsidRPr="00AD3FC6">
        <w:rPr>
          <w:rFonts w:ascii="Book Antiqua" w:hAnsi="Book Antiqua" w:cs="宋体"/>
          <w:b/>
          <w:bCs/>
          <w:lang w:eastAsia="zh-CN"/>
        </w:rPr>
        <w:t>Anderson MS</w:t>
      </w:r>
      <w:r w:rsidRPr="00AD3FC6">
        <w:rPr>
          <w:rFonts w:ascii="Book Antiqua" w:hAnsi="Book Antiqua" w:cs="宋体"/>
          <w:lang w:eastAsia="zh-CN"/>
        </w:rPr>
        <w:t xml:space="preserve">, Bluestone JA. The NOD mouse: a model of immune dysregulation. </w:t>
      </w:r>
      <w:r w:rsidRPr="00AD3FC6">
        <w:rPr>
          <w:rFonts w:ascii="Book Antiqua" w:hAnsi="Book Antiqua" w:cs="宋体"/>
          <w:i/>
          <w:iCs/>
          <w:lang w:eastAsia="zh-CN"/>
        </w:rPr>
        <w:t>Annu Rev Immunol</w:t>
      </w:r>
      <w:r w:rsidRPr="00AD3FC6">
        <w:rPr>
          <w:rFonts w:ascii="Book Antiqua" w:hAnsi="Book Antiqua" w:cs="宋体"/>
          <w:lang w:eastAsia="zh-CN"/>
        </w:rPr>
        <w:t xml:space="preserve"> 2005; </w:t>
      </w:r>
      <w:r w:rsidRPr="00AD3FC6">
        <w:rPr>
          <w:rFonts w:ascii="Book Antiqua" w:hAnsi="Book Antiqua" w:cs="宋体"/>
          <w:b/>
          <w:bCs/>
          <w:lang w:eastAsia="zh-CN"/>
        </w:rPr>
        <w:t>23</w:t>
      </w:r>
      <w:r w:rsidRPr="00AD3FC6">
        <w:rPr>
          <w:rFonts w:ascii="Book Antiqua" w:hAnsi="Book Antiqua" w:cs="宋体"/>
          <w:lang w:eastAsia="zh-CN"/>
        </w:rPr>
        <w:t>: 447-485 [PMID: 15771578 DOI: 10.1146/annurev.immunol.23.021704.115643]</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3 </w:t>
      </w:r>
      <w:r w:rsidRPr="00AD3FC6">
        <w:rPr>
          <w:rFonts w:ascii="Book Antiqua" w:hAnsi="Book Antiqua" w:cs="宋体"/>
          <w:b/>
          <w:bCs/>
          <w:lang w:eastAsia="zh-CN"/>
        </w:rPr>
        <w:t>Haskins K</w:t>
      </w:r>
      <w:r w:rsidRPr="00AD3FC6">
        <w:rPr>
          <w:rFonts w:ascii="Book Antiqua" w:hAnsi="Book Antiqua" w:cs="宋体"/>
          <w:lang w:eastAsia="zh-CN"/>
        </w:rPr>
        <w:t xml:space="preserve">. Pathogenic T-cell clones in autoimmune diabetes: more lessons from the NOD mouse. </w:t>
      </w:r>
      <w:r w:rsidRPr="00AD3FC6">
        <w:rPr>
          <w:rFonts w:ascii="Book Antiqua" w:hAnsi="Book Antiqua" w:cs="宋体"/>
          <w:i/>
          <w:iCs/>
          <w:lang w:eastAsia="zh-CN"/>
        </w:rPr>
        <w:t>Adv Immunol</w:t>
      </w:r>
      <w:r w:rsidRPr="00AD3FC6">
        <w:rPr>
          <w:rFonts w:ascii="Book Antiqua" w:hAnsi="Book Antiqua" w:cs="宋体"/>
          <w:lang w:eastAsia="zh-CN"/>
        </w:rPr>
        <w:t xml:space="preserve"> 2005; </w:t>
      </w:r>
      <w:r w:rsidRPr="00AD3FC6">
        <w:rPr>
          <w:rFonts w:ascii="Book Antiqua" w:hAnsi="Book Antiqua" w:cs="宋体"/>
          <w:b/>
          <w:bCs/>
          <w:lang w:eastAsia="zh-CN"/>
        </w:rPr>
        <w:t>87</w:t>
      </w:r>
      <w:r w:rsidRPr="00AD3FC6">
        <w:rPr>
          <w:rFonts w:ascii="Book Antiqua" w:hAnsi="Book Antiqua" w:cs="宋体"/>
          <w:lang w:eastAsia="zh-CN"/>
        </w:rPr>
        <w:t>: 123-162 [PMID: 16102573 DOI: 10.1016/S0065-2776(05)87004-X]</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4 </w:t>
      </w:r>
      <w:r w:rsidRPr="00AD3FC6">
        <w:rPr>
          <w:rFonts w:ascii="Book Antiqua" w:hAnsi="Book Antiqua" w:cs="宋体"/>
          <w:b/>
          <w:bCs/>
          <w:lang w:eastAsia="zh-CN"/>
        </w:rPr>
        <w:t>Haskins K</w:t>
      </w:r>
      <w:r w:rsidRPr="00AD3FC6">
        <w:rPr>
          <w:rFonts w:ascii="Book Antiqua" w:hAnsi="Book Antiqua" w:cs="宋体"/>
          <w:lang w:eastAsia="zh-CN"/>
        </w:rPr>
        <w:t xml:space="preserve">, Wegmann D. Diabetogenic T-cell clones. </w:t>
      </w:r>
      <w:r w:rsidRPr="00AD3FC6">
        <w:rPr>
          <w:rFonts w:ascii="Book Antiqua" w:hAnsi="Book Antiqua" w:cs="宋体"/>
          <w:i/>
          <w:iCs/>
          <w:lang w:eastAsia="zh-CN"/>
        </w:rPr>
        <w:t>Diabetes</w:t>
      </w:r>
      <w:r w:rsidRPr="00AD3FC6">
        <w:rPr>
          <w:rFonts w:ascii="Book Antiqua" w:hAnsi="Book Antiqua" w:cs="宋体"/>
          <w:lang w:eastAsia="zh-CN"/>
        </w:rPr>
        <w:t xml:space="preserve"> 1996; </w:t>
      </w:r>
      <w:r w:rsidRPr="00AD3FC6">
        <w:rPr>
          <w:rFonts w:ascii="Book Antiqua" w:hAnsi="Book Antiqua" w:cs="宋体"/>
          <w:b/>
          <w:bCs/>
          <w:lang w:eastAsia="zh-CN"/>
        </w:rPr>
        <w:t>45</w:t>
      </w:r>
      <w:r w:rsidRPr="00AD3FC6">
        <w:rPr>
          <w:rFonts w:ascii="Book Antiqua" w:hAnsi="Book Antiqua" w:cs="宋体"/>
          <w:lang w:eastAsia="zh-CN"/>
        </w:rPr>
        <w:t>: 1299-1305 [PMID: 8826963 DOI: 10.2337/diabetes.45.10.1299]</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5 </w:t>
      </w:r>
      <w:r w:rsidRPr="00AD3FC6">
        <w:rPr>
          <w:rFonts w:ascii="Book Antiqua" w:hAnsi="Book Antiqua" w:cs="宋体"/>
          <w:b/>
          <w:bCs/>
          <w:lang w:eastAsia="zh-CN"/>
        </w:rPr>
        <w:t>Miller BJ</w:t>
      </w:r>
      <w:r w:rsidRPr="00AD3FC6">
        <w:rPr>
          <w:rFonts w:ascii="Book Antiqua" w:hAnsi="Book Antiqua" w:cs="宋体"/>
          <w:lang w:eastAsia="zh-CN"/>
        </w:rPr>
        <w:t xml:space="preserve">, Appel MC, O'Neil JJ, Wicker LS. Both the Lyt-2+ and L3T4+ T cell subsets are required for the transfer of diabetes in nonobese diabetic mice. </w:t>
      </w:r>
      <w:r w:rsidRPr="00AD3FC6">
        <w:rPr>
          <w:rFonts w:ascii="Book Antiqua" w:hAnsi="Book Antiqua" w:cs="宋体"/>
          <w:i/>
          <w:iCs/>
          <w:lang w:eastAsia="zh-CN"/>
        </w:rPr>
        <w:t>J Immunol</w:t>
      </w:r>
      <w:r w:rsidRPr="00AD3FC6">
        <w:rPr>
          <w:rFonts w:ascii="Book Antiqua" w:hAnsi="Book Antiqua" w:cs="宋体"/>
          <w:lang w:eastAsia="zh-CN"/>
        </w:rPr>
        <w:t xml:space="preserve"> 1988; </w:t>
      </w:r>
      <w:r w:rsidRPr="00AD3FC6">
        <w:rPr>
          <w:rFonts w:ascii="Book Antiqua" w:hAnsi="Book Antiqua" w:cs="宋体"/>
          <w:b/>
          <w:bCs/>
          <w:lang w:eastAsia="zh-CN"/>
        </w:rPr>
        <w:t>140</w:t>
      </w:r>
      <w:r w:rsidRPr="00AD3FC6">
        <w:rPr>
          <w:rFonts w:ascii="Book Antiqua" w:hAnsi="Book Antiqua" w:cs="宋体"/>
          <w:lang w:eastAsia="zh-CN"/>
        </w:rPr>
        <w:t>: 52-58 [PMID: 3275717]</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6 </w:t>
      </w:r>
      <w:r w:rsidRPr="00AD3FC6">
        <w:rPr>
          <w:rFonts w:ascii="Book Antiqua" w:hAnsi="Book Antiqua" w:cs="宋体"/>
          <w:b/>
          <w:bCs/>
          <w:lang w:eastAsia="zh-CN"/>
        </w:rPr>
        <w:t>Phillips JM</w:t>
      </w:r>
      <w:r w:rsidRPr="00AD3FC6">
        <w:rPr>
          <w:rFonts w:ascii="Book Antiqua" w:hAnsi="Book Antiqua" w:cs="宋体"/>
          <w:lang w:eastAsia="zh-CN"/>
        </w:rPr>
        <w:t xml:space="preserve">, Harach SZ, Parish NM, Fehervari Z, Haskins K, Cooke A. Nondepleting anti-CD4 has an immediate action on diabetogenic effector cells, halting their destruction of pancreatic beta cells. </w:t>
      </w:r>
      <w:r w:rsidRPr="00AD3FC6">
        <w:rPr>
          <w:rFonts w:ascii="Book Antiqua" w:hAnsi="Book Antiqua" w:cs="宋体"/>
          <w:i/>
          <w:iCs/>
          <w:lang w:eastAsia="zh-CN"/>
        </w:rPr>
        <w:t>J Immunol</w:t>
      </w:r>
      <w:r w:rsidRPr="00AD3FC6">
        <w:rPr>
          <w:rFonts w:ascii="Book Antiqua" w:hAnsi="Book Antiqua" w:cs="宋体"/>
          <w:lang w:eastAsia="zh-CN"/>
        </w:rPr>
        <w:t xml:space="preserve"> 2000; </w:t>
      </w:r>
      <w:r w:rsidRPr="00AD3FC6">
        <w:rPr>
          <w:rFonts w:ascii="Book Antiqua" w:hAnsi="Book Antiqua" w:cs="宋体"/>
          <w:b/>
          <w:bCs/>
          <w:lang w:eastAsia="zh-CN"/>
        </w:rPr>
        <w:t>165</w:t>
      </w:r>
      <w:r w:rsidRPr="00AD3FC6">
        <w:rPr>
          <w:rFonts w:ascii="Book Antiqua" w:hAnsi="Book Antiqua" w:cs="宋体"/>
          <w:lang w:eastAsia="zh-CN"/>
        </w:rPr>
        <w:t>: 1949-1955 [PMID: 10925277]</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7 </w:t>
      </w:r>
      <w:r w:rsidRPr="00AD3FC6">
        <w:rPr>
          <w:rFonts w:ascii="Book Antiqua" w:hAnsi="Book Antiqua" w:cs="宋体"/>
          <w:b/>
          <w:bCs/>
          <w:lang w:eastAsia="zh-CN"/>
        </w:rPr>
        <w:t>Bendelac A</w:t>
      </w:r>
      <w:r w:rsidRPr="00AD3FC6">
        <w:rPr>
          <w:rFonts w:ascii="Book Antiqua" w:hAnsi="Book Antiqua" w:cs="宋体"/>
          <w:lang w:eastAsia="zh-CN"/>
        </w:rPr>
        <w:t xml:space="preserve">, Carnaud C, Boitard C, Bach JF. Syngeneic transfer of autoimmune diabetes from diabetic NOD mice to healthy neonates. Requirement for both L3T4+ and Lyt-2+ T cells. </w:t>
      </w:r>
      <w:r w:rsidRPr="00AD3FC6">
        <w:rPr>
          <w:rFonts w:ascii="Book Antiqua" w:hAnsi="Book Antiqua" w:cs="宋体"/>
          <w:i/>
          <w:iCs/>
          <w:lang w:eastAsia="zh-CN"/>
        </w:rPr>
        <w:t>J Exp Med</w:t>
      </w:r>
      <w:r w:rsidRPr="00AD3FC6">
        <w:rPr>
          <w:rFonts w:ascii="Book Antiqua" w:hAnsi="Book Antiqua" w:cs="宋体"/>
          <w:lang w:eastAsia="zh-CN"/>
        </w:rPr>
        <w:t xml:space="preserve"> 1987; </w:t>
      </w:r>
      <w:r w:rsidRPr="00AD3FC6">
        <w:rPr>
          <w:rFonts w:ascii="Book Antiqua" w:hAnsi="Book Antiqua" w:cs="宋体"/>
          <w:b/>
          <w:bCs/>
          <w:lang w:eastAsia="zh-CN"/>
        </w:rPr>
        <w:t>166</w:t>
      </w:r>
      <w:r w:rsidRPr="00AD3FC6">
        <w:rPr>
          <w:rFonts w:ascii="Book Antiqua" w:hAnsi="Book Antiqua" w:cs="宋体"/>
          <w:lang w:eastAsia="zh-CN"/>
        </w:rPr>
        <w:t>: 823-832 [PMID: 3309126 DOI: 10.1084/jem.166.4.823]</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8 </w:t>
      </w:r>
      <w:r w:rsidRPr="00AD3FC6">
        <w:rPr>
          <w:rFonts w:ascii="Book Antiqua" w:hAnsi="Book Antiqua" w:cs="宋体"/>
          <w:b/>
          <w:bCs/>
          <w:lang w:eastAsia="zh-CN"/>
        </w:rPr>
        <w:t>Katz JD</w:t>
      </w:r>
      <w:r w:rsidRPr="00AD3FC6">
        <w:rPr>
          <w:rFonts w:ascii="Book Antiqua" w:hAnsi="Book Antiqua" w:cs="宋体"/>
          <w:lang w:eastAsia="zh-CN"/>
        </w:rPr>
        <w:t xml:space="preserve">, Wang B, Haskins K, Benoist C, Mathis D. Following a diabetogenic T cell from genesis through pathogenesis. </w:t>
      </w:r>
      <w:r w:rsidRPr="00AD3FC6">
        <w:rPr>
          <w:rFonts w:ascii="Book Antiqua" w:hAnsi="Book Antiqua" w:cs="宋体"/>
          <w:i/>
          <w:iCs/>
          <w:lang w:eastAsia="zh-CN"/>
        </w:rPr>
        <w:t>Cell</w:t>
      </w:r>
      <w:r w:rsidRPr="00AD3FC6">
        <w:rPr>
          <w:rFonts w:ascii="Book Antiqua" w:hAnsi="Book Antiqua" w:cs="宋体"/>
          <w:lang w:eastAsia="zh-CN"/>
        </w:rPr>
        <w:t xml:space="preserve"> 1993; </w:t>
      </w:r>
      <w:r w:rsidRPr="00AD3FC6">
        <w:rPr>
          <w:rFonts w:ascii="Book Antiqua" w:hAnsi="Book Antiqua" w:cs="宋体"/>
          <w:b/>
          <w:bCs/>
          <w:lang w:eastAsia="zh-CN"/>
        </w:rPr>
        <w:t>74</w:t>
      </w:r>
      <w:r w:rsidRPr="00AD3FC6">
        <w:rPr>
          <w:rFonts w:ascii="Book Antiqua" w:hAnsi="Book Antiqua" w:cs="宋体"/>
          <w:lang w:eastAsia="zh-CN"/>
        </w:rPr>
        <w:t>: 1089-1100 [PMID: 8402882 DOI: 10.1016/0092-8674(93)90730-E]</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9 </w:t>
      </w:r>
      <w:r w:rsidRPr="00AD3FC6">
        <w:rPr>
          <w:rFonts w:ascii="Book Antiqua" w:hAnsi="Book Antiqua" w:cs="宋体"/>
          <w:b/>
          <w:bCs/>
          <w:lang w:eastAsia="zh-CN"/>
        </w:rPr>
        <w:t>Haskins K</w:t>
      </w:r>
      <w:r w:rsidRPr="00AD3FC6">
        <w:rPr>
          <w:rFonts w:ascii="Book Antiqua" w:hAnsi="Book Antiqua" w:cs="宋体"/>
          <w:lang w:eastAsia="zh-CN"/>
        </w:rPr>
        <w:t xml:space="preserve">, Portas M, Bradley B, Wegmann D, Lafferty K. T-lymphocyte clone specific for pancreatic islet antigen. </w:t>
      </w:r>
      <w:r w:rsidRPr="00AD3FC6">
        <w:rPr>
          <w:rFonts w:ascii="Book Antiqua" w:hAnsi="Book Antiqua" w:cs="宋体"/>
          <w:i/>
          <w:iCs/>
          <w:lang w:eastAsia="zh-CN"/>
        </w:rPr>
        <w:t>Diabetes</w:t>
      </w:r>
      <w:r w:rsidRPr="00AD3FC6">
        <w:rPr>
          <w:rFonts w:ascii="Book Antiqua" w:hAnsi="Book Antiqua" w:cs="宋体"/>
          <w:lang w:eastAsia="zh-CN"/>
        </w:rPr>
        <w:t xml:space="preserve"> 1988; </w:t>
      </w:r>
      <w:r w:rsidRPr="00AD3FC6">
        <w:rPr>
          <w:rFonts w:ascii="Book Antiqua" w:hAnsi="Book Antiqua" w:cs="宋体"/>
          <w:b/>
          <w:bCs/>
          <w:lang w:eastAsia="zh-CN"/>
        </w:rPr>
        <w:t>37</w:t>
      </w:r>
      <w:r w:rsidRPr="00AD3FC6">
        <w:rPr>
          <w:rFonts w:ascii="Book Antiqua" w:hAnsi="Book Antiqua" w:cs="宋体"/>
          <w:lang w:eastAsia="zh-CN"/>
        </w:rPr>
        <w:t>: 1444-1448 [PMID: 2458291 DOI: 10.2337/diabetes.37.10.1444]</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10 </w:t>
      </w:r>
      <w:r w:rsidRPr="00AD3FC6">
        <w:rPr>
          <w:rFonts w:ascii="Book Antiqua" w:hAnsi="Book Antiqua" w:cs="宋体"/>
          <w:b/>
          <w:bCs/>
          <w:lang w:eastAsia="zh-CN"/>
        </w:rPr>
        <w:t>Nikoopour E</w:t>
      </w:r>
      <w:r w:rsidRPr="00AD3FC6">
        <w:rPr>
          <w:rFonts w:ascii="Book Antiqua" w:hAnsi="Book Antiqua" w:cs="宋体"/>
          <w:lang w:eastAsia="zh-CN"/>
        </w:rPr>
        <w:t xml:space="preserve">, Sandrock C, Huszarik K, Krougly O, Lee-Chan E, Masteller EL, Bluestone JA, Singh B. Cutting edge: vasostatin-1-derived peptide ChgA29-42 is an antigenic epitope of diabetogenic BDC2.5 T cells in nonobese diabetic mice. </w:t>
      </w:r>
      <w:r w:rsidRPr="00AD3FC6">
        <w:rPr>
          <w:rFonts w:ascii="Book Antiqua" w:hAnsi="Book Antiqua" w:cs="宋体"/>
          <w:i/>
          <w:iCs/>
          <w:lang w:eastAsia="zh-CN"/>
        </w:rPr>
        <w:t>J Immunol</w:t>
      </w:r>
      <w:r w:rsidRPr="00AD3FC6">
        <w:rPr>
          <w:rFonts w:ascii="Book Antiqua" w:hAnsi="Book Antiqua" w:cs="宋体"/>
          <w:lang w:eastAsia="zh-CN"/>
        </w:rPr>
        <w:t xml:space="preserve"> 2011; </w:t>
      </w:r>
      <w:r w:rsidRPr="00AD3FC6">
        <w:rPr>
          <w:rFonts w:ascii="Book Antiqua" w:hAnsi="Book Antiqua" w:cs="宋体"/>
          <w:b/>
          <w:bCs/>
          <w:lang w:eastAsia="zh-CN"/>
        </w:rPr>
        <w:t>186</w:t>
      </w:r>
      <w:r w:rsidRPr="00AD3FC6">
        <w:rPr>
          <w:rFonts w:ascii="Book Antiqua" w:hAnsi="Book Antiqua" w:cs="宋体"/>
          <w:lang w:eastAsia="zh-CN"/>
        </w:rPr>
        <w:t>: 3831-3835 [PMID: 21357258 DOI: 10.4049/jimmunol.1003617]</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lastRenderedPageBreak/>
        <w:t xml:space="preserve">11 </w:t>
      </w:r>
      <w:r w:rsidRPr="00AD3FC6">
        <w:rPr>
          <w:rFonts w:ascii="Book Antiqua" w:hAnsi="Book Antiqua" w:cs="宋体"/>
          <w:b/>
          <w:bCs/>
          <w:lang w:eastAsia="zh-CN"/>
        </w:rPr>
        <w:t>Stadinski BD</w:t>
      </w:r>
      <w:r w:rsidRPr="00AD3FC6">
        <w:rPr>
          <w:rFonts w:ascii="Book Antiqua" w:hAnsi="Book Antiqua" w:cs="宋体"/>
          <w:lang w:eastAsia="zh-CN"/>
        </w:rPr>
        <w:t xml:space="preserve">, Delong T, Reisdorph N, Reisdorph R, Powell RL, Armstrong M, Piganelli JD, Barbour G, Bradley B, Crawford F, Marrack P, Mahata SK, Kappler JW, Haskins K. Chromogranin A is an autoantigen in type 1 diabetes. </w:t>
      </w:r>
      <w:r w:rsidRPr="00AD3FC6">
        <w:rPr>
          <w:rFonts w:ascii="Book Antiqua" w:hAnsi="Book Antiqua" w:cs="宋体"/>
          <w:i/>
          <w:iCs/>
          <w:lang w:eastAsia="zh-CN"/>
        </w:rPr>
        <w:t>Nat Immunol</w:t>
      </w:r>
      <w:r w:rsidRPr="00AD3FC6">
        <w:rPr>
          <w:rFonts w:ascii="Book Antiqua" w:hAnsi="Book Antiqua" w:cs="宋体"/>
          <w:lang w:eastAsia="zh-CN"/>
        </w:rPr>
        <w:t xml:space="preserve"> 2010; </w:t>
      </w:r>
      <w:r w:rsidRPr="00AD3FC6">
        <w:rPr>
          <w:rFonts w:ascii="Book Antiqua" w:hAnsi="Book Antiqua" w:cs="宋体"/>
          <w:b/>
          <w:bCs/>
          <w:lang w:eastAsia="zh-CN"/>
        </w:rPr>
        <w:t>11</w:t>
      </w:r>
      <w:r w:rsidRPr="00AD3FC6">
        <w:rPr>
          <w:rFonts w:ascii="Book Antiqua" w:hAnsi="Book Antiqua" w:cs="宋体"/>
          <w:lang w:eastAsia="zh-CN"/>
        </w:rPr>
        <w:t>: 225-231 [PMID: 20139986 DOI: 10.1038/ni.1844]</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12 </w:t>
      </w:r>
      <w:r w:rsidRPr="00AD3FC6">
        <w:rPr>
          <w:rFonts w:ascii="Book Antiqua" w:hAnsi="Book Antiqua" w:cs="宋体"/>
          <w:b/>
          <w:bCs/>
          <w:lang w:eastAsia="zh-CN"/>
        </w:rPr>
        <w:t>André I</w:t>
      </w:r>
      <w:r w:rsidRPr="00AD3FC6">
        <w:rPr>
          <w:rFonts w:ascii="Book Antiqua" w:hAnsi="Book Antiqua" w:cs="宋体"/>
          <w:lang w:eastAsia="zh-CN"/>
        </w:rPr>
        <w:t xml:space="preserve">, Gonzalez A, Wang B, Katz J, Benoist C, Mathis D. Checkpoints in the progression of autoimmune disease: lessons from diabetes models. </w:t>
      </w:r>
      <w:r w:rsidRPr="00AD3FC6">
        <w:rPr>
          <w:rFonts w:ascii="Book Antiqua" w:hAnsi="Book Antiqua" w:cs="宋体"/>
          <w:i/>
          <w:iCs/>
          <w:lang w:eastAsia="zh-CN"/>
        </w:rPr>
        <w:t>Proc Natl Acad Sci U S A</w:t>
      </w:r>
      <w:r w:rsidRPr="00AD3FC6">
        <w:rPr>
          <w:rFonts w:ascii="Book Antiqua" w:hAnsi="Book Antiqua" w:cs="宋体"/>
          <w:lang w:eastAsia="zh-CN"/>
        </w:rPr>
        <w:t xml:space="preserve"> 1996; </w:t>
      </w:r>
      <w:r w:rsidRPr="00AD3FC6">
        <w:rPr>
          <w:rFonts w:ascii="Book Antiqua" w:hAnsi="Book Antiqua" w:cs="宋体"/>
          <w:b/>
          <w:bCs/>
          <w:lang w:eastAsia="zh-CN"/>
        </w:rPr>
        <w:t>93</w:t>
      </w:r>
      <w:r w:rsidRPr="00AD3FC6">
        <w:rPr>
          <w:rFonts w:ascii="Book Antiqua" w:hAnsi="Book Antiqua" w:cs="宋体"/>
          <w:lang w:eastAsia="zh-CN"/>
        </w:rPr>
        <w:t>: 2260-2263 [PMID: 8637860 DOI: 10.1073/pnas.93.6.2260]</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13 </w:t>
      </w:r>
      <w:r w:rsidRPr="00AD3FC6">
        <w:rPr>
          <w:rFonts w:ascii="Book Antiqua" w:hAnsi="Book Antiqua" w:cs="宋体"/>
          <w:b/>
          <w:bCs/>
          <w:lang w:eastAsia="zh-CN"/>
        </w:rPr>
        <w:t>Mohamood AS</w:t>
      </w:r>
      <w:r w:rsidRPr="00AD3FC6">
        <w:rPr>
          <w:rFonts w:ascii="Book Antiqua" w:hAnsi="Book Antiqua" w:cs="宋体"/>
          <w:lang w:eastAsia="zh-CN"/>
        </w:rPr>
        <w:t xml:space="preserve">, Guler ML, Xiao Z, Zheng D, Hess A, Wang Y, Yagita H, Schneck JP, Hamad AR. Protection from autoimmune diabetes and T-cell lymphoproliferation induced by FasL mutation are differentially regulated and can be uncoupled pharmacologically. </w:t>
      </w:r>
      <w:r w:rsidRPr="00AD3FC6">
        <w:rPr>
          <w:rFonts w:ascii="Book Antiqua" w:hAnsi="Book Antiqua" w:cs="宋体"/>
          <w:i/>
          <w:iCs/>
          <w:lang w:eastAsia="zh-CN"/>
        </w:rPr>
        <w:t>Am J Pathol</w:t>
      </w:r>
      <w:r w:rsidRPr="00AD3FC6">
        <w:rPr>
          <w:rFonts w:ascii="Book Antiqua" w:hAnsi="Book Antiqua" w:cs="宋体"/>
          <w:lang w:eastAsia="zh-CN"/>
        </w:rPr>
        <w:t xml:space="preserve"> 2007; </w:t>
      </w:r>
      <w:r w:rsidRPr="00AD3FC6">
        <w:rPr>
          <w:rFonts w:ascii="Book Antiqua" w:hAnsi="Book Antiqua" w:cs="宋体"/>
          <w:b/>
          <w:bCs/>
          <w:lang w:eastAsia="zh-CN"/>
        </w:rPr>
        <w:t>171</w:t>
      </w:r>
      <w:r w:rsidRPr="00AD3FC6">
        <w:rPr>
          <w:rFonts w:ascii="Book Antiqua" w:hAnsi="Book Antiqua" w:cs="宋体"/>
          <w:lang w:eastAsia="zh-CN"/>
        </w:rPr>
        <w:t>: 97-106 [PMID: 17591957 DOI: 10.2353/ajpath.2007.070148]</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14 </w:t>
      </w:r>
      <w:r w:rsidRPr="00AD3FC6">
        <w:rPr>
          <w:rFonts w:ascii="Book Antiqua" w:hAnsi="Book Antiqua" w:cs="宋体"/>
          <w:b/>
          <w:bCs/>
          <w:lang w:eastAsia="zh-CN"/>
        </w:rPr>
        <w:t>Chatenoud L</w:t>
      </w:r>
      <w:r w:rsidRPr="00AD3FC6">
        <w:rPr>
          <w:rFonts w:ascii="Book Antiqua" w:hAnsi="Book Antiqua" w:cs="宋体"/>
          <w:lang w:eastAsia="zh-CN"/>
        </w:rPr>
        <w:t xml:space="preserve">, Thervet E, Primo J, Bach JF. Anti-CD3 antibody induces long-term remission of overt autoimmunity in nonobese diabetic mice. </w:t>
      </w:r>
      <w:r w:rsidRPr="00AD3FC6">
        <w:rPr>
          <w:rFonts w:ascii="Book Antiqua" w:hAnsi="Book Antiqua" w:cs="宋体"/>
          <w:i/>
          <w:iCs/>
          <w:lang w:eastAsia="zh-CN"/>
        </w:rPr>
        <w:t>Proc Natl Acad Sci U S A</w:t>
      </w:r>
      <w:r w:rsidRPr="00AD3FC6">
        <w:rPr>
          <w:rFonts w:ascii="Book Antiqua" w:hAnsi="Book Antiqua" w:cs="宋体"/>
          <w:lang w:eastAsia="zh-CN"/>
        </w:rPr>
        <w:t xml:space="preserve"> 1994; </w:t>
      </w:r>
      <w:r w:rsidRPr="00AD3FC6">
        <w:rPr>
          <w:rFonts w:ascii="Book Antiqua" w:hAnsi="Book Antiqua" w:cs="宋体"/>
          <w:b/>
          <w:bCs/>
          <w:lang w:eastAsia="zh-CN"/>
        </w:rPr>
        <w:t>91</w:t>
      </w:r>
      <w:r w:rsidRPr="00AD3FC6">
        <w:rPr>
          <w:rFonts w:ascii="Book Antiqua" w:hAnsi="Book Antiqua" w:cs="宋体"/>
          <w:lang w:eastAsia="zh-CN"/>
        </w:rPr>
        <w:t>: 123-127 [PMID: 8278351 DOI: 10.1073/pnas.91.1.123]</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15 </w:t>
      </w:r>
      <w:r w:rsidRPr="00AD3FC6">
        <w:rPr>
          <w:rFonts w:ascii="Book Antiqua" w:hAnsi="Book Antiqua" w:cs="宋体"/>
          <w:b/>
          <w:bCs/>
          <w:lang w:eastAsia="zh-CN"/>
        </w:rPr>
        <w:t>Hu CY</w:t>
      </w:r>
      <w:r w:rsidRPr="00AD3FC6">
        <w:rPr>
          <w:rFonts w:ascii="Book Antiqua" w:hAnsi="Book Antiqua" w:cs="宋体"/>
          <w:lang w:eastAsia="zh-CN"/>
        </w:rPr>
        <w:t xml:space="preserve">, Rodriguez-Pinto D, Du W, Ahuja A, Henegariu O, Wong FS, Shlomchik MJ, Wen L. Treatment with CD20-specific antibody prevents and reverses autoimmune diabetes in mice. </w:t>
      </w:r>
      <w:r w:rsidRPr="00AD3FC6">
        <w:rPr>
          <w:rFonts w:ascii="Book Antiqua" w:hAnsi="Book Antiqua" w:cs="宋体"/>
          <w:i/>
          <w:iCs/>
          <w:lang w:eastAsia="zh-CN"/>
        </w:rPr>
        <w:t>J Clin Invest</w:t>
      </w:r>
      <w:r w:rsidRPr="00AD3FC6">
        <w:rPr>
          <w:rFonts w:ascii="Book Antiqua" w:hAnsi="Book Antiqua" w:cs="宋体"/>
          <w:lang w:eastAsia="zh-CN"/>
        </w:rPr>
        <w:t xml:space="preserve"> 2007; </w:t>
      </w:r>
      <w:r w:rsidRPr="00AD3FC6">
        <w:rPr>
          <w:rFonts w:ascii="Book Antiqua" w:hAnsi="Book Antiqua" w:cs="宋体"/>
          <w:b/>
          <w:bCs/>
          <w:lang w:eastAsia="zh-CN"/>
        </w:rPr>
        <w:t>117</w:t>
      </w:r>
      <w:r w:rsidRPr="00AD3FC6">
        <w:rPr>
          <w:rFonts w:ascii="Book Antiqua" w:hAnsi="Book Antiqua" w:cs="宋体"/>
          <w:lang w:eastAsia="zh-CN"/>
        </w:rPr>
        <w:t>: 3857-3867 [PMID: 18060033 DOI: 10.1172/JCI32405]</w:t>
      </w:r>
    </w:p>
    <w:p w:rsidR="00342728" w:rsidRPr="00AD3FC6" w:rsidRDefault="00342728" w:rsidP="00AD3FC6">
      <w:pPr>
        <w:spacing w:line="360" w:lineRule="auto"/>
        <w:jc w:val="both"/>
        <w:rPr>
          <w:rFonts w:ascii="Book Antiqua" w:hAnsi="Book Antiqua" w:cs="宋体"/>
          <w:lang w:eastAsia="zh-CN"/>
        </w:rPr>
      </w:pPr>
      <w:r w:rsidRPr="00E301B1">
        <w:rPr>
          <w:rFonts w:ascii="Book Antiqua" w:hAnsi="Book Antiqua" w:cs="宋体"/>
          <w:lang w:eastAsia="zh-CN"/>
        </w:rPr>
        <w:t xml:space="preserve">16 </w:t>
      </w:r>
      <w:r w:rsidRPr="00E301B1">
        <w:rPr>
          <w:rFonts w:ascii="Book Antiqua" w:hAnsi="Book Antiqua" w:cs="宋体"/>
          <w:b/>
          <w:lang w:eastAsia="zh-CN"/>
        </w:rPr>
        <w:t xml:space="preserve"> Gutfreund R,</w:t>
      </w:r>
      <w:r w:rsidRPr="00E301B1">
        <w:rPr>
          <w:rFonts w:ascii="Book Antiqua" w:hAnsi="Book Antiqua" w:cs="宋体"/>
          <w:lang w:eastAsia="zh-CN"/>
        </w:rPr>
        <w:t xml:space="preserve"> Hamad AR. Immunotherapy for Type 1 Diabetes: Necessity, Challenges and Unconventional Opportunities. International Conference on Innovative Computing Technology 2011: 409-424</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17 </w:t>
      </w:r>
      <w:r w:rsidRPr="00AD3FC6">
        <w:rPr>
          <w:rFonts w:ascii="Book Antiqua" w:hAnsi="Book Antiqua" w:cs="宋体"/>
          <w:b/>
          <w:bCs/>
          <w:lang w:eastAsia="zh-CN"/>
        </w:rPr>
        <w:t>Staeva TP</w:t>
      </w:r>
      <w:r w:rsidRPr="00AD3FC6">
        <w:rPr>
          <w:rFonts w:ascii="Book Antiqua" w:hAnsi="Book Antiqua" w:cs="宋体"/>
          <w:lang w:eastAsia="zh-CN"/>
        </w:rPr>
        <w:t xml:space="preserve">, Chatenoud L, Insel R, Atkinson MA. Recent lessons learned from prevention and recent-onset type 1 diabetes immunotherapy trials. </w:t>
      </w:r>
      <w:r w:rsidRPr="00AD3FC6">
        <w:rPr>
          <w:rFonts w:ascii="Book Antiqua" w:hAnsi="Book Antiqua" w:cs="宋体"/>
          <w:i/>
          <w:iCs/>
          <w:lang w:eastAsia="zh-CN"/>
        </w:rPr>
        <w:t>Diabetes</w:t>
      </w:r>
      <w:r w:rsidRPr="00AD3FC6">
        <w:rPr>
          <w:rFonts w:ascii="Book Antiqua" w:hAnsi="Book Antiqua" w:cs="宋体"/>
          <w:lang w:eastAsia="zh-CN"/>
        </w:rPr>
        <w:t xml:space="preserve"> 2013; </w:t>
      </w:r>
      <w:r w:rsidRPr="00AD3FC6">
        <w:rPr>
          <w:rFonts w:ascii="Book Antiqua" w:hAnsi="Book Antiqua" w:cs="宋体"/>
          <w:b/>
          <w:bCs/>
          <w:lang w:eastAsia="zh-CN"/>
        </w:rPr>
        <w:t>62</w:t>
      </w:r>
      <w:r w:rsidRPr="00AD3FC6">
        <w:rPr>
          <w:rFonts w:ascii="Book Antiqua" w:hAnsi="Book Antiqua" w:cs="宋体"/>
          <w:lang w:eastAsia="zh-CN"/>
        </w:rPr>
        <w:t>: 9-17 [PMID: 23258904 DOI: 10.2337/db12-0562]</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18 </w:t>
      </w:r>
      <w:r w:rsidRPr="00AD3FC6">
        <w:rPr>
          <w:rFonts w:ascii="Book Antiqua" w:hAnsi="Book Antiqua" w:cs="宋体"/>
          <w:b/>
          <w:bCs/>
          <w:lang w:eastAsia="zh-CN"/>
        </w:rPr>
        <w:t>Michels AW</w:t>
      </w:r>
      <w:r w:rsidRPr="00AD3FC6">
        <w:rPr>
          <w:rFonts w:ascii="Book Antiqua" w:hAnsi="Book Antiqua" w:cs="宋体"/>
          <w:lang w:eastAsia="zh-CN"/>
        </w:rPr>
        <w:t xml:space="preserve">, von Herrath M. 2011 Update: antigen-specific therapy in type 1 diabetes. </w:t>
      </w:r>
      <w:r w:rsidRPr="00AD3FC6">
        <w:rPr>
          <w:rFonts w:ascii="Book Antiqua" w:hAnsi="Book Antiqua" w:cs="宋体"/>
          <w:i/>
          <w:iCs/>
          <w:lang w:eastAsia="zh-CN"/>
        </w:rPr>
        <w:t>Curr Opin Endocrinol Diabetes Obes</w:t>
      </w:r>
      <w:r w:rsidRPr="00AD3FC6">
        <w:rPr>
          <w:rFonts w:ascii="Book Antiqua" w:hAnsi="Book Antiqua" w:cs="宋体"/>
          <w:lang w:eastAsia="zh-CN"/>
        </w:rPr>
        <w:t xml:space="preserve"> 2011; </w:t>
      </w:r>
      <w:r w:rsidRPr="00AD3FC6">
        <w:rPr>
          <w:rFonts w:ascii="Book Antiqua" w:hAnsi="Book Antiqua" w:cs="宋体"/>
          <w:b/>
          <w:bCs/>
          <w:lang w:eastAsia="zh-CN"/>
        </w:rPr>
        <w:t>18</w:t>
      </w:r>
      <w:r w:rsidRPr="00AD3FC6">
        <w:rPr>
          <w:rFonts w:ascii="Book Antiqua" w:hAnsi="Book Antiqua" w:cs="宋体"/>
          <w:lang w:eastAsia="zh-CN"/>
        </w:rPr>
        <w:t>: 235-240 [PMID: 21844706 DOI: 10.1097/MED.0b013e32834803ae]</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19 </w:t>
      </w:r>
      <w:r w:rsidRPr="00AD3FC6">
        <w:rPr>
          <w:rFonts w:ascii="Book Antiqua" w:hAnsi="Book Antiqua" w:cs="宋体"/>
          <w:b/>
          <w:bCs/>
          <w:lang w:eastAsia="zh-CN"/>
        </w:rPr>
        <w:t>Wicker LS</w:t>
      </w:r>
      <w:r w:rsidRPr="00AD3FC6">
        <w:rPr>
          <w:rFonts w:ascii="Book Antiqua" w:hAnsi="Book Antiqua" w:cs="宋体"/>
          <w:lang w:eastAsia="zh-CN"/>
        </w:rPr>
        <w:t xml:space="preserve">, Todd JA, Peterson LB. Genetic control of autoimmune diabetes in the NOD mouse. </w:t>
      </w:r>
      <w:r w:rsidRPr="00AD3FC6">
        <w:rPr>
          <w:rFonts w:ascii="Book Antiqua" w:hAnsi="Book Antiqua" w:cs="宋体"/>
          <w:i/>
          <w:iCs/>
          <w:lang w:eastAsia="zh-CN"/>
        </w:rPr>
        <w:t>Annu Rev Immunol</w:t>
      </w:r>
      <w:r w:rsidRPr="00AD3FC6">
        <w:rPr>
          <w:rFonts w:ascii="Book Antiqua" w:hAnsi="Book Antiqua" w:cs="宋体"/>
          <w:lang w:eastAsia="zh-CN"/>
        </w:rPr>
        <w:t xml:space="preserve"> 1995; </w:t>
      </w:r>
      <w:r w:rsidRPr="00AD3FC6">
        <w:rPr>
          <w:rFonts w:ascii="Book Antiqua" w:hAnsi="Book Antiqua" w:cs="宋体"/>
          <w:b/>
          <w:bCs/>
          <w:lang w:eastAsia="zh-CN"/>
        </w:rPr>
        <w:t>13</w:t>
      </w:r>
      <w:r w:rsidRPr="00AD3FC6">
        <w:rPr>
          <w:rFonts w:ascii="Book Antiqua" w:hAnsi="Book Antiqua" w:cs="宋体"/>
          <w:lang w:eastAsia="zh-CN"/>
        </w:rPr>
        <w:t>: 179-200 [PMID: 7612220 DOI: 10.1146/annurev.iy.13.040195.001143]</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20 </w:t>
      </w:r>
      <w:r w:rsidRPr="00AD3FC6">
        <w:rPr>
          <w:rFonts w:ascii="Book Antiqua" w:hAnsi="Book Antiqua" w:cs="宋体"/>
          <w:b/>
          <w:bCs/>
          <w:lang w:eastAsia="zh-CN"/>
        </w:rPr>
        <w:t>Chervonsky A</w:t>
      </w:r>
      <w:r w:rsidRPr="00AD3FC6">
        <w:rPr>
          <w:rFonts w:ascii="Book Antiqua" w:hAnsi="Book Antiqua" w:cs="宋体"/>
          <w:lang w:eastAsia="zh-CN"/>
        </w:rPr>
        <w:t xml:space="preserve">. Innate receptors and microbes in induction of autoimmunity. </w:t>
      </w:r>
      <w:r w:rsidRPr="00AD3FC6">
        <w:rPr>
          <w:rFonts w:ascii="Book Antiqua" w:hAnsi="Book Antiqua" w:cs="宋体"/>
          <w:i/>
          <w:iCs/>
          <w:lang w:eastAsia="zh-CN"/>
        </w:rPr>
        <w:t>Curr Opin Immunol</w:t>
      </w:r>
      <w:r w:rsidRPr="00AD3FC6">
        <w:rPr>
          <w:rFonts w:ascii="Book Antiqua" w:hAnsi="Book Antiqua" w:cs="宋体"/>
          <w:lang w:eastAsia="zh-CN"/>
        </w:rPr>
        <w:t xml:space="preserve"> 2009; </w:t>
      </w:r>
      <w:r w:rsidRPr="00AD3FC6">
        <w:rPr>
          <w:rFonts w:ascii="Book Antiqua" w:hAnsi="Book Antiqua" w:cs="宋体"/>
          <w:b/>
          <w:bCs/>
          <w:lang w:eastAsia="zh-CN"/>
        </w:rPr>
        <w:t>21</w:t>
      </w:r>
      <w:r w:rsidRPr="00AD3FC6">
        <w:rPr>
          <w:rFonts w:ascii="Book Antiqua" w:hAnsi="Book Antiqua" w:cs="宋体"/>
          <w:lang w:eastAsia="zh-CN"/>
        </w:rPr>
        <w:t>: 641-647 [PMID: 19747810 DOI: 10.1016/j.coi.2009.08.003]</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lastRenderedPageBreak/>
        <w:t xml:space="preserve">21 </w:t>
      </w:r>
      <w:r w:rsidRPr="00AD3FC6">
        <w:rPr>
          <w:rFonts w:ascii="Book Antiqua" w:hAnsi="Book Antiqua" w:cs="宋体"/>
          <w:b/>
          <w:bCs/>
          <w:lang w:eastAsia="zh-CN"/>
        </w:rPr>
        <w:t>Bresson D</w:t>
      </w:r>
      <w:r w:rsidRPr="00AD3FC6">
        <w:rPr>
          <w:rFonts w:ascii="Book Antiqua" w:hAnsi="Book Antiqua" w:cs="宋体"/>
          <w:lang w:eastAsia="zh-CN"/>
        </w:rPr>
        <w:t xml:space="preserve">, Togher L, Rodrigo E, Chen Y, Bluestone JA, Herold KC, von Herrath M. Anti-CD3 and nasal proinsulin combination therapy enhances remission from recent-onset autoimmune diabetes by inducing Tregs. </w:t>
      </w:r>
      <w:r w:rsidRPr="00AD3FC6">
        <w:rPr>
          <w:rFonts w:ascii="Book Antiqua" w:hAnsi="Book Antiqua" w:cs="宋体"/>
          <w:i/>
          <w:iCs/>
          <w:lang w:eastAsia="zh-CN"/>
        </w:rPr>
        <w:t>J Clin Invest</w:t>
      </w:r>
      <w:r w:rsidRPr="00AD3FC6">
        <w:rPr>
          <w:rFonts w:ascii="Book Antiqua" w:hAnsi="Book Antiqua" w:cs="宋体"/>
          <w:lang w:eastAsia="zh-CN"/>
        </w:rPr>
        <w:t xml:space="preserve"> 2006; </w:t>
      </w:r>
      <w:r w:rsidRPr="00AD3FC6">
        <w:rPr>
          <w:rFonts w:ascii="Book Antiqua" w:hAnsi="Book Antiqua" w:cs="宋体"/>
          <w:b/>
          <w:bCs/>
          <w:lang w:eastAsia="zh-CN"/>
        </w:rPr>
        <w:t>116</w:t>
      </w:r>
      <w:r w:rsidRPr="00AD3FC6">
        <w:rPr>
          <w:rFonts w:ascii="Book Antiqua" w:hAnsi="Book Antiqua" w:cs="宋体"/>
          <w:lang w:eastAsia="zh-CN"/>
        </w:rPr>
        <w:t>: 1371-1381 [PMID: 16628253 DOI: 10.1172/JCI27191]</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22 </w:t>
      </w:r>
      <w:r w:rsidRPr="00AD3FC6">
        <w:rPr>
          <w:rFonts w:ascii="Book Antiqua" w:hAnsi="Book Antiqua" w:cs="宋体"/>
          <w:b/>
          <w:bCs/>
          <w:lang w:eastAsia="zh-CN"/>
        </w:rPr>
        <w:t>Ivakine EA</w:t>
      </w:r>
      <w:r w:rsidRPr="00AD3FC6">
        <w:rPr>
          <w:rFonts w:ascii="Book Antiqua" w:hAnsi="Book Antiqua" w:cs="宋体"/>
          <w:lang w:eastAsia="zh-CN"/>
        </w:rPr>
        <w:t xml:space="preserve">, Fox CJ, Paterson AD, Mortin-Toth SM, Canty A, Walton DS, Aleksa K, Ito S, Danska JS. Sex-specific effect of insulin-dependent diabetes 4 on regulation of diabetes pathogenesis in the nonobese diabetic mouse. </w:t>
      </w:r>
      <w:r w:rsidRPr="00AD3FC6">
        <w:rPr>
          <w:rFonts w:ascii="Book Antiqua" w:hAnsi="Book Antiqua" w:cs="宋体"/>
          <w:i/>
          <w:iCs/>
          <w:lang w:eastAsia="zh-CN"/>
        </w:rPr>
        <w:t>J Immunol</w:t>
      </w:r>
      <w:r w:rsidRPr="00AD3FC6">
        <w:rPr>
          <w:rFonts w:ascii="Book Antiqua" w:hAnsi="Book Antiqua" w:cs="宋体"/>
          <w:lang w:eastAsia="zh-CN"/>
        </w:rPr>
        <w:t xml:space="preserve"> 2005; </w:t>
      </w:r>
      <w:r w:rsidRPr="00AD3FC6">
        <w:rPr>
          <w:rFonts w:ascii="Book Antiqua" w:hAnsi="Book Antiqua" w:cs="宋体"/>
          <w:b/>
          <w:bCs/>
          <w:lang w:eastAsia="zh-CN"/>
        </w:rPr>
        <w:t>174</w:t>
      </w:r>
      <w:r w:rsidRPr="00AD3FC6">
        <w:rPr>
          <w:rFonts w:ascii="Book Antiqua" w:hAnsi="Book Antiqua" w:cs="宋体"/>
          <w:lang w:eastAsia="zh-CN"/>
        </w:rPr>
        <w:t>: 7129-7140 [PMID: 15905556]</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23 </w:t>
      </w:r>
      <w:r w:rsidRPr="00AD3FC6">
        <w:rPr>
          <w:rFonts w:ascii="Book Antiqua" w:hAnsi="Book Antiqua" w:cs="宋体"/>
          <w:b/>
          <w:bCs/>
          <w:lang w:eastAsia="zh-CN"/>
        </w:rPr>
        <w:t>Ivakine EA</w:t>
      </w:r>
      <w:r w:rsidRPr="00AD3FC6">
        <w:rPr>
          <w:rFonts w:ascii="Book Antiqua" w:hAnsi="Book Antiqua" w:cs="宋体"/>
          <w:lang w:eastAsia="zh-CN"/>
        </w:rPr>
        <w:t xml:space="preserve">, Mortin-Toth SM, Gulban OM, Valova A, Canty A, Scott C, Danska JS. The idd4 locus displays sex-specific epistatic effects on type 1 diabetes susceptibility in nonobese diabetic mice. </w:t>
      </w:r>
      <w:r w:rsidRPr="00AD3FC6">
        <w:rPr>
          <w:rFonts w:ascii="Book Antiqua" w:hAnsi="Book Antiqua" w:cs="宋体"/>
          <w:i/>
          <w:iCs/>
          <w:lang w:eastAsia="zh-CN"/>
        </w:rPr>
        <w:t>Diabetes</w:t>
      </w:r>
      <w:r w:rsidRPr="00AD3FC6">
        <w:rPr>
          <w:rFonts w:ascii="Book Antiqua" w:hAnsi="Book Antiqua" w:cs="宋体"/>
          <w:lang w:eastAsia="zh-CN"/>
        </w:rPr>
        <w:t xml:space="preserve"> 2006; </w:t>
      </w:r>
      <w:r w:rsidRPr="00AD3FC6">
        <w:rPr>
          <w:rFonts w:ascii="Book Antiqua" w:hAnsi="Book Antiqua" w:cs="宋体"/>
          <w:b/>
          <w:bCs/>
          <w:lang w:eastAsia="zh-CN"/>
        </w:rPr>
        <w:t>55</w:t>
      </w:r>
      <w:r w:rsidRPr="00AD3FC6">
        <w:rPr>
          <w:rFonts w:ascii="Book Antiqua" w:hAnsi="Book Antiqua" w:cs="宋体"/>
          <w:lang w:eastAsia="zh-CN"/>
        </w:rPr>
        <w:t>: 3611-3619 [PMID: 17130511 DOI: 10.2337/db06-0758]</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24 </w:t>
      </w:r>
      <w:r w:rsidRPr="00AD3FC6">
        <w:rPr>
          <w:rFonts w:ascii="Book Antiqua" w:hAnsi="Book Antiqua" w:cs="宋体"/>
          <w:b/>
          <w:bCs/>
          <w:lang w:eastAsia="zh-CN"/>
        </w:rPr>
        <w:t>Markle JG</w:t>
      </w:r>
      <w:r w:rsidRPr="00AD3FC6">
        <w:rPr>
          <w:rFonts w:ascii="Book Antiqua" w:hAnsi="Book Antiqua" w:cs="宋体"/>
          <w:lang w:eastAsia="zh-CN"/>
        </w:rPr>
        <w:t xml:space="preserve">, Frank DN, Mortin-Toth S, Robertson CE, Feazel LM, Rolle-Kampczyk U, von Bergen M, McCoy KD, Macpherson AJ, Danska JS. Sex differences in the gut microbiome drive hormone-dependent regulation of autoimmunity. </w:t>
      </w:r>
      <w:r w:rsidRPr="00AD3FC6">
        <w:rPr>
          <w:rFonts w:ascii="Book Antiqua" w:hAnsi="Book Antiqua" w:cs="宋体"/>
          <w:i/>
          <w:iCs/>
          <w:lang w:eastAsia="zh-CN"/>
        </w:rPr>
        <w:t>Science</w:t>
      </w:r>
      <w:r w:rsidRPr="00AD3FC6">
        <w:rPr>
          <w:rFonts w:ascii="Book Antiqua" w:hAnsi="Book Antiqua" w:cs="宋体"/>
          <w:lang w:eastAsia="zh-CN"/>
        </w:rPr>
        <w:t xml:space="preserve"> 2013; </w:t>
      </w:r>
      <w:r w:rsidRPr="00AD3FC6">
        <w:rPr>
          <w:rFonts w:ascii="Book Antiqua" w:hAnsi="Book Antiqua" w:cs="宋体"/>
          <w:b/>
          <w:bCs/>
          <w:lang w:eastAsia="zh-CN"/>
        </w:rPr>
        <w:t>339</w:t>
      </w:r>
      <w:r w:rsidRPr="00AD3FC6">
        <w:rPr>
          <w:rFonts w:ascii="Book Antiqua" w:hAnsi="Book Antiqua" w:cs="宋体"/>
          <w:lang w:eastAsia="zh-CN"/>
        </w:rPr>
        <w:t>: 1084-1088 [PMID: 23328391 DOI: 10.1126/science.1233521]</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25 </w:t>
      </w:r>
      <w:r w:rsidRPr="00AD3FC6">
        <w:rPr>
          <w:rFonts w:ascii="Book Antiqua" w:hAnsi="Book Antiqua" w:cs="宋体"/>
          <w:b/>
          <w:bCs/>
          <w:lang w:eastAsia="zh-CN"/>
        </w:rPr>
        <w:t>Wen L</w:t>
      </w:r>
      <w:r w:rsidRPr="00AD3FC6">
        <w:rPr>
          <w:rFonts w:ascii="Book Antiqua" w:hAnsi="Book Antiqua" w:cs="宋体"/>
          <w:lang w:eastAsia="zh-CN"/>
        </w:rPr>
        <w:t xml:space="preserve">, Ley RE, Volchkov PY, Stranges PB, Avanesyan L, Stonebraker AC, Hu C, Wong FS, Szot GL, Bluestone JA, Gordon JI, Chervonsky AV. Innate immunity and intestinal microbiota in the development of Type 1 diabetes. </w:t>
      </w:r>
      <w:r w:rsidRPr="00AD3FC6">
        <w:rPr>
          <w:rFonts w:ascii="Book Antiqua" w:hAnsi="Book Antiqua" w:cs="宋体"/>
          <w:i/>
          <w:iCs/>
          <w:lang w:eastAsia="zh-CN"/>
        </w:rPr>
        <w:t>Nature</w:t>
      </w:r>
      <w:r w:rsidRPr="00AD3FC6">
        <w:rPr>
          <w:rFonts w:ascii="Book Antiqua" w:hAnsi="Book Antiqua" w:cs="宋体"/>
          <w:lang w:eastAsia="zh-CN"/>
        </w:rPr>
        <w:t xml:space="preserve"> 2008; </w:t>
      </w:r>
      <w:r w:rsidRPr="00AD3FC6">
        <w:rPr>
          <w:rFonts w:ascii="Book Antiqua" w:hAnsi="Book Antiqua" w:cs="宋体"/>
          <w:b/>
          <w:bCs/>
          <w:lang w:eastAsia="zh-CN"/>
        </w:rPr>
        <w:t>455</w:t>
      </w:r>
      <w:r w:rsidRPr="00AD3FC6">
        <w:rPr>
          <w:rFonts w:ascii="Book Antiqua" w:hAnsi="Book Antiqua" w:cs="宋体"/>
          <w:lang w:eastAsia="zh-CN"/>
        </w:rPr>
        <w:t>: 1109-1113 [PMID: 18806780 DOI: 10.1038/nature07336]</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26 </w:t>
      </w:r>
      <w:r w:rsidRPr="00AD3FC6">
        <w:rPr>
          <w:rFonts w:ascii="Book Antiqua" w:hAnsi="Book Antiqua" w:cs="宋体"/>
          <w:b/>
          <w:bCs/>
          <w:lang w:eastAsia="zh-CN"/>
        </w:rPr>
        <w:t>Brunner T</w:t>
      </w:r>
      <w:r w:rsidRPr="00AD3FC6">
        <w:rPr>
          <w:rFonts w:ascii="Book Antiqua" w:hAnsi="Book Antiqua" w:cs="宋体"/>
          <w:lang w:eastAsia="zh-CN"/>
        </w:rPr>
        <w:t xml:space="preserve">, Mogil RJ, LaFace D, Yoo NJ, Mahboubi A, Echeverri F, Martin SJ, Force WR, Lynch DH, Ware CF. Cell-autonomous Fas (CD95)/Fas-ligand interaction mediates activation-induced apoptosis in T-cell hybridomas. </w:t>
      </w:r>
      <w:r w:rsidRPr="00AD3FC6">
        <w:rPr>
          <w:rFonts w:ascii="Book Antiqua" w:hAnsi="Book Antiqua" w:cs="宋体"/>
          <w:i/>
          <w:iCs/>
          <w:lang w:eastAsia="zh-CN"/>
        </w:rPr>
        <w:t>Nature</w:t>
      </w:r>
      <w:r w:rsidRPr="00AD3FC6">
        <w:rPr>
          <w:rFonts w:ascii="Book Antiqua" w:hAnsi="Book Antiqua" w:cs="宋体"/>
          <w:lang w:eastAsia="zh-CN"/>
        </w:rPr>
        <w:t xml:space="preserve"> 1995; </w:t>
      </w:r>
      <w:r w:rsidRPr="00AD3FC6">
        <w:rPr>
          <w:rFonts w:ascii="Book Antiqua" w:hAnsi="Book Antiqua" w:cs="宋体"/>
          <w:b/>
          <w:bCs/>
          <w:lang w:eastAsia="zh-CN"/>
        </w:rPr>
        <w:t>373</w:t>
      </w:r>
      <w:r w:rsidRPr="00AD3FC6">
        <w:rPr>
          <w:rFonts w:ascii="Book Antiqua" w:hAnsi="Book Antiqua" w:cs="宋体"/>
          <w:lang w:eastAsia="zh-CN"/>
        </w:rPr>
        <w:t>: 441-444 [PMID: 7530336 DOI: 10.1038/373441a0]</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27 </w:t>
      </w:r>
      <w:r w:rsidRPr="00AD3FC6">
        <w:rPr>
          <w:rFonts w:ascii="Book Antiqua" w:hAnsi="Book Antiqua" w:cs="宋体"/>
          <w:b/>
          <w:bCs/>
          <w:lang w:eastAsia="zh-CN"/>
        </w:rPr>
        <w:t>Desbarats J</w:t>
      </w:r>
      <w:r w:rsidRPr="00AD3FC6">
        <w:rPr>
          <w:rFonts w:ascii="Book Antiqua" w:hAnsi="Book Antiqua" w:cs="宋体"/>
          <w:lang w:eastAsia="zh-CN"/>
        </w:rPr>
        <w:t xml:space="preserve">, Duke RC, Newell MK. Newly discovered role for Fas ligand in the cell-cycle arrest of CD4+ T cells. </w:t>
      </w:r>
      <w:r w:rsidRPr="00AD3FC6">
        <w:rPr>
          <w:rFonts w:ascii="Book Antiqua" w:hAnsi="Book Antiqua" w:cs="宋体"/>
          <w:i/>
          <w:iCs/>
          <w:lang w:eastAsia="zh-CN"/>
        </w:rPr>
        <w:t>Nat Med</w:t>
      </w:r>
      <w:r w:rsidRPr="00AD3FC6">
        <w:rPr>
          <w:rFonts w:ascii="Book Antiqua" w:hAnsi="Book Antiqua" w:cs="宋体"/>
          <w:lang w:eastAsia="zh-CN"/>
        </w:rPr>
        <w:t xml:space="preserve"> 1998; </w:t>
      </w:r>
      <w:r w:rsidRPr="00AD3FC6">
        <w:rPr>
          <w:rFonts w:ascii="Book Antiqua" w:hAnsi="Book Antiqua" w:cs="宋体"/>
          <w:b/>
          <w:bCs/>
          <w:lang w:eastAsia="zh-CN"/>
        </w:rPr>
        <w:t>4</w:t>
      </w:r>
      <w:r w:rsidRPr="00AD3FC6">
        <w:rPr>
          <w:rFonts w:ascii="Book Antiqua" w:hAnsi="Book Antiqua" w:cs="宋体"/>
          <w:lang w:eastAsia="zh-CN"/>
        </w:rPr>
        <w:t>: 1377-1382 [PMID: 9846574 DOI: 10.1038/3965]</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28 </w:t>
      </w:r>
      <w:r w:rsidRPr="00AD3FC6">
        <w:rPr>
          <w:rFonts w:ascii="Book Antiqua" w:hAnsi="Book Antiqua" w:cs="宋体"/>
          <w:b/>
          <w:bCs/>
          <w:lang w:eastAsia="zh-CN"/>
        </w:rPr>
        <w:t>Atkinson MA</w:t>
      </w:r>
      <w:r w:rsidRPr="00AD3FC6">
        <w:rPr>
          <w:rFonts w:ascii="Book Antiqua" w:hAnsi="Book Antiqua" w:cs="宋体"/>
          <w:lang w:eastAsia="zh-CN"/>
        </w:rPr>
        <w:t xml:space="preserve">, Bluestone JA, Eisenbarth GS, Hebrok M, Herold KC, Accili D, Pietropaolo M, Arvan PR, Von Herrath M, Markel DS, Rhodes CJ. How does type 1 diabetes develop?: the notion of homicide or β-cell suicide revisited. </w:t>
      </w:r>
      <w:r w:rsidRPr="00AD3FC6">
        <w:rPr>
          <w:rFonts w:ascii="Book Antiqua" w:hAnsi="Book Antiqua" w:cs="宋体"/>
          <w:i/>
          <w:iCs/>
          <w:lang w:eastAsia="zh-CN"/>
        </w:rPr>
        <w:t>Diabetes</w:t>
      </w:r>
      <w:r w:rsidRPr="00AD3FC6">
        <w:rPr>
          <w:rFonts w:ascii="Book Antiqua" w:hAnsi="Book Antiqua" w:cs="宋体"/>
          <w:lang w:eastAsia="zh-CN"/>
        </w:rPr>
        <w:t xml:space="preserve"> 2011; </w:t>
      </w:r>
      <w:r w:rsidRPr="00AD3FC6">
        <w:rPr>
          <w:rFonts w:ascii="Book Antiqua" w:hAnsi="Book Antiqua" w:cs="宋体"/>
          <w:b/>
          <w:bCs/>
          <w:lang w:eastAsia="zh-CN"/>
        </w:rPr>
        <w:t>60</w:t>
      </w:r>
      <w:r w:rsidRPr="00AD3FC6">
        <w:rPr>
          <w:rFonts w:ascii="Book Antiqua" w:hAnsi="Book Antiqua" w:cs="宋体"/>
          <w:lang w:eastAsia="zh-CN"/>
        </w:rPr>
        <w:t>: 1370-1379 [PMID: 21525508 DOI: 10.2337/db10-1797]</w:t>
      </w:r>
    </w:p>
    <w:p w:rsidR="00342728" w:rsidRPr="00AD3FC6" w:rsidRDefault="00342728" w:rsidP="00AD3FC6">
      <w:pPr>
        <w:spacing w:line="360" w:lineRule="auto"/>
        <w:jc w:val="both"/>
        <w:rPr>
          <w:rFonts w:ascii="Book Antiqua" w:hAnsi="Book Antiqua" w:cs="宋体"/>
          <w:lang w:eastAsia="zh-CN"/>
        </w:rPr>
      </w:pPr>
      <w:r w:rsidRPr="00AD3FC6">
        <w:rPr>
          <w:rFonts w:ascii="Book Antiqua" w:hAnsi="Book Antiqua" w:cs="宋体"/>
          <w:lang w:eastAsia="zh-CN"/>
        </w:rPr>
        <w:t xml:space="preserve">29 </w:t>
      </w:r>
      <w:r w:rsidRPr="00AD3FC6">
        <w:rPr>
          <w:rFonts w:ascii="Book Antiqua" w:hAnsi="Book Antiqua" w:cs="宋体"/>
          <w:b/>
          <w:bCs/>
          <w:lang w:eastAsia="zh-CN"/>
        </w:rPr>
        <w:t>von Herrath M</w:t>
      </w:r>
      <w:r w:rsidRPr="00AD3FC6">
        <w:rPr>
          <w:rFonts w:ascii="Book Antiqua" w:hAnsi="Book Antiqua" w:cs="宋体"/>
          <w:lang w:eastAsia="zh-CN"/>
        </w:rPr>
        <w:t xml:space="preserve">. Combination therapies for type 1 diabetes: why not now? </w:t>
      </w:r>
      <w:r w:rsidRPr="00AD3FC6">
        <w:rPr>
          <w:rFonts w:ascii="Book Antiqua" w:hAnsi="Book Antiqua" w:cs="宋体"/>
          <w:i/>
          <w:iCs/>
          <w:lang w:eastAsia="zh-CN"/>
        </w:rPr>
        <w:t>Immunotherapy</w:t>
      </w:r>
      <w:r w:rsidRPr="00AD3FC6">
        <w:rPr>
          <w:rFonts w:ascii="Book Antiqua" w:hAnsi="Book Antiqua" w:cs="宋体"/>
          <w:lang w:eastAsia="zh-CN"/>
        </w:rPr>
        <w:t xml:space="preserve"> 2010; </w:t>
      </w:r>
      <w:r w:rsidRPr="00AD3FC6">
        <w:rPr>
          <w:rFonts w:ascii="Book Antiqua" w:hAnsi="Book Antiqua" w:cs="宋体"/>
          <w:b/>
          <w:bCs/>
          <w:lang w:eastAsia="zh-CN"/>
        </w:rPr>
        <w:t>2</w:t>
      </w:r>
      <w:r w:rsidRPr="00AD3FC6">
        <w:rPr>
          <w:rFonts w:ascii="Book Antiqua" w:hAnsi="Book Antiqua" w:cs="宋体"/>
          <w:lang w:eastAsia="zh-CN"/>
        </w:rPr>
        <w:t>: 289-291 [PMID: 20635894 DOI: 10.2217/imt.10.23]</w:t>
      </w:r>
    </w:p>
    <w:p w:rsidR="00342728" w:rsidRPr="00AD3FC6" w:rsidRDefault="00342728" w:rsidP="00AD3FC6">
      <w:pPr>
        <w:spacing w:line="360" w:lineRule="auto"/>
        <w:jc w:val="right"/>
        <w:rPr>
          <w:rFonts w:ascii="Book Antiqua" w:hAnsi="Book Antiqua" w:cs="宋体"/>
        </w:rPr>
      </w:pPr>
      <w:r w:rsidRPr="00AD3FC6">
        <w:rPr>
          <w:rFonts w:ascii="Book Antiqua" w:hAnsi="Book Antiqua" w:cs="宋体"/>
          <w:b/>
        </w:rPr>
        <w:t>P-Reviewer</w:t>
      </w:r>
      <w:r w:rsidRPr="00AD3FC6">
        <w:rPr>
          <w:rFonts w:ascii="Book Antiqua" w:hAnsi="Book Antiqua" w:cs="宋体"/>
          <w:b/>
          <w:lang w:eastAsia="zh-CN"/>
        </w:rPr>
        <w:t xml:space="preserve"> </w:t>
      </w:r>
      <w:r w:rsidRPr="00AD3FC6">
        <w:rPr>
          <w:rFonts w:ascii="Book Antiqua" w:hAnsi="Book Antiqua" w:cs="宋体"/>
        </w:rPr>
        <w:t xml:space="preserve">Ilangumaran S </w:t>
      </w:r>
      <w:r w:rsidRPr="00AD3FC6">
        <w:rPr>
          <w:rFonts w:ascii="Book Antiqua" w:hAnsi="Book Antiqua" w:cs="宋体"/>
          <w:b/>
        </w:rPr>
        <w:t>S-Editor</w:t>
      </w:r>
      <w:r w:rsidRPr="00AD3FC6">
        <w:rPr>
          <w:rFonts w:ascii="Book Antiqua" w:hAnsi="Book Antiqua" w:cs="宋体"/>
        </w:rPr>
        <w:t xml:space="preserve"> Zhai HH</w:t>
      </w:r>
      <w:r w:rsidRPr="00AD3FC6">
        <w:rPr>
          <w:rFonts w:ascii="Book Antiqua" w:hAnsi="Book Antiqua" w:cs="宋体"/>
          <w:b/>
        </w:rPr>
        <w:t xml:space="preserve"> L-Editor E-Edito</w:t>
      </w:r>
      <w:r w:rsidRPr="00AD3FC6">
        <w:rPr>
          <w:rFonts w:ascii="Book Antiqua" w:hAnsi="Book Antiqua" w:cs="宋体"/>
        </w:rPr>
        <w:t>r</w:t>
      </w:r>
    </w:p>
    <w:p w:rsidR="00342728" w:rsidRDefault="00342728" w:rsidP="00AD3FC6">
      <w:pPr>
        <w:spacing w:line="360" w:lineRule="auto"/>
        <w:jc w:val="both"/>
        <w:rPr>
          <w:rFonts w:ascii="Book Antiqua" w:hAnsi="Book Antiqua" w:cs="Arial"/>
          <w:lang w:eastAsia="zh-CN"/>
        </w:rPr>
      </w:pPr>
    </w:p>
    <w:p w:rsidR="00342728" w:rsidRDefault="00342728" w:rsidP="00AD3FC6">
      <w:pPr>
        <w:spacing w:line="360" w:lineRule="auto"/>
        <w:jc w:val="both"/>
        <w:rPr>
          <w:rFonts w:ascii="Book Antiqua" w:hAnsi="Book Antiqua" w:cs="Arial"/>
          <w:b/>
          <w:lang w:eastAsia="zh-CN"/>
        </w:rPr>
      </w:pPr>
    </w:p>
    <w:p w:rsidR="00342728" w:rsidRDefault="00342728" w:rsidP="00AD3FC6">
      <w:pPr>
        <w:spacing w:line="360" w:lineRule="auto"/>
        <w:jc w:val="both"/>
        <w:rPr>
          <w:rFonts w:ascii="Book Antiqua" w:hAnsi="Book Antiqua" w:cs="Arial"/>
          <w:b/>
          <w:lang w:eastAsia="zh-CN"/>
        </w:rPr>
      </w:pPr>
    </w:p>
    <w:p w:rsidR="00342728" w:rsidRDefault="00342728" w:rsidP="00AD3FC6">
      <w:pPr>
        <w:spacing w:line="360" w:lineRule="auto"/>
        <w:jc w:val="both"/>
        <w:rPr>
          <w:rFonts w:ascii="Book Antiqua" w:hAnsi="Book Antiqua" w:cs="Arial"/>
          <w:b/>
          <w:lang w:eastAsia="zh-CN"/>
        </w:rPr>
      </w:pPr>
    </w:p>
    <w:p w:rsidR="00342728" w:rsidRDefault="00342728" w:rsidP="00AD3FC6">
      <w:pPr>
        <w:spacing w:line="360" w:lineRule="auto"/>
        <w:jc w:val="both"/>
        <w:rPr>
          <w:rFonts w:ascii="Book Antiqua" w:hAnsi="Book Antiqua" w:cs="Arial"/>
          <w:b/>
          <w:lang w:eastAsia="zh-CN"/>
        </w:rPr>
      </w:pPr>
    </w:p>
    <w:p w:rsidR="00342728" w:rsidRDefault="00342728" w:rsidP="00AD3FC6">
      <w:pPr>
        <w:spacing w:line="360" w:lineRule="auto"/>
        <w:jc w:val="both"/>
        <w:rPr>
          <w:rFonts w:ascii="Book Antiqua" w:hAnsi="Book Antiqua" w:cs="Arial"/>
          <w:lang w:eastAsia="zh-CN"/>
        </w:rPr>
      </w:pPr>
      <w:r w:rsidRPr="00AD3FC6">
        <w:rPr>
          <w:rFonts w:ascii="Book Antiqua" w:hAnsi="Book Antiqua" w:cs="Arial"/>
          <w:b/>
        </w:rPr>
        <w:t>Figure 1 Briefly, islet autoantigens are picked up by antigen present cells from the pancreas, which then migrate to</w:t>
      </w:r>
      <w:r>
        <w:rPr>
          <w:rFonts w:ascii="Book Antiqua" w:hAnsi="Book Antiqua" w:cs="Arial"/>
          <w:b/>
        </w:rPr>
        <w:t xml:space="preserve"> draining lymph nodes </w:t>
      </w:r>
      <w:r w:rsidRPr="00AD3FC6">
        <w:rPr>
          <w:rFonts w:ascii="Book Antiqua" w:hAnsi="Book Antiqua" w:cs="Arial"/>
          <w:b/>
        </w:rPr>
        <w:t>and present the autoantigens to autoreactive T cells, leading to their priming.</w:t>
      </w:r>
      <w:r w:rsidRPr="00AD3FC6">
        <w:rPr>
          <w:rFonts w:ascii="Book Antiqua" w:hAnsi="Book Antiqua" w:cs="Arial"/>
        </w:rPr>
        <w:t xml:space="preserve"> Activated autoreactive T cells undergo proliferation, differentiation, and acquire homing molecules that allow them to direct to the pancreas, and infiltrate the islets resulting in insulitis and β cell destruction.</w:t>
      </w:r>
    </w:p>
    <w:p w:rsidR="00342728" w:rsidRPr="00AD3FC6" w:rsidRDefault="00342728" w:rsidP="00AD3FC6">
      <w:pPr>
        <w:autoSpaceDE w:val="0"/>
        <w:autoSpaceDN w:val="0"/>
        <w:adjustRightInd w:val="0"/>
        <w:spacing w:line="360" w:lineRule="auto"/>
        <w:ind w:left="432" w:hanging="432"/>
        <w:jc w:val="both"/>
        <w:rPr>
          <w:rFonts w:ascii="Book Antiqua" w:hAnsi="Book Antiqua" w:cs="Arial"/>
          <w:color w:val="000000"/>
        </w:rPr>
      </w:pPr>
    </w:p>
    <w:p w:rsidR="00342728" w:rsidRPr="00AD3FC6" w:rsidRDefault="00342728" w:rsidP="00AD3FC6">
      <w:pPr>
        <w:autoSpaceDE w:val="0"/>
        <w:autoSpaceDN w:val="0"/>
        <w:adjustRightInd w:val="0"/>
        <w:spacing w:line="360" w:lineRule="auto"/>
        <w:ind w:left="432" w:hanging="432"/>
        <w:jc w:val="both"/>
        <w:rPr>
          <w:rFonts w:ascii="Book Antiqua" w:hAnsi="Book Antiqua" w:cs="Arial"/>
          <w:color w:val="000000"/>
        </w:rPr>
      </w:pPr>
    </w:p>
    <w:sectPr w:rsidR="00342728" w:rsidRPr="00AD3FC6" w:rsidSect="00C6689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57" w:rsidRDefault="00825E57" w:rsidP="00310AC7">
      <w:r>
        <w:separator/>
      </w:r>
    </w:p>
  </w:endnote>
  <w:endnote w:type="continuationSeparator" w:id="0">
    <w:p w:rsidR="00825E57" w:rsidRDefault="00825E57" w:rsidP="0031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28" w:rsidRDefault="00825E57">
    <w:pPr>
      <w:pStyle w:val="a5"/>
      <w:jc w:val="center"/>
    </w:pPr>
    <w:r>
      <w:fldChar w:fldCharType="begin"/>
    </w:r>
    <w:r>
      <w:instrText xml:space="preserve"> PAGE   \* MERGEFORMAT </w:instrText>
    </w:r>
    <w:r>
      <w:fldChar w:fldCharType="separate"/>
    </w:r>
    <w:r w:rsidR="006A7EB4">
      <w:rPr>
        <w:noProof/>
      </w:rPr>
      <w:t>7</w:t>
    </w:r>
    <w:r>
      <w:rPr>
        <w:noProof/>
      </w:rPr>
      <w:fldChar w:fldCharType="end"/>
    </w:r>
  </w:p>
  <w:p w:rsidR="00342728" w:rsidRDefault="003427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57" w:rsidRDefault="00825E57" w:rsidP="00310AC7">
      <w:r>
        <w:separator/>
      </w:r>
    </w:p>
  </w:footnote>
  <w:footnote w:type="continuationSeparator" w:id="0">
    <w:p w:rsidR="00825E57" w:rsidRDefault="00825E57" w:rsidP="00310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vdztas7t5v0ne99285watyavzas2at0xwd&quot;&gt;Hamad.library-Converted&lt;record-ids&gt;&lt;item&gt;25&lt;/item&gt;&lt;item&gt;65&lt;/item&gt;&lt;item&gt;109&lt;/item&gt;&lt;item&gt;131&lt;/item&gt;&lt;item&gt;185&lt;/item&gt;&lt;item&gt;367&lt;/item&gt;&lt;item&gt;426&lt;/item&gt;&lt;item&gt;937&lt;/item&gt;&lt;item&gt;995&lt;/item&gt;&lt;item&gt;996&lt;/item&gt;&lt;item&gt;1361&lt;/item&gt;&lt;item&gt;1443&lt;/item&gt;&lt;item&gt;1530&lt;/item&gt;&lt;item&gt;1561&lt;/item&gt;&lt;item&gt;1574&lt;/item&gt;&lt;item&gt;1575&lt;/item&gt;&lt;item&gt;1627&lt;/item&gt;&lt;item&gt;1651&lt;/item&gt;&lt;item&gt;1652&lt;/item&gt;&lt;item&gt;1654&lt;/item&gt;&lt;item&gt;1655&lt;/item&gt;&lt;item&gt;1657&lt;/item&gt;&lt;item&gt;1658&lt;/item&gt;&lt;item&gt;1675&lt;/item&gt;&lt;item&gt;1676&lt;/item&gt;&lt;item&gt;1677&lt;/item&gt;&lt;item&gt;1678&lt;/item&gt;&lt;item&gt;1679&lt;/item&gt;&lt;item&gt;1680&lt;/item&gt;&lt;/record-ids&gt;&lt;/item&gt;&lt;/Libraries&gt;"/>
  </w:docVars>
  <w:rsids>
    <w:rsidRoot w:val="005E4B94"/>
    <w:rsid w:val="00011605"/>
    <w:rsid w:val="00011D82"/>
    <w:rsid w:val="000332AD"/>
    <w:rsid w:val="00033597"/>
    <w:rsid w:val="00036A8B"/>
    <w:rsid w:val="00051348"/>
    <w:rsid w:val="00055F07"/>
    <w:rsid w:val="00056CE2"/>
    <w:rsid w:val="0006457B"/>
    <w:rsid w:val="00070C07"/>
    <w:rsid w:val="0007271B"/>
    <w:rsid w:val="00074240"/>
    <w:rsid w:val="0008324D"/>
    <w:rsid w:val="000850A5"/>
    <w:rsid w:val="000A25DB"/>
    <w:rsid w:val="000A5B6D"/>
    <w:rsid w:val="000A7656"/>
    <w:rsid w:val="000C1E14"/>
    <w:rsid w:val="000D136A"/>
    <w:rsid w:val="000D2EA7"/>
    <w:rsid w:val="000E29B8"/>
    <w:rsid w:val="000E67A8"/>
    <w:rsid w:val="000F3C43"/>
    <w:rsid w:val="000F537C"/>
    <w:rsid w:val="00101E63"/>
    <w:rsid w:val="00102CC9"/>
    <w:rsid w:val="00106BEB"/>
    <w:rsid w:val="00112890"/>
    <w:rsid w:val="00117CFE"/>
    <w:rsid w:val="00120AB2"/>
    <w:rsid w:val="00133E45"/>
    <w:rsid w:val="001356B1"/>
    <w:rsid w:val="001421EF"/>
    <w:rsid w:val="00142262"/>
    <w:rsid w:val="00144BC5"/>
    <w:rsid w:val="00144F36"/>
    <w:rsid w:val="00147861"/>
    <w:rsid w:val="00152AD6"/>
    <w:rsid w:val="00154DD3"/>
    <w:rsid w:val="001564A9"/>
    <w:rsid w:val="00167B7A"/>
    <w:rsid w:val="00170382"/>
    <w:rsid w:val="00170B86"/>
    <w:rsid w:val="001823E5"/>
    <w:rsid w:val="00184B6E"/>
    <w:rsid w:val="0018513C"/>
    <w:rsid w:val="0019124A"/>
    <w:rsid w:val="00191925"/>
    <w:rsid w:val="00196216"/>
    <w:rsid w:val="001B407B"/>
    <w:rsid w:val="001B56EE"/>
    <w:rsid w:val="001C11F9"/>
    <w:rsid w:val="001C5069"/>
    <w:rsid w:val="001C6467"/>
    <w:rsid w:val="001C6D52"/>
    <w:rsid w:val="001D0B37"/>
    <w:rsid w:val="001D43F4"/>
    <w:rsid w:val="001E0011"/>
    <w:rsid w:val="001E10CE"/>
    <w:rsid w:val="001E1794"/>
    <w:rsid w:val="001E2C76"/>
    <w:rsid w:val="00200DEB"/>
    <w:rsid w:val="00205705"/>
    <w:rsid w:val="00205878"/>
    <w:rsid w:val="00214692"/>
    <w:rsid w:val="00215C43"/>
    <w:rsid w:val="002237A1"/>
    <w:rsid w:val="00224179"/>
    <w:rsid w:val="00224334"/>
    <w:rsid w:val="00224CC3"/>
    <w:rsid w:val="00240196"/>
    <w:rsid w:val="002428B5"/>
    <w:rsid w:val="00246450"/>
    <w:rsid w:val="00255D31"/>
    <w:rsid w:val="00256843"/>
    <w:rsid w:val="0026403F"/>
    <w:rsid w:val="00264275"/>
    <w:rsid w:val="0026700A"/>
    <w:rsid w:val="0027308C"/>
    <w:rsid w:val="00273EC8"/>
    <w:rsid w:val="00282C02"/>
    <w:rsid w:val="00283825"/>
    <w:rsid w:val="00283C0E"/>
    <w:rsid w:val="00285CFC"/>
    <w:rsid w:val="00286516"/>
    <w:rsid w:val="002A73DC"/>
    <w:rsid w:val="002B10CB"/>
    <w:rsid w:val="002B5F43"/>
    <w:rsid w:val="002C5D3E"/>
    <w:rsid w:val="002D4D17"/>
    <w:rsid w:val="002D4F5E"/>
    <w:rsid w:val="002E4E2E"/>
    <w:rsid w:val="002E5A78"/>
    <w:rsid w:val="002F11D1"/>
    <w:rsid w:val="002F3161"/>
    <w:rsid w:val="0030649D"/>
    <w:rsid w:val="00310AC7"/>
    <w:rsid w:val="00311E51"/>
    <w:rsid w:val="003168DE"/>
    <w:rsid w:val="00334C9C"/>
    <w:rsid w:val="003419E9"/>
    <w:rsid w:val="00342728"/>
    <w:rsid w:val="00346E38"/>
    <w:rsid w:val="003634D3"/>
    <w:rsid w:val="00366FC5"/>
    <w:rsid w:val="0037013B"/>
    <w:rsid w:val="003717EC"/>
    <w:rsid w:val="0037553B"/>
    <w:rsid w:val="003824B1"/>
    <w:rsid w:val="0039072E"/>
    <w:rsid w:val="00392CE7"/>
    <w:rsid w:val="003A0606"/>
    <w:rsid w:val="003A206C"/>
    <w:rsid w:val="003A2EEA"/>
    <w:rsid w:val="003A3167"/>
    <w:rsid w:val="003A4565"/>
    <w:rsid w:val="003A7DD0"/>
    <w:rsid w:val="003B4C91"/>
    <w:rsid w:val="003C5326"/>
    <w:rsid w:val="003D1B16"/>
    <w:rsid w:val="003D3824"/>
    <w:rsid w:val="003D598F"/>
    <w:rsid w:val="003D652C"/>
    <w:rsid w:val="003D6677"/>
    <w:rsid w:val="003D67CA"/>
    <w:rsid w:val="003E7501"/>
    <w:rsid w:val="003E7823"/>
    <w:rsid w:val="003E7B7C"/>
    <w:rsid w:val="003F4F0B"/>
    <w:rsid w:val="00400994"/>
    <w:rsid w:val="004035A4"/>
    <w:rsid w:val="0042121A"/>
    <w:rsid w:val="00422C7D"/>
    <w:rsid w:val="00434788"/>
    <w:rsid w:val="00434AB8"/>
    <w:rsid w:val="0043532D"/>
    <w:rsid w:val="00435E58"/>
    <w:rsid w:val="004458D8"/>
    <w:rsid w:val="00445A6F"/>
    <w:rsid w:val="00446B93"/>
    <w:rsid w:val="00447F86"/>
    <w:rsid w:val="004559D8"/>
    <w:rsid w:val="00460B30"/>
    <w:rsid w:val="00470C0F"/>
    <w:rsid w:val="004770A8"/>
    <w:rsid w:val="004838EC"/>
    <w:rsid w:val="00490119"/>
    <w:rsid w:val="00494A47"/>
    <w:rsid w:val="004961A6"/>
    <w:rsid w:val="00496FB3"/>
    <w:rsid w:val="004B65F4"/>
    <w:rsid w:val="004C0CD9"/>
    <w:rsid w:val="004C0EFF"/>
    <w:rsid w:val="004C1F83"/>
    <w:rsid w:val="004C2EFF"/>
    <w:rsid w:val="004C4BF0"/>
    <w:rsid w:val="004C64C6"/>
    <w:rsid w:val="004D01FA"/>
    <w:rsid w:val="004D6D0B"/>
    <w:rsid w:val="004E187B"/>
    <w:rsid w:val="004F2E25"/>
    <w:rsid w:val="00511C11"/>
    <w:rsid w:val="005128AA"/>
    <w:rsid w:val="005133C3"/>
    <w:rsid w:val="005174A5"/>
    <w:rsid w:val="005206A6"/>
    <w:rsid w:val="00522DA2"/>
    <w:rsid w:val="0052362F"/>
    <w:rsid w:val="00523CF5"/>
    <w:rsid w:val="00524C6F"/>
    <w:rsid w:val="005268BD"/>
    <w:rsid w:val="0055447D"/>
    <w:rsid w:val="00556553"/>
    <w:rsid w:val="00572A1E"/>
    <w:rsid w:val="00572CA7"/>
    <w:rsid w:val="00580C00"/>
    <w:rsid w:val="0058170A"/>
    <w:rsid w:val="0058377B"/>
    <w:rsid w:val="00584345"/>
    <w:rsid w:val="0058497D"/>
    <w:rsid w:val="00592A0B"/>
    <w:rsid w:val="005A4C67"/>
    <w:rsid w:val="005A69AA"/>
    <w:rsid w:val="005C1EFB"/>
    <w:rsid w:val="005C6CC4"/>
    <w:rsid w:val="005E02FE"/>
    <w:rsid w:val="005E3EEC"/>
    <w:rsid w:val="005E4B94"/>
    <w:rsid w:val="005F0955"/>
    <w:rsid w:val="005F0963"/>
    <w:rsid w:val="005F2316"/>
    <w:rsid w:val="00600073"/>
    <w:rsid w:val="00606F09"/>
    <w:rsid w:val="0060797C"/>
    <w:rsid w:val="006104F7"/>
    <w:rsid w:val="006211DB"/>
    <w:rsid w:val="006257BE"/>
    <w:rsid w:val="00626BDA"/>
    <w:rsid w:val="00634F5E"/>
    <w:rsid w:val="00635189"/>
    <w:rsid w:val="00635CC5"/>
    <w:rsid w:val="0064078C"/>
    <w:rsid w:val="00641AE6"/>
    <w:rsid w:val="00651615"/>
    <w:rsid w:val="00651BD0"/>
    <w:rsid w:val="006570C7"/>
    <w:rsid w:val="00660A1B"/>
    <w:rsid w:val="0066172D"/>
    <w:rsid w:val="00662EE6"/>
    <w:rsid w:val="006713A2"/>
    <w:rsid w:val="00672C49"/>
    <w:rsid w:val="00677506"/>
    <w:rsid w:val="00680FBA"/>
    <w:rsid w:val="00685491"/>
    <w:rsid w:val="006856CA"/>
    <w:rsid w:val="0068622C"/>
    <w:rsid w:val="00691130"/>
    <w:rsid w:val="00691131"/>
    <w:rsid w:val="00694E08"/>
    <w:rsid w:val="006A7EB4"/>
    <w:rsid w:val="006B05C5"/>
    <w:rsid w:val="006B1DB4"/>
    <w:rsid w:val="006C2DB8"/>
    <w:rsid w:val="006C388E"/>
    <w:rsid w:val="006C62A9"/>
    <w:rsid w:val="006C6E49"/>
    <w:rsid w:val="006D2597"/>
    <w:rsid w:val="006E2946"/>
    <w:rsid w:val="006F0157"/>
    <w:rsid w:val="006F3C28"/>
    <w:rsid w:val="006F43C4"/>
    <w:rsid w:val="00701BE4"/>
    <w:rsid w:val="00703213"/>
    <w:rsid w:val="00703E89"/>
    <w:rsid w:val="00704CD6"/>
    <w:rsid w:val="00705341"/>
    <w:rsid w:val="00705F8C"/>
    <w:rsid w:val="007108D2"/>
    <w:rsid w:val="00712663"/>
    <w:rsid w:val="00714ADA"/>
    <w:rsid w:val="00722593"/>
    <w:rsid w:val="00734A88"/>
    <w:rsid w:val="0074297F"/>
    <w:rsid w:val="007458E6"/>
    <w:rsid w:val="00746D48"/>
    <w:rsid w:val="00750BF6"/>
    <w:rsid w:val="00756C72"/>
    <w:rsid w:val="007644B3"/>
    <w:rsid w:val="00792BC2"/>
    <w:rsid w:val="007969F7"/>
    <w:rsid w:val="00797EFD"/>
    <w:rsid w:val="007A167D"/>
    <w:rsid w:val="007A766C"/>
    <w:rsid w:val="007B0603"/>
    <w:rsid w:val="007B2813"/>
    <w:rsid w:val="007B3C2A"/>
    <w:rsid w:val="007C0272"/>
    <w:rsid w:val="007C103E"/>
    <w:rsid w:val="007C2A1F"/>
    <w:rsid w:val="007C2FEE"/>
    <w:rsid w:val="007C4845"/>
    <w:rsid w:val="007C7496"/>
    <w:rsid w:val="007D05F4"/>
    <w:rsid w:val="007E1109"/>
    <w:rsid w:val="00806AEE"/>
    <w:rsid w:val="008103FD"/>
    <w:rsid w:val="00825E57"/>
    <w:rsid w:val="008261AE"/>
    <w:rsid w:val="00844692"/>
    <w:rsid w:val="00852815"/>
    <w:rsid w:val="00857F92"/>
    <w:rsid w:val="00862A82"/>
    <w:rsid w:val="00874200"/>
    <w:rsid w:val="00874956"/>
    <w:rsid w:val="00875AD5"/>
    <w:rsid w:val="008855AB"/>
    <w:rsid w:val="0088693A"/>
    <w:rsid w:val="00896D13"/>
    <w:rsid w:val="008B160E"/>
    <w:rsid w:val="008B2650"/>
    <w:rsid w:val="008B4C62"/>
    <w:rsid w:val="008C5741"/>
    <w:rsid w:val="008D13D0"/>
    <w:rsid w:val="008D517F"/>
    <w:rsid w:val="008E683B"/>
    <w:rsid w:val="00904857"/>
    <w:rsid w:val="00910FE0"/>
    <w:rsid w:val="00914811"/>
    <w:rsid w:val="00917884"/>
    <w:rsid w:val="00923EF9"/>
    <w:rsid w:val="009252D8"/>
    <w:rsid w:val="00931C73"/>
    <w:rsid w:val="0093367D"/>
    <w:rsid w:val="00934F5B"/>
    <w:rsid w:val="0094402F"/>
    <w:rsid w:val="009549D0"/>
    <w:rsid w:val="00955582"/>
    <w:rsid w:val="009555F6"/>
    <w:rsid w:val="00955A2C"/>
    <w:rsid w:val="0097093E"/>
    <w:rsid w:val="009777AC"/>
    <w:rsid w:val="009801BC"/>
    <w:rsid w:val="00982C9B"/>
    <w:rsid w:val="00985972"/>
    <w:rsid w:val="009A3516"/>
    <w:rsid w:val="009A5678"/>
    <w:rsid w:val="009B1F11"/>
    <w:rsid w:val="009B3A42"/>
    <w:rsid w:val="009B5333"/>
    <w:rsid w:val="009C25F3"/>
    <w:rsid w:val="009C396C"/>
    <w:rsid w:val="009D0249"/>
    <w:rsid w:val="009D3D02"/>
    <w:rsid w:val="009D41A6"/>
    <w:rsid w:val="009D79F9"/>
    <w:rsid w:val="009E11B2"/>
    <w:rsid w:val="009E69FA"/>
    <w:rsid w:val="009E6F36"/>
    <w:rsid w:val="00A01244"/>
    <w:rsid w:val="00A02F4C"/>
    <w:rsid w:val="00A06D3A"/>
    <w:rsid w:val="00A10703"/>
    <w:rsid w:val="00A11161"/>
    <w:rsid w:val="00A208D5"/>
    <w:rsid w:val="00A22BB6"/>
    <w:rsid w:val="00A23DB7"/>
    <w:rsid w:val="00A27690"/>
    <w:rsid w:val="00A307E2"/>
    <w:rsid w:val="00A45847"/>
    <w:rsid w:val="00A4657E"/>
    <w:rsid w:val="00A46AF1"/>
    <w:rsid w:val="00A535FC"/>
    <w:rsid w:val="00A53D9F"/>
    <w:rsid w:val="00A56707"/>
    <w:rsid w:val="00A63258"/>
    <w:rsid w:val="00A64C4E"/>
    <w:rsid w:val="00A67F02"/>
    <w:rsid w:val="00A76F43"/>
    <w:rsid w:val="00A83612"/>
    <w:rsid w:val="00A846F1"/>
    <w:rsid w:val="00A85DF5"/>
    <w:rsid w:val="00A93095"/>
    <w:rsid w:val="00A935D3"/>
    <w:rsid w:val="00A9542E"/>
    <w:rsid w:val="00AA3FEA"/>
    <w:rsid w:val="00AA640A"/>
    <w:rsid w:val="00AB6A40"/>
    <w:rsid w:val="00AC22A8"/>
    <w:rsid w:val="00AC7148"/>
    <w:rsid w:val="00AD1641"/>
    <w:rsid w:val="00AD238A"/>
    <w:rsid w:val="00AD3FC6"/>
    <w:rsid w:val="00AE1174"/>
    <w:rsid w:val="00AE3203"/>
    <w:rsid w:val="00AE64E0"/>
    <w:rsid w:val="00AF4CBA"/>
    <w:rsid w:val="00AF7129"/>
    <w:rsid w:val="00AF777B"/>
    <w:rsid w:val="00B07E06"/>
    <w:rsid w:val="00B16261"/>
    <w:rsid w:val="00B165A8"/>
    <w:rsid w:val="00B179DF"/>
    <w:rsid w:val="00B27718"/>
    <w:rsid w:val="00B31DAA"/>
    <w:rsid w:val="00B33182"/>
    <w:rsid w:val="00B42132"/>
    <w:rsid w:val="00B47E67"/>
    <w:rsid w:val="00B53BC3"/>
    <w:rsid w:val="00B638B4"/>
    <w:rsid w:val="00B6590F"/>
    <w:rsid w:val="00B677D3"/>
    <w:rsid w:val="00B8308F"/>
    <w:rsid w:val="00B83D92"/>
    <w:rsid w:val="00B845C7"/>
    <w:rsid w:val="00B86F6F"/>
    <w:rsid w:val="00B95150"/>
    <w:rsid w:val="00B97FD4"/>
    <w:rsid w:val="00BA4F4D"/>
    <w:rsid w:val="00BB0CBD"/>
    <w:rsid w:val="00BB1AAC"/>
    <w:rsid w:val="00BD3BB3"/>
    <w:rsid w:val="00BD4AD5"/>
    <w:rsid w:val="00BE290F"/>
    <w:rsid w:val="00BE4923"/>
    <w:rsid w:val="00BE7318"/>
    <w:rsid w:val="00BF04CF"/>
    <w:rsid w:val="00BF35BB"/>
    <w:rsid w:val="00BF39E6"/>
    <w:rsid w:val="00C0534F"/>
    <w:rsid w:val="00C2013E"/>
    <w:rsid w:val="00C316E2"/>
    <w:rsid w:val="00C35234"/>
    <w:rsid w:val="00C6174E"/>
    <w:rsid w:val="00C64075"/>
    <w:rsid w:val="00C66891"/>
    <w:rsid w:val="00C74DDC"/>
    <w:rsid w:val="00C76FAC"/>
    <w:rsid w:val="00C805A0"/>
    <w:rsid w:val="00C84D61"/>
    <w:rsid w:val="00CA7B61"/>
    <w:rsid w:val="00CB22B3"/>
    <w:rsid w:val="00CC137A"/>
    <w:rsid w:val="00CC3149"/>
    <w:rsid w:val="00CC5FBD"/>
    <w:rsid w:val="00CD49A0"/>
    <w:rsid w:val="00CE60BB"/>
    <w:rsid w:val="00CE667F"/>
    <w:rsid w:val="00CF0FE7"/>
    <w:rsid w:val="00CF3DFF"/>
    <w:rsid w:val="00D01930"/>
    <w:rsid w:val="00D04A5B"/>
    <w:rsid w:val="00D04BDE"/>
    <w:rsid w:val="00D05D87"/>
    <w:rsid w:val="00D06A3D"/>
    <w:rsid w:val="00D07290"/>
    <w:rsid w:val="00D10D55"/>
    <w:rsid w:val="00D20181"/>
    <w:rsid w:val="00D248DA"/>
    <w:rsid w:val="00D25CA6"/>
    <w:rsid w:val="00D27C5F"/>
    <w:rsid w:val="00D32401"/>
    <w:rsid w:val="00D426E6"/>
    <w:rsid w:val="00D50A15"/>
    <w:rsid w:val="00D513CE"/>
    <w:rsid w:val="00D53B4A"/>
    <w:rsid w:val="00D54A29"/>
    <w:rsid w:val="00D70A85"/>
    <w:rsid w:val="00D70B15"/>
    <w:rsid w:val="00D7446E"/>
    <w:rsid w:val="00D759C5"/>
    <w:rsid w:val="00D801D0"/>
    <w:rsid w:val="00D845CB"/>
    <w:rsid w:val="00D959CF"/>
    <w:rsid w:val="00D95D09"/>
    <w:rsid w:val="00D95F0A"/>
    <w:rsid w:val="00D9650C"/>
    <w:rsid w:val="00D97474"/>
    <w:rsid w:val="00DA10BB"/>
    <w:rsid w:val="00DA2E09"/>
    <w:rsid w:val="00DA3681"/>
    <w:rsid w:val="00DB2540"/>
    <w:rsid w:val="00DB3CF9"/>
    <w:rsid w:val="00DD2E7C"/>
    <w:rsid w:val="00DF3082"/>
    <w:rsid w:val="00DF3A32"/>
    <w:rsid w:val="00DF4CEC"/>
    <w:rsid w:val="00E04638"/>
    <w:rsid w:val="00E05E65"/>
    <w:rsid w:val="00E117E8"/>
    <w:rsid w:val="00E118DC"/>
    <w:rsid w:val="00E119C6"/>
    <w:rsid w:val="00E24DBF"/>
    <w:rsid w:val="00E301B1"/>
    <w:rsid w:val="00E47318"/>
    <w:rsid w:val="00E5088F"/>
    <w:rsid w:val="00E52222"/>
    <w:rsid w:val="00E5390E"/>
    <w:rsid w:val="00E53E9D"/>
    <w:rsid w:val="00E5429F"/>
    <w:rsid w:val="00E546E9"/>
    <w:rsid w:val="00E5765F"/>
    <w:rsid w:val="00E8203D"/>
    <w:rsid w:val="00E84DC8"/>
    <w:rsid w:val="00E94041"/>
    <w:rsid w:val="00E963AF"/>
    <w:rsid w:val="00E96DC5"/>
    <w:rsid w:val="00EA61AE"/>
    <w:rsid w:val="00EA72DE"/>
    <w:rsid w:val="00EB7398"/>
    <w:rsid w:val="00EB7944"/>
    <w:rsid w:val="00EC028A"/>
    <w:rsid w:val="00EC2F3E"/>
    <w:rsid w:val="00EC42D2"/>
    <w:rsid w:val="00ED13EB"/>
    <w:rsid w:val="00ED3752"/>
    <w:rsid w:val="00EE3F24"/>
    <w:rsid w:val="00EE64C8"/>
    <w:rsid w:val="00EF39D0"/>
    <w:rsid w:val="00EF3DD0"/>
    <w:rsid w:val="00EF4258"/>
    <w:rsid w:val="00F02341"/>
    <w:rsid w:val="00F04C53"/>
    <w:rsid w:val="00F25ACF"/>
    <w:rsid w:val="00F27EEF"/>
    <w:rsid w:val="00F33106"/>
    <w:rsid w:val="00F37703"/>
    <w:rsid w:val="00F4046E"/>
    <w:rsid w:val="00F422AC"/>
    <w:rsid w:val="00F50FD1"/>
    <w:rsid w:val="00F56D86"/>
    <w:rsid w:val="00F63340"/>
    <w:rsid w:val="00F63657"/>
    <w:rsid w:val="00F70688"/>
    <w:rsid w:val="00F71DE7"/>
    <w:rsid w:val="00F726BF"/>
    <w:rsid w:val="00F75948"/>
    <w:rsid w:val="00F84B6A"/>
    <w:rsid w:val="00F929FC"/>
    <w:rsid w:val="00F92B7F"/>
    <w:rsid w:val="00F962CB"/>
    <w:rsid w:val="00F9758A"/>
    <w:rsid w:val="00FA011B"/>
    <w:rsid w:val="00FA0D4D"/>
    <w:rsid w:val="00FA637A"/>
    <w:rsid w:val="00FB419C"/>
    <w:rsid w:val="00FE048B"/>
    <w:rsid w:val="00FE16BE"/>
    <w:rsid w:val="00FE25E9"/>
    <w:rsid w:val="00FE4300"/>
    <w:rsid w:val="00FE5912"/>
    <w:rsid w:val="00FE6AB3"/>
    <w:rsid w:val="00FF07AA"/>
    <w:rsid w:val="00FF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E9"/>
    <w:rPr>
      <w:kern w:val="0"/>
      <w:sz w:val="24"/>
      <w:szCs w:val="24"/>
      <w:lang w:eastAsia="en-US"/>
    </w:rPr>
  </w:style>
  <w:style w:type="paragraph" w:styleId="1">
    <w:name w:val="heading 1"/>
    <w:basedOn w:val="a"/>
    <w:link w:val="1Char"/>
    <w:uiPriority w:val="99"/>
    <w:qFormat/>
    <w:rsid w:val="001D43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D43F4"/>
    <w:rPr>
      <w:rFonts w:cs="Times New Roman"/>
      <w:b/>
      <w:bCs/>
      <w:kern w:val="36"/>
      <w:sz w:val="48"/>
      <w:szCs w:val="48"/>
    </w:rPr>
  </w:style>
  <w:style w:type="paragraph" w:customStyle="1" w:styleId="title1">
    <w:name w:val="title1"/>
    <w:basedOn w:val="a"/>
    <w:uiPriority w:val="99"/>
    <w:rsid w:val="00051348"/>
    <w:rPr>
      <w:sz w:val="27"/>
      <w:szCs w:val="27"/>
    </w:rPr>
  </w:style>
  <w:style w:type="paragraph" w:customStyle="1" w:styleId="details1">
    <w:name w:val="details1"/>
    <w:basedOn w:val="a"/>
    <w:uiPriority w:val="99"/>
    <w:rsid w:val="00E24DBF"/>
    <w:rPr>
      <w:sz w:val="22"/>
      <w:szCs w:val="22"/>
    </w:rPr>
  </w:style>
  <w:style w:type="paragraph" w:styleId="a3">
    <w:name w:val="Balloon Text"/>
    <w:basedOn w:val="a"/>
    <w:link w:val="Char"/>
    <w:uiPriority w:val="99"/>
    <w:rsid w:val="00955582"/>
    <w:rPr>
      <w:rFonts w:ascii="Tahoma" w:hAnsi="Tahoma" w:cs="Tahoma"/>
      <w:sz w:val="16"/>
      <w:szCs w:val="16"/>
    </w:rPr>
  </w:style>
  <w:style w:type="character" w:customStyle="1" w:styleId="Char">
    <w:name w:val="批注框文本 Char"/>
    <w:basedOn w:val="a0"/>
    <w:link w:val="a3"/>
    <w:uiPriority w:val="99"/>
    <w:locked/>
    <w:rsid w:val="00955582"/>
    <w:rPr>
      <w:rFonts w:ascii="Tahoma" w:hAnsi="Tahoma" w:cs="Tahoma"/>
      <w:sz w:val="16"/>
      <w:szCs w:val="16"/>
    </w:rPr>
  </w:style>
  <w:style w:type="paragraph" w:styleId="a4">
    <w:name w:val="header"/>
    <w:basedOn w:val="a"/>
    <w:link w:val="Char0"/>
    <w:uiPriority w:val="99"/>
    <w:rsid w:val="00310AC7"/>
    <w:pPr>
      <w:tabs>
        <w:tab w:val="center" w:pos="4680"/>
        <w:tab w:val="right" w:pos="9360"/>
      </w:tabs>
    </w:pPr>
  </w:style>
  <w:style w:type="character" w:customStyle="1" w:styleId="Char0">
    <w:name w:val="页眉 Char"/>
    <w:basedOn w:val="a0"/>
    <w:link w:val="a4"/>
    <w:uiPriority w:val="99"/>
    <w:locked/>
    <w:rsid w:val="00310AC7"/>
    <w:rPr>
      <w:rFonts w:cs="Times New Roman"/>
      <w:sz w:val="24"/>
      <w:szCs w:val="24"/>
    </w:rPr>
  </w:style>
  <w:style w:type="paragraph" w:styleId="a5">
    <w:name w:val="footer"/>
    <w:basedOn w:val="a"/>
    <w:link w:val="Char1"/>
    <w:uiPriority w:val="99"/>
    <w:rsid w:val="00310AC7"/>
    <w:pPr>
      <w:tabs>
        <w:tab w:val="center" w:pos="4680"/>
        <w:tab w:val="right" w:pos="9360"/>
      </w:tabs>
    </w:pPr>
  </w:style>
  <w:style w:type="character" w:customStyle="1" w:styleId="Char1">
    <w:name w:val="页脚 Char"/>
    <w:basedOn w:val="a0"/>
    <w:link w:val="a5"/>
    <w:uiPriority w:val="99"/>
    <w:locked/>
    <w:rsid w:val="00310AC7"/>
    <w:rPr>
      <w:rFonts w:cs="Times New Roman"/>
      <w:sz w:val="24"/>
      <w:szCs w:val="24"/>
    </w:rPr>
  </w:style>
  <w:style w:type="paragraph" w:styleId="a6">
    <w:name w:val="Normal (Web)"/>
    <w:basedOn w:val="a"/>
    <w:uiPriority w:val="99"/>
    <w:rsid w:val="00EC2F3E"/>
    <w:pPr>
      <w:spacing w:before="100" w:beforeAutospacing="1" w:after="100" w:afterAutospacing="1"/>
    </w:pPr>
  </w:style>
  <w:style w:type="character" w:styleId="a7">
    <w:name w:val="Hyperlink"/>
    <w:basedOn w:val="a0"/>
    <w:uiPriority w:val="99"/>
    <w:rsid w:val="00147861"/>
    <w:rPr>
      <w:rFonts w:cs="Times New Roman"/>
      <w:color w:val="0000FF"/>
      <w:u w:val="single"/>
    </w:rPr>
  </w:style>
  <w:style w:type="paragraph" w:customStyle="1" w:styleId="DataField11pt-Single">
    <w:name w:val="Data Field 11pt-Single"/>
    <w:basedOn w:val="a"/>
    <w:link w:val="DataField11pt-SingleChar"/>
    <w:uiPriority w:val="99"/>
    <w:rsid w:val="00167B7A"/>
    <w:pPr>
      <w:autoSpaceDE w:val="0"/>
      <w:autoSpaceDN w:val="0"/>
    </w:pPr>
    <w:rPr>
      <w:rFonts w:ascii="Arial" w:hAnsi="Arial"/>
      <w:sz w:val="22"/>
      <w:szCs w:val="20"/>
      <w:lang w:eastAsia="zh-CN"/>
    </w:rPr>
  </w:style>
  <w:style w:type="character" w:customStyle="1" w:styleId="DataField11pt-SingleChar">
    <w:name w:val="Data Field 11pt-Single Char"/>
    <w:link w:val="DataField11pt-Single"/>
    <w:uiPriority w:val="99"/>
    <w:locked/>
    <w:rsid w:val="00167B7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E9"/>
    <w:rPr>
      <w:kern w:val="0"/>
      <w:sz w:val="24"/>
      <w:szCs w:val="24"/>
      <w:lang w:eastAsia="en-US"/>
    </w:rPr>
  </w:style>
  <w:style w:type="paragraph" w:styleId="1">
    <w:name w:val="heading 1"/>
    <w:basedOn w:val="a"/>
    <w:link w:val="1Char"/>
    <w:uiPriority w:val="99"/>
    <w:qFormat/>
    <w:rsid w:val="001D43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D43F4"/>
    <w:rPr>
      <w:rFonts w:cs="Times New Roman"/>
      <w:b/>
      <w:bCs/>
      <w:kern w:val="36"/>
      <w:sz w:val="48"/>
      <w:szCs w:val="48"/>
    </w:rPr>
  </w:style>
  <w:style w:type="paragraph" w:customStyle="1" w:styleId="title1">
    <w:name w:val="title1"/>
    <w:basedOn w:val="a"/>
    <w:uiPriority w:val="99"/>
    <w:rsid w:val="00051348"/>
    <w:rPr>
      <w:sz w:val="27"/>
      <w:szCs w:val="27"/>
    </w:rPr>
  </w:style>
  <w:style w:type="paragraph" w:customStyle="1" w:styleId="details1">
    <w:name w:val="details1"/>
    <w:basedOn w:val="a"/>
    <w:uiPriority w:val="99"/>
    <w:rsid w:val="00E24DBF"/>
    <w:rPr>
      <w:sz w:val="22"/>
      <w:szCs w:val="22"/>
    </w:rPr>
  </w:style>
  <w:style w:type="paragraph" w:styleId="a3">
    <w:name w:val="Balloon Text"/>
    <w:basedOn w:val="a"/>
    <w:link w:val="Char"/>
    <w:uiPriority w:val="99"/>
    <w:rsid w:val="00955582"/>
    <w:rPr>
      <w:rFonts w:ascii="Tahoma" w:hAnsi="Tahoma" w:cs="Tahoma"/>
      <w:sz w:val="16"/>
      <w:szCs w:val="16"/>
    </w:rPr>
  </w:style>
  <w:style w:type="character" w:customStyle="1" w:styleId="Char">
    <w:name w:val="批注框文本 Char"/>
    <w:basedOn w:val="a0"/>
    <w:link w:val="a3"/>
    <w:uiPriority w:val="99"/>
    <w:locked/>
    <w:rsid w:val="00955582"/>
    <w:rPr>
      <w:rFonts w:ascii="Tahoma" w:hAnsi="Tahoma" w:cs="Tahoma"/>
      <w:sz w:val="16"/>
      <w:szCs w:val="16"/>
    </w:rPr>
  </w:style>
  <w:style w:type="paragraph" w:styleId="a4">
    <w:name w:val="header"/>
    <w:basedOn w:val="a"/>
    <w:link w:val="Char0"/>
    <w:uiPriority w:val="99"/>
    <w:rsid w:val="00310AC7"/>
    <w:pPr>
      <w:tabs>
        <w:tab w:val="center" w:pos="4680"/>
        <w:tab w:val="right" w:pos="9360"/>
      </w:tabs>
    </w:pPr>
  </w:style>
  <w:style w:type="character" w:customStyle="1" w:styleId="Char0">
    <w:name w:val="页眉 Char"/>
    <w:basedOn w:val="a0"/>
    <w:link w:val="a4"/>
    <w:uiPriority w:val="99"/>
    <w:locked/>
    <w:rsid w:val="00310AC7"/>
    <w:rPr>
      <w:rFonts w:cs="Times New Roman"/>
      <w:sz w:val="24"/>
      <w:szCs w:val="24"/>
    </w:rPr>
  </w:style>
  <w:style w:type="paragraph" w:styleId="a5">
    <w:name w:val="footer"/>
    <w:basedOn w:val="a"/>
    <w:link w:val="Char1"/>
    <w:uiPriority w:val="99"/>
    <w:rsid w:val="00310AC7"/>
    <w:pPr>
      <w:tabs>
        <w:tab w:val="center" w:pos="4680"/>
        <w:tab w:val="right" w:pos="9360"/>
      </w:tabs>
    </w:pPr>
  </w:style>
  <w:style w:type="character" w:customStyle="1" w:styleId="Char1">
    <w:name w:val="页脚 Char"/>
    <w:basedOn w:val="a0"/>
    <w:link w:val="a5"/>
    <w:uiPriority w:val="99"/>
    <w:locked/>
    <w:rsid w:val="00310AC7"/>
    <w:rPr>
      <w:rFonts w:cs="Times New Roman"/>
      <w:sz w:val="24"/>
      <w:szCs w:val="24"/>
    </w:rPr>
  </w:style>
  <w:style w:type="paragraph" w:styleId="a6">
    <w:name w:val="Normal (Web)"/>
    <w:basedOn w:val="a"/>
    <w:uiPriority w:val="99"/>
    <w:rsid w:val="00EC2F3E"/>
    <w:pPr>
      <w:spacing w:before="100" w:beforeAutospacing="1" w:after="100" w:afterAutospacing="1"/>
    </w:pPr>
  </w:style>
  <w:style w:type="character" w:styleId="a7">
    <w:name w:val="Hyperlink"/>
    <w:basedOn w:val="a0"/>
    <w:uiPriority w:val="99"/>
    <w:rsid w:val="00147861"/>
    <w:rPr>
      <w:rFonts w:cs="Times New Roman"/>
      <w:color w:val="0000FF"/>
      <w:u w:val="single"/>
    </w:rPr>
  </w:style>
  <w:style w:type="paragraph" w:customStyle="1" w:styleId="DataField11pt-Single">
    <w:name w:val="Data Field 11pt-Single"/>
    <w:basedOn w:val="a"/>
    <w:link w:val="DataField11pt-SingleChar"/>
    <w:uiPriority w:val="99"/>
    <w:rsid w:val="00167B7A"/>
    <w:pPr>
      <w:autoSpaceDE w:val="0"/>
      <w:autoSpaceDN w:val="0"/>
    </w:pPr>
    <w:rPr>
      <w:rFonts w:ascii="Arial" w:hAnsi="Arial"/>
      <w:sz w:val="22"/>
      <w:szCs w:val="20"/>
      <w:lang w:eastAsia="zh-CN"/>
    </w:rPr>
  </w:style>
  <w:style w:type="character" w:customStyle="1" w:styleId="DataField11pt-SingleChar">
    <w:name w:val="Data Field 11pt-Single Char"/>
    <w:link w:val="DataField11pt-Single"/>
    <w:uiPriority w:val="99"/>
    <w:locked/>
    <w:rsid w:val="00167B7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58130">
      <w:marLeft w:val="0"/>
      <w:marRight w:val="0"/>
      <w:marTop w:val="0"/>
      <w:marBottom w:val="0"/>
      <w:divBdr>
        <w:top w:val="none" w:sz="0" w:space="0" w:color="auto"/>
        <w:left w:val="none" w:sz="0" w:space="0" w:color="auto"/>
        <w:bottom w:val="none" w:sz="0" w:space="0" w:color="auto"/>
        <w:right w:val="none" w:sz="0" w:space="0" w:color="auto"/>
      </w:divBdr>
      <w:divsChild>
        <w:div w:id="1863858132">
          <w:marLeft w:val="0"/>
          <w:marRight w:val="0"/>
          <w:marTop w:val="0"/>
          <w:marBottom w:val="0"/>
          <w:divBdr>
            <w:top w:val="none" w:sz="0" w:space="0" w:color="auto"/>
            <w:left w:val="none" w:sz="0" w:space="0" w:color="auto"/>
            <w:bottom w:val="none" w:sz="0" w:space="0" w:color="auto"/>
            <w:right w:val="none" w:sz="0" w:space="0" w:color="auto"/>
          </w:divBdr>
          <w:divsChild>
            <w:div w:id="1863858126">
              <w:marLeft w:val="0"/>
              <w:marRight w:val="0"/>
              <w:marTop w:val="0"/>
              <w:marBottom w:val="0"/>
              <w:divBdr>
                <w:top w:val="none" w:sz="0" w:space="0" w:color="auto"/>
                <w:left w:val="none" w:sz="0" w:space="0" w:color="auto"/>
                <w:bottom w:val="none" w:sz="0" w:space="0" w:color="auto"/>
                <w:right w:val="none" w:sz="0" w:space="0" w:color="auto"/>
              </w:divBdr>
            </w:div>
            <w:div w:id="1863858127">
              <w:marLeft w:val="0"/>
              <w:marRight w:val="0"/>
              <w:marTop w:val="0"/>
              <w:marBottom w:val="0"/>
              <w:divBdr>
                <w:top w:val="none" w:sz="0" w:space="0" w:color="auto"/>
                <w:left w:val="none" w:sz="0" w:space="0" w:color="auto"/>
                <w:bottom w:val="none" w:sz="0" w:space="0" w:color="auto"/>
                <w:right w:val="none" w:sz="0" w:space="0" w:color="auto"/>
              </w:divBdr>
            </w:div>
            <w:div w:id="1863858128">
              <w:marLeft w:val="0"/>
              <w:marRight w:val="0"/>
              <w:marTop w:val="0"/>
              <w:marBottom w:val="0"/>
              <w:divBdr>
                <w:top w:val="none" w:sz="0" w:space="0" w:color="auto"/>
                <w:left w:val="none" w:sz="0" w:space="0" w:color="auto"/>
                <w:bottom w:val="none" w:sz="0" w:space="0" w:color="auto"/>
                <w:right w:val="none" w:sz="0" w:space="0" w:color="auto"/>
              </w:divBdr>
            </w:div>
            <w:div w:id="1863858135">
              <w:marLeft w:val="0"/>
              <w:marRight w:val="0"/>
              <w:marTop w:val="0"/>
              <w:marBottom w:val="0"/>
              <w:divBdr>
                <w:top w:val="none" w:sz="0" w:space="0" w:color="auto"/>
                <w:left w:val="none" w:sz="0" w:space="0" w:color="auto"/>
                <w:bottom w:val="none" w:sz="0" w:space="0" w:color="auto"/>
                <w:right w:val="none" w:sz="0" w:space="0" w:color="auto"/>
              </w:divBdr>
            </w:div>
            <w:div w:id="1863858136">
              <w:marLeft w:val="0"/>
              <w:marRight w:val="0"/>
              <w:marTop w:val="0"/>
              <w:marBottom w:val="0"/>
              <w:divBdr>
                <w:top w:val="none" w:sz="0" w:space="0" w:color="auto"/>
                <w:left w:val="none" w:sz="0" w:space="0" w:color="auto"/>
                <w:bottom w:val="none" w:sz="0" w:space="0" w:color="auto"/>
                <w:right w:val="none" w:sz="0" w:space="0" w:color="auto"/>
              </w:divBdr>
            </w:div>
            <w:div w:id="1863858137">
              <w:marLeft w:val="0"/>
              <w:marRight w:val="0"/>
              <w:marTop w:val="0"/>
              <w:marBottom w:val="0"/>
              <w:divBdr>
                <w:top w:val="none" w:sz="0" w:space="0" w:color="auto"/>
                <w:left w:val="none" w:sz="0" w:space="0" w:color="auto"/>
                <w:bottom w:val="none" w:sz="0" w:space="0" w:color="auto"/>
                <w:right w:val="none" w:sz="0" w:space="0" w:color="auto"/>
              </w:divBdr>
            </w:div>
            <w:div w:id="1863858141">
              <w:marLeft w:val="0"/>
              <w:marRight w:val="0"/>
              <w:marTop w:val="0"/>
              <w:marBottom w:val="0"/>
              <w:divBdr>
                <w:top w:val="none" w:sz="0" w:space="0" w:color="auto"/>
                <w:left w:val="none" w:sz="0" w:space="0" w:color="auto"/>
                <w:bottom w:val="none" w:sz="0" w:space="0" w:color="auto"/>
                <w:right w:val="none" w:sz="0" w:space="0" w:color="auto"/>
              </w:divBdr>
            </w:div>
            <w:div w:id="1863858142">
              <w:marLeft w:val="0"/>
              <w:marRight w:val="0"/>
              <w:marTop w:val="0"/>
              <w:marBottom w:val="0"/>
              <w:divBdr>
                <w:top w:val="none" w:sz="0" w:space="0" w:color="auto"/>
                <w:left w:val="none" w:sz="0" w:space="0" w:color="auto"/>
                <w:bottom w:val="none" w:sz="0" w:space="0" w:color="auto"/>
                <w:right w:val="none" w:sz="0" w:space="0" w:color="auto"/>
              </w:divBdr>
            </w:div>
            <w:div w:id="1863858143">
              <w:marLeft w:val="0"/>
              <w:marRight w:val="0"/>
              <w:marTop w:val="0"/>
              <w:marBottom w:val="0"/>
              <w:divBdr>
                <w:top w:val="none" w:sz="0" w:space="0" w:color="auto"/>
                <w:left w:val="none" w:sz="0" w:space="0" w:color="auto"/>
                <w:bottom w:val="none" w:sz="0" w:space="0" w:color="auto"/>
                <w:right w:val="none" w:sz="0" w:space="0" w:color="auto"/>
              </w:divBdr>
            </w:div>
            <w:div w:id="1863858144">
              <w:marLeft w:val="0"/>
              <w:marRight w:val="0"/>
              <w:marTop w:val="0"/>
              <w:marBottom w:val="0"/>
              <w:divBdr>
                <w:top w:val="none" w:sz="0" w:space="0" w:color="auto"/>
                <w:left w:val="none" w:sz="0" w:space="0" w:color="auto"/>
                <w:bottom w:val="none" w:sz="0" w:space="0" w:color="auto"/>
                <w:right w:val="none" w:sz="0" w:space="0" w:color="auto"/>
              </w:divBdr>
            </w:div>
            <w:div w:id="1863858146">
              <w:marLeft w:val="0"/>
              <w:marRight w:val="0"/>
              <w:marTop w:val="0"/>
              <w:marBottom w:val="0"/>
              <w:divBdr>
                <w:top w:val="none" w:sz="0" w:space="0" w:color="auto"/>
                <w:left w:val="none" w:sz="0" w:space="0" w:color="auto"/>
                <w:bottom w:val="none" w:sz="0" w:space="0" w:color="auto"/>
                <w:right w:val="none" w:sz="0" w:space="0" w:color="auto"/>
              </w:divBdr>
            </w:div>
            <w:div w:id="1863858149">
              <w:marLeft w:val="0"/>
              <w:marRight w:val="0"/>
              <w:marTop w:val="0"/>
              <w:marBottom w:val="0"/>
              <w:divBdr>
                <w:top w:val="none" w:sz="0" w:space="0" w:color="auto"/>
                <w:left w:val="none" w:sz="0" w:space="0" w:color="auto"/>
                <w:bottom w:val="none" w:sz="0" w:space="0" w:color="auto"/>
                <w:right w:val="none" w:sz="0" w:space="0" w:color="auto"/>
              </w:divBdr>
            </w:div>
            <w:div w:id="1863858152">
              <w:marLeft w:val="0"/>
              <w:marRight w:val="0"/>
              <w:marTop w:val="0"/>
              <w:marBottom w:val="0"/>
              <w:divBdr>
                <w:top w:val="none" w:sz="0" w:space="0" w:color="auto"/>
                <w:left w:val="none" w:sz="0" w:space="0" w:color="auto"/>
                <w:bottom w:val="none" w:sz="0" w:space="0" w:color="auto"/>
                <w:right w:val="none" w:sz="0" w:space="0" w:color="auto"/>
              </w:divBdr>
            </w:div>
            <w:div w:id="1863858153">
              <w:marLeft w:val="0"/>
              <w:marRight w:val="0"/>
              <w:marTop w:val="0"/>
              <w:marBottom w:val="0"/>
              <w:divBdr>
                <w:top w:val="none" w:sz="0" w:space="0" w:color="auto"/>
                <w:left w:val="none" w:sz="0" w:space="0" w:color="auto"/>
                <w:bottom w:val="none" w:sz="0" w:space="0" w:color="auto"/>
                <w:right w:val="none" w:sz="0" w:space="0" w:color="auto"/>
              </w:divBdr>
            </w:div>
            <w:div w:id="1863858155">
              <w:marLeft w:val="0"/>
              <w:marRight w:val="0"/>
              <w:marTop w:val="0"/>
              <w:marBottom w:val="0"/>
              <w:divBdr>
                <w:top w:val="none" w:sz="0" w:space="0" w:color="auto"/>
                <w:left w:val="none" w:sz="0" w:space="0" w:color="auto"/>
                <w:bottom w:val="none" w:sz="0" w:space="0" w:color="auto"/>
                <w:right w:val="none" w:sz="0" w:space="0" w:color="auto"/>
              </w:divBdr>
            </w:div>
            <w:div w:id="1863858156">
              <w:marLeft w:val="0"/>
              <w:marRight w:val="0"/>
              <w:marTop w:val="0"/>
              <w:marBottom w:val="0"/>
              <w:divBdr>
                <w:top w:val="none" w:sz="0" w:space="0" w:color="auto"/>
                <w:left w:val="none" w:sz="0" w:space="0" w:color="auto"/>
                <w:bottom w:val="none" w:sz="0" w:space="0" w:color="auto"/>
                <w:right w:val="none" w:sz="0" w:space="0" w:color="auto"/>
              </w:divBdr>
            </w:div>
            <w:div w:id="1863858159">
              <w:marLeft w:val="0"/>
              <w:marRight w:val="0"/>
              <w:marTop w:val="0"/>
              <w:marBottom w:val="0"/>
              <w:divBdr>
                <w:top w:val="none" w:sz="0" w:space="0" w:color="auto"/>
                <w:left w:val="none" w:sz="0" w:space="0" w:color="auto"/>
                <w:bottom w:val="none" w:sz="0" w:space="0" w:color="auto"/>
                <w:right w:val="none" w:sz="0" w:space="0" w:color="auto"/>
              </w:divBdr>
            </w:div>
            <w:div w:id="1863858161">
              <w:marLeft w:val="0"/>
              <w:marRight w:val="0"/>
              <w:marTop w:val="0"/>
              <w:marBottom w:val="0"/>
              <w:divBdr>
                <w:top w:val="none" w:sz="0" w:space="0" w:color="auto"/>
                <w:left w:val="none" w:sz="0" w:space="0" w:color="auto"/>
                <w:bottom w:val="none" w:sz="0" w:space="0" w:color="auto"/>
                <w:right w:val="none" w:sz="0" w:space="0" w:color="auto"/>
              </w:divBdr>
            </w:div>
            <w:div w:id="1863858163">
              <w:marLeft w:val="0"/>
              <w:marRight w:val="0"/>
              <w:marTop w:val="0"/>
              <w:marBottom w:val="0"/>
              <w:divBdr>
                <w:top w:val="none" w:sz="0" w:space="0" w:color="auto"/>
                <w:left w:val="none" w:sz="0" w:space="0" w:color="auto"/>
                <w:bottom w:val="none" w:sz="0" w:space="0" w:color="auto"/>
                <w:right w:val="none" w:sz="0" w:space="0" w:color="auto"/>
              </w:divBdr>
            </w:div>
            <w:div w:id="1863858165">
              <w:marLeft w:val="0"/>
              <w:marRight w:val="0"/>
              <w:marTop w:val="0"/>
              <w:marBottom w:val="0"/>
              <w:divBdr>
                <w:top w:val="none" w:sz="0" w:space="0" w:color="auto"/>
                <w:left w:val="none" w:sz="0" w:space="0" w:color="auto"/>
                <w:bottom w:val="none" w:sz="0" w:space="0" w:color="auto"/>
                <w:right w:val="none" w:sz="0" w:space="0" w:color="auto"/>
              </w:divBdr>
            </w:div>
            <w:div w:id="1863858169">
              <w:marLeft w:val="0"/>
              <w:marRight w:val="0"/>
              <w:marTop w:val="0"/>
              <w:marBottom w:val="0"/>
              <w:divBdr>
                <w:top w:val="none" w:sz="0" w:space="0" w:color="auto"/>
                <w:left w:val="none" w:sz="0" w:space="0" w:color="auto"/>
                <w:bottom w:val="none" w:sz="0" w:space="0" w:color="auto"/>
                <w:right w:val="none" w:sz="0" w:space="0" w:color="auto"/>
              </w:divBdr>
            </w:div>
            <w:div w:id="1863858171">
              <w:marLeft w:val="0"/>
              <w:marRight w:val="0"/>
              <w:marTop w:val="0"/>
              <w:marBottom w:val="0"/>
              <w:divBdr>
                <w:top w:val="none" w:sz="0" w:space="0" w:color="auto"/>
                <w:left w:val="none" w:sz="0" w:space="0" w:color="auto"/>
                <w:bottom w:val="none" w:sz="0" w:space="0" w:color="auto"/>
                <w:right w:val="none" w:sz="0" w:space="0" w:color="auto"/>
              </w:divBdr>
            </w:div>
            <w:div w:id="1863858172">
              <w:marLeft w:val="0"/>
              <w:marRight w:val="0"/>
              <w:marTop w:val="0"/>
              <w:marBottom w:val="0"/>
              <w:divBdr>
                <w:top w:val="none" w:sz="0" w:space="0" w:color="auto"/>
                <w:left w:val="none" w:sz="0" w:space="0" w:color="auto"/>
                <w:bottom w:val="none" w:sz="0" w:space="0" w:color="auto"/>
                <w:right w:val="none" w:sz="0" w:space="0" w:color="auto"/>
              </w:divBdr>
            </w:div>
            <w:div w:id="1863858175">
              <w:marLeft w:val="0"/>
              <w:marRight w:val="0"/>
              <w:marTop w:val="0"/>
              <w:marBottom w:val="0"/>
              <w:divBdr>
                <w:top w:val="none" w:sz="0" w:space="0" w:color="auto"/>
                <w:left w:val="none" w:sz="0" w:space="0" w:color="auto"/>
                <w:bottom w:val="none" w:sz="0" w:space="0" w:color="auto"/>
                <w:right w:val="none" w:sz="0" w:space="0" w:color="auto"/>
              </w:divBdr>
            </w:div>
            <w:div w:id="1863858177">
              <w:marLeft w:val="0"/>
              <w:marRight w:val="0"/>
              <w:marTop w:val="0"/>
              <w:marBottom w:val="0"/>
              <w:divBdr>
                <w:top w:val="none" w:sz="0" w:space="0" w:color="auto"/>
                <w:left w:val="none" w:sz="0" w:space="0" w:color="auto"/>
                <w:bottom w:val="none" w:sz="0" w:space="0" w:color="auto"/>
                <w:right w:val="none" w:sz="0" w:space="0" w:color="auto"/>
              </w:divBdr>
            </w:div>
            <w:div w:id="1863858184">
              <w:marLeft w:val="0"/>
              <w:marRight w:val="0"/>
              <w:marTop w:val="0"/>
              <w:marBottom w:val="0"/>
              <w:divBdr>
                <w:top w:val="none" w:sz="0" w:space="0" w:color="auto"/>
                <w:left w:val="none" w:sz="0" w:space="0" w:color="auto"/>
                <w:bottom w:val="none" w:sz="0" w:space="0" w:color="auto"/>
                <w:right w:val="none" w:sz="0" w:space="0" w:color="auto"/>
              </w:divBdr>
            </w:div>
            <w:div w:id="1863858186">
              <w:marLeft w:val="0"/>
              <w:marRight w:val="0"/>
              <w:marTop w:val="0"/>
              <w:marBottom w:val="0"/>
              <w:divBdr>
                <w:top w:val="none" w:sz="0" w:space="0" w:color="auto"/>
                <w:left w:val="none" w:sz="0" w:space="0" w:color="auto"/>
                <w:bottom w:val="none" w:sz="0" w:space="0" w:color="auto"/>
                <w:right w:val="none" w:sz="0" w:space="0" w:color="auto"/>
              </w:divBdr>
            </w:div>
            <w:div w:id="1863858190">
              <w:marLeft w:val="0"/>
              <w:marRight w:val="0"/>
              <w:marTop w:val="0"/>
              <w:marBottom w:val="0"/>
              <w:divBdr>
                <w:top w:val="none" w:sz="0" w:space="0" w:color="auto"/>
                <w:left w:val="none" w:sz="0" w:space="0" w:color="auto"/>
                <w:bottom w:val="none" w:sz="0" w:space="0" w:color="auto"/>
                <w:right w:val="none" w:sz="0" w:space="0" w:color="auto"/>
              </w:divBdr>
            </w:div>
            <w:div w:id="1863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8131">
      <w:marLeft w:val="0"/>
      <w:marRight w:val="0"/>
      <w:marTop w:val="0"/>
      <w:marBottom w:val="0"/>
      <w:divBdr>
        <w:top w:val="none" w:sz="0" w:space="0" w:color="auto"/>
        <w:left w:val="none" w:sz="0" w:space="0" w:color="auto"/>
        <w:bottom w:val="none" w:sz="0" w:space="0" w:color="auto"/>
        <w:right w:val="none" w:sz="0" w:space="0" w:color="auto"/>
      </w:divBdr>
    </w:div>
    <w:div w:id="1863858134">
      <w:marLeft w:val="0"/>
      <w:marRight w:val="0"/>
      <w:marTop w:val="0"/>
      <w:marBottom w:val="0"/>
      <w:divBdr>
        <w:top w:val="none" w:sz="0" w:space="0" w:color="auto"/>
        <w:left w:val="none" w:sz="0" w:space="0" w:color="auto"/>
        <w:bottom w:val="none" w:sz="0" w:space="0" w:color="auto"/>
        <w:right w:val="none" w:sz="0" w:space="0" w:color="auto"/>
      </w:divBdr>
      <w:divsChild>
        <w:div w:id="1863858167">
          <w:marLeft w:val="0"/>
          <w:marRight w:val="0"/>
          <w:marTop w:val="0"/>
          <w:marBottom w:val="270"/>
          <w:divBdr>
            <w:top w:val="single" w:sz="6" w:space="8" w:color="D3D1D1"/>
            <w:left w:val="single" w:sz="6" w:space="0" w:color="D3D1D1"/>
            <w:bottom w:val="single" w:sz="6" w:space="8" w:color="D3D1D1"/>
            <w:right w:val="single" w:sz="6" w:space="0" w:color="D3D1D1"/>
          </w:divBdr>
          <w:divsChild>
            <w:div w:id="1863858189">
              <w:marLeft w:val="120"/>
              <w:marRight w:val="120"/>
              <w:marTop w:val="0"/>
              <w:marBottom w:val="0"/>
              <w:divBdr>
                <w:top w:val="none" w:sz="0" w:space="0" w:color="auto"/>
                <w:left w:val="none" w:sz="0" w:space="0" w:color="auto"/>
                <w:bottom w:val="none" w:sz="0" w:space="0" w:color="auto"/>
                <w:right w:val="none" w:sz="0" w:space="0" w:color="auto"/>
              </w:divBdr>
              <w:divsChild>
                <w:div w:id="1863858183">
                  <w:marLeft w:val="0"/>
                  <w:marRight w:val="0"/>
                  <w:marTop w:val="0"/>
                  <w:marBottom w:val="0"/>
                  <w:divBdr>
                    <w:top w:val="none" w:sz="0" w:space="0" w:color="auto"/>
                    <w:left w:val="none" w:sz="0" w:space="0" w:color="auto"/>
                    <w:bottom w:val="none" w:sz="0" w:space="0" w:color="auto"/>
                    <w:right w:val="none" w:sz="0" w:space="0" w:color="auto"/>
                  </w:divBdr>
                  <w:divsChild>
                    <w:div w:id="1863858181">
                      <w:marLeft w:val="0"/>
                      <w:marRight w:val="0"/>
                      <w:marTop w:val="0"/>
                      <w:marBottom w:val="0"/>
                      <w:divBdr>
                        <w:top w:val="none" w:sz="0" w:space="0" w:color="auto"/>
                        <w:left w:val="none" w:sz="0" w:space="0" w:color="auto"/>
                        <w:bottom w:val="none" w:sz="0" w:space="0" w:color="auto"/>
                        <w:right w:val="none" w:sz="0" w:space="0" w:color="auto"/>
                      </w:divBdr>
                      <w:divsChild>
                        <w:div w:id="18638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8145">
      <w:marLeft w:val="0"/>
      <w:marRight w:val="0"/>
      <w:marTop w:val="0"/>
      <w:marBottom w:val="0"/>
      <w:divBdr>
        <w:top w:val="none" w:sz="0" w:space="0" w:color="auto"/>
        <w:left w:val="none" w:sz="0" w:space="0" w:color="auto"/>
        <w:bottom w:val="none" w:sz="0" w:space="0" w:color="auto"/>
        <w:right w:val="none" w:sz="0" w:space="0" w:color="auto"/>
      </w:divBdr>
    </w:div>
    <w:div w:id="1863858157">
      <w:marLeft w:val="0"/>
      <w:marRight w:val="0"/>
      <w:marTop w:val="0"/>
      <w:marBottom w:val="0"/>
      <w:divBdr>
        <w:top w:val="none" w:sz="0" w:space="0" w:color="auto"/>
        <w:left w:val="none" w:sz="0" w:space="0" w:color="auto"/>
        <w:bottom w:val="none" w:sz="0" w:space="0" w:color="auto"/>
        <w:right w:val="none" w:sz="0" w:space="0" w:color="auto"/>
      </w:divBdr>
      <w:divsChild>
        <w:div w:id="1863858129">
          <w:marLeft w:val="0"/>
          <w:marRight w:val="0"/>
          <w:marTop w:val="0"/>
          <w:marBottom w:val="270"/>
          <w:divBdr>
            <w:top w:val="single" w:sz="6" w:space="8" w:color="D3D1D1"/>
            <w:left w:val="single" w:sz="6" w:space="0" w:color="D3D1D1"/>
            <w:bottom w:val="single" w:sz="6" w:space="8" w:color="D3D1D1"/>
            <w:right w:val="single" w:sz="6" w:space="0" w:color="D3D1D1"/>
          </w:divBdr>
          <w:divsChild>
            <w:div w:id="1863858164">
              <w:marLeft w:val="120"/>
              <w:marRight w:val="120"/>
              <w:marTop w:val="0"/>
              <w:marBottom w:val="0"/>
              <w:divBdr>
                <w:top w:val="none" w:sz="0" w:space="0" w:color="auto"/>
                <w:left w:val="none" w:sz="0" w:space="0" w:color="auto"/>
                <w:bottom w:val="none" w:sz="0" w:space="0" w:color="auto"/>
                <w:right w:val="none" w:sz="0" w:space="0" w:color="auto"/>
              </w:divBdr>
              <w:divsChild>
                <w:div w:id="1863858138">
                  <w:marLeft w:val="0"/>
                  <w:marRight w:val="0"/>
                  <w:marTop w:val="0"/>
                  <w:marBottom w:val="0"/>
                  <w:divBdr>
                    <w:top w:val="none" w:sz="0" w:space="0" w:color="auto"/>
                    <w:left w:val="none" w:sz="0" w:space="0" w:color="auto"/>
                    <w:bottom w:val="none" w:sz="0" w:space="0" w:color="auto"/>
                    <w:right w:val="none" w:sz="0" w:space="0" w:color="auto"/>
                  </w:divBdr>
                  <w:divsChild>
                    <w:div w:id="1863858124">
                      <w:marLeft w:val="0"/>
                      <w:marRight w:val="0"/>
                      <w:marTop w:val="0"/>
                      <w:marBottom w:val="0"/>
                      <w:divBdr>
                        <w:top w:val="none" w:sz="0" w:space="0" w:color="auto"/>
                        <w:left w:val="none" w:sz="0" w:space="0" w:color="auto"/>
                        <w:bottom w:val="none" w:sz="0" w:space="0" w:color="auto"/>
                        <w:right w:val="none" w:sz="0" w:space="0" w:color="auto"/>
                      </w:divBdr>
                      <w:divsChild>
                        <w:div w:id="18638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8160">
      <w:marLeft w:val="0"/>
      <w:marRight w:val="0"/>
      <w:marTop w:val="0"/>
      <w:marBottom w:val="0"/>
      <w:divBdr>
        <w:top w:val="none" w:sz="0" w:space="0" w:color="auto"/>
        <w:left w:val="none" w:sz="0" w:space="0" w:color="auto"/>
        <w:bottom w:val="none" w:sz="0" w:space="0" w:color="auto"/>
        <w:right w:val="none" w:sz="0" w:space="0" w:color="auto"/>
      </w:divBdr>
      <w:divsChild>
        <w:div w:id="1863858170">
          <w:marLeft w:val="0"/>
          <w:marRight w:val="1"/>
          <w:marTop w:val="0"/>
          <w:marBottom w:val="0"/>
          <w:divBdr>
            <w:top w:val="none" w:sz="0" w:space="0" w:color="auto"/>
            <w:left w:val="none" w:sz="0" w:space="0" w:color="auto"/>
            <w:bottom w:val="none" w:sz="0" w:space="0" w:color="auto"/>
            <w:right w:val="none" w:sz="0" w:space="0" w:color="auto"/>
          </w:divBdr>
          <w:divsChild>
            <w:div w:id="1863858185">
              <w:marLeft w:val="0"/>
              <w:marRight w:val="0"/>
              <w:marTop w:val="0"/>
              <w:marBottom w:val="0"/>
              <w:divBdr>
                <w:top w:val="none" w:sz="0" w:space="0" w:color="auto"/>
                <w:left w:val="none" w:sz="0" w:space="0" w:color="auto"/>
                <w:bottom w:val="none" w:sz="0" w:space="0" w:color="auto"/>
                <w:right w:val="none" w:sz="0" w:space="0" w:color="auto"/>
              </w:divBdr>
              <w:divsChild>
                <w:div w:id="1863858150">
                  <w:marLeft w:val="0"/>
                  <w:marRight w:val="1"/>
                  <w:marTop w:val="0"/>
                  <w:marBottom w:val="0"/>
                  <w:divBdr>
                    <w:top w:val="none" w:sz="0" w:space="0" w:color="auto"/>
                    <w:left w:val="none" w:sz="0" w:space="0" w:color="auto"/>
                    <w:bottom w:val="none" w:sz="0" w:space="0" w:color="auto"/>
                    <w:right w:val="none" w:sz="0" w:space="0" w:color="auto"/>
                  </w:divBdr>
                  <w:divsChild>
                    <w:div w:id="1863858147">
                      <w:marLeft w:val="0"/>
                      <w:marRight w:val="0"/>
                      <w:marTop w:val="0"/>
                      <w:marBottom w:val="0"/>
                      <w:divBdr>
                        <w:top w:val="none" w:sz="0" w:space="0" w:color="auto"/>
                        <w:left w:val="none" w:sz="0" w:space="0" w:color="auto"/>
                        <w:bottom w:val="none" w:sz="0" w:space="0" w:color="auto"/>
                        <w:right w:val="none" w:sz="0" w:space="0" w:color="auto"/>
                      </w:divBdr>
                      <w:divsChild>
                        <w:div w:id="1863858148">
                          <w:marLeft w:val="0"/>
                          <w:marRight w:val="0"/>
                          <w:marTop w:val="0"/>
                          <w:marBottom w:val="0"/>
                          <w:divBdr>
                            <w:top w:val="none" w:sz="0" w:space="0" w:color="auto"/>
                            <w:left w:val="none" w:sz="0" w:space="0" w:color="auto"/>
                            <w:bottom w:val="none" w:sz="0" w:space="0" w:color="auto"/>
                            <w:right w:val="none" w:sz="0" w:space="0" w:color="auto"/>
                          </w:divBdr>
                          <w:divsChild>
                            <w:div w:id="1863858178">
                              <w:marLeft w:val="0"/>
                              <w:marRight w:val="0"/>
                              <w:marTop w:val="120"/>
                              <w:marBottom w:val="360"/>
                              <w:divBdr>
                                <w:top w:val="none" w:sz="0" w:space="0" w:color="auto"/>
                                <w:left w:val="none" w:sz="0" w:space="0" w:color="auto"/>
                                <w:bottom w:val="none" w:sz="0" w:space="0" w:color="auto"/>
                                <w:right w:val="none" w:sz="0" w:space="0" w:color="auto"/>
                              </w:divBdr>
                              <w:divsChild>
                                <w:div w:id="1863858125">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858166">
      <w:marLeft w:val="0"/>
      <w:marRight w:val="0"/>
      <w:marTop w:val="0"/>
      <w:marBottom w:val="0"/>
      <w:divBdr>
        <w:top w:val="none" w:sz="0" w:space="0" w:color="auto"/>
        <w:left w:val="none" w:sz="0" w:space="0" w:color="auto"/>
        <w:bottom w:val="none" w:sz="0" w:space="0" w:color="auto"/>
        <w:right w:val="none" w:sz="0" w:space="0" w:color="auto"/>
      </w:divBdr>
      <w:divsChild>
        <w:div w:id="1863858193">
          <w:marLeft w:val="0"/>
          <w:marRight w:val="1"/>
          <w:marTop w:val="0"/>
          <w:marBottom w:val="0"/>
          <w:divBdr>
            <w:top w:val="none" w:sz="0" w:space="0" w:color="auto"/>
            <w:left w:val="none" w:sz="0" w:space="0" w:color="auto"/>
            <w:bottom w:val="none" w:sz="0" w:space="0" w:color="auto"/>
            <w:right w:val="none" w:sz="0" w:space="0" w:color="auto"/>
          </w:divBdr>
          <w:divsChild>
            <w:div w:id="1863858162">
              <w:marLeft w:val="0"/>
              <w:marRight w:val="0"/>
              <w:marTop w:val="0"/>
              <w:marBottom w:val="0"/>
              <w:divBdr>
                <w:top w:val="none" w:sz="0" w:space="0" w:color="auto"/>
                <w:left w:val="none" w:sz="0" w:space="0" w:color="auto"/>
                <w:bottom w:val="none" w:sz="0" w:space="0" w:color="auto"/>
                <w:right w:val="none" w:sz="0" w:space="0" w:color="auto"/>
              </w:divBdr>
              <w:divsChild>
                <w:div w:id="1863858140">
                  <w:marLeft w:val="0"/>
                  <w:marRight w:val="1"/>
                  <w:marTop w:val="0"/>
                  <w:marBottom w:val="0"/>
                  <w:divBdr>
                    <w:top w:val="none" w:sz="0" w:space="0" w:color="auto"/>
                    <w:left w:val="none" w:sz="0" w:space="0" w:color="auto"/>
                    <w:bottom w:val="none" w:sz="0" w:space="0" w:color="auto"/>
                    <w:right w:val="none" w:sz="0" w:space="0" w:color="auto"/>
                  </w:divBdr>
                  <w:divsChild>
                    <w:div w:id="1863858192">
                      <w:marLeft w:val="0"/>
                      <w:marRight w:val="0"/>
                      <w:marTop w:val="0"/>
                      <w:marBottom w:val="0"/>
                      <w:divBdr>
                        <w:top w:val="none" w:sz="0" w:space="0" w:color="auto"/>
                        <w:left w:val="none" w:sz="0" w:space="0" w:color="auto"/>
                        <w:bottom w:val="none" w:sz="0" w:space="0" w:color="auto"/>
                        <w:right w:val="none" w:sz="0" w:space="0" w:color="auto"/>
                      </w:divBdr>
                      <w:divsChild>
                        <w:div w:id="1863858174">
                          <w:marLeft w:val="0"/>
                          <w:marRight w:val="0"/>
                          <w:marTop w:val="0"/>
                          <w:marBottom w:val="0"/>
                          <w:divBdr>
                            <w:top w:val="none" w:sz="0" w:space="0" w:color="auto"/>
                            <w:left w:val="none" w:sz="0" w:space="0" w:color="auto"/>
                            <w:bottom w:val="none" w:sz="0" w:space="0" w:color="auto"/>
                            <w:right w:val="none" w:sz="0" w:space="0" w:color="auto"/>
                          </w:divBdr>
                          <w:divsChild>
                            <w:div w:id="1863858154">
                              <w:marLeft w:val="0"/>
                              <w:marRight w:val="0"/>
                              <w:marTop w:val="120"/>
                              <w:marBottom w:val="360"/>
                              <w:divBdr>
                                <w:top w:val="none" w:sz="0" w:space="0" w:color="auto"/>
                                <w:left w:val="none" w:sz="0" w:space="0" w:color="auto"/>
                                <w:bottom w:val="none" w:sz="0" w:space="0" w:color="auto"/>
                                <w:right w:val="none" w:sz="0" w:space="0" w:color="auto"/>
                              </w:divBdr>
                              <w:divsChild>
                                <w:div w:id="1863858139">
                                  <w:marLeft w:val="351"/>
                                  <w:marRight w:val="0"/>
                                  <w:marTop w:val="0"/>
                                  <w:marBottom w:val="0"/>
                                  <w:divBdr>
                                    <w:top w:val="none" w:sz="0" w:space="0" w:color="auto"/>
                                    <w:left w:val="none" w:sz="0" w:space="0" w:color="auto"/>
                                    <w:bottom w:val="none" w:sz="0" w:space="0" w:color="auto"/>
                                    <w:right w:val="none" w:sz="0" w:space="0" w:color="auto"/>
                                  </w:divBdr>
                                  <w:divsChild>
                                    <w:div w:id="18638581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858188">
      <w:marLeft w:val="0"/>
      <w:marRight w:val="0"/>
      <w:marTop w:val="0"/>
      <w:marBottom w:val="0"/>
      <w:divBdr>
        <w:top w:val="none" w:sz="0" w:space="0" w:color="auto"/>
        <w:left w:val="none" w:sz="0" w:space="0" w:color="auto"/>
        <w:bottom w:val="none" w:sz="0" w:space="0" w:color="auto"/>
        <w:right w:val="none" w:sz="0" w:space="0" w:color="auto"/>
      </w:divBdr>
      <w:divsChild>
        <w:div w:id="1863858176">
          <w:marLeft w:val="0"/>
          <w:marRight w:val="0"/>
          <w:marTop w:val="0"/>
          <w:marBottom w:val="0"/>
          <w:divBdr>
            <w:top w:val="none" w:sz="0" w:space="0" w:color="auto"/>
            <w:left w:val="none" w:sz="0" w:space="0" w:color="auto"/>
            <w:bottom w:val="none" w:sz="0" w:space="0" w:color="auto"/>
            <w:right w:val="none" w:sz="0" w:space="0" w:color="auto"/>
          </w:divBdr>
          <w:divsChild>
            <w:div w:id="1863858179">
              <w:marLeft w:val="0"/>
              <w:marRight w:val="0"/>
              <w:marTop w:val="0"/>
              <w:marBottom w:val="0"/>
              <w:divBdr>
                <w:top w:val="none" w:sz="0" w:space="0" w:color="auto"/>
                <w:left w:val="none" w:sz="0" w:space="0" w:color="auto"/>
                <w:bottom w:val="none" w:sz="0" w:space="0" w:color="auto"/>
                <w:right w:val="none" w:sz="0" w:space="0" w:color="auto"/>
              </w:divBdr>
              <w:divsChild>
                <w:div w:id="1863858187">
                  <w:marLeft w:val="0"/>
                  <w:marRight w:val="0"/>
                  <w:marTop w:val="0"/>
                  <w:marBottom w:val="0"/>
                  <w:divBdr>
                    <w:top w:val="none" w:sz="0" w:space="0" w:color="auto"/>
                    <w:left w:val="none" w:sz="0" w:space="0" w:color="auto"/>
                    <w:bottom w:val="none" w:sz="0" w:space="0" w:color="auto"/>
                    <w:right w:val="none" w:sz="0" w:space="0" w:color="auto"/>
                  </w:divBdr>
                  <w:divsChild>
                    <w:div w:id="1863858158">
                      <w:marLeft w:val="0"/>
                      <w:marRight w:val="0"/>
                      <w:marTop w:val="0"/>
                      <w:marBottom w:val="0"/>
                      <w:divBdr>
                        <w:top w:val="none" w:sz="0" w:space="0" w:color="auto"/>
                        <w:left w:val="none" w:sz="0" w:space="0" w:color="auto"/>
                        <w:bottom w:val="none" w:sz="0" w:space="0" w:color="auto"/>
                        <w:right w:val="none" w:sz="0" w:space="0" w:color="auto"/>
                      </w:divBdr>
                      <w:divsChild>
                        <w:div w:id="1863858173">
                          <w:marLeft w:val="0"/>
                          <w:marRight w:val="0"/>
                          <w:marTop w:val="0"/>
                          <w:marBottom w:val="0"/>
                          <w:divBdr>
                            <w:top w:val="none" w:sz="0" w:space="0" w:color="auto"/>
                            <w:left w:val="none" w:sz="0" w:space="0" w:color="auto"/>
                            <w:bottom w:val="none" w:sz="0" w:space="0" w:color="auto"/>
                            <w:right w:val="none" w:sz="0" w:space="0" w:color="auto"/>
                          </w:divBdr>
                          <w:divsChild>
                            <w:div w:id="1863858180">
                              <w:marLeft w:val="0"/>
                              <w:marRight w:val="0"/>
                              <w:marTop w:val="0"/>
                              <w:marBottom w:val="0"/>
                              <w:divBdr>
                                <w:top w:val="none" w:sz="0" w:space="0" w:color="auto"/>
                                <w:left w:val="none" w:sz="0" w:space="0" w:color="auto"/>
                                <w:bottom w:val="none" w:sz="0" w:space="0" w:color="auto"/>
                                <w:right w:val="none" w:sz="0" w:space="0" w:color="auto"/>
                              </w:divBdr>
                              <w:divsChild>
                                <w:div w:id="1863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amad@jhm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3266</Words>
  <Characters>18622</Characters>
  <Application>Microsoft Office Word</Application>
  <DocSecurity>0</DocSecurity>
  <Lines>155</Lines>
  <Paragraphs>43</Paragraphs>
  <ScaleCrop>false</ScaleCrop>
  <Company>JH Department of Pathology</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LS Ma</cp:lastModifiedBy>
  <cp:revision>2</cp:revision>
  <cp:lastPrinted>2013-03-29T22:11:00Z</cp:lastPrinted>
  <dcterms:created xsi:type="dcterms:W3CDTF">2013-06-07T19:30:00Z</dcterms:created>
  <dcterms:modified xsi:type="dcterms:W3CDTF">2013-06-07T19:30:00Z</dcterms:modified>
</cp:coreProperties>
</file>