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C6" w:rsidRPr="0058034D" w:rsidRDefault="001D73C6" w:rsidP="001D73C6">
      <w:pPr>
        <w:spacing w:line="360" w:lineRule="auto"/>
        <w:rPr>
          <w:rFonts w:ascii="Book Antiqua" w:eastAsia="Times New Roman" w:hAnsi="Book Antiqua" w:cs="宋体"/>
          <w:i/>
        </w:rPr>
      </w:pPr>
      <w:bookmarkStart w:id="0" w:name="OLE_LINK2088"/>
      <w:bookmarkStart w:id="1" w:name="OLE_LINK3171"/>
      <w:bookmarkStart w:id="2" w:name="OLE_LINK3301"/>
      <w:bookmarkStart w:id="3" w:name="OLE_LINK3302"/>
      <w:bookmarkStart w:id="4" w:name="OLE_LINK2410"/>
      <w:bookmarkStart w:id="5" w:name="OLE_LINK2411"/>
      <w:bookmarkStart w:id="6" w:name="OLE_LINK3234"/>
      <w:bookmarkStart w:id="7" w:name="OLE_LINK3878"/>
      <w:bookmarkStart w:id="8" w:name="OLE_LINK40"/>
      <w:bookmarkStart w:id="9" w:name="OLE_LINK41"/>
      <w:bookmarkStart w:id="10" w:name="OLE_LINK2445"/>
      <w:bookmarkStart w:id="11" w:name="OLE_LINK3563"/>
      <w:bookmarkStart w:id="12" w:name="OLE_LINK3958"/>
      <w:bookmarkStart w:id="13" w:name="OLE_LINK437"/>
      <w:bookmarkStart w:id="14" w:name="OLE_LINK438"/>
      <w:bookmarkStart w:id="15" w:name="OLE_LINK1043"/>
      <w:bookmarkStart w:id="16" w:name="OLE_LINK1420"/>
      <w:bookmarkStart w:id="17" w:name="OLE_LINK1540"/>
      <w:bookmarkStart w:id="18" w:name="OLE_LINK1602"/>
      <w:bookmarkStart w:id="19" w:name="OLE_LINK2188"/>
      <w:bookmarkStart w:id="20" w:name="OLE_LINK2180"/>
      <w:bookmarkStart w:id="21" w:name="OLE_LINK2646"/>
      <w:bookmarkStart w:id="22" w:name="OLE_LINK2650"/>
      <w:bookmarkStart w:id="23" w:name="OLE_LINK2656"/>
      <w:bookmarkStart w:id="24" w:name="OLE_LINK45"/>
      <w:bookmarkStart w:id="25" w:name="OLE_LINK3003"/>
      <w:bookmarkStart w:id="26" w:name="OLE_LINK3029"/>
      <w:bookmarkStart w:id="27" w:name="OLE_LINK3072"/>
      <w:bookmarkStart w:id="28" w:name="OLE_LINK3222"/>
      <w:bookmarkStart w:id="29" w:name="OLE_LINK3247"/>
      <w:bookmarkStart w:id="30" w:name="OLE_LINK3655"/>
      <w:bookmarkStart w:id="31" w:name="OLE_LINK99"/>
      <w:bookmarkStart w:id="32" w:name="OLE_LINK3745"/>
      <w:bookmarkStart w:id="33" w:name="OLE_LINK90"/>
      <w:bookmarkStart w:id="34" w:name="OLE_LINK3613"/>
      <w:bookmarkStart w:id="35" w:name="OLE_LINK3857"/>
      <w:bookmarkStart w:id="36" w:name="OLE_LINK3896"/>
      <w:bookmarkStart w:id="37" w:name="OLE_LINK3864"/>
      <w:bookmarkStart w:id="38" w:name="OLE_LINK3926"/>
      <w:bookmarkStart w:id="39" w:name="OLE_LINK157"/>
      <w:bookmarkStart w:id="40" w:name="OLE_LINK122"/>
      <w:r w:rsidRPr="0058034D">
        <w:rPr>
          <w:rFonts w:ascii="Book Antiqua" w:eastAsia="Times New Roman" w:hAnsi="Book Antiqua" w:cs="宋体"/>
          <w:b/>
        </w:rPr>
        <w:t xml:space="preserve">Name of journal: </w:t>
      </w:r>
      <w:bookmarkStart w:id="41" w:name="OLE_LINK718"/>
      <w:bookmarkStart w:id="42" w:name="OLE_LINK719"/>
      <w:bookmarkStart w:id="43" w:name="OLE_LINK645"/>
      <w:bookmarkStart w:id="44" w:name="OLE_LINK661"/>
      <w:bookmarkStart w:id="45" w:name="OLE_LINK696"/>
      <w:bookmarkStart w:id="46" w:name="OLE_LINK1068"/>
      <w:bookmarkStart w:id="47" w:name="OLE_LINK335"/>
      <w:r w:rsidRPr="0058034D">
        <w:rPr>
          <w:rFonts w:ascii="Book Antiqua" w:eastAsia="Times New Roman" w:hAnsi="Book Antiqua" w:cs="宋体"/>
          <w:i/>
          <w:szCs w:val="21"/>
        </w:rPr>
        <w:t>World Journal of Gastroenterology</w:t>
      </w:r>
      <w:bookmarkEnd w:id="41"/>
      <w:bookmarkEnd w:id="42"/>
      <w:bookmarkEnd w:id="43"/>
      <w:bookmarkEnd w:id="44"/>
      <w:bookmarkEnd w:id="45"/>
      <w:bookmarkEnd w:id="46"/>
      <w:bookmarkEnd w:id="47"/>
    </w:p>
    <w:p w:rsidR="001D73C6" w:rsidRPr="0058034D" w:rsidRDefault="001D73C6" w:rsidP="001D73C6">
      <w:pPr>
        <w:spacing w:line="360" w:lineRule="auto"/>
        <w:rPr>
          <w:rFonts w:ascii="Book Antiqua" w:eastAsia="Times New Roman" w:hAnsi="Book Antiqua" w:cs="宋体"/>
          <w:b/>
          <w:i/>
          <w:lang w:eastAsia="zh-CN"/>
        </w:rPr>
      </w:pPr>
      <w:bookmarkStart w:id="48" w:name="OLE_LINK19"/>
      <w:bookmarkStart w:id="49" w:name="OLE_LINK21"/>
      <w:bookmarkStart w:id="50" w:name="OLE_LINK2694"/>
      <w:r w:rsidRPr="0058034D">
        <w:rPr>
          <w:rFonts w:ascii="Book Antiqua" w:hAnsi="Book Antiqua" w:cs="Arial"/>
          <w:b/>
          <w:lang w:val="en"/>
        </w:rPr>
        <w:t xml:space="preserve">ESPS Manuscript NO: </w:t>
      </w:r>
      <w:r w:rsidRPr="0058034D">
        <w:rPr>
          <w:rFonts w:ascii="Book Antiqua" w:hAnsi="Book Antiqua" w:cs="Arial" w:hint="eastAsia"/>
          <w:b/>
          <w:lang w:val="en" w:eastAsia="zh-CN"/>
        </w:rPr>
        <w:t>31631</w:t>
      </w:r>
    </w:p>
    <w:p w:rsidR="001D73C6" w:rsidRPr="0058034D" w:rsidRDefault="001D73C6" w:rsidP="001D73C6">
      <w:pPr>
        <w:rPr>
          <w:rFonts w:ascii="Book Antiqua" w:hAnsi="Book Antiqua"/>
          <w:b/>
        </w:rPr>
      </w:pPr>
      <w:bookmarkStart w:id="51" w:name="OLE_LINK886"/>
      <w:bookmarkStart w:id="52" w:name="OLE_LINK887"/>
      <w:bookmarkStart w:id="53" w:name="OLE_LINK888"/>
      <w:bookmarkStart w:id="54" w:name="OLE_LINK1072"/>
      <w:bookmarkStart w:id="55" w:name="OLE_LINK863"/>
      <w:bookmarkStart w:id="56" w:name="OLE_LINK965"/>
      <w:bookmarkStart w:id="57" w:name="OLE_LINK897"/>
      <w:bookmarkStart w:id="58" w:name="OLE_LINK1021"/>
      <w:bookmarkStart w:id="59" w:name="OLE_LINK870"/>
      <w:bookmarkStart w:id="60" w:name="OLE_LINK1029"/>
      <w:bookmarkStart w:id="61" w:name="OLE_LINK1154"/>
      <w:bookmarkStart w:id="62" w:name="OLE_LINK950"/>
      <w:bookmarkStart w:id="63" w:name="OLE_LINK1191"/>
      <w:bookmarkStart w:id="64" w:name="OLE_LINK1225"/>
      <w:bookmarkStart w:id="65" w:name="OLE_LINK1131"/>
      <w:bookmarkStart w:id="66" w:name="OLE_LINK1064"/>
      <w:bookmarkStart w:id="67" w:name="OLE_LINK1165"/>
      <w:bookmarkStart w:id="68" w:name="OLE_LINK1333"/>
      <w:bookmarkStart w:id="69" w:name="OLE_LINK1367"/>
      <w:bookmarkStart w:id="70" w:name="OLE_LINK1400"/>
      <w:bookmarkStart w:id="71" w:name="OLE_LINK1616"/>
      <w:bookmarkStart w:id="72" w:name="OLE_LINK1378"/>
      <w:bookmarkStart w:id="73" w:name="OLE_LINK1489"/>
      <w:bookmarkStart w:id="74" w:name="OLE_LINK1379"/>
      <w:bookmarkStart w:id="75" w:name="OLE_LINK1638"/>
      <w:bookmarkStart w:id="76" w:name="OLE_LINK1758"/>
      <w:bookmarkStart w:id="77" w:name="OLE_LINK1764"/>
      <w:bookmarkStart w:id="78" w:name="OLE_LINK1715"/>
      <w:bookmarkStart w:id="79" w:name="OLE_LINK1893"/>
      <w:bookmarkStart w:id="80" w:name="OLE_LINK1929"/>
      <w:bookmarkStart w:id="81" w:name="OLE_LINK1972"/>
      <w:bookmarkStart w:id="82" w:name="OLE_LINK1717"/>
      <w:bookmarkStart w:id="83" w:name="OLE_LINK1908"/>
      <w:bookmarkStart w:id="84" w:name="OLE_LINK1933"/>
      <w:bookmarkStart w:id="85" w:name="OLE_LINK1867"/>
      <w:bookmarkStart w:id="86" w:name="OLE_LINK1904"/>
      <w:bookmarkStart w:id="87" w:name="OLE_LINK1937"/>
      <w:bookmarkStart w:id="88" w:name="OLE_LINK2022"/>
      <w:bookmarkStart w:id="89" w:name="OLE_LINK2062"/>
      <w:bookmarkStart w:id="90" w:name="OLE_LINK2119"/>
      <w:bookmarkStart w:id="91" w:name="OLE_LINK2067"/>
      <w:bookmarkStart w:id="92" w:name="OLE_LINK2244"/>
      <w:bookmarkStart w:id="93" w:name="OLE_LINK2000"/>
      <w:bookmarkStart w:id="94" w:name="OLE_LINK3"/>
      <w:bookmarkStart w:id="95" w:name="OLE_LINK4"/>
      <w:bookmarkStart w:id="96" w:name="OLE_LINK5"/>
      <w:bookmarkStart w:id="97" w:name="OLE_LINK3045"/>
      <w:bookmarkStart w:id="98" w:name="OLE_LINK186"/>
      <w:bookmarkEnd w:id="0"/>
      <w:bookmarkEnd w:id="1"/>
      <w:bookmarkEnd w:id="48"/>
      <w:bookmarkEnd w:id="49"/>
      <w:bookmarkEnd w:id="50"/>
      <w:r w:rsidRPr="0058034D">
        <w:rPr>
          <w:rFonts w:ascii="Book Antiqua" w:hAnsi="Book Antiqua"/>
          <w:b/>
        </w:rPr>
        <w:t>Manuscript Type</w:t>
      </w:r>
      <w:bookmarkEnd w:id="2"/>
      <w:bookmarkEnd w:id="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58034D">
        <w:rPr>
          <w:rFonts w:ascii="Book Antiqua" w:hAnsi="Book Antiqua"/>
          <w:b/>
        </w:rPr>
        <w:t>:</w:t>
      </w:r>
      <w:bookmarkStart w:id="99" w:name="OLE_LINK74"/>
      <w:bookmarkStart w:id="100" w:name="OLE_LINK75"/>
      <w:bookmarkEnd w:id="4"/>
      <w:bookmarkEnd w:id="5"/>
      <w:bookmarkEnd w:id="6"/>
      <w:bookmarkEnd w:id="7"/>
      <w:r w:rsidRPr="0058034D">
        <w:rPr>
          <w:rFonts w:ascii="Book Antiqua" w:hAnsi="Book Antiqua"/>
          <w:b/>
        </w:rPr>
        <w:t xml:space="preserve"> </w:t>
      </w:r>
      <w:bookmarkStart w:id="101" w:name="OLE_LINK3164"/>
      <w:bookmarkStart w:id="102" w:name="OLE_LINK3165"/>
      <w:bookmarkStart w:id="103" w:name="OLE_LINK70"/>
      <w:bookmarkStart w:id="104" w:name="OLE_LINK3525"/>
      <w:bookmarkStart w:id="105" w:name="OLE_LINK3894"/>
      <w:bookmarkStart w:id="106" w:name="OLE_LINK128"/>
      <w:bookmarkStart w:id="107" w:name="OLE_LINK7"/>
      <w:bookmarkStart w:id="108" w:name="OLE_LINK8"/>
      <w:bookmarkStart w:id="109" w:name="OLE_LINK1386"/>
      <w:bookmarkStart w:id="110" w:name="OLE_LINK37"/>
      <w:bookmarkStart w:id="111" w:name="OLE_LINK79"/>
      <w:bookmarkStart w:id="112" w:name="OLE_LINK3672"/>
      <w:bookmarkEnd w:id="8"/>
      <w:bookmarkEnd w:id="9"/>
      <w:bookmarkEnd w:id="10"/>
      <w:bookmarkEnd w:id="11"/>
      <w:bookmarkEnd w:id="12"/>
      <w:bookmarkEnd w:id="94"/>
      <w:bookmarkEnd w:id="95"/>
      <w:r w:rsidRPr="0058034D">
        <w:rPr>
          <w:rFonts w:ascii="Book Antiqua" w:hAnsi="Book Antiqua"/>
          <w:b/>
        </w:rPr>
        <w:t>ORIGINAL ARTICLE</w:t>
      </w:r>
      <w:bookmarkEnd w:id="99"/>
      <w:bookmarkEnd w:id="100"/>
      <w:bookmarkEnd w:id="101"/>
      <w:bookmarkEnd w:id="102"/>
      <w:bookmarkEnd w:id="103"/>
      <w:bookmarkEnd w:id="104"/>
      <w:bookmarkEnd w:id="105"/>
      <w:bookmarkEnd w:id="106"/>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96"/>
    <w:bookmarkEnd w:id="97"/>
    <w:bookmarkEnd w:id="98"/>
    <w:bookmarkEnd w:id="107"/>
    <w:bookmarkEnd w:id="108"/>
    <w:bookmarkEnd w:id="109"/>
    <w:bookmarkEnd w:id="110"/>
    <w:bookmarkEnd w:id="111"/>
    <w:bookmarkEnd w:id="112"/>
    <w:p w:rsidR="001D73C6" w:rsidRPr="0058034D" w:rsidRDefault="001D73C6" w:rsidP="001D73C6">
      <w:pPr>
        <w:pStyle w:val="Body"/>
        <w:adjustRightInd w:val="0"/>
        <w:snapToGrid w:val="0"/>
        <w:spacing w:after="0" w:line="360" w:lineRule="auto"/>
        <w:jc w:val="both"/>
        <w:rPr>
          <w:rFonts w:ascii="Book Antiqua" w:eastAsiaTheme="minorEastAsia" w:hAnsi="Book Antiqua" w:cs="Times New Roman"/>
          <w:bCs/>
          <w:color w:val="auto"/>
          <w:sz w:val="24"/>
          <w:szCs w:val="24"/>
          <w:lang w:val="en-US" w:eastAsia="zh-CN"/>
        </w:rPr>
      </w:pPr>
    </w:p>
    <w:p w:rsidR="00A10215" w:rsidRPr="0058034D" w:rsidRDefault="00A10215" w:rsidP="001D73C6">
      <w:pPr>
        <w:pStyle w:val="Body"/>
        <w:adjustRightInd w:val="0"/>
        <w:snapToGrid w:val="0"/>
        <w:spacing w:after="0" w:line="360" w:lineRule="auto"/>
        <w:jc w:val="both"/>
        <w:rPr>
          <w:rFonts w:ascii="Book Antiqua" w:hAnsi="Book Antiqua" w:cs="Times New Roman"/>
          <w:b/>
          <w:bCs/>
          <w:i/>
          <w:color w:val="auto"/>
          <w:sz w:val="24"/>
          <w:szCs w:val="24"/>
        </w:rPr>
      </w:pPr>
      <w:r w:rsidRPr="0058034D">
        <w:rPr>
          <w:rFonts w:ascii="Book Antiqua" w:hAnsi="Book Antiqua" w:cs="Times New Roman"/>
          <w:b/>
          <w:bCs/>
          <w:i/>
          <w:color w:val="auto"/>
          <w:sz w:val="24"/>
          <w:szCs w:val="24"/>
          <w:lang w:val="en-US"/>
        </w:rPr>
        <w:t>Retrospective</w:t>
      </w:r>
      <w:r w:rsidRPr="0058034D">
        <w:rPr>
          <w:rFonts w:ascii="Book Antiqua" w:hAnsi="Book Antiqua" w:cs="Times New Roman"/>
          <w:b/>
          <w:bCs/>
          <w:i/>
          <w:color w:val="auto"/>
          <w:sz w:val="24"/>
          <w:szCs w:val="24"/>
        </w:rPr>
        <w:t xml:space="preserve"> </w:t>
      </w:r>
      <w:r w:rsidRPr="0058034D">
        <w:rPr>
          <w:rFonts w:ascii="Book Antiqua" w:hAnsi="Book Antiqua" w:cs="Times New Roman"/>
          <w:b/>
          <w:bCs/>
          <w:i/>
          <w:color w:val="auto"/>
          <w:sz w:val="24"/>
          <w:szCs w:val="24"/>
          <w:lang w:val="en-US"/>
        </w:rPr>
        <w:t>Cohort</w:t>
      </w:r>
      <w:r w:rsidRPr="0058034D">
        <w:rPr>
          <w:rFonts w:ascii="Book Antiqua" w:hAnsi="Book Antiqua" w:cs="Times New Roman"/>
          <w:b/>
          <w:bCs/>
          <w:i/>
          <w:color w:val="auto"/>
          <w:sz w:val="24"/>
          <w:szCs w:val="24"/>
        </w:rPr>
        <w:t xml:space="preserve"> </w:t>
      </w:r>
      <w:r w:rsidRPr="0058034D">
        <w:rPr>
          <w:rFonts w:ascii="Book Antiqua" w:hAnsi="Book Antiqua" w:cs="Times New Roman"/>
          <w:b/>
          <w:bCs/>
          <w:i/>
          <w:color w:val="auto"/>
          <w:sz w:val="24"/>
          <w:szCs w:val="24"/>
          <w:lang w:val="en-US"/>
        </w:rPr>
        <w:t>Study</w:t>
      </w:r>
    </w:p>
    <w:p w:rsidR="001A0975" w:rsidRPr="0058034D" w:rsidRDefault="005B3EAE" w:rsidP="001D73C6">
      <w:pPr>
        <w:pStyle w:val="Body"/>
        <w:adjustRightInd w:val="0"/>
        <w:snapToGrid w:val="0"/>
        <w:spacing w:after="0" w:line="360" w:lineRule="auto"/>
        <w:jc w:val="both"/>
        <w:rPr>
          <w:rFonts w:ascii="Book Antiqua" w:eastAsiaTheme="minorEastAsia" w:hAnsi="Book Antiqua" w:cs="Times New Roman"/>
          <w:b/>
          <w:color w:val="auto"/>
          <w:sz w:val="24"/>
          <w:szCs w:val="24"/>
          <w:lang w:val="en-US" w:eastAsia="zh-CN"/>
        </w:rPr>
      </w:pPr>
      <w:bookmarkStart w:id="113" w:name="OLE_LINK187"/>
      <w:bookmarkStart w:id="114" w:name="OLE_LINK188"/>
      <w:r w:rsidRPr="0058034D">
        <w:rPr>
          <w:rFonts w:ascii="Book Antiqua" w:hAnsi="Book Antiqua" w:cs="Times New Roman"/>
          <w:b/>
          <w:color w:val="auto"/>
          <w:sz w:val="24"/>
          <w:szCs w:val="24"/>
          <w:lang w:val="en-US"/>
        </w:rPr>
        <w:t xml:space="preserve">Hospital </w:t>
      </w:r>
      <w:r w:rsidR="001D73C6" w:rsidRPr="0058034D">
        <w:rPr>
          <w:rFonts w:ascii="Book Antiqua" w:hAnsi="Book Antiqua" w:cs="Times New Roman"/>
          <w:b/>
          <w:color w:val="auto"/>
          <w:sz w:val="24"/>
          <w:szCs w:val="24"/>
          <w:lang w:val="en-US"/>
        </w:rPr>
        <w:t>readmissions in decompensated cirrhotics</w:t>
      </w:r>
      <w:r w:rsidR="001D73C6" w:rsidRPr="0058034D">
        <w:rPr>
          <w:rFonts w:ascii="Book Antiqua" w:eastAsiaTheme="minorEastAsia" w:hAnsi="Book Antiqua" w:cs="Times New Roman" w:hint="eastAsia"/>
          <w:b/>
          <w:color w:val="auto"/>
          <w:sz w:val="24"/>
          <w:szCs w:val="24"/>
          <w:lang w:val="en-US" w:eastAsia="zh-CN"/>
        </w:rPr>
        <w:t>:</w:t>
      </w:r>
      <w:r w:rsidRPr="0058034D">
        <w:rPr>
          <w:rFonts w:ascii="Book Antiqua" w:hAnsi="Book Antiqua" w:cs="Times New Roman"/>
          <w:b/>
          <w:color w:val="auto"/>
          <w:sz w:val="24"/>
          <w:szCs w:val="24"/>
          <w:lang w:val="en-US"/>
        </w:rPr>
        <w:t xml:space="preserve"> </w:t>
      </w:r>
      <w:r w:rsidR="001D73C6" w:rsidRPr="0058034D">
        <w:rPr>
          <w:rFonts w:ascii="Book Antiqua" w:hAnsi="Book Antiqua" w:cs="Times New Roman"/>
          <w:b/>
          <w:color w:val="auto"/>
          <w:sz w:val="24"/>
          <w:szCs w:val="24"/>
          <w:lang w:val="en-US"/>
        </w:rPr>
        <w:t xml:space="preserve">Factors </w:t>
      </w:r>
      <w:r w:rsidRPr="0058034D">
        <w:rPr>
          <w:rFonts w:ascii="Book Antiqua" w:hAnsi="Book Antiqua" w:cs="Times New Roman"/>
          <w:b/>
          <w:color w:val="auto"/>
          <w:sz w:val="24"/>
          <w:szCs w:val="24"/>
          <w:lang w:val="en-US"/>
        </w:rPr>
        <w:t xml:space="preserve">pointing toward a </w:t>
      </w:r>
      <w:r w:rsidR="001D73C6" w:rsidRPr="0058034D">
        <w:rPr>
          <w:rFonts w:ascii="Book Antiqua" w:hAnsi="Book Antiqua" w:cs="Times New Roman"/>
          <w:b/>
          <w:color w:val="auto"/>
          <w:sz w:val="24"/>
          <w:szCs w:val="24"/>
          <w:lang w:val="en-US"/>
        </w:rPr>
        <w:t>prevention strategy</w:t>
      </w:r>
    </w:p>
    <w:bookmarkEnd w:id="113"/>
    <w:bookmarkEnd w:id="114"/>
    <w:p w:rsidR="00B1253C" w:rsidRPr="0058034D" w:rsidRDefault="00B1253C" w:rsidP="001D73C6">
      <w:pPr>
        <w:pStyle w:val="Body"/>
        <w:adjustRightInd w:val="0"/>
        <w:snapToGrid w:val="0"/>
        <w:spacing w:after="0" w:line="360" w:lineRule="auto"/>
        <w:jc w:val="both"/>
        <w:rPr>
          <w:rFonts w:ascii="Book Antiqua" w:hAnsi="Book Antiqua" w:cs="Times New Roman"/>
          <w:color w:val="auto"/>
          <w:sz w:val="24"/>
          <w:szCs w:val="24"/>
          <w:lang w:val="en-US"/>
        </w:rPr>
      </w:pPr>
    </w:p>
    <w:p w:rsidR="001E377B" w:rsidRPr="0058034D" w:rsidRDefault="001E377B" w:rsidP="001D73C6">
      <w:pPr>
        <w:pStyle w:val="Body"/>
        <w:adjustRightInd w:val="0"/>
        <w:snapToGrid w:val="0"/>
        <w:spacing w:after="0" w:line="360" w:lineRule="auto"/>
        <w:jc w:val="both"/>
        <w:rPr>
          <w:rFonts w:ascii="Book Antiqua" w:hAnsi="Book Antiqua" w:cs="Times New Roman"/>
          <w:color w:val="auto"/>
          <w:sz w:val="24"/>
          <w:szCs w:val="24"/>
          <w:lang w:val="en-US"/>
        </w:rPr>
      </w:pPr>
      <w:r w:rsidRPr="0058034D">
        <w:rPr>
          <w:rFonts w:ascii="Book Antiqua" w:hAnsi="Book Antiqua" w:cs="Times New Roman"/>
          <w:color w:val="auto"/>
          <w:sz w:val="24"/>
          <w:szCs w:val="24"/>
          <w:lang w:val="en-US"/>
        </w:rPr>
        <w:t xml:space="preserve">Seraj SM </w:t>
      </w:r>
      <w:r w:rsidRPr="0058034D">
        <w:rPr>
          <w:rFonts w:ascii="Book Antiqua" w:hAnsi="Book Antiqua" w:cs="Times New Roman"/>
          <w:i/>
          <w:color w:val="auto"/>
          <w:sz w:val="24"/>
          <w:szCs w:val="24"/>
          <w:lang w:val="en-US"/>
        </w:rPr>
        <w:t>et al.</w:t>
      </w:r>
      <w:r w:rsidRPr="0058034D">
        <w:rPr>
          <w:rFonts w:ascii="Book Antiqua" w:hAnsi="Book Antiqua" w:cs="Times New Roman"/>
          <w:color w:val="auto"/>
          <w:sz w:val="24"/>
          <w:szCs w:val="24"/>
          <w:lang w:val="en-US"/>
        </w:rPr>
        <w:t xml:space="preserve"> </w:t>
      </w:r>
      <w:r w:rsidR="00DB5D3C" w:rsidRPr="0058034D">
        <w:rPr>
          <w:rFonts w:ascii="Book Antiqua" w:hAnsi="Book Antiqua" w:cs="Times New Roman"/>
          <w:color w:val="auto"/>
          <w:sz w:val="24"/>
          <w:szCs w:val="24"/>
          <w:lang w:val="en-US"/>
        </w:rPr>
        <w:t>Prevent</w:t>
      </w:r>
      <w:r w:rsidR="00F66555" w:rsidRPr="0058034D">
        <w:rPr>
          <w:rFonts w:ascii="Book Antiqua" w:hAnsi="Book Antiqua" w:cs="Times New Roman"/>
          <w:color w:val="auto"/>
          <w:sz w:val="24"/>
          <w:szCs w:val="24"/>
          <w:lang w:val="en-US"/>
        </w:rPr>
        <w:t>ing</w:t>
      </w:r>
      <w:r w:rsidR="00DB5D3C" w:rsidRPr="0058034D">
        <w:rPr>
          <w:rFonts w:ascii="Book Antiqua" w:hAnsi="Book Antiqua" w:cs="Times New Roman"/>
          <w:color w:val="auto"/>
          <w:sz w:val="24"/>
          <w:szCs w:val="24"/>
        </w:rPr>
        <w:t xml:space="preserve"> </w:t>
      </w:r>
      <w:r w:rsidR="00DB5D3C" w:rsidRPr="0058034D">
        <w:rPr>
          <w:rFonts w:ascii="Book Antiqua" w:hAnsi="Book Antiqua" w:cs="Times New Roman"/>
          <w:color w:val="auto"/>
          <w:sz w:val="24"/>
          <w:szCs w:val="24"/>
          <w:lang w:val="en-US"/>
        </w:rPr>
        <w:t>Readmissions</w:t>
      </w:r>
      <w:r w:rsidR="00DB5D3C" w:rsidRPr="0058034D">
        <w:rPr>
          <w:rFonts w:ascii="Book Antiqua" w:hAnsi="Book Antiqua" w:cs="Times New Roman"/>
          <w:color w:val="auto"/>
          <w:sz w:val="24"/>
          <w:szCs w:val="24"/>
        </w:rPr>
        <w:t xml:space="preserve"> in Patients </w:t>
      </w:r>
      <w:r w:rsidR="00DB5D3C" w:rsidRPr="0058034D">
        <w:rPr>
          <w:rFonts w:ascii="Book Antiqua" w:hAnsi="Book Antiqua" w:cs="Times New Roman"/>
          <w:color w:val="auto"/>
          <w:sz w:val="24"/>
          <w:szCs w:val="24"/>
          <w:lang w:val="en-US"/>
        </w:rPr>
        <w:t>with</w:t>
      </w:r>
      <w:r w:rsidR="00DB5D3C" w:rsidRPr="0058034D">
        <w:rPr>
          <w:rFonts w:ascii="Book Antiqua" w:hAnsi="Book Antiqua" w:cs="Times New Roman"/>
          <w:color w:val="auto"/>
          <w:sz w:val="24"/>
          <w:szCs w:val="24"/>
        </w:rPr>
        <w:t xml:space="preserve"> </w:t>
      </w:r>
      <w:r w:rsidR="00DB5D3C" w:rsidRPr="0058034D">
        <w:rPr>
          <w:rFonts w:ascii="Book Antiqua" w:hAnsi="Book Antiqua" w:cs="Times New Roman"/>
          <w:color w:val="auto"/>
          <w:sz w:val="24"/>
          <w:szCs w:val="24"/>
          <w:lang w:val="en-US"/>
        </w:rPr>
        <w:t>Cirrhosis</w:t>
      </w:r>
    </w:p>
    <w:p w:rsidR="00B1253C" w:rsidRPr="0058034D" w:rsidRDefault="00B1253C" w:rsidP="001D73C6">
      <w:pPr>
        <w:pStyle w:val="Body"/>
        <w:adjustRightInd w:val="0"/>
        <w:snapToGrid w:val="0"/>
        <w:spacing w:after="0" w:line="360" w:lineRule="auto"/>
        <w:jc w:val="both"/>
        <w:rPr>
          <w:rFonts w:ascii="Book Antiqua" w:hAnsi="Book Antiqua" w:cs="Times New Roman"/>
          <w:color w:val="auto"/>
          <w:sz w:val="24"/>
          <w:szCs w:val="24"/>
          <w:lang w:val="en-US"/>
        </w:rPr>
      </w:pPr>
    </w:p>
    <w:p w:rsidR="001E377B" w:rsidRPr="0058034D" w:rsidRDefault="005E101C" w:rsidP="001D73C6">
      <w:pPr>
        <w:pStyle w:val="Body"/>
        <w:adjustRightInd w:val="0"/>
        <w:snapToGrid w:val="0"/>
        <w:spacing w:after="0" w:line="360" w:lineRule="auto"/>
        <w:jc w:val="both"/>
        <w:rPr>
          <w:rFonts w:ascii="Book Antiqua" w:hAnsi="Book Antiqua" w:cs="Times New Roman"/>
          <w:color w:val="auto"/>
          <w:sz w:val="24"/>
          <w:szCs w:val="24"/>
        </w:rPr>
      </w:pPr>
      <w:bookmarkStart w:id="115" w:name="OLE_LINK181"/>
      <w:bookmarkStart w:id="116" w:name="OLE_LINK182"/>
      <w:bookmarkStart w:id="117" w:name="OLE_LINK185"/>
      <w:bookmarkStart w:id="118" w:name="OLE_LINK189"/>
      <w:r w:rsidRPr="0058034D">
        <w:rPr>
          <w:rFonts w:ascii="Book Antiqua" w:hAnsi="Book Antiqua" w:cs="Times New Roman"/>
          <w:color w:val="auto"/>
          <w:sz w:val="24"/>
          <w:szCs w:val="24"/>
        </w:rPr>
        <w:t>Siamak M</w:t>
      </w:r>
      <w:r w:rsidR="001E377B" w:rsidRPr="0058034D">
        <w:rPr>
          <w:rFonts w:ascii="Book Antiqua" w:hAnsi="Book Antiqua" w:cs="Times New Roman"/>
          <w:color w:val="auto"/>
          <w:sz w:val="24"/>
          <w:szCs w:val="24"/>
        </w:rPr>
        <w:t xml:space="preserve"> Seraj</w:t>
      </w:r>
      <w:bookmarkEnd w:id="115"/>
      <w:bookmarkEnd w:id="116"/>
      <w:bookmarkEnd w:id="117"/>
      <w:r w:rsidR="001E377B" w:rsidRPr="0058034D">
        <w:rPr>
          <w:rFonts w:ascii="Book Antiqua" w:hAnsi="Book Antiqua" w:cs="Times New Roman"/>
          <w:color w:val="auto"/>
          <w:sz w:val="24"/>
          <w:szCs w:val="24"/>
        </w:rPr>
        <w:t>, Emil</w:t>
      </w:r>
      <w:r w:rsidRPr="0058034D">
        <w:rPr>
          <w:rFonts w:ascii="Book Antiqua" w:hAnsi="Book Antiqua" w:cs="Times New Roman"/>
          <w:color w:val="auto"/>
          <w:sz w:val="24"/>
          <w:szCs w:val="24"/>
        </w:rPr>
        <w:t>y J Campbell, Sarah K</w:t>
      </w:r>
      <w:r w:rsidR="001E377B" w:rsidRPr="0058034D">
        <w:rPr>
          <w:rFonts w:ascii="Book Antiqua" w:hAnsi="Book Antiqua" w:cs="Times New Roman"/>
          <w:color w:val="auto"/>
          <w:sz w:val="24"/>
          <w:szCs w:val="24"/>
        </w:rPr>
        <w:t xml:space="preserve"> Argyropoulos, Kara Wegermann,</w:t>
      </w:r>
      <w:r w:rsidRPr="0058034D">
        <w:rPr>
          <w:rFonts w:ascii="Book Antiqua" w:hAnsi="Book Antiqua" w:cs="Times New Roman"/>
          <w:color w:val="auto"/>
          <w:sz w:val="24"/>
          <w:szCs w:val="24"/>
        </w:rPr>
        <w:t xml:space="preserve"> Raymond T Chung, James M</w:t>
      </w:r>
      <w:r w:rsidR="001E377B" w:rsidRPr="0058034D">
        <w:rPr>
          <w:rFonts w:ascii="Book Antiqua" w:hAnsi="Book Antiqua" w:cs="Times New Roman"/>
          <w:color w:val="auto"/>
          <w:sz w:val="24"/>
          <w:szCs w:val="24"/>
        </w:rPr>
        <w:t xml:space="preserve"> Richter</w:t>
      </w:r>
    </w:p>
    <w:bookmarkEnd w:id="118"/>
    <w:p w:rsidR="001E377B" w:rsidRPr="0058034D" w:rsidRDefault="001E377B"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rPr>
        <w:t xml:space="preserve"> </w:t>
      </w:r>
    </w:p>
    <w:p w:rsidR="001E377B" w:rsidRPr="0058034D" w:rsidRDefault="005E101C" w:rsidP="001D73C6">
      <w:pPr>
        <w:adjustRightInd w:val="0"/>
        <w:snapToGrid w:val="0"/>
        <w:spacing w:line="360" w:lineRule="auto"/>
        <w:jc w:val="both"/>
        <w:rPr>
          <w:rFonts w:ascii="Book Antiqua" w:hAnsi="Book Antiqua"/>
          <w:lang w:eastAsia="zh-CN"/>
        </w:rPr>
      </w:pPr>
      <w:r w:rsidRPr="0058034D">
        <w:rPr>
          <w:rFonts w:ascii="Book Antiqua" w:hAnsi="Book Antiqua"/>
          <w:b/>
        </w:rPr>
        <w:t>Siamak M</w:t>
      </w:r>
      <w:r w:rsidR="005B3EAE" w:rsidRPr="0058034D">
        <w:rPr>
          <w:rFonts w:ascii="Book Antiqua" w:hAnsi="Book Antiqua"/>
          <w:b/>
        </w:rPr>
        <w:t xml:space="preserve"> Seraj, </w:t>
      </w:r>
      <w:r w:rsidR="001E377B" w:rsidRPr="0058034D">
        <w:rPr>
          <w:rFonts w:ascii="Book Antiqua" w:hAnsi="Book Antiqua"/>
          <w:b/>
        </w:rPr>
        <w:t>Emily J</w:t>
      </w:r>
      <w:r w:rsidRPr="0058034D">
        <w:rPr>
          <w:rFonts w:ascii="Book Antiqua" w:hAnsi="Book Antiqua"/>
          <w:b/>
        </w:rPr>
        <w:t xml:space="preserve"> Campbell, Sarah K</w:t>
      </w:r>
      <w:r w:rsidR="001E377B" w:rsidRPr="0058034D">
        <w:rPr>
          <w:rFonts w:ascii="Book Antiqua" w:hAnsi="Book Antiqua"/>
          <w:b/>
        </w:rPr>
        <w:t xml:space="preserve"> Argyropoulos, </w:t>
      </w:r>
      <w:r w:rsidRPr="0058034D">
        <w:rPr>
          <w:rFonts w:ascii="Book Antiqua" w:hAnsi="Book Antiqua"/>
          <w:b/>
          <w:lang w:val="de-DE"/>
        </w:rPr>
        <w:t>Raymond T Chung, James M</w:t>
      </w:r>
      <w:r w:rsidR="008915C8" w:rsidRPr="0058034D">
        <w:rPr>
          <w:rFonts w:ascii="Book Antiqua" w:hAnsi="Book Antiqua"/>
          <w:b/>
          <w:lang w:val="de-DE"/>
        </w:rPr>
        <w:t xml:space="preserve"> Richter, </w:t>
      </w:r>
      <w:r w:rsidR="001E377B" w:rsidRPr="0058034D">
        <w:rPr>
          <w:rFonts w:ascii="Book Antiqua" w:hAnsi="Book Antiqua"/>
        </w:rPr>
        <w:t xml:space="preserve">Massachusetts General Hospital, Division of Gastroenterology, Boston, MA </w:t>
      </w:r>
      <w:r w:rsidR="001D73C6" w:rsidRPr="0058034D">
        <w:rPr>
          <w:rFonts w:ascii="Book Antiqua" w:hAnsi="Book Antiqua"/>
        </w:rPr>
        <w:t xml:space="preserve">02114, </w:t>
      </w:r>
      <w:bookmarkStart w:id="119" w:name="OLE_LINK172"/>
      <w:bookmarkStart w:id="120" w:name="OLE_LINK173"/>
      <w:r w:rsidR="001D73C6" w:rsidRPr="0058034D">
        <w:rPr>
          <w:rFonts w:ascii="Book Antiqua" w:hAnsi="Book Antiqua" w:hint="eastAsia"/>
          <w:lang w:eastAsia="zh-CN"/>
        </w:rPr>
        <w:t>United States</w:t>
      </w:r>
    </w:p>
    <w:bookmarkEnd w:id="119"/>
    <w:bookmarkEnd w:id="120"/>
    <w:p w:rsidR="00B1253C" w:rsidRPr="0058034D" w:rsidRDefault="00B1253C" w:rsidP="001D73C6">
      <w:pPr>
        <w:adjustRightInd w:val="0"/>
        <w:snapToGrid w:val="0"/>
        <w:spacing w:line="360" w:lineRule="auto"/>
        <w:jc w:val="both"/>
        <w:rPr>
          <w:rFonts w:ascii="Book Antiqua" w:hAnsi="Book Antiqua"/>
        </w:rPr>
      </w:pPr>
    </w:p>
    <w:p w:rsidR="001D73C6" w:rsidRPr="0058034D" w:rsidRDefault="005E101C" w:rsidP="001D73C6">
      <w:pPr>
        <w:adjustRightInd w:val="0"/>
        <w:snapToGrid w:val="0"/>
        <w:spacing w:line="360" w:lineRule="auto"/>
        <w:jc w:val="both"/>
        <w:rPr>
          <w:rFonts w:ascii="Book Antiqua" w:hAnsi="Book Antiqua"/>
          <w:shd w:val="clear" w:color="auto" w:fill="FFFFFF"/>
        </w:rPr>
      </w:pPr>
      <w:r w:rsidRPr="0058034D">
        <w:rPr>
          <w:rFonts w:ascii="Book Antiqua" w:hAnsi="Book Antiqua"/>
          <w:b/>
          <w:lang w:val="de-DE"/>
        </w:rPr>
        <w:t>Raymond T Chung, James M</w:t>
      </w:r>
      <w:r w:rsidR="001E377B" w:rsidRPr="0058034D">
        <w:rPr>
          <w:rFonts w:ascii="Book Antiqua" w:hAnsi="Book Antiqua"/>
          <w:b/>
          <w:lang w:val="de-DE"/>
        </w:rPr>
        <w:t xml:space="preserve"> Richter, </w:t>
      </w:r>
      <w:r w:rsidR="001E377B" w:rsidRPr="0058034D">
        <w:rPr>
          <w:rFonts w:ascii="Book Antiqua" w:hAnsi="Book Antiqua"/>
        </w:rPr>
        <w:t xml:space="preserve">Harvard Medical </w:t>
      </w:r>
      <w:r w:rsidR="001E377B" w:rsidRPr="0058034D">
        <w:rPr>
          <w:rFonts w:ascii="Book Antiqua" w:hAnsi="Book Antiqua"/>
          <w:shd w:val="clear" w:color="auto" w:fill="FFFFFF"/>
        </w:rPr>
        <w:t xml:space="preserve">School, Boston, MA 02115, </w:t>
      </w:r>
      <w:r w:rsidR="001D73C6" w:rsidRPr="0058034D">
        <w:rPr>
          <w:rFonts w:ascii="Book Antiqua" w:hAnsi="Book Antiqua" w:hint="eastAsia"/>
          <w:shd w:val="clear" w:color="auto" w:fill="FFFFFF"/>
        </w:rPr>
        <w:t>United States</w:t>
      </w:r>
    </w:p>
    <w:p w:rsidR="001E377B" w:rsidRPr="0058034D" w:rsidRDefault="001E377B" w:rsidP="001D73C6">
      <w:pPr>
        <w:adjustRightInd w:val="0"/>
        <w:snapToGrid w:val="0"/>
        <w:spacing w:line="360" w:lineRule="auto"/>
        <w:jc w:val="both"/>
        <w:rPr>
          <w:rFonts w:ascii="Book Antiqua" w:eastAsia="Times New Roman" w:hAnsi="Book Antiqua"/>
        </w:rPr>
      </w:pPr>
    </w:p>
    <w:p w:rsidR="001D73C6" w:rsidRPr="0058034D" w:rsidRDefault="001E377B" w:rsidP="001D73C6">
      <w:pPr>
        <w:adjustRightInd w:val="0"/>
        <w:snapToGrid w:val="0"/>
        <w:spacing w:line="360" w:lineRule="auto"/>
        <w:jc w:val="both"/>
        <w:rPr>
          <w:rFonts w:ascii="Book Antiqua" w:hAnsi="Book Antiqua"/>
          <w:shd w:val="clear" w:color="auto" w:fill="FFFFFF"/>
        </w:rPr>
      </w:pPr>
      <w:r w:rsidRPr="0058034D">
        <w:rPr>
          <w:rFonts w:ascii="Book Antiqua" w:hAnsi="Book Antiqua"/>
          <w:b/>
        </w:rPr>
        <w:t xml:space="preserve">Kara Wegermann, </w:t>
      </w:r>
      <w:r w:rsidRPr="0058034D">
        <w:rPr>
          <w:rFonts w:ascii="Book Antiqua" w:hAnsi="Book Antiqua"/>
        </w:rPr>
        <w:t xml:space="preserve">Duke University Hospital, Department of Medicine, </w:t>
      </w:r>
      <w:r w:rsidRPr="0058034D">
        <w:rPr>
          <w:rFonts w:ascii="Book Antiqua" w:hAnsi="Book Antiqua"/>
          <w:shd w:val="clear" w:color="auto" w:fill="FFFFFF"/>
        </w:rPr>
        <w:t xml:space="preserve">Durham, NC 27710, </w:t>
      </w:r>
      <w:r w:rsidR="001D73C6" w:rsidRPr="0058034D">
        <w:rPr>
          <w:rFonts w:ascii="Book Antiqua" w:hAnsi="Book Antiqua" w:hint="eastAsia"/>
          <w:shd w:val="clear" w:color="auto" w:fill="FFFFFF"/>
        </w:rPr>
        <w:t>United States</w:t>
      </w:r>
    </w:p>
    <w:p w:rsidR="001E377B" w:rsidRPr="0058034D" w:rsidRDefault="001E377B" w:rsidP="001D73C6">
      <w:pPr>
        <w:adjustRightInd w:val="0"/>
        <w:snapToGrid w:val="0"/>
        <w:spacing w:line="360" w:lineRule="auto"/>
        <w:jc w:val="both"/>
        <w:rPr>
          <w:rFonts w:ascii="Book Antiqua" w:eastAsia="Times New Roman" w:hAnsi="Book Antiqua"/>
          <w:lang w:eastAsia="zh-CN"/>
        </w:rPr>
      </w:pPr>
    </w:p>
    <w:p w:rsidR="008915C8" w:rsidRPr="0058034D" w:rsidRDefault="008915C8" w:rsidP="001D73C6">
      <w:pPr>
        <w:pStyle w:val="Body"/>
        <w:adjustRightInd w:val="0"/>
        <w:snapToGrid w:val="0"/>
        <w:spacing w:after="0" w:line="360" w:lineRule="auto"/>
        <w:jc w:val="both"/>
        <w:rPr>
          <w:rFonts w:ascii="Book Antiqua" w:eastAsiaTheme="minorEastAsia" w:hAnsi="Book Antiqua" w:cs="Times New Roman"/>
          <w:color w:val="auto"/>
          <w:sz w:val="24"/>
          <w:szCs w:val="24"/>
          <w:lang w:val="en-US" w:eastAsia="zh-CN"/>
        </w:rPr>
      </w:pPr>
      <w:r w:rsidRPr="0058034D">
        <w:rPr>
          <w:rFonts w:ascii="Book Antiqua" w:hAnsi="Book Antiqua" w:cs="Times New Roman"/>
          <w:b/>
          <w:color w:val="auto"/>
          <w:sz w:val="24"/>
          <w:szCs w:val="24"/>
          <w:lang w:val="en-US"/>
        </w:rPr>
        <w:t xml:space="preserve">Author contributions: </w:t>
      </w:r>
      <w:r w:rsidRPr="0058034D">
        <w:rPr>
          <w:rFonts w:ascii="Book Antiqua" w:hAnsi="Book Antiqua" w:cs="Times New Roman"/>
          <w:color w:val="auto"/>
          <w:sz w:val="24"/>
          <w:szCs w:val="24"/>
          <w:lang w:val="en-US"/>
        </w:rPr>
        <w:t>Seraj SM, Campbell EJ, Richter JM made substantial contributions to conception and design of study, acquisition of data, anal</w:t>
      </w:r>
      <w:r w:rsidR="001D73C6" w:rsidRPr="0058034D">
        <w:rPr>
          <w:rFonts w:ascii="Book Antiqua" w:hAnsi="Book Antiqua" w:cs="Times New Roman"/>
          <w:color w:val="auto"/>
          <w:sz w:val="24"/>
          <w:szCs w:val="24"/>
          <w:lang w:val="en-US"/>
        </w:rPr>
        <w:t>ysis and interpretation of data</w:t>
      </w:r>
      <w:r w:rsidR="001D73C6"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Seraj SM, Campbell EJ, Richter JM, SK Argyropoulos, K Wegermann and RT Chung all contributed equally to the drafting the article or making critical revisions related to important intellectual content of the manuscript as well as gave final approval of the version of the article to be published.</w:t>
      </w:r>
    </w:p>
    <w:p w:rsidR="00A10215" w:rsidRPr="0058034D" w:rsidRDefault="00A10215" w:rsidP="001D73C6">
      <w:pPr>
        <w:adjustRightInd w:val="0"/>
        <w:snapToGrid w:val="0"/>
        <w:spacing w:line="360" w:lineRule="auto"/>
        <w:jc w:val="both"/>
        <w:rPr>
          <w:rFonts w:ascii="Book Antiqua" w:eastAsia="Times New Roman" w:hAnsi="Book Antiqua"/>
        </w:rPr>
      </w:pPr>
    </w:p>
    <w:p w:rsidR="00A10215" w:rsidRPr="0058034D" w:rsidRDefault="00A10215" w:rsidP="001D73C6">
      <w:pPr>
        <w:adjustRightInd w:val="0"/>
        <w:snapToGrid w:val="0"/>
        <w:spacing w:line="360" w:lineRule="auto"/>
        <w:jc w:val="both"/>
        <w:rPr>
          <w:rFonts w:ascii="Book Antiqua" w:eastAsia="Times New Roman" w:hAnsi="Book Antiqua"/>
        </w:rPr>
      </w:pPr>
      <w:r w:rsidRPr="0058034D">
        <w:rPr>
          <w:rFonts w:ascii="Book Antiqua" w:eastAsia="Times New Roman" w:hAnsi="Book Antiqua"/>
          <w:b/>
        </w:rPr>
        <w:t xml:space="preserve">Institutional </w:t>
      </w:r>
      <w:r w:rsidR="001D73C6" w:rsidRPr="0058034D">
        <w:rPr>
          <w:rFonts w:ascii="Book Antiqua" w:eastAsia="Times New Roman" w:hAnsi="Book Antiqua"/>
          <w:b/>
        </w:rPr>
        <w:t>review board</w:t>
      </w:r>
      <w:r w:rsidR="001D73C6" w:rsidRPr="0058034D">
        <w:rPr>
          <w:rFonts w:ascii="Book Antiqua" w:hAnsi="Book Antiqua" w:hint="eastAsia"/>
          <w:b/>
          <w:lang w:eastAsia="zh-CN"/>
        </w:rPr>
        <w:t xml:space="preserve"> </w:t>
      </w:r>
      <w:r w:rsidR="001D73C6" w:rsidRPr="0058034D">
        <w:rPr>
          <w:rFonts w:ascii="Book Antiqua" w:hAnsi="Book Antiqua"/>
          <w:b/>
          <w:lang w:eastAsia="zh-CN"/>
        </w:rPr>
        <w:t>statement</w:t>
      </w:r>
      <w:r w:rsidR="001D73C6" w:rsidRPr="0058034D">
        <w:rPr>
          <w:rFonts w:ascii="Book Antiqua" w:eastAsia="Times New Roman" w:hAnsi="Book Antiqua"/>
          <w:b/>
        </w:rPr>
        <w:t>:</w:t>
      </w:r>
      <w:r w:rsidR="001D73C6" w:rsidRPr="0058034D">
        <w:rPr>
          <w:rFonts w:ascii="Book Antiqua" w:eastAsia="Times New Roman" w:hAnsi="Book Antiqua"/>
        </w:rPr>
        <w:t xml:space="preserve"> </w:t>
      </w:r>
      <w:r w:rsidRPr="0058034D">
        <w:rPr>
          <w:rFonts w:ascii="Book Antiqua" w:eastAsia="Times New Roman" w:hAnsi="Book Antiqua"/>
        </w:rPr>
        <w:t>The study was review</w:t>
      </w:r>
      <w:r w:rsidR="00DB5D3C" w:rsidRPr="0058034D">
        <w:rPr>
          <w:rFonts w:ascii="Book Antiqua" w:eastAsia="Times New Roman" w:hAnsi="Book Antiqua"/>
        </w:rPr>
        <w:t>ed</w:t>
      </w:r>
      <w:r w:rsidRPr="0058034D">
        <w:rPr>
          <w:rFonts w:ascii="Book Antiqua" w:eastAsia="Times New Roman" w:hAnsi="Book Antiqua"/>
        </w:rPr>
        <w:t xml:space="preserve"> and approved by the Partners Human Research Committee Institutional Review Board.</w:t>
      </w:r>
    </w:p>
    <w:p w:rsidR="00A10215" w:rsidRPr="0058034D" w:rsidRDefault="00A10215" w:rsidP="001D73C6">
      <w:pPr>
        <w:pStyle w:val="Body"/>
        <w:adjustRightInd w:val="0"/>
        <w:snapToGrid w:val="0"/>
        <w:spacing w:after="0" w:line="360" w:lineRule="auto"/>
        <w:jc w:val="both"/>
        <w:rPr>
          <w:rFonts w:ascii="Book Antiqua" w:hAnsi="Book Antiqua" w:cs="Times New Roman"/>
          <w:color w:val="auto"/>
          <w:sz w:val="24"/>
          <w:szCs w:val="24"/>
          <w:lang w:val="en-US"/>
        </w:rPr>
      </w:pPr>
    </w:p>
    <w:p w:rsidR="00A10215" w:rsidRPr="0058034D" w:rsidRDefault="00A10215" w:rsidP="001D73C6">
      <w:pPr>
        <w:pStyle w:val="Body"/>
        <w:adjustRightInd w:val="0"/>
        <w:snapToGrid w:val="0"/>
        <w:spacing w:after="0" w:line="360" w:lineRule="auto"/>
        <w:jc w:val="both"/>
        <w:rPr>
          <w:rFonts w:ascii="Book Antiqua" w:hAnsi="Book Antiqua" w:cs="Times New Roman"/>
          <w:color w:val="auto"/>
          <w:sz w:val="24"/>
          <w:szCs w:val="24"/>
          <w:lang w:val="en-US"/>
        </w:rPr>
      </w:pPr>
      <w:r w:rsidRPr="0058034D">
        <w:rPr>
          <w:rFonts w:ascii="Book Antiqua" w:hAnsi="Book Antiqua" w:cs="Times New Roman"/>
          <w:b/>
          <w:color w:val="auto"/>
          <w:sz w:val="24"/>
          <w:szCs w:val="24"/>
          <w:lang w:val="en-US"/>
        </w:rPr>
        <w:t xml:space="preserve">Informed consent statement: </w:t>
      </w:r>
      <w:r w:rsidRPr="0058034D">
        <w:rPr>
          <w:rFonts w:ascii="Book Antiqua" w:hAnsi="Book Antiqua" w:cs="Times New Roman"/>
          <w:color w:val="auto"/>
          <w:sz w:val="24"/>
          <w:szCs w:val="24"/>
          <w:lang w:val="en-US"/>
        </w:rPr>
        <w:t>This study received an informed consent waiver from</w:t>
      </w:r>
      <w:r w:rsidR="005E101C" w:rsidRPr="0058034D">
        <w:rPr>
          <w:rFonts w:ascii="Book Antiqua" w:hAnsi="Book Antiqua" w:cs="Times New Roman"/>
          <w:color w:val="auto"/>
          <w:sz w:val="24"/>
          <w:szCs w:val="24"/>
          <w:lang w:val="en-US"/>
        </w:rPr>
        <w:t xml:space="preserve"> our Institutional Review Board due to minimal risk to study subjects.</w:t>
      </w:r>
    </w:p>
    <w:p w:rsidR="00A10215" w:rsidRPr="0058034D" w:rsidRDefault="00A10215" w:rsidP="001D73C6">
      <w:pPr>
        <w:pStyle w:val="Body"/>
        <w:adjustRightInd w:val="0"/>
        <w:snapToGrid w:val="0"/>
        <w:spacing w:after="0" w:line="360" w:lineRule="auto"/>
        <w:jc w:val="both"/>
        <w:rPr>
          <w:rFonts w:ascii="Book Antiqua" w:hAnsi="Book Antiqua" w:cs="Times New Roman"/>
          <w:color w:val="auto"/>
          <w:sz w:val="24"/>
          <w:szCs w:val="24"/>
          <w:lang w:val="en-US"/>
        </w:rPr>
      </w:pPr>
    </w:p>
    <w:p w:rsidR="008915C8" w:rsidRPr="0058034D" w:rsidRDefault="00A10215" w:rsidP="001D73C6">
      <w:pPr>
        <w:pStyle w:val="Body"/>
        <w:adjustRightInd w:val="0"/>
        <w:snapToGrid w:val="0"/>
        <w:spacing w:after="0" w:line="360" w:lineRule="auto"/>
        <w:jc w:val="both"/>
        <w:rPr>
          <w:rFonts w:ascii="Book Antiqua" w:hAnsi="Book Antiqua" w:cs="Times New Roman"/>
          <w:color w:val="auto"/>
          <w:sz w:val="24"/>
          <w:szCs w:val="24"/>
          <w:lang w:val="en-US"/>
        </w:rPr>
      </w:pPr>
      <w:r w:rsidRPr="0058034D">
        <w:rPr>
          <w:rFonts w:ascii="Book Antiqua" w:hAnsi="Book Antiqua" w:cs="Times New Roman"/>
          <w:b/>
          <w:color w:val="auto"/>
          <w:sz w:val="24"/>
          <w:szCs w:val="24"/>
          <w:lang w:val="en-US"/>
        </w:rPr>
        <w:t>Conflict</w:t>
      </w:r>
      <w:r w:rsidR="001D73C6" w:rsidRPr="0058034D">
        <w:rPr>
          <w:rFonts w:ascii="Book Antiqua" w:eastAsiaTheme="minorEastAsia" w:hAnsi="Book Antiqua" w:cs="Times New Roman" w:hint="eastAsia"/>
          <w:b/>
          <w:color w:val="auto"/>
          <w:sz w:val="24"/>
          <w:szCs w:val="24"/>
          <w:lang w:val="en-US" w:eastAsia="zh-CN"/>
        </w:rPr>
        <w:t>-</w:t>
      </w:r>
      <w:r w:rsidRPr="0058034D">
        <w:rPr>
          <w:rFonts w:ascii="Book Antiqua" w:hAnsi="Book Antiqua" w:cs="Times New Roman"/>
          <w:b/>
          <w:color w:val="auto"/>
          <w:sz w:val="24"/>
          <w:szCs w:val="24"/>
          <w:lang w:val="en-US"/>
        </w:rPr>
        <w:t>of</w:t>
      </w:r>
      <w:r w:rsidR="001D73C6" w:rsidRPr="0058034D">
        <w:rPr>
          <w:rFonts w:ascii="Book Antiqua" w:eastAsiaTheme="minorEastAsia" w:hAnsi="Book Antiqua" w:cs="Times New Roman" w:hint="eastAsia"/>
          <w:b/>
          <w:color w:val="auto"/>
          <w:sz w:val="24"/>
          <w:szCs w:val="24"/>
          <w:lang w:val="en-US" w:eastAsia="zh-CN"/>
        </w:rPr>
        <w:t>-</w:t>
      </w:r>
      <w:r w:rsidRPr="0058034D">
        <w:rPr>
          <w:rFonts w:ascii="Book Antiqua" w:hAnsi="Book Antiqua" w:cs="Times New Roman"/>
          <w:b/>
          <w:color w:val="auto"/>
          <w:sz w:val="24"/>
          <w:szCs w:val="24"/>
          <w:lang w:val="en-US"/>
        </w:rPr>
        <w:t xml:space="preserve">interest statement: </w:t>
      </w:r>
      <w:r w:rsidRPr="0058034D">
        <w:rPr>
          <w:rFonts w:ascii="Book Antiqua" w:hAnsi="Book Antiqua" w:cs="Times New Roman"/>
          <w:color w:val="auto"/>
          <w:sz w:val="24"/>
          <w:szCs w:val="24"/>
          <w:lang w:val="en-US"/>
        </w:rPr>
        <w:t>All the Authors have no conflict of interest related to the manuscript.</w:t>
      </w:r>
    </w:p>
    <w:p w:rsidR="00B1253C" w:rsidRPr="0058034D" w:rsidRDefault="00B1253C" w:rsidP="001D73C6">
      <w:pPr>
        <w:pStyle w:val="Body"/>
        <w:adjustRightInd w:val="0"/>
        <w:snapToGrid w:val="0"/>
        <w:spacing w:after="0" w:line="360" w:lineRule="auto"/>
        <w:jc w:val="both"/>
        <w:rPr>
          <w:rFonts w:ascii="Book Antiqua" w:hAnsi="Book Antiqua" w:cs="Times New Roman"/>
          <w:b/>
          <w:color w:val="auto"/>
          <w:sz w:val="24"/>
          <w:szCs w:val="24"/>
          <w:lang w:val="en-US"/>
        </w:rPr>
      </w:pPr>
    </w:p>
    <w:p w:rsidR="005E101C" w:rsidRPr="0058034D" w:rsidRDefault="005E101C" w:rsidP="001D73C6">
      <w:pPr>
        <w:pStyle w:val="Body"/>
        <w:adjustRightInd w:val="0"/>
        <w:snapToGrid w:val="0"/>
        <w:spacing w:after="0" w:line="360" w:lineRule="auto"/>
        <w:jc w:val="both"/>
        <w:rPr>
          <w:rFonts w:ascii="Book Antiqua" w:hAnsi="Book Antiqua" w:cs="Times New Roman"/>
          <w:b/>
          <w:color w:val="auto"/>
          <w:sz w:val="24"/>
          <w:szCs w:val="24"/>
          <w:lang w:val="en-US"/>
        </w:rPr>
      </w:pPr>
      <w:r w:rsidRPr="0058034D">
        <w:rPr>
          <w:rFonts w:ascii="Book Antiqua" w:hAnsi="Book Antiqua" w:cs="Times New Roman"/>
          <w:b/>
          <w:color w:val="auto"/>
          <w:sz w:val="24"/>
          <w:szCs w:val="24"/>
          <w:lang w:val="en-US"/>
        </w:rPr>
        <w:t xml:space="preserve">Data sharing statement: </w:t>
      </w:r>
      <w:r w:rsidR="00DB5D3C" w:rsidRPr="0058034D">
        <w:rPr>
          <w:rFonts w:ascii="Book Antiqua" w:hAnsi="Book Antiqua" w:cs="Times New Roman"/>
          <w:color w:val="auto"/>
          <w:sz w:val="24"/>
          <w:szCs w:val="24"/>
          <w:lang w:val="en-US"/>
        </w:rPr>
        <w:t>No additional data available.</w:t>
      </w:r>
    </w:p>
    <w:p w:rsidR="005E101C" w:rsidRPr="0058034D" w:rsidRDefault="005E101C" w:rsidP="001D73C6">
      <w:pPr>
        <w:pStyle w:val="Body"/>
        <w:adjustRightInd w:val="0"/>
        <w:snapToGrid w:val="0"/>
        <w:spacing w:after="0" w:line="360" w:lineRule="auto"/>
        <w:jc w:val="both"/>
        <w:rPr>
          <w:rFonts w:ascii="Book Antiqua" w:eastAsiaTheme="minorEastAsia" w:hAnsi="Book Antiqua" w:cs="Times New Roman"/>
          <w:b/>
          <w:bCs/>
          <w:color w:val="auto"/>
          <w:sz w:val="24"/>
          <w:szCs w:val="24"/>
          <w:lang w:val="en-US" w:eastAsia="zh-CN"/>
        </w:rPr>
      </w:pPr>
    </w:p>
    <w:p w:rsidR="001D73C6" w:rsidRPr="0058034D" w:rsidRDefault="001D73C6" w:rsidP="001D73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bookmarkStart w:id="121" w:name="OLE_LINK441"/>
      <w:bookmarkStart w:id="122" w:name="OLE_LINK442"/>
      <w:bookmarkStart w:id="123" w:name="OLE_LINK1032"/>
      <w:bookmarkStart w:id="124" w:name="OLE_LINK1232"/>
      <w:bookmarkStart w:id="125" w:name="OLE_LINK1460"/>
      <w:bookmarkStart w:id="126" w:name="OLE_LINK1568"/>
      <w:bookmarkStart w:id="127" w:name="OLE_LINK1708"/>
      <w:bookmarkStart w:id="128" w:name="OLE_LINK1435"/>
      <w:bookmarkStart w:id="129" w:name="OLE_LINK1478"/>
      <w:bookmarkStart w:id="130" w:name="OLE_LINK1428"/>
      <w:bookmarkStart w:id="131" w:name="OLE_LINK1355"/>
      <w:bookmarkStart w:id="132" w:name="OLE_LINK1425"/>
      <w:bookmarkStart w:id="133" w:name="OLE_LINK1504"/>
      <w:bookmarkStart w:id="134" w:name="OLE_LINK1544"/>
      <w:bookmarkStart w:id="135" w:name="OLE_LINK1680"/>
      <w:bookmarkStart w:id="136" w:name="OLE_LINK1710"/>
      <w:bookmarkStart w:id="137" w:name="OLE_LINK3317"/>
      <w:bookmarkStart w:id="138" w:name="OLE_LINK22"/>
      <w:bookmarkStart w:id="139" w:name="OLE_LINK1818"/>
      <w:bookmarkStart w:id="140" w:name="OLE_LINK1684"/>
      <w:bookmarkStart w:id="141" w:name="OLE_LINK1885"/>
      <w:bookmarkStart w:id="142" w:name="OLE_LINK1799"/>
      <w:bookmarkStart w:id="143" w:name="OLE_LINK1894"/>
      <w:bookmarkStart w:id="144" w:name="OLE_LINK27"/>
      <w:bookmarkStart w:id="145" w:name="OLE_LINK732"/>
      <w:bookmarkStart w:id="146" w:name="OLE_LINK2053"/>
      <w:bookmarkStart w:id="147" w:name="OLE_LINK2096"/>
      <w:bookmarkStart w:id="148" w:name="OLE_LINK2174"/>
      <w:bookmarkStart w:id="149" w:name="OLE_LINK2108"/>
      <w:bookmarkStart w:id="150" w:name="OLE_LINK2183"/>
      <w:bookmarkStart w:id="151" w:name="OLE_LINK2328"/>
      <w:bookmarkStart w:id="152" w:name="OLE_LINK766"/>
      <w:bookmarkStart w:id="153" w:name="OLE_LINK2256"/>
      <w:bookmarkStart w:id="154" w:name="OLE_LINK38"/>
      <w:bookmarkStart w:id="155" w:name="OLE_LINK2368"/>
      <w:bookmarkStart w:id="156" w:name="OLE_LINK2446"/>
      <w:bookmarkStart w:id="157" w:name="OLE_LINK2509"/>
      <w:bookmarkStart w:id="158" w:name="OLE_LINK2651"/>
      <w:bookmarkStart w:id="159" w:name="OLE_LINK2842"/>
      <w:bookmarkStart w:id="160" w:name="OLE_LINK2909"/>
      <w:bookmarkStart w:id="161" w:name="OLE_LINK3004"/>
      <w:bookmarkStart w:id="162" w:name="OLE_LINK43"/>
      <w:bookmarkStart w:id="163" w:name="OLE_LINK3170"/>
      <w:bookmarkStart w:id="164" w:name="OLE_LINK3181"/>
      <w:bookmarkStart w:id="165" w:name="OLE_LINK3182"/>
      <w:bookmarkStart w:id="166" w:name="OLE_LINK3631"/>
      <w:bookmarkStart w:id="167" w:name="OLE_LINK3293"/>
      <w:bookmarkStart w:id="168" w:name="OLE_LINK71"/>
      <w:bookmarkStart w:id="169" w:name="OLE_LINK3789"/>
      <w:bookmarkStart w:id="170" w:name="OLE_LINK76"/>
      <w:bookmarkStart w:id="171" w:name="OLE_LINK102"/>
      <w:bookmarkStart w:id="172" w:name="OLE_LINK3695"/>
      <w:bookmarkStart w:id="173" w:name="OLE_LINK3733"/>
      <w:bookmarkStart w:id="174" w:name="OLE_LINK3858"/>
      <w:bookmarkStart w:id="175" w:name="OLE_LINK3870"/>
      <w:bookmarkStart w:id="176" w:name="OLE_LINK100"/>
      <w:bookmarkStart w:id="177" w:name="OLE_LINK158"/>
      <w:bookmarkStart w:id="178" w:name="OLE_LINK3928"/>
      <w:bookmarkStart w:id="179" w:name="OLE_LINK123"/>
      <w:bookmarkStart w:id="180" w:name="OLE_LINK126"/>
      <w:bookmarkStart w:id="181" w:name="OLE_LINK4046"/>
      <w:bookmarkStart w:id="182" w:name="OLE_LINK80"/>
      <w:bookmarkStart w:id="183" w:name="OLE_LINK3748"/>
      <w:bookmarkStart w:id="184" w:name="OLE_LINK3883"/>
      <w:bookmarkStart w:id="185" w:name="OLE_LINK94"/>
      <w:bookmarkStart w:id="186" w:name="OLE_LINK112"/>
      <w:bookmarkStart w:id="187" w:name="OLE_LINK29"/>
      <w:bookmarkStart w:id="188" w:name="OLE_LINK336"/>
      <w:bookmarkStart w:id="189" w:name="OLE_LINK337"/>
      <w:bookmarkStart w:id="190" w:name="OLE_LINK83"/>
      <w:bookmarkStart w:id="191" w:name="OLE_LINK3757"/>
      <w:bookmarkStart w:id="192" w:name="OLE_LINK3895"/>
      <w:r w:rsidRPr="0058034D">
        <w:rPr>
          <w:rFonts w:ascii="Book Antiqua" w:eastAsia="宋体" w:hAnsi="Book Antiqua"/>
          <w:b/>
          <w:bdr w:val="none" w:sz="0" w:space="0" w:color="auto"/>
          <w:lang w:eastAsia="zh-CN"/>
        </w:rPr>
        <w:t xml:space="preserve">Open-Access: </w:t>
      </w:r>
      <w:bookmarkStart w:id="193" w:name="OLE_LINK479"/>
      <w:bookmarkStart w:id="194" w:name="OLE_LINK496"/>
      <w:bookmarkStart w:id="195" w:name="OLE_LINK506"/>
      <w:bookmarkStart w:id="196" w:name="OLE_LINK507"/>
      <w:r w:rsidRPr="0058034D">
        <w:rPr>
          <w:rFonts w:ascii="Book Antiqua" w:eastAsia="宋体" w:hAnsi="Book Antiqua"/>
          <w:kern w:val="2"/>
          <w:bdr w:val="none" w:sz="0" w:space="0" w:color="auto"/>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8034D">
          <w:rPr>
            <w:rFonts w:ascii="Book Antiqua" w:eastAsia="宋体" w:hAnsi="Book Antiqua"/>
            <w:kern w:val="2"/>
            <w:u w:val="single"/>
            <w:bdr w:val="none" w:sz="0" w:space="0" w:color="auto"/>
            <w:lang w:eastAsia="zh-CN"/>
          </w:rPr>
          <w:t>http://creativecommons.org/licenses/by-nc/4.0/</w:t>
        </w:r>
      </w:hyperlink>
      <w:bookmarkEnd w:id="193"/>
      <w:bookmarkEnd w:id="194"/>
      <w:bookmarkEnd w:id="195"/>
      <w:bookmarkEnd w:id="196"/>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rsidR="001D73C6" w:rsidRPr="0058034D" w:rsidRDefault="001D73C6" w:rsidP="001D73C6">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kern w:val="2"/>
          <w:bdr w:val="none" w:sz="0" w:space="0" w:color="auto"/>
          <w:lang w:eastAsia="zh-CN"/>
        </w:rPr>
      </w:pPr>
    </w:p>
    <w:p w:rsidR="001D73C6" w:rsidRPr="0058034D" w:rsidRDefault="001D73C6" w:rsidP="001D73C6">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kern w:val="2"/>
          <w:bdr w:val="none" w:sz="0" w:space="0" w:color="auto"/>
          <w:lang w:eastAsia="zh-CN"/>
        </w:rPr>
      </w:pPr>
      <w:bookmarkStart w:id="197" w:name="OLE_LINK3210"/>
      <w:bookmarkStart w:id="198" w:name="OLE_LINK321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58034D">
        <w:rPr>
          <w:rFonts w:ascii="Book Antiqua" w:eastAsia="宋体" w:hAnsi="Book Antiqua"/>
          <w:b/>
          <w:kern w:val="2"/>
          <w:bdr w:val="none" w:sz="0" w:space="0" w:color="auto"/>
          <w:lang w:eastAsia="zh-CN"/>
        </w:rPr>
        <w:t>Manuscript source:</w:t>
      </w:r>
      <w:r w:rsidRPr="0058034D">
        <w:rPr>
          <w:rFonts w:ascii="Book Antiqua" w:eastAsia="宋体" w:hAnsi="Book Antiqua"/>
          <w:kern w:val="2"/>
          <w:bdr w:val="none" w:sz="0" w:space="0" w:color="auto"/>
          <w:lang w:eastAsia="zh-CN"/>
        </w:rPr>
        <w:t xml:space="preserve"> Unsolicited manuscript</w:t>
      </w:r>
    </w:p>
    <w:bookmarkEnd w:id="182"/>
    <w:bookmarkEnd w:id="183"/>
    <w:bookmarkEnd w:id="184"/>
    <w:bookmarkEnd w:id="185"/>
    <w:bookmarkEnd w:id="186"/>
    <w:bookmarkEnd w:id="187"/>
    <w:bookmarkEnd w:id="197"/>
    <w:bookmarkEnd w:id="198"/>
    <w:p w:rsidR="001D73C6" w:rsidRPr="0058034D" w:rsidRDefault="001D73C6" w:rsidP="001D73C6">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kern w:val="2"/>
          <w:bdr w:val="none" w:sz="0" w:space="0" w:color="auto"/>
          <w:lang w:eastAsia="zh-CN"/>
        </w:rPr>
      </w:pPr>
    </w:p>
    <w:p w:rsidR="001A0975" w:rsidRPr="0058034D" w:rsidRDefault="005E101C" w:rsidP="001D73C6">
      <w:pPr>
        <w:pStyle w:val="Body"/>
        <w:adjustRightInd w:val="0"/>
        <w:snapToGrid w:val="0"/>
        <w:spacing w:after="0" w:line="360" w:lineRule="auto"/>
        <w:jc w:val="both"/>
        <w:rPr>
          <w:rFonts w:ascii="Book Antiqua" w:eastAsia="Times New Roman" w:hAnsi="Book Antiqua" w:cs="Times New Roman"/>
          <w:b/>
          <w:bCs/>
          <w:color w:val="auto"/>
          <w:sz w:val="24"/>
          <w:szCs w:val="24"/>
        </w:rPr>
      </w:pPr>
      <w:bookmarkStart w:id="199" w:name="OLE_LINK169"/>
      <w:bookmarkStart w:id="200" w:name="OLE_LINK170"/>
      <w:bookmarkEnd w:id="188"/>
      <w:bookmarkEnd w:id="189"/>
      <w:bookmarkEnd w:id="190"/>
      <w:bookmarkEnd w:id="191"/>
      <w:bookmarkEnd w:id="192"/>
      <w:r w:rsidRPr="0058034D">
        <w:rPr>
          <w:rFonts w:ascii="Book Antiqua" w:hAnsi="Book Antiqua" w:cs="Times New Roman"/>
          <w:b/>
          <w:bCs/>
          <w:color w:val="auto"/>
          <w:sz w:val="24"/>
          <w:szCs w:val="24"/>
          <w:lang w:val="en-US"/>
        </w:rPr>
        <w:t>Correspondence to:</w:t>
      </w:r>
      <w:r w:rsidRPr="0058034D">
        <w:rPr>
          <w:rFonts w:ascii="Book Antiqua" w:eastAsia="Times New Roman" w:hAnsi="Book Antiqua" w:cs="Times New Roman"/>
          <w:b/>
          <w:bCs/>
          <w:color w:val="auto"/>
          <w:sz w:val="24"/>
          <w:szCs w:val="24"/>
        </w:rPr>
        <w:t xml:space="preserve"> </w:t>
      </w:r>
      <w:r w:rsidR="005B3EAE" w:rsidRPr="0058034D">
        <w:rPr>
          <w:rFonts w:ascii="Book Antiqua" w:hAnsi="Book Antiqua" w:cs="Times New Roman"/>
          <w:b/>
          <w:color w:val="auto"/>
          <w:sz w:val="24"/>
          <w:szCs w:val="24"/>
          <w:lang w:val="de-DE"/>
        </w:rPr>
        <w:t>James M Richter, MD, MA</w:t>
      </w:r>
      <w:r w:rsidRPr="0058034D">
        <w:rPr>
          <w:rFonts w:ascii="Book Antiqua" w:eastAsia="Times New Roman" w:hAnsi="Book Antiqua" w:cs="Times New Roman"/>
          <w:b/>
          <w:bCs/>
          <w:color w:val="auto"/>
          <w:sz w:val="24"/>
          <w:szCs w:val="24"/>
        </w:rPr>
        <w:t xml:space="preserve">, </w:t>
      </w:r>
      <w:r w:rsidRPr="0058034D">
        <w:rPr>
          <w:rFonts w:ascii="Book Antiqua" w:eastAsia="Times New Roman" w:hAnsi="Book Antiqua" w:cs="Times New Roman"/>
          <w:b/>
          <w:bCs/>
          <w:color w:val="auto"/>
          <w:sz w:val="24"/>
          <w:szCs w:val="24"/>
          <w:lang w:val="en-US"/>
        </w:rPr>
        <w:t>Director</w:t>
      </w:r>
      <w:r w:rsidRPr="0058034D">
        <w:rPr>
          <w:rFonts w:ascii="Book Antiqua" w:eastAsia="Times New Roman" w:hAnsi="Book Antiqua" w:cs="Times New Roman"/>
          <w:b/>
          <w:bCs/>
          <w:color w:val="auto"/>
          <w:sz w:val="24"/>
          <w:szCs w:val="24"/>
        </w:rPr>
        <w:t xml:space="preserve"> </w:t>
      </w:r>
      <w:r w:rsidRPr="00D179B0">
        <w:rPr>
          <w:rFonts w:ascii="Book Antiqua" w:eastAsia="Times New Roman" w:hAnsi="Book Antiqua" w:cs="Times New Roman"/>
          <w:bCs/>
          <w:color w:val="auto"/>
          <w:sz w:val="24"/>
          <w:szCs w:val="24"/>
        </w:rPr>
        <w:t>o</w:t>
      </w:r>
      <w:r w:rsidRPr="00DD6F83">
        <w:rPr>
          <w:rFonts w:ascii="Book Antiqua" w:eastAsia="Times New Roman" w:hAnsi="Book Antiqua" w:cs="Times New Roman"/>
          <w:bCs/>
          <w:color w:val="auto"/>
          <w:sz w:val="24"/>
          <w:szCs w:val="24"/>
        </w:rPr>
        <w:t xml:space="preserve">f </w:t>
      </w:r>
      <w:r w:rsidRPr="00DD6F83">
        <w:rPr>
          <w:rFonts w:ascii="Book Antiqua" w:eastAsia="Times New Roman" w:hAnsi="Book Antiqua" w:cs="Times New Roman"/>
          <w:bCs/>
          <w:color w:val="auto"/>
          <w:sz w:val="24"/>
          <w:szCs w:val="24"/>
          <w:lang w:val="en-US"/>
        </w:rPr>
        <w:t>Quality</w:t>
      </w:r>
      <w:r w:rsidRPr="00DD6F83">
        <w:rPr>
          <w:rFonts w:ascii="Book Antiqua" w:eastAsia="Times New Roman" w:hAnsi="Book Antiqua" w:cs="Times New Roman"/>
          <w:bCs/>
          <w:color w:val="auto"/>
          <w:sz w:val="24"/>
          <w:szCs w:val="24"/>
        </w:rPr>
        <w:t xml:space="preserve"> Management, </w:t>
      </w:r>
      <w:r w:rsidR="005B3EAE" w:rsidRPr="0058034D">
        <w:rPr>
          <w:rFonts w:ascii="Book Antiqua" w:hAnsi="Book Antiqua" w:cs="Times New Roman"/>
          <w:color w:val="auto"/>
          <w:sz w:val="24"/>
          <w:szCs w:val="24"/>
          <w:lang w:val="en-US"/>
        </w:rPr>
        <w:t>Gastroenterology Division</w:t>
      </w:r>
      <w:r w:rsidRPr="0058034D">
        <w:rPr>
          <w:rFonts w:ascii="Book Antiqua" w:eastAsia="Times New Roman" w:hAnsi="Book Antiqua" w:cs="Times New Roman"/>
          <w:b/>
          <w:bCs/>
          <w:color w:val="auto"/>
          <w:sz w:val="24"/>
          <w:szCs w:val="24"/>
        </w:rPr>
        <w:t xml:space="preserve">, </w:t>
      </w:r>
      <w:r w:rsidR="005B3EAE" w:rsidRPr="0058034D">
        <w:rPr>
          <w:rFonts w:ascii="Book Antiqua" w:hAnsi="Book Antiqua" w:cs="Times New Roman"/>
          <w:color w:val="auto"/>
          <w:sz w:val="24"/>
          <w:szCs w:val="24"/>
        </w:rPr>
        <w:t xml:space="preserve">Massachusetts General </w:t>
      </w:r>
      <w:r w:rsidR="005B3EAE" w:rsidRPr="0058034D">
        <w:rPr>
          <w:rFonts w:ascii="Book Antiqua" w:hAnsi="Book Antiqua" w:cs="Times New Roman"/>
          <w:color w:val="auto"/>
          <w:sz w:val="24"/>
          <w:szCs w:val="24"/>
          <w:lang w:val="en-US"/>
        </w:rPr>
        <w:t>Hospital</w:t>
      </w:r>
      <w:r w:rsidRPr="0058034D">
        <w:rPr>
          <w:rFonts w:ascii="Book Antiqua" w:eastAsia="Times New Roman" w:hAnsi="Book Antiqua" w:cs="Times New Roman"/>
          <w:b/>
          <w:bCs/>
          <w:color w:val="auto"/>
          <w:sz w:val="24"/>
          <w:szCs w:val="24"/>
        </w:rPr>
        <w:t xml:space="preserve">, </w:t>
      </w:r>
      <w:r w:rsidR="005B3EAE" w:rsidRPr="0058034D">
        <w:rPr>
          <w:rFonts w:ascii="Book Antiqua" w:hAnsi="Book Antiqua" w:cs="Times New Roman"/>
          <w:color w:val="auto"/>
          <w:sz w:val="24"/>
          <w:szCs w:val="24"/>
          <w:lang w:val="nl-NL"/>
        </w:rPr>
        <w:t>55 Fruit Street</w:t>
      </w:r>
      <w:r w:rsidRPr="0058034D">
        <w:rPr>
          <w:rFonts w:ascii="Book Antiqua" w:eastAsia="Times New Roman" w:hAnsi="Book Antiqua" w:cs="Times New Roman"/>
          <w:b/>
          <w:bCs/>
          <w:color w:val="auto"/>
          <w:sz w:val="24"/>
          <w:szCs w:val="24"/>
        </w:rPr>
        <w:t xml:space="preserve">, </w:t>
      </w:r>
      <w:r w:rsidR="005B3EAE" w:rsidRPr="0058034D">
        <w:rPr>
          <w:rFonts w:ascii="Book Antiqua" w:hAnsi="Book Antiqua" w:cs="Times New Roman"/>
          <w:color w:val="auto"/>
          <w:sz w:val="24"/>
          <w:szCs w:val="24"/>
        </w:rPr>
        <w:t>Blake 4</w:t>
      </w:r>
      <w:r w:rsidRPr="0058034D">
        <w:rPr>
          <w:rFonts w:ascii="Book Antiqua" w:eastAsia="Times New Roman" w:hAnsi="Book Antiqua" w:cs="Times New Roman"/>
          <w:b/>
          <w:bCs/>
          <w:color w:val="auto"/>
          <w:sz w:val="24"/>
          <w:szCs w:val="24"/>
        </w:rPr>
        <w:t xml:space="preserve">, </w:t>
      </w:r>
      <w:r w:rsidR="005B3EAE" w:rsidRPr="0058034D">
        <w:rPr>
          <w:rFonts w:ascii="Book Antiqua" w:hAnsi="Book Antiqua" w:cs="Times New Roman"/>
          <w:color w:val="auto"/>
          <w:sz w:val="24"/>
          <w:szCs w:val="24"/>
        </w:rPr>
        <w:t>Boston, MA 02114</w:t>
      </w:r>
      <w:r w:rsidRPr="0058034D">
        <w:rPr>
          <w:rFonts w:ascii="Book Antiqua" w:hAnsi="Book Antiqua" w:cs="Times New Roman"/>
          <w:color w:val="auto"/>
          <w:sz w:val="24"/>
          <w:szCs w:val="24"/>
        </w:rPr>
        <w:t>, U</w:t>
      </w:r>
      <w:r w:rsidR="001D73C6" w:rsidRPr="0058034D">
        <w:rPr>
          <w:rFonts w:ascii="Book Antiqua" w:eastAsiaTheme="minorEastAsia" w:hAnsi="Book Antiqua" w:cs="Times New Roman" w:hint="eastAsia"/>
          <w:color w:val="auto"/>
          <w:sz w:val="24"/>
          <w:szCs w:val="24"/>
          <w:lang w:eastAsia="zh-CN"/>
        </w:rPr>
        <w:t>nited States</w:t>
      </w:r>
      <w:r w:rsidRPr="0058034D">
        <w:rPr>
          <w:rFonts w:ascii="Book Antiqua" w:eastAsia="Times New Roman" w:hAnsi="Book Antiqua" w:cs="Times New Roman"/>
          <w:b/>
          <w:bCs/>
          <w:color w:val="auto"/>
          <w:sz w:val="24"/>
          <w:szCs w:val="24"/>
        </w:rPr>
        <w:t xml:space="preserve">. </w:t>
      </w:r>
      <w:hyperlink r:id="rId10" w:history="1">
        <w:r w:rsidR="005B3EAE" w:rsidRPr="0058034D">
          <w:rPr>
            <w:rStyle w:val="Hyperlink0"/>
            <w:rFonts w:ascii="Book Antiqua" w:hAnsi="Book Antiqua" w:cs="Times New Roman"/>
            <w:color w:val="auto"/>
            <w:lang w:val="nl-NL"/>
          </w:rPr>
          <w:t>jrichter@mgh.harvard.edu</w:t>
        </w:r>
      </w:hyperlink>
    </w:p>
    <w:p w:rsidR="001D73C6" w:rsidRPr="0058034D" w:rsidRDefault="005E101C" w:rsidP="001D73C6">
      <w:pPr>
        <w:pStyle w:val="Body"/>
        <w:adjustRightInd w:val="0"/>
        <w:snapToGrid w:val="0"/>
        <w:spacing w:after="0" w:line="360" w:lineRule="auto"/>
        <w:jc w:val="both"/>
        <w:rPr>
          <w:rFonts w:ascii="Book Antiqua" w:eastAsiaTheme="minorEastAsia" w:hAnsi="Book Antiqua" w:cs="Times New Roman"/>
          <w:bCs/>
          <w:color w:val="auto"/>
          <w:sz w:val="24"/>
          <w:szCs w:val="24"/>
          <w:lang w:eastAsia="zh-CN"/>
        </w:rPr>
      </w:pPr>
      <w:r w:rsidRPr="0058034D">
        <w:rPr>
          <w:rFonts w:ascii="Book Antiqua" w:eastAsia="Times New Roman" w:hAnsi="Book Antiqua" w:cs="Times New Roman"/>
          <w:b/>
          <w:bCs/>
          <w:color w:val="auto"/>
          <w:sz w:val="24"/>
          <w:szCs w:val="24"/>
          <w:lang w:val="en-US"/>
        </w:rPr>
        <w:t>Telephone</w:t>
      </w:r>
      <w:r w:rsidRPr="0058034D">
        <w:rPr>
          <w:rFonts w:ascii="Book Antiqua" w:eastAsia="Times New Roman" w:hAnsi="Book Antiqua" w:cs="Times New Roman"/>
          <w:b/>
          <w:bCs/>
          <w:color w:val="auto"/>
          <w:sz w:val="24"/>
          <w:szCs w:val="24"/>
        </w:rPr>
        <w:t>:</w:t>
      </w:r>
      <w:r w:rsidRPr="0058034D">
        <w:rPr>
          <w:rFonts w:ascii="Book Antiqua" w:eastAsia="Times New Roman" w:hAnsi="Book Antiqua" w:cs="Times New Roman"/>
          <w:bCs/>
          <w:color w:val="auto"/>
          <w:sz w:val="24"/>
          <w:szCs w:val="24"/>
        </w:rPr>
        <w:t xml:space="preserve"> +1-61-77267595 </w:t>
      </w:r>
    </w:p>
    <w:p w:rsidR="001A0975" w:rsidRPr="0058034D" w:rsidRDefault="005E101C" w:rsidP="001D73C6">
      <w:pPr>
        <w:pStyle w:val="Body"/>
        <w:adjustRightInd w:val="0"/>
        <w:snapToGrid w:val="0"/>
        <w:spacing w:after="0" w:line="360" w:lineRule="auto"/>
        <w:jc w:val="both"/>
        <w:rPr>
          <w:rFonts w:ascii="Book Antiqua" w:eastAsiaTheme="minorEastAsia" w:hAnsi="Book Antiqua" w:cs="Times New Roman"/>
          <w:bCs/>
          <w:color w:val="auto"/>
          <w:sz w:val="24"/>
          <w:szCs w:val="24"/>
          <w:lang w:eastAsia="zh-CN"/>
        </w:rPr>
      </w:pPr>
      <w:r w:rsidRPr="0058034D">
        <w:rPr>
          <w:rFonts w:ascii="Book Antiqua" w:eastAsia="Times New Roman" w:hAnsi="Book Antiqua" w:cs="Times New Roman"/>
          <w:b/>
          <w:bCs/>
          <w:color w:val="auto"/>
          <w:sz w:val="24"/>
          <w:szCs w:val="24"/>
        </w:rPr>
        <w:t>Fax:</w:t>
      </w:r>
      <w:r w:rsidRPr="0058034D">
        <w:rPr>
          <w:rFonts w:ascii="Book Antiqua" w:eastAsia="Times New Roman" w:hAnsi="Book Antiqua" w:cs="Times New Roman"/>
          <w:bCs/>
          <w:color w:val="auto"/>
          <w:sz w:val="24"/>
          <w:szCs w:val="24"/>
        </w:rPr>
        <w:t xml:space="preserve"> +1-61-77260040</w:t>
      </w:r>
    </w:p>
    <w:p w:rsidR="001D73C6" w:rsidRPr="0058034D" w:rsidRDefault="001D73C6" w:rsidP="001D73C6">
      <w:pPr>
        <w:spacing w:line="360" w:lineRule="auto"/>
        <w:rPr>
          <w:rFonts w:ascii="Book Antiqua" w:hAnsi="Book Antiqua"/>
          <w:b/>
        </w:rPr>
      </w:pPr>
      <w:bookmarkStart w:id="201" w:name="OLE_LINK2189"/>
      <w:bookmarkStart w:id="202" w:name="OLE_LINK2190"/>
      <w:bookmarkStart w:id="203" w:name="OLE_LINK2148"/>
      <w:bookmarkStart w:id="204" w:name="OLE_LINK2607"/>
      <w:bookmarkStart w:id="205" w:name="OLE_LINK50"/>
      <w:bookmarkStart w:id="206" w:name="OLE_LINK3118"/>
      <w:bookmarkStart w:id="207" w:name="OLE_LINK3119"/>
    </w:p>
    <w:p w:rsidR="001D73C6" w:rsidRPr="0058034D" w:rsidRDefault="001D73C6" w:rsidP="001D73C6">
      <w:pPr>
        <w:adjustRightInd w:val="0"/>
        <w:snapToGrid w:val="0"/>
        <w:spacing w:line="360" w:lineRule="auto"/>
        <w:rPr>
          <w:rFonts w:ascii="Book Antiqua" w:hAnsi="Book Antiqua"/>
          <w:b/>
          <w:bCs/>
        </w:rPr>
      </w:pPr>
      <w:bookmarkStart w:id="208" w:name="OLE_LINK1346"/>
      <w:bookmarkStart w:id="209" w:name="OLE_LINK1347"/>
      <w:bookmarkStart w:id="210" w:name="OLE_LINK1461"/>
      <w:bookmarkStart w:id="211" w:name="OLE_LINK1437"/>
      <w:bookmarkStart w:id="212" w:name="OLE_LINK1493"/>
      <w:bookmarkStart w:id="213" w:name="OLE_LINK1436"/>
      <w:bookmarkStart w:id="214" w:name="OLE_LINK1584"/>
      <w:bookmarkStart w:id="215" w:name="OLE_LINK1426"/>
      <w:bookmarkStart w:id="216" w:name="OLE_LINK1470"/>
      <w:bookmarkStart w:id="217" w:name="OLE_LINK1726"/>
      <w:bookmarkStart w:id="218" w:name="OLE_LINK1773"/>
      <w:bookmarkStart w:id="219" w:name="OLE_LINK1819"/>
      <w:bookmarkStart w:id="220" w:name="OLE_LINK1886"/>
      <w:bookmarkStart w:id="221" w:name="OLE_LINK1800"/>
      <w:bookmarkStart w:id="222" w:name="OLE_LINK1718"/>
      <w:bookmarkStart w:id="223" w:name="OLE_LINK1895"/>
      <w:bookmarkStart w:id="224" w:name="OLE_LINK1973"/>
      <w:bookmarkStart w:id="225" w:name="OLE_LINK25"/>
      <w:bookmarkStart w:id="226" w:name="OLE_LINK733"/>
      <w:bookmarkStart w:id="227" w:name="OLE_LINK2054"/>
      <w:bookmarkStart w:id="228" w:name="OLE_LINK2100"/>
      <w:bookmarkStart w:id="229" w:name="OLE_LINK767"/>
      <w:bookmarkStart w:id="230" w:name="OLE_LINK39"/>
      <w:bookmarkStart w:id="231" w:name="OLE_LINK42"/>
      <w:bookmarkStart w:id="232" w:name="OLE_LINK2412"/>
      <w:bookmarkStart w:id="233" w:name="OLE_LINK2447"/>
      <w:bookmarkStart w:id="234" w:name="OLE_LINK2378"/>
      <w:bookmarkStart w:id="235" w:name="OLE_LINK2510"/>
      <w:bookmarkStart w:id="236" w:name="OLE_LINK2774"/>
      <w:bookmarkStart w:id="237" w:name="OLE_LINK54"/>
      <w:bookmarkStart w:id="238" w:name="OLE_LINK59"/>
      <w:bookmarkStart w:id="239" w:name="OLE_LINK60"/>
      <w:bookmarkStart w:id="240" w:name="OLE_LINK3168"/>
      <w:bookmarkStart w:id="241" w:name="OLE_LINK3243"/>
      <w:bookmarkStart w:id="242" w:name="OLE_LINK3331"/>
      <w:bookmarkStart w:id="243" w:name="OLE_LINK67"/>
      <w:bookmarkStart w:id="244" w:name="OLE_LINK3303"/>
      <w:bookmarkStart w:id="245" w:name="OLE_LINK72"/>
      <w:bookmarkStart w:id="246" w:name="OLE_LINK3751"/>
      <w:bookmarkStart w:id="247" w:name="OLE_LINK3531"/>
      <w:bookmarkStart w:id="248" w:name="OLE_LINK77"/>
      <w:bookmarkStart w:id="249" w:name="OLE_LINK84"/>
      <w:bookmarkStart w:id="250" w:name="OLE_LINK207"/>
      <w:bookmarkStart w:id="251" w:name="OLE_LINK3746"/>
      <w:bookmarkStart w:id="252" w:name="OLE_LINK85"/>
      <w:bookmarkStart w:id="253" w:name="OLE_LINK91"/>
      <w:bookmarkStart w:id="254" w:name="OLE_LINK3611"/>
      <w:bookmarkStart w:id="255" w:name="OLE_LINK3884"/>
      <w:bookmarkStart w:id="256" w:name="OLE_LINK3869"/>
      <w:bookmarkStart w:id="257" w:name="OLE_LINK3946"/>
      <w:bookmarkStart w:id="258" w:name="OLE_LINK3865"/>
      <w:bookmarkStart w:id="259" w:name="OLE_LINK3962"/>
      <w:bookmarkStart w:id="260" w:name="OLE_LINK118"/>
      <w:bookmarkStart w:id="261" w:name="OLE_LINK159"/>
      <w:bookmarkStart w:id="262" w:name="OLE_LINK121"/>
      <w:bookmarkStart w:id="263" w:name="OLE_LINK3929"/>
      <w:bookmarkStart w:id="264" w:name="OLE_LINK4032"/>
      <w:bookmarkStart w:id="265" w:name="OLE_LINK127"/>
      <w:bookmarkStart w:id="266" w:name="OLE_LINK4149"/>
      <w:bookmarkEnd w:id="201"/>
      <w:bookmarkEnd w:id="202"/>
      <w:bookmarkEnd w:id="203"/>
      <w:bookmarkEnd w:id="204"/>
      <w:bookmarkEnd w:id="205"/>
      <w:bookmarkEnd w:id="206"/>
      <w:bookmarkEnd w:id="207"/>
      <w:r w:rsidRPr="0058034D">
        <w:rPr>
          <w:rFonts w:ascii="Book Antiqua" w:hAnsi="Book Antiqua"/>
          <w:b/>
          <w:bCs/>
        </w:rPr>
        <w:t xml:space="preserve">Received: </w:t>
      </w:r>
      <w:r w:rsidRPr="0058034D">
        <w:rPr>
          <w:rFonts w:ascii="Book Antiqua" w:hAnsi="Book Antiqua" w:hint="eastAsia"/>
          <w:bCs/>
          <w:lang w:eastAsia="zh-CN"/>
        </w:rPr>
        <w:t>November</w:t>
      </w:r>
      <w:r w:rsidRPr="0058034D">
        <w:rPr>
          <w:rFonts w:ascii="Book Antiqua" w:hAnsi="Book Antiqua" w:hint="eastAsia"/>
          <w:bCs/>
        </w:rPr>
        <w:t xml:space="preserve"> </w:t>
      </w:r>
      <w:r w:rsidRPr="0058034D">
        <w:rPr>
          <w:rFonts w:ascii="Book Antiqua" w:hAnsi="Book Antiqua" w:hint="eastAsia"/>
          <w:bCs/>
          <w:lang w:eastAsia="zh-CN"/>
        </w:rPr>
        <w:t>29</w:t>
      </w:r>
      <w:r w:rsidRPr="0058034D">
        <w:rPr>
          <w:rFonts w:ascii="Book Antiqua" w:hAnsi="Book Antiqua" w:hint="eastAsia"/>
          <w:bCs/>
        </w:rPr>
        <w:t>, 2016</w:t>
      </w:r>
    </w:p>
    <w:p w:rsidR="001D73C6" w:rsidRPr="0058034D" w:rsidRDefault="001D73C6" w:rsidP="001D73C6">
      <w:pPr>
        <w:adjustRightInd w:val="0"/>
        <w:snapToGrid w:val="0"/>
        <w:spacing w:line="360" w:lineRule="auto"/>
        <w:rPr>
          <w:rFonts w:ascii="Book Antiqua" w:hAnsi="Book Antiqua"/>
          <w:bCs/>
        </w:rPr>
      </w:pPr>
      <w:r w:rsidRPr="0058034D">
        <w:rPr>
          <w:rFonts w:ascii="Book Antiqua" w:hAnsi="Book Antiqua"/>
          <w:b/>
          <w:bCs/>
        </w:rPr>
        <w:lastRenderedPageBreak/>
        <w:t>Peer-review started:</w:t>
      </w:r>
      <w:r w:rsidRPr="0058034D">
        <w:rPr>
          <w:rFonts w:ascii="Book Antiqua" w:hAnsi="Book Antiqua" w:hint="eastAsia"/>
          <w:bCs/>
        </w:rPr>
        <w:t xml:space="preserve"> November 29, 2016</w:t>
      </w:r>
    </w:p>
    <w:p w:rsidR="001D73C6" w:rsidRPr="0058034D" w:rsidRDefault="001D73C6" w:rsidP="001D73C6">
      <w:pPr>
        <w:adjustRightInd w:val="0"/>
        <w:snapToGrid w:val="0"/>
        <w:spacing w:line="360" w:lineRule="auto"/>
        <w:rPr>
          <w:rFonts w:ascii="Book Antiqua" w:hAnsi="Book Antiqua"/>
          <w:bCs/>
        </w:rPr>
      </w:pPr>
      <w:bookmarkStart w:id="267" w:name="OLE_LINK23"/>
      <w:bookmarkStart w:id="268" w:name="OLE_LINK24"/>
      <w:r w:rsidRPr="0058034D">
        <w:rPr>
          <w:rFonts w:ascii="Book Antiqua" w:hAnsi="Book Antiqua"/>
          <w:b/>
          <w:bCs/>
        </w:rPr>
        <w:t>First decision:</w:t>
      </w:r>
      <w:r w:rsidRPr="0058034D">
        <w:rPr>
          <w:rFonts w:ascii="Book Antiqua" w:hAnsi="Book Antiqua" w:hint="eastAsia"/>
          <w:bCs/>
        </w:rPr>
        <w:t xml:space="preserve"> February 9, 2017</w:t>
      </w:r>
    </w:p>
    <w:p w:rsidR="001D73C6" w:rsidRPr="0058034D" w:rsidRDefault="001D73C6" w:rsidP="001D73C6">
      <w:pPr>
        <w:adjustRightInd w:val="0"/>
        <w:snapToGrid w:val="0"/>
        <w:spacing w:line="360" w:lineRule="auto"/>
        <w:rPr>
          <w:rFonts w:ascii="Book Antiqua" w:hAnsi="Book Antiqua"/>
          <w:bCs/>
        </w:rPr>
      </w:pPr>
      <w:r w:rsidRPr="0058034D">
        <w:rPr>
          <w:rFonts w:ascii="Book Antiqua" w:hAnsi="Book Antiqua"/>
          <w:b/>
          <w:bCs/>
        </w:rPr>
        <w:t>Revised:</w:t>
      </w:r>
      <w:r w:rsidRPr="0058034D">
        <w:rPr>
          <w:rFonts w:ascii="Book Antiqua" w:hAnsi="Book Antiqua" w:hint="eastAsia"/>
          <w:bCs/>
        </w:rPr>
        <w:t xml:space="preserve"> February </w:t>
      </w:r>
      <w:r w:rsidRPr="0058034D">
        <w:rPr>
          <w:rFonts w:ascii="Book Antiqua" w:hAnsi="Book Antiqua" w:hint="eastAsia"/>
          <w:bCs/>
          <w:lang w:eastAsia="zh-CN"/>
        </w:rPr>
        <w:t>24</w:t>
      </w:r>
      <w:r w:rsidRPr="0058034D">
        <w:rPr>
          <w:rFonts w:ascii="Book Antiqua" w:hAnsi="Book Antiqua" w:hint="eastAsia"/>
          <w:bCs/>
        </w:rPr>
        <w:t>, 2017</w:t>
      </w:r>
    </w:p>
    <w:p w:rsidR="001D73C6" w:rsidRPr="00F10F79" w:rsidRDefault="001D73C6" w:rsidP="00F10F79">
      <w:pPr>
        <w:spacing w:line="360" w:lineRule="auto"/>
        <w:rPr>
          <w:rFonts w:ascii="Book Antiqua" w:hAnsi="Book Antiqua"/>
          <w:color w:val="000000"/>
        </w:rPr>
      </w:pPr>
      <w:r w:rsidRPr="0058034D">
        <w:rPr>
          <w:rFonts w:ascii="Book Antiqua" w:hAnsi="Book Antiqua"/>
          <w:b/>
          <w:bCs/>
        </w:rPr>
        <w:t>Accepted:</w:t>
      </w:r>
      <w:bookmarkStart w:id="269" w:name="OLE_LINK117"/>
      <w:r w:rsidR="00F10F79" w:rsidRPr="00F10F79">
        <w:rPr>
          <w:rFonts w:ascii="Book Antiqua" w:hAnsi="Book Antiqua"/>
          <w:color w:val="000000"/>
        </w:rPr>
        <w:t xml:space="preserve"> </w:t>
      </w:r>
      <w:r w:rsidR="00F10F79">
        <w:rPr>
          <w:rFonts w:ascii="Book Antiqua" w:hAnsi="Book Antiqua"/>
          <w:color w:val="000000"/>
        </w:rPr>
        <w:t>March 30, 2017</w:t>
      </w:r>
      <w:bookmarkEnd w:id="269"/>
      <w:r w:rsidR="009322B0" w:rsidRPr="0058034D">
        <w:rPr>
          <w:rFonts w:ascii="Book Antiqua" w:hAnsi="Book Antiqua"/>
          <w:b/>
          <w:bCs/>
        </w:rPr>
        <w:t xml:space="preserve"> </w:t>
      </w:r>
    </w:p>
    <w:p w:rsidR="001D73C6" w:rsidRPr="0058034D" w:rsidRDefault="001D73C6" w:rsidP="001D73C6">
      <w:pPr>
        <w:adjustRightInd w:val="0"/>
        <w:snapToGrid w:val="0"/>
        <w:spacing w:line="360" w:lineRule="auto"/>
        <w:rPr>
          <w:rFonts w:ascii="Book Antiqua" w:hAnsi="Book Antiqua"/>
          <w:b/>
          <w:bCs/>
        </w:rPr>
      </w:pPr>
      <w:r w:rsidRPr="0058034D">
        <w:rPr>
          <w:rFonts w:ascii="Book Antiqua" w:hAnsi="Book Antiqua"/>
          <w:b/>
          <w:bCs/>
        </w:rPr>
        <w:t>Article in press:</w:t>
      </w:r>
    </w:p>
    <w:p w:rsidR="001D73C6" w:rsidRPr="0058034D" w:rsidRDefault="001D73C6" w:rsidP="001D73C6">
      <w:pPr>
        <w:adjustRightInd w:val="0"/>
        <w:snapToGrid w:val="0"/>
        <w:spacing w:line="360" w:lineRule="auto"/>
        <w:rPr>
          <w:rFonts w:ascii="Book Antiqua" w:hAnsi="Book Antiqua"/>
          <w:b/>
          <w:bCs/>
        </w:rPr>
      </w:pPr>
      <w:r w:rsidRPr="0058034D">
        <w:rPr>
          <w:rFonts w:ascii="Book Antiqua" w:hAnsi="Book Antiqua"/>
          <w:b/>
          <w:bCs/>
        </w:rPr>
        <w:t xml:space="preserve">Published online: </w:t>
      </w:r>
    </w:p>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rsidR="001D73C6" w:rsidRPr="0058034D" w:rsidRDefault="001D73C6" w:rsidP="001D73C6">
      <w:pPr>
        <w:pStyle w:val="Body"/>
        <w:adjustRightInd w:val="0"/>
        <w:snapToGrid w:val="0"/>
        <w:spacing w:after="0" w:line="360" w:lineRule="auto"/>
        <w:jc w:val="both"/>
        <w:rPr>
          <w:rFonts w:ascii="Book Antiqua" w:eastAsiaTheme="minorEastAsia" w:hAnsi="Book Antiqua" w:cs="Times New Roman"/>
          <w:b/>
          <w:bCs/>
          <w:color w:val="auto"/>
          <w:sz w:val="24"/>
          <w:szCs w:val="24"/>
          <w:lang w:val="en-US" w:eastAsia="zh-CN"/>
        </w:rPr>
      </w:pPr>
    </w:p>
    <w:bookmarkEnd w:id="199"/>
    <w:bookmarkEnd w:id="200"/>
    <w:p w:rsidR="004965A6" w:rsidRPr="0058034D" w:rsidRDefault="004965A6" w:rsidP="001D73C6">
      <w:pPr>
        <w:pStyle w:val="Body"/>
        <w:adjustRightInd w:val="0"/>
        <w:snapToGrid w:val="0"/>
        <w:spacing w:after="0" w:line="360" w:lineRule="auto"/>
        <w:jc w:val="both"/>
        <w:rPr>
          <w:rFonts w:ascii="Book Antiqua" w:hAnsi="Book Antiqua" w:cs="Times New Roman"/>
          <w:b/>
          <w:bCs/>
          <w:color w:val="auto"/>
          <w:sz w:val="24"/>
          <w:szCs w:val="24"/>
          <w:lang w:val="en-US"/>
        </w:rPr>
      </w:pPr>
    </w:p>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eastAsia="Times New Roman" w:hAnsi="Book Antiqua" w:cs="Times New Roman"/>
          <w:b/>
          <w:bCs/>
          <w:color w:val="auto"/>
          <w:sz w:val="24"/>
          <w:szCs w:val="24"/>
        </w:rPr>
        <w:br w:type="page"/>
      </w:r>
    </w:p>
    <w:p w:rsidR="00656D37" w:rsidRPr="0058034D" w:rsidRDefault="005B3EAE" w:rsidP="001D73C6">
      <w:pPr>
        <w:pStyle w:val="Body"/>
        <w:adjustRightInd w:val="0"/>
        <w:snapToGrid w:val="0"/>
        <w:spacing w:after="0" w:line="360" w:lineRule="auto"/>
        <w:jc w:val="both"/>
        <w:rPr>
          <w:rFonts w:ascii="Book Antiqua" w:eastAsia="Times New Roman" w:hAnsi="Book Antiqua" w:cs="Times New Roman"/>
          <w:b/>
          <w:bCs/>
          <w:color w:val="auto"/>
          <w:sz w:val="24"/>
          <w:szCs w:val="24"/>
        </w:rPr>
      </w:pPr>
      <w:r w:rsidRPr="0058034D">
        <w:rPr>
          <w:rFonts w:ascii="Book Antiqua" w:hAnsi="Book Antiqua" w:cs="Times New Roman"/>
          <w:b/>
          <w:bCs/>
          <w:color w:val="auto"/>
          <w:sz w:val="24"/>
          <w:szCs w:val="24"/>
          <w:lang w:val="de-DE"/>
        </w:rPr>
        <w:lastRenderedPageBreak/>
        <w:t>Abstract</w:t>
      </w:r>
    </w:p>
    <w:p w:rsidR="00926859" w:rsidRPr="0058034D" w:rsidRDefault="005E101C" w:rsidP="001D73C6">
      <w:pPr>
        <w:pStyle w:val="Body"/>
        <w:adjustRightInd w:val="0"/>
        <w:snapToGrid w:val="0"/>
        <w:spacing w:after="0" w:line="360" w:lineRule="auto"/>
        <w:jc w:val="both"/>
        <w:rPr>
          <w:rFonts w:ascii="Book Antiqua" w:hAnsi="Book Antiqua" w:cs="Times New Roman"/>
          <w:b/>
          <w:i/>
          <w:color w:val="auto"/>
          <w:sz w:val="24"/>
          <w:szCs w:val="24"/>
          <w:lang w:val="en-US"/>
        </w:rPr>
      </w:pPr>
      <w:r w:rsidRPr="0058034D">
        <w:rPr>
          <w:rFonts w:ascii="Book Antiqua" w:hAnsi="Book Antiqua" w:cs="Times New Roman"/>
          <w:b/>
          <w:i/>
          <w:color w:val="auto"/>
          <w:sz w:val="24"/>
          <w:szCs w:val="24"/>
          <w:lang w:val="en-US"/>
        </w:rPr>
        <w:t>AIM</w:t>
      </w:r>
      <w:r w:rsidR="00656D37" w:rsidRPr="0058034D">
        <w:rPr>
          <w:rFonts w:ascii="Book Antiqua" w:hAnsi="Book Antiqua" w:cs="Times New Roman"/>
          <w:b/>
          <w:i/>
          <w:color w:val="auto"/>
          <w:sz w:val="24"/>
          <w:szCs w:val="24"/>
          <w:lang w:val="en-US"/>
        </w:rPr>
        <w:t xml:space="preserve"> </w:t>
      </w:r>
    </w:p>
    <w:p w:rsidR="00656D37" w:rsidRPr="0058034D" w:rsidRDefault="00926859" w:rsidP="001D73C6">
      <w:pPr>
        <w:pStyle w:val="Body"/>
        <w:adjustRightInd w:val="0"/>
        <w:snapToGrid w:val="0"/>
        <w:spacing w:after="0" w:line="360" w:lineRule="auto"/>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To reduce</w:t>
      </w:r>
      <w:r w:rsidR="00656D37" w:rsidRPr="0058034D">
        <w:rPr>
          <w:rFonts w:ascii="Book Antiqua" w:hAnsi="Book Antiqua" w:cs="Times New Roman"/>
          <w:color w:val="auto"/>
          <w:sz w:val="24"/>
          <w:szCs w:val="24"/>
          <w:lang w:val="en-US"/>
        </w:rPr>
        <w:t xml:space="preserve"> readmissions and improv</w:t>
      </w:r>
      <w:r w:rsidRPr="0058034D">
        <w:rPr>
          <w:rFonts w:ascii="Book Antiqua" w:hAnsi="Book Antiqua" w:cs="Times New Roman"/>
          <w:color w:val="auto"/>
          <w:sz w:val="24"/>
          <w:szCs w:val="24"/>
          <w:lang w:val="en-US"/>
        </w:rPr>
        <w:t>e</w:t>
      </w:r>
      <w:r w:rsidR="00656D37" w:rsidRPr="0058034D">
        <w:rPr>
          <w:rFonts w:ascii="Book Antiqua" w:hAnsi="Book Antiqua" w:cs="Times New Roman"/>
          <w:color w:val="auto"/>
          <w:sz w:val="24"/>
          <w:szCs w:val="24"/>
          <w:lang w:val="en-US"/>
        </w:rPr>
        <w:t xml:space="preserve"> patient outcomes in cirrhotic patients through better understanding of readmission</w:t>
      </w:r>
      <w:r w:rsidRPr="0058034D">
        <w:rPr>
          <w:rFonts w:ascii="Book Antiqua" w:hAnsi="Book Antiqua" w:cs="Times New Roman"/>
          <w:color w:val="auto"/>
          <w:sz w:val="24"/>
          <w:szCs w:val="24"/>
          <w:lang w:val="en-US"/>
        </w:rPr>
        <w:t xml:space="preserve"> predictors</w:t>
      </w:r>
      <w:r w:rsidR="00656D37" w:rsidRPr="0058034D">
        <w:rPr>
          <w:rFonts w:ascii="Book Antiqua" w:hAnsi="Book Antiqua" w:cs="Times New Roman"/>
          <w:color w:val="auto"/>
          <w:sz w:val="24"/>
          <w:szCs w:val="24"/>
          <w:lang w:val="en-US"/>
        </w:rPr>
        <w:t>.</w:t>
      </w:r>
    </w:p>
    <w:p w:rsidR="00926859" w:rsidRPr="0058034D" w:rsidRDefault="00926859" w:rsidP="001D73C6">
      <w:pPr>
        <w:pStyle w:val="Body"/>
        <w:adjustRightInd w:val="0"/>
        <w:snapToGrid w:val="0"/>
        <w:spacing w:after="0" w:line="360" w:lineRule="auto"/>
        <w:jc w:val="both"/>
        <w:rPr>
          <w:rFonts w:ascii="Book Antiqua" w:eastAsia="Times New Roman" w:hAnsi="Book Antiqua" w:cs="Times New Roman"/>
          <w:color w:val="auto"/>
          <w:sz w:val="24"/>
          <w:szCs w:val="24"/>
        </w:rPr>
      </w:pPr>
    </w:p>
    <w:p w:rsidR="00926859" w:rsidRPr="0058034D" w:rsidRDefault="00926859" w:rsidP="001D73C6">
      <w:pPr>
        <w:pStyle w:val="Body"/>
        <w:adjustRightInd w:val="0"/>
        <w:snapToGrid w:val="0"/>
        <w:spacing w:after="0" w:line="360" w:lineRule="auto"/>
        <w:jc w:val="both"/>
        <w:rPr>
          <w:rFonts w:ascii="Book Antiqua" w:hAnsi="Book Antiqua" w:cs="Times New Roman"/>
          <w:b/>
          <w:i/>
          <w:color w:val="auto"/>
          <w:sz w:val="24"/>
          <w:szCs w:val="24"/>
          <w:lang w:val="en-US"/>
        </w:rPr>
      </w:pPr>
      <w:r w:rsidRPr="0058034D">
        <w:rPr>
          <w:rFonts w:ascii="Book Antiqua" w:hAnsi="Book Antiqua" w:cs="Times New Roman"/>
          <w:b/>
          <w:i/>
          <w:color w:val="auto"/>
          <w:sz w:val="24"/>
          <w:szCs w:val="24"/>
          <w:lang w:val="en-US"/>
        </w:rPr>
        <w:t>METHODS</w:t>
      </w:r>
      <w:r w:rsidR="005B3EAE" w:rsidRPr="0058034D">
        <w:rPr>
          <w:rFonts w:ascii="Book Antiqua" w:hAnsi="Book Antiqua" w:cs="Times New Roman"/>
          <w:b/>
          <w:i/>
          <w:color w:val="auto"/>
          <w:sz w:val="24"/>
          <w:szCs w:val="24"/>
          <w:lang w:val="en-US"/>
        </w:rPr>
        <w:t xml:space="preserve"> </w:t>
      </w:r>
    </w:p>
    <w:p w:rsidR="001A0975" w:rsidRPr="0058034D" w:rsidRDefault="005B3EAE" w:rsidP="001D73C6">
      <w:pPr>
        <w:pStyle w:val="Body"/>
        <w:adjustRightInd w:val="0"/>
        <w:snapToGrid w:val="0"/>
        <w:spacing w:after="0" w:line="360" w:lineRule="auto"/>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We performed a single-center retrospective study of patients admitted with decompensated cirrhosis from January 1, 2011 to December 31, 2013 (</w:t>
      </w:r>
      <w:r w:rsidR="001D73C6" w:rsidRPr="0058034D">
        <w:rPr>
          <w:rFonts w:ascii="Book Antiqua" w:hAnsi="Book Antiqua" w:cs="Times New Roman"/>
          <w:i/>
          <w:color w:val="auto"/>
          <w:sz w:val="24"/>
          <w:szCs w:val="24"/>
          <w:lang w:val="en-US"/>
        </w:rPr>
        <w:t xml:space="preserve">n = </w:t>
      </w:r>
      <w:r w:rsidRPr="0058034D">
        <w:rPr>
          <w:rFonts w:ascii="Book Antiqua" w:hAnsi="Book Antiqua" w:cs="Times New Roman"/>
          <w:color w:val="auto"/>
          <w:sz w:val="24"/>
          <w:szCs w:val="24"/>
          <w:lang w:val="en-US"/>
        </w:rPr>
        <w:t>222). Primary outcomes were time to first readmission and 30-</w:t>
      </w:r>
      <w:r w:rsidR="001D73C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readmission rate due to complications of cirrhosis. Clinical and demographic data were collected to help describe predictors of readmission, along with care coordination measures such as post-discharge status and outpatient follow-up. Univariate and multivariate analyses were performed to describe variables associated with readmission.</w:t>
      </w:r>
    </w:p>
    <w:p w:rsidR="001A0975" w:rsidRPr="0058034D" w:rsidRDefault="001A0975" w:rsidP="001D73C6">
      <w:pPr>
        <w:pStyle w:val="Body"/>
        <w:adjustRightInd w:val="0"/>
        <w:snapToGrid w:val="0"/>
        <w:spacing w:after="0" w:line="360" w:lineRule="auto"/>
        <w:jc w:val="both"/>
        <w:rPr>
          <w:rFonts w:ascii="Book Antiqua" w:eastAsia="Times New Roman" w:hAnsi="Book Antiqua" w:cs="Times New Roman"/>
          <w:i/>
          <w:color w:val="auto"/>
          <w:sz w:val="24"/>
          <w:szCs w:val="24"/>
        </w:rPr>
      </w:pPr>
    </w:p>
    <w:p w:rsidR="00926859" w:rsidRPr="0058034D" w:rsidRDefault="00926859" w:rsidP="001D73C6">
      <w:pPr>
        <w:pStyle w:val="Body"/>
        <w:adjustRightInd w:val="0"/>
        <w:snapToGrid w:val="0"/>
        <w:spacing w:after="0" w:line="360" w:lineRule="auto"/>
        <w:jc w:val="both"/>
        <w:rPr>
          <w:rFonts w:ascii="Book Antiqua" w:hAnsi="Book Antiqua" w:cs="Times New Roman"/>
          <w:i/>
          <w:color w:val="auto"/>
          <w:sz w:val="24"/>
          <w:szCs w:val="24"/>
          <w:lang w:val="en-US"/>
        </w:rPr>
      </w:pPr>
      <w:r w:rsidRPr="0058034D">
        <w:rPr>
          <w:rFonts w:ascii="Book Antiqua" w:hAnsi="Book Antiqua" w:cs="Times New Roman"/>
          <w:b/>
          <w:i/>
          <w:color w:val="auto"/>
          <w:sz w:val="24"/>
          <w:szCs w:val="24"/>
          <w:lang w:val="en-US"/>
        </w:rPr>
        <w:t>RESULTS</w:t>
      </w:r>
      <w:r w:rsidRPr="0058034D">
        <w:rPr>
          <w:rFonts w:ascii="Book Antiqua" w:hAnsi="Book Antiqua" w:cs="Times New Roman"/>
          <w:i/>
          <w:color w:val="auto"/>
          <w:sz w:val="24"/>
          <w:szCs w:val="24"/>
          <w:lang w:val="en-US"/>
        </w:rPr>
        <w:t xml:space="preserve"> </w:t>
      </w:r>
    </w:p>
    <w:p w:rsidR="001A0975" w:rsidRPr="0058034D" w:rsidRDefault="005B3EAE" w:rsidP="001D73C6">
      <w:pPr>
        <w:pStyle w:val="Body"/>
        <w:adjustRightInd w:val="0"/>
        <w:snapToGrid w:val="0"/>
        <w:spacing w:after="0" w:line="360" w:lineRule="auto"/>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 xml:space="preserve">One hundred thirty-two patients (59.4%) were readmitted at least once during the study period. Median time to first and second readmissions were 54 and 93 </w:t>
      </w:r>
      <w:r w:rsidR="001D73C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respectively. Thirty and 90-</w:t>
      </w:r>
      <w:r w:rsidR="001D73C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readmission rates were 20.7 and 30.1 percent, respectively. Predictors of 30-</w:t>
      </w:r>
      <w:r w:rsidR="001D73C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readmission included education level, hepatic encephalopathy at index, ALT more th</w:t>
      </w:r>
      <w:r w:rsidR="001D73C6" w:rsidRPr="0058034D">
        <w:rPr>
          <w:rFonts w:ascii="Book Antiqua" w:hAnsi="Book Antiqua" w:cs="Times New Roman"/>
          <w:color w:val="auto"/>
          <w:sz w:val="24"/>
          <w:szCs w:val="24"/>
          <w:lang w:val="en-US"/>
        </w:rPr>
        <w:t>an upper normal limit</w:t>
      </w:r>
      <w:r w:rsidRPr="0058034D">
        <w:rPr>
          <w:rFonts w:ascii="Book Antiqua" w:hAnsi="Book Antiqua" w:cs="Times New Roman"/>
          <w:color w:val="auto"/>
          <w:sz w:val="24"/>
          <w:szCs w:val="24"/>
          <w:lang w:val="en-US"/>
        </w:rPr>
        <w:t xml:space="preserve"> and Medicare coverage. There were no statistically significant differences in readmission rates when stratified by discharge disposition, outpatient follow-up provider or time to first outpatient visit.</w:t>
      </w:r>
    </w:p>
    <w:p w:rsidR="001A0975" w:rsidRPr="0058034D" w:rsidRDefault="001A0975" w:rsidP="001D73C6">
      <w:pPr>
        <w:pStyle w:val="Body"/>
        <w:adjustRightInd w:val="0"/>
        <w:snapToGrid w:val="0"/>
        <w:spacing w:after="0" w:line="360" w:lineRule="auto"/>
        <w:jc w:val="both"/>
        <w:rPr>
          <w:rFonts w:ascii="Book Antiqua" w:eastAsia="Times New Roman" w:hAnsi="Book Antiqua" w:cs="Times New Roman"/>
          <w:color w:val="auto"/>
          <w:sz w:val="24"/>
          <w:szCs w:val="24"/>
        </w:rPr>
      </w:pPr>
    </w:p>
    <w:p w:rsidR="00926859" w:rsidRPr="0058034D" w:rsidRDefault="001D73C6" w:rsidP="001D73C6">
      <w:pPr>
        <w:pStyle w:val="Body"/>
        <w:adjustRightInd w:val="0"/>
        <w:snapToGrid w:val="0"/>
        <w:spacing w:after="0" w:line="360" w:lineRule="auto"/>
        <w:jc w:val="both"/>
        <w:rPr>
          <w:rFonts w:ascii="Book Antiqua" w:eastAsiaTheme="minorEastAsia" w:hAnsi="Book Antiqua" w:cs="Times New Roman"/>
          <w:b/>
          <w:i/>
          <w:color w:val="auto"/>
          <w:sz w:val="24"/>
          <w:szCs w:val="24"/>
          <w:lang w:val="en-US" w:eastAsia="zh-CN"/>
        </w:rPr>
      </w:pPr>
      <w:r w:rsidRPr="0058034D">
        <w:rPr>
          <w:rFonts w:ascii="Book Antiqua" w:hAnsi="Book Antiqua" w:cs="Times New Roman"/>
          <w:b/>
          <w:i/>
          <w:color w:val="auto"/>
          <w:sz w:val="24"/>
          <w:szCs w:val="24"/>
          <w:lang w:val="en-US"/>
        </w:rPr>
        <w:t>CONCLUSION</w:t>
      </w:r>
    </w:p>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lang w:val="en-US"/>
        </w:rPr>
      </w:pPr>
      <w:r w:rsidRPr="0058034D">
        <w:rPr>
          <w:rFonts w:ascii="Book Antiqua" w:hAnsi="Book Antiqua" w:cs="Times New Roman"/>
          <w:color w:val="auto"/>
          <w:sz w:val="24"/>
          <w:szCs w:val="24"/>
          <w:lang w:val="en-US"/>
        </w:rPr>
        <w:t>Readmissions are challenging aspect of care for cirrhotic patients</w:t>
      </w:r>
      <w:r w:rsidR="00926859" w:rsidRPr="0058034D">
        <w:rPr>
          <w:rFonts w:ascii="Book Antiqua" w:hAnsi="Book Antiqua" w:cs="Times New Roman"/>
          <w:color w:val="auto"/>
          <w:sz w:val="24"/>
          <w:szCs w:val="24"/>
          <w:lang w:val="en-US"/>
        </w:rPr>
        <w:t xml:space="preserve"> and risk continues beyond 30 </w:t>
      </w:r>
      <w:r w:rsidR="001D73C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More initiatives are </w:t>
      </w:r>
      <w:r w:rsidR="00926859" w:rsidRPr="0058034D">
        <w:rPr>
          <w:rFonts w:ascii="Book Antiqua" w:hAnsi="Book Antiqua" w:cs="Times New Roman"/>
          <w:color w:val="auto"/>
          <w:sz w:val="24"/>
          <w:szCs w:val="24"/>
          <w:lang w:val="en-US"/>
        </w:rPr>
        <w:t xml:space="preserve">needed </w:t>
      </w:r>
      <w:r w:rsidRPr="0058034D">
        <w:rPr>
          <w:rFonts w:ascii="Book Antiqua" w:hAnsi="Book Antiqua" w:cs="Times New Roman"/>
          <w:color w:val="auto"/>
          <w:sz w:val="24"/>
          <w:szCs w:val="24"/>
          <w:lang w:val="en-US"/>
        </w:rPr>
        <w:t>to develop enhanced</w:t>
      </w:r>
      <w:r w:rsidR="00926859" w:rsidRPr="0058034D">
        <w:rPr>
          <w:rFonts w:ascii="Book Antiqua" w:hAnsi="Book Antiqua" w:cs="Times New Roman"/>
          <w:color w:val="auto"/>
          <w:sz w:val="24"/>
          <w:szCs w:val="24"/>
          <w:lang w:val="en-US"/>
        </w:rPr>
        <w:t>, longitudinal</w:t>
      </w:r>
      <w:r w:rsidRPr="0058034D">
        <w:rPr>
          <w:rFonts w:ascii="Book Antiqua" w:hAnsi="Book Antiqua" w:cs="Times New Roman"/>
          <w:color w:val="auto"/>
          <w:sz w:val="24"/>
          <w:szCs w:val="24"/>
          <w:lang w:val="en-US"/>
        </w:rPr>
        <w:t xml:space="preserve"> post-discharge systems</w:t>
      </w:r>
      <w:r w:rsidR="00926859" w:rsidRPr="0058034D">
        <w:rPr>
          <w:rFonts w:ascii="Book Antiqua" w:hAnsi="Book Antiqua" w:cs="Times New Roman"/>
          <w:color w:val="auto"/>
          <w:sz w:val="24"/>
          <w:szCs w:val="24"/>
          <w:lang w:val="en-US"/>
        </w:rPr>
        <w:t>.</w:t>
      </w:r>
    </w:p>
    <w:p w:rsidR="00926859" w:rsidRPr="0058034D" w:rsidRDefault="00926859" w:rsidP="001D73C6">
      <w:pPr>
        <w:pStyle w:val="Body"/>
        <w:adjustRightInd w:val="0"/>
        <w:snapToGrid w:val="0"/>
        <w:spacing w:after="0" w:line="360" w:lineRule="auto"/>
        <w:jc w:val="both"/>
        <w:rPr>
          <w:rFonts w:ascii="Book Antiqua" w:eastAsia="Times New Roman" w:hAnsi="Book Antiqua" w:cs="Times New Roman"/>
          <w:color w:val="auto"/>
          <w:sz w:val="24"/>
          <w:szCs w:val="24"/>
        </w:rPr>
      </w:pPr>
    </w:p>
    <w:p w:rsidR="001A0975" w:rsidRPr="0058034D" w:rsidRDefault="005B3EAE" w:rsidP="001D73C6">
      <w:pPr>
        <w:pStyle w:val="Body"/>
        <w:adjustRightInd w:val="0"/>
        <w:snapToGrid w:val="0"/>
        <w:spacing w:after="0" w:line="360" w:lineRule="auto"/>
        <w:jc w:val="both"/>
        <w:rPr>
          <w:rFonts w:ascii="Book Antiqua" w:eastAsiaTheme="minorEastAsia" w:hAnsi="Book Antiqua" w:cs="Times New Roman"/>
          <w:color w:val="auto"/>
          <w:sz w:val="24"/>
          <w:szCs w:val="24"/>
          <w:lang w:val="en-US" w:eastAsia="zh-CN"/>
        </w:rPr>
      </w:pPr>
      <w:r w:rsidRPr="0058034D">
        <w:rPr>
          <w:rFonts w:ascii="Book Antiqua" w:hAnsi="Book Antiqua" w:cs="Times New Roman"/>
          <w:b/>
          <w:bCs/>
          <w:color w:val="auto"/>
          <w:sz w:val="24"/>
          <w:szCs w:val="24"/>
          <w:lang w:val="en-US"/>
        </w:rPr>
        <w:lastRenderedPageBreak/>
        <w:t>Key</w:t>
      </w:r>
      <w:r w:rsidR="001D73C6" w:rsidRPr="0058034D">
        <w:rPr>
          <w:rFonts w:ascii="Book Antiqua" w:eastAsiaTheme="minorEastAsia" w:hAnsi="Book Antiqua" w:cs="Times New Roman" w:hint="eastAsia"/>
          <w:b/>
          <w:bCs/>
          <w:color w:val="auto"/>
          <w:sz w:val="24"/>
          <w:szCs w:val="24"/>
          <w:lang w:val="en-US" w:eastAsia="zh-CN"/>
        </w:rPr>
        <w:t xml:space="preserve"> </w:t>
      </w:r>
      <w:r w:rsidRPr="0058034D">
        <w:rPr>
          <w:rFonts w:ascii="Book Antiqua" w:hAnsi="Book Antiqua" w:cs="Times New Roman"/>
          <w:b/>
          <w:bCs/>
          <w:color w:val="auto"/>
          <w:sz w:val="24"/>
          <w:szCs w:val="24"/>
          <w:lang w:val="en-US"/>
        </w:rPr>
        <w:t>words</w:t>
      </w:r>
      <w:r w:rsidRPr="0058034D">
        <w:rPr>
          <w:rFonts w:ascii="Book Antiqua" w:hAnsi="Book Antiqua" w:cs="Times New Roman"/>
          <w:color w:val="auto"/>
          <w:sz w:val="24"/>
          <w:szCs w:val="24"/>
          <w:lang w:val="en-US"/>
        </w:rPr>
        <w:t>: Readmissions</w:t>
      </w:r>
      <w:r w:rsidR="00926859" w:rsidRPr="0058034D">
        <w:rPr>
          <w:rFonts w:ascii="Book Antiqua" w:hAnsi="Book Antiqua" w:cs="Times New Roman"/>
          <w:color w:val="auto"/>
          <w:sz w:val="24"/>
          <w:szCs w:val="24"/>
          <w:lang w:val="en-US"/>
        </w:rPr>
        <w:t>;</w:t>
      </w:r>
      <w:r w:rsidRPr="0058034D">
        <w:rPr>
          <w:rFonts w:ascii="Book Antiqua" w:hAnsi="Book Antiqua" w:cs="Times New Roman"/>
          <w:color w:val="auto"/>
          <w:sz w:val="24"/>
          <w:szCs w:val="24"/>
          <w:lang w:val="en-US"/>
        </w:rPr>
        <w:t xml:space="preserve"> </w:t>
      </w:r>
      <w:r w:rsidR="001D73C6" w:rsidRPr="0058034D">
        <w:rPr>
          <w:rFonts w:ascii="Book Antiqua" w:hAnsi="Book Antiqua" w:cs="Times New Roman"/>
          <w:color w:val="auto"/>
          <w:sz w:val="24"/>
          <w:szCs w:val="24"/>
          <w:lang w:val="en-US"/>
        </w:rPr>
        <w:t xml:space="preserve">Chronic </w:t>
      </w:r>
      <w:r w:rsidRPr="0058034D">
        <w:rPr>
          <w:rFonts w:ascii="Book Antiqua" w:hAnsi="Book Antiqua" w:cs="Times New Roman"/>
          <w:color w:val="auto"/>
          <w:sz w:val="24"/>
          <w:szCs w:val="24"/>
          <w:lang w:val="en-US"/>
        </w:rPr>
        <w:t>disease</w:t>
      </w:r>
      <w:r w:rsidR="00926859" w:rsidRPr="0058034D">
        <w:rPr>
          <w:rFonts w:ascii="Book Antiqua" w:hAnsi="Book Antiqua" w:cs="Times New Roman"/>
          <w:color w:val="auto"/>
          <w:sz w:val="24"/>
          <w:szCs w:val="24"/>
          <w:lang w:val="en-US"/>
        </w:rPr>
        <w:t xml:space="preserve">; </w:t>
      </w:r>
      <w:r w:rsidR="001D73C6" w:rsidRPr="0058034D">
        <w:rPr>
          <w:rFonts w:ascii="Book Antiqua" w:hAnsi="Book Antiqua" w:cs="Times New Roman"/>
          <w:color w:val="auto"/>
          <w:sz w:val="24"/>
          <w:szCs w:val="24"/>
          <w:lang w:val="en-US"/>
        </w:rPr>
        <w:t xml:space="preserve">Liver </w:t>
      </w:r>
      <w:r w:rsidR="00926859" w:rsidRPr="0058034D">
        <w:rPr>
          <w:rFonts w:ascii="Book Antiqua" w:hAnsi="Book Antiqua" w:cs="Times New Roman"/>
          <w:color w:val="auto"/>
          <w:sz w:val="24"/>
          <w:szCs w:val="24"/>
          <w:lang w:val="en-US"/>
        </w:rPr>
        <w:t>disease;</w:t>
      </w:r>
      <w:r w:rsidRPr="0058034D">
        <w:rPr>
          <w:rFonts w:ascii="Book Antiqua" w:hAnsi="Book Antiqua" w:cs="Times New Roman"/>
          <w:color w:val="auto"/>
          <w:sz w:val="24"/>
          <w:szCs w:val="24"/>
          <w:lang w:val="en-US"/>
        </w:rPr>
        <w:t xml:space="preserve"> </w:t>
      </w:r>
      <w:r w:rsidR="001D73C6" w:rsidRPr="0058034D">
        <w:rPr>
          <w:rFonts w:ascii="Book Antiqua" w:hAnsi="Book Antiqua" w:cs="Times New Roman"/>
          <w:color w:val="auto"/>
          <w:sz w:val="24"/>
          <w:szCs w:val="24"/>
          <w:lang w:val="en-US"/>
        </w:rPr>
        <w:t>Cirrhosis; Re</w:t>
      </w:r>
      <w:r w:rsidR="00A03D8F" w:rsidRPr="0058034D">
        <w:rPr>
          <w:rFonts w:ascii="Book Antiqua" w:hAnsi="Book Antiqua" w:cs="Times New Roman"/>
          <w:color w:val="auto"/>
          <w:sz w:val="24"/>
          <w:szCs w:val="24"/>
          <w:lang w:val="en-US"/>
        </w:rPr>
        <w:t>-hospitalizations</w:t>
      </w:r>
      <w:r w:rsidR="001D73C6" w:rsidRPr="0058034D">
        <w:rPr>
          <w:rFonts w:ascii="Book Antiqua" w:hAnsi="Book Antiqua" w:cs="Times New Roman"/>
          <w:color w:val="auto"/>
          <w:sz w:val="24"/>
          <w:szCs w:val="24"/>
          <w:lang w:val="en-US"/>
        </w:rPr>
        <w:t>; Chronic care</w:t>
      </w:r>
    </w:p>
    <w:p w:rsidR="001D73C6" w:rsidRPr="0058034D" w:rsidRDefault="001D73C6" w:rsidP="001D73C6">
      <w:pPr>
        <w:pStyle w:val="Body"/>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1D73C6" w:rsidRPr="0058034D" w:rsidRDefault="001D73C6" w:rsidP="001D73C6">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kern w:val="2"/>
          <w:bdr w:val="none" w:sz="0" w:space="0" w:color="auto"/>
          <w:lang w:eastAsia="zh-CN"/>
        </w:rPr>
      </w:pPr>
      <w:bookmarkStart w:id="270" w:name="OLE_LINK363"/>
      <w:bookmarkStart w:id="271" w:name="OLE_LINK364"/>
      <w:bookmarkStart w:id="272" w:name="OLE_LINK359"/>
      <w:bookmarkStart w:id="273" w:name="OLE_LINK2"/>
      <w:bookmarkStart w:id="274" w:name="OLE_LINK1037"/>
      <w:bookmarkStart w:id="275" w:name="OLE_LINK1195"/>
      <w:bookmarkStart w:id="276" w:name="OLE_LINK1140"/>
      <w:bookmarkStart w:id="277" w:name="OLE_LINK1062"/>
      <w:bookmarkStart w:id="278" w:name="OLE_LINK1327"/>
      <w:bookmarkStart w:id="279" w:name="OLE_LINK1174"/>
      <w:bookmarkStart w:id="280" w:name="OLE_LINK1348"/>
      <w:bookmarkStart w:id="281" w:name="OLE_LINK1519"/>
      <w:bookmarkStart w:id="282" w:name="OLE_LINK1571"/>
      <w:bookmarkStart w:id="283" w:name="OLE_LINK1666"/>
      <w:bookmarkStart w:id="284" w:name="OLE_LINK11"/>
      <w:bookmarkStart w:id="285" w:name="OLE_LINK1438"/>
      <w:bookmarkStart w:id="286" w:name="OLE_LINK1375"/>
      <w:bookmarkStart w:id="287" w:name="OLE_LINK1429"/>
      <w:bookmarkStart w:id="288" w:name="OLE_LINK1497"/>
      <w:bookmarkStart w:id="289" w:name="OLE_LINK1581"/>
      <w:bookmarkStart w:id="290" w:name="OLE_LINK1356"/>
      <w:bookmarkStart w:id="291" w:name="OLE_LINK1469"/>
      <w:bookmarkStart w:id="292" w:name="OLE_LINK1546"/>
      <w:bookmarkStart w:id="293" w:name="OLE_LINK1694"/>
      <w:bookmarkStart w:id="294" w:name="OLE_LINK1727"/>
      <w:bookmarkStart w:id="295" w:name="OLE_LINK1797"/>
      <w:bookmarkStart w:id="296" w:name="OLE_LINK1887"/>
      <w:bookmarkStart w:id="297" w:name="OLE_LINK1975"/>
      <w:bookmarkStart w:id="298" w:name="OLE_LINK2186"/>
      <w:bookmarkStart w:id="299" w:name="OLE_LINK768"/>
      <w:bookmarkStart w:id="300" w:name="OLE_LINK2332"/>
      <w:bookmarkStart w:id="301" w:name="OLE_LINK2448"/>
      <w:bookmarkStart w:id="302" w:name="OLE_LINK2467"/>
      <w:bookmarkStart w:id="303" w:name="OLE_LINK2563"/>
      <w:bookmarkStart w:id="304" w:name="OLE_LINK2608"/>
      <w:bookmarkStart w:id="305" w:name="OLE_LINK2654"/>
      <w:bookmarkStart w:id="306" w:name="OLE_LINK2695"/>
      <w:bookmarkStart w:id="307" w:name="OLE_LINK2732"/>
      <w:bookmarkStart w:id="308" w:name="OLE_LINK2658"/>
      <w:bookmarkStart w:id="309" w:name="OLE_LINK2775"/>
      <w:bookmarkStart w:id="310" w:name="OLE_LINK52"/>
      <w:bookmarkStart w:id="311" w:name="OLE_LINK2910"/>
      <w:bookmarkStart w:id="312" w:name="OLE_LINK2933"/>
      <w:bookmarkStart w:id="313" w:name="OLE_LINK3527"/>
      <w:bookmarkStart w:id="314" w:name="OLE_LINK2950"/>
      <w:bookmarkStart w:id="315" w:name="OLE_LINK3497"/>
      <w:bookmarkStart w:id="316" w:name="OLE_LINK3130"/>
      <w:bookmarkStart w:id="317" w:name="OLE_LINK3036"/>
      <w:bookmarkStart w:id="318" w:name="OLE_LINK3172"/>
      <w:bookmarkStart w:id="319" w:name="OLE_LINK3212"/>
      <w:bookmarkStart w:id="320" w:name="OLE_LINK3236"/>
      <w:bookmarkStart w:id="321" w:name="OLE_LINK66"/>
      <w:bookmarkStart w:id="322" w:name="OLE_LINK3632"/>
      <w:bookmarkStart w:id="323" w:name="OLE_LINK68"/>
      <w:bookmarkStart w:id="324" w:name="OLE_LINK73"/>
      <w:bookmarkStart w:id="325" w:name="OLE_LINK3790"/>
      <w:bookmarkStart w:id="326" w:name="OLE_LINK109"/>
      <w:bookmarkStart w:id="327" w:name="OLE_LINK3700"/>
      <w:bookmarkStart w:id="328" w:name="OLE_LINK88"/>
      <w:bookmarkStart w:id="329" w:name="OLE_LINK3612"/>
      <w:bookmarkStart w:id="330" w:name="OLE_LINK3749"/>
      <w:bookmarkStart w:id="331" w:name="OLE_LINK3760"/>
      <w:bookmarkStart w:id="332" w:name="OLE_LINK3703"/>
      <w:bookmarkStart w:id="333" w:name="OLE_LINK3825"/>
      <w:bookmarkStart w:id="334" w:name="OLE_LINK3959"/>
      <w:bookmarkStart w:id="335" w:name="OLE_LINK101"/>
      <w:bookmarkStart w:id="336" w:name="OLE_LINK3900"/>
      <w:bookmarkStart w:id="337" w:name="OLE_LINK3872"/>
      <w:bookmarkStart w:id="338" w:name="OLE_LINK3963"/>
      <w:bookmarkStart w:id="339" w:name="OLE_LINK119"/>
      <w:bookmarkStart w:id="340" w:name="OLE_LINK160"/>
      <w:bookmarkStart w:id="341" w:name="OLE_LINK146"/>
      <w:bookmarkStart w:id="342" w:name="OLE_LINK4033"/>
      <w:bookmarkStart w:id="343" w:name="OLE_LINK4096"/>
      <w:bookmarkStart w:id="344" w:name="OLE_LINK4047"/>
      <w:bookmarkStart w:id="345" w:name="OLE_LINK147"/>
      <w:r w:rsidRPr="0058034D">
        <w:rPr>
          <w:rFonts w:ascii="Book Antiqua" w:eastAsia="宋体" w:hAnsi="Book Antiqua" w:hint="eastAsia"/>
          <w:b/>
          <w:kern w:val="2"/>
          <w:bdr w:val="none" w:sz="0" w:space="0" w:color="auto"/>
          <w:lang w:eastAsia="zh-CN"/>
        </w:rPr>
        <w:t>©</w:t>
      </w:r>
      <w:r w:rsidRPr="0058034D">
        <w:rPr>
          <w:rFonts w:ascii="Book Antiqua" w:eastAsia="宋体" w:hAnsi="Book Antiqua"/>
          <w:b/>
          <w:kern w:val="2"/>
          <w:bdr w:val="none" w:sz="0" w:space="0" w:color="auto"/>
          <w:lang w:eastAsia="zh-CN"/>
        </w:rPr>
        <w:t xml:space="preserve"> The Author(s) 201</w:t>
      </w:r>
      <w:r w:rsidRPr="0058034D">
        <w:rPr>
          <w:rFonts w:ascii="Book Antiqua" w:eastAsia="宋体" w:hAnsi="Book Antiqua" w:hint="eastAsia"/>
          <w:b/>
          <w:kern w:val="2"/>
          <w:bdr w:val="none" w:sz="0" w:space="0" w:color="auto"/>
          <w:lang w:eastAsia="zh-CN"/>
        </w:rPr>
        <w:t>7</w:t>
      </w:r>
      <w:r w:rsidRPr="0058034D">
        <w:rPr>
          <w:rFonts w:ascii="Book Antiqua" w:eastAsia="宋体" w:hAnsi="Book Antiqua"/>
          <w:b/>
          <w:kern w:val="2"/>
          <w:bdr w:val="none" w:sz="0" w:space="0" w:color="auto"/>
          <w:lang w:eastAsia="zh-CN"/>
        </w:rPr>
        <w:t>.</w:t>
      </w:r>
      <w:r w:rsidRPr="0058034D">
        <w:rPr>
          <w:rFonts w:ascii="Book Antiqua" w:eastAsia="宋体" w:hAnsi="Book Antiqua"/>
          <w:kern w:val="2"/>
          <w:bdr w:val="none" w:sz="0" w:space="0" w:color="auto"/>
          <w:lang w:eastAsia="zh-CN"/>
        </w:rPr>
        <w:t xml:space="preserve"> Published by Baishideng Publishing Group Inc. All rights reserved.</w:t>
      </w:r>
    </w:p>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rsidR="00926859" w:rsidRPr="0058034D" w:rsidRDefault="00926859" w:rsidP="001D73C6">
      <w:pPr>
        <w:pStyle w:val="Body"/>
        <w:adjustRightInd w:val="0"/>
        <w:snapToGrid w:val="0"/>
        <w:spacing w:after="0" w:line="360" w:lineRule="auto"/>
        <w:jc w:val="both"/>
        <w:rPr>
          <w:rFonts w:ascii="Book Antiqua" w:hAnsi="Book Antiqua" w:cs="Times New Roman"/>
          <w:color w:val="auto"/>
          <w:sz w:val="24"/>
          <w:szCs w:val="24"/>
          <w:lang w:val="en-US"/>
        </w:rPr>
      </w:pPr>
    </w:p>
    <w:p w:rsidR="00926859" w:rsidRPr="0058034D" w:rsidRDefault="00926859" w:rsidP="001D73C6">
      <w:pPr>
        <w:pStyle w:val="Body"/>
        <w:adjustRightInd w:val="0"/>
        <w:snapToGrid w:val="0"/>
        <w:spacing w:after="0" w:line="360" w:lineRule="auto"/>
        <w:jc w:val="both"/>
        <w:rPr>
          <w:rFonts w:ascii="Book Antiqua" w:eastAsia="Times New Roman" w:hAnsi="Book Antiqua" w:cs="Times New Roman"/>
          <w:color w:val="auto"/>
          <w:sz w:val="24"/>
          <w:szCs w:val="24"/>
          <w:lang w:val="en-US"/>
        </w:rPr>
      </w:pPr>
      <w:r w:rsidRPr="0058034D">
        <w:rPr>
          <w:rFonts w:ascii="Book Antiqua" w:hAnsi="Book Antiqua" w:cs="Times New Roman"/>
          <w:b/>
          <w:color w:val="auto"/>
          <w:sz w:val="24"/>
          <w:szCs w:val="24"/>
          <w:lang w:val="en-US"/>
        </w:rPr>
        <w:t>Core tip:</w:t>
      </w:r>
      <w:r w:rsidRPr="0058034D">
        <w:rPr>
          <w:rFonts w:ascii="Book Antiqua" w:hAnsi="Book Antiqua" w:cs="Times New Roman"/>
          <w:color w:val="auto"/>
          <w:sz w:val="24"/>
          <w:szCs w:val="24"/>
          <w:lang w:val="en-US"/>
        </w:rPr>
        <w:t xml:space="preserve"> To reduce readmissions and improve patient outcomes</w:t>
      </w:r>
      <w:r w:rsidR="004C10B0" w:rsidRPr="0058034D">
        <w:rPr>
          <w:rFonts w:ascii="Book Antiqua" w:hAnsi="Book Antiqua" w:cs="Times New Roman"/>
          <w:color w:val="auto"/>
          <w:sz w:val="24"/>
          <w:szCs w:val="24"/>
          <w:lang w:val="en-US"/>
        </w:rPr>
        <w:t>, we conducted a re</w:t>
      </w:r>
      <w:r w:rsidRPr="0058034D">
        <w:rPr>
          <w:rFonts w:ascii="Book Antiqua" w:hAnsi="Book Antiqua" w:cs="Times New Roman"/>
          <w:color w:val="auto"/>
          <w:sz w:val="24"/>
          <w:szCs w:val="24"/>
          <w:lang w:val="en-US"/>
        </w:rPr>
        <w:t xml:space="preserve">trospective cohort study of </w:t>
      </w:r>
      <w:r w:rsidR="004C10B0" w:rsidRPr="0058034D">
        <w:rPr>
          <w:rFonts w:ascii="Book Antiqua" w:hAnsi="Book Antiqua" w:cs="Times New Roman"/>
          <w:color w:val="auto"/>
          <w:sz w:val="24"/>
          <w:szCs w:val="24"/>
          <w:lang w:val="en-US"/>
        </w:rPr>
        <w:t>222 decompensated cirrhotics admitted to a single institution and followed longitudinally for readmission. Nearly 60%</w:t>
      </w:r>
      <w:r w:rsidR="001D73C6" w:rsidRPr="0058034D">
        <w:rPr>
          <w:rFonts w:ascii="Book Antiqua" w:eastAsiaTheme="minorEastAsia" w:hAnsi="Book Antiqua" w:cs="Times New Roman" w:hint="eastAsia"/>
          <w:color w:val="auto"/>
          <w:sz w:val="24"/>
          <w:szCs w:val="24"/>
          <w:lang w:val="en-US" w:eastAsia="zh-CN"/>
        </w:rPr>
        <w:t xml:space="preserve"> </w:t>
      </w:r>
      <w:r w:rsidR="004C10B0" w:rsidRPr="0058034D">
        <w:rPr>
          <w:rFonts w:ascii="Book Antiqua" w:hAnsi="Book Antiqua" w:cs="Times New Roman"/>
          <w:color w:val="auto"/>
          <w:sz w:val="24"/>
          <w:szCs w:val="24"/>
          <w:lang w:val="en-US"/>
        </w:rPr>
        <w:t>were readmitted during the study, with h</w:t>
      </w:r>
      <w:r w:rsidRPr="0058034D">
        <w:rPr>
          <w:rFonts w:ascii="Book Antiqua" w:hAnsi="Book Antiqua" w:cs="Times New Roman"/>
          <w:color w:val="auto"/>
          <w:sz w:val="24"/>
          <w:szCs w:val="24"/>
          <w:lang w:val="en-US"/>
        </w:rPr>
        <w:t xml:space="preserve">epatic </w:t>
      </w:r>
      <w:r w:rsidR="004C10B0" w:rsidRPr="0058034D">
        <w:rPr>
          <w:rFonts w:ascii="Book Antiqua" w:hAnsi="Book Antiqua"/>
          <w:color w:val="auto"/>
          <w:sz w:val="24"/>
          <w:szCs w:val="24"/>
          <w:lang w:val="en-US"/>
        </w:rPr>
        <w:t xml:space="preserve">encephalopathy </w:t>
      </w:r>
      <w:r w:rsidRPr="0058034D">
        <w:rPr>
          <w:rFonts w:ascii="Book Antiqua" w:hAnsi="Book Antiqua"/>
          <w:color w:val="auto"/>
          <w:sz w:val="24"/>
          <w:szCs w:val="24"/>
          <w:lang w:val="en-US"/>
        </w:rPr>
        <w:t>as the m</w:t>
      </w:r>
      <w:r w:rsidR="004C10B0" w:rsidRPr="0058034D">
        <w:rPr>
          <w:rFonts w:ascii="Book Antiqua" w:hAnsi="Book Antiqua"/>
          <w:color w:val="auto"/>
          <w:sz w:val="24"/>
          <w:szCs w:val="24"/>
          <w:lang w:val="en-US"/>
        </w:rPr>
        <w:t xml:space="preserve">ost common cause of readmission, </w:t>
      </w:r>
      <w:r w:rsidR="00F05F87" w:rsidRPr="0058034D">
        <w:rPr>
          <w:rFonts w:ascii="Book Antiqua" w:hAnsi="Book Antiqua"/>
          <w:color w:val="auto"/>
          <w:sz w:val="24"/>
          <w:szCs w:val="24"/>
          <w:lang w:val="en-US"/>
        </w:rPr>
        <w:t>with</w:t>
      </w:r>
      <w:r w:rsidR="004C10B0" w:rsidRPr="0058034D">
        <w:rPr>
          <w:rFonts w:ascii="Book Antiqua" w:hAnsi="Book Antiqua"/>
          <w:color w:val="auto"/>
          <w:sz w:val="24"/>
          <w:szCs w:val="24"/>
          <w:lang w:val="en-US"/>
        </w:rPr>
        <w:t xml:space="preserve"> </w:t>
      </w:r>
      <w:r w:rsidR="004C10B0" w:rsidRPr="0058034D">
        <w:rPr>
          <w:rFonts w:ascii="Book Antiqua" w:hAnsi="Book Antiqua" w:cs="Times New Roman"/>
          <w:color w:val="auto"/>
          <w:sz w:val="24"/>
          <w:szCs w:val="24"/>
          <w:lang w:val="en-US"/>
        </w:rPr>
        <w:t>s</w:t>
      </w:r>
      <w:r w:rsidRPr="0058034D">
        <w:rPr>
          <w:rFonts w:ascii="Book Antiqua" w:hAnsi="Book Antiqua" w:cs="Times New Roman"/>
          <w:color w:val="auto"/>
          <w:sz w:val="24"/>
          <w:szCs w:val="24"/>
          <w:lang w:val="en-US"/>
        </w:rPr>
        <w:t>ocial factors, education level and insurance, also affect</w:t>
      </w:r>
      <w:r w:rsidR="004C10B0" w:rsidRPr="0058034D">
        <w:rPr>
          <w:rFonts w:ascii="Book Antiqua" w:hAnsi="Book Antiqua" w:cs="Times New Roman"/>
          <w:color w:val="auto"/>
          <w:sz w:val="24"/>
          <w:szCs w:val="24"/>
          <w:lang w:val="en-US"/>
        </w:rPr>
        <w:t>ing</w:t>
      </w:r>
      <w:r w:rsidRPr="0058034D">
        <w:rPr>
          <w:rFonts w:ascii="Book Antiqua" w:hAnsi="Book Antiqua" w:cs="Times New Roman"/>
          <w:color w:val="auto"/>
          <w:sz w:val="24"/>
          <w:szCs w:val="24"/>
          <w:lang w:val="en-US"/>
        </w:rPr>
        <w:t xml:space="preserve"> readmission rates.</w:t>
      </w:r>
      <w:r w:rsidR="004C10B0" w:rsidRPr="0058034D">
        <w:rPr>
          <w:rFonts w:ascii="Book Antiqua" w:eastAsia="Times New Roman" w:hAnsi="Book Antiqua" w:cs="Times New Roman"/>
          <w:color w:val="auto"/>
          <w:sz w:val="24"/>
          <w:szCs w:val="24"/>
          <w:lang w:val="en-US"/>
        </w:rPr>
        <w:t xml:space="preserve"> </w:t>
      </w:r>
      <w:r w:rsidR="004C10B0" w:rsidRPr="0058034D">
        <w:rPr>
          <w:rFonts w:ascii="Book Antiqua" w:hAnsi="Book Antiqua" w:cs="Times New Roman"/>
          <w:color w:val="auto"/>
          <w:sz w:val="24"/>
          <w:szCs w:val="24"/>
          <w:lang w:val="en-US"/>
        </w:rPr>
        <w:t>We also found that r</w:t>
      </w:r>
      <w:r w:rsidRPr="0058034D">
        <w:rPr>
          <w:rFonts w:ascii="Book Antiqua" w:hAnsi="Book Antiqua" w:cs="Times New Roman"/>
          <w:color w:val="auto"/>
          <w:sz w:val="24"/>
          <w:szCs w:val="24"/>
          <w:lang w:val="en-US"/>
        </w:rPr>
        <w:t xml:space="preserve">eadmission risk </w:t>
      </w:r>
      <w:r w:rsidR="004C10B0" w:rsidRPr="0058034D">
        <w:rPr>
          <w:rFonts w:ascii="Book Antiqua" w:hAnsi="Book Antiqua" w:cs="Times New Roman"/>
          <w:color w:val="auto"/>
          <w:sz w:val="24"/>
          <w:szCs w:val="24"/>
          <w:lang w:val="en-US"/>
        </w:rPr>
        <w:t xml:space="preserve">in this population </w:t>
      </w:r>
      <w:r w:rsidRPr="0058034D">
        <w:rPr>
          <w:rFonts w:ascii="Book Antiqua" w:hAnsi="Book Antiqua" w:cs="Times New Roman"/>
          <w:color w:val="auto"/>
          <w:sz w:val="24"/>
          <w:szCs w:val="24"/>
          <w:lang w:val="en-US"/>
        </w:rPr>
        <w:t>continues well beyond 30 d</w:t>
      </w:r>
      <w:r w:rsidR="004C10B0" w:rsidRPr="0058034D">
        <w:rPr>
          <w:rFonts w:ascii="Book Antiqua" w:hAnsi="Book Antiqua" w:cs="Times New Roman"/>
          <w:color w:val="auto"/>
          <w:sz w:val="24"/>
          <w:szCs w:val="24"/>
          <w:lang w:val="en-US"/>
        </w:rPr>
        <w:t>, with 30% of patients being readmitted at 90 d</w:t>
      </w:r>
      <w:r w:rsidRPr="0058034D">
        <w:rPr>
          <w:rFonts w:ascii="Book Antiqua" w:hAnsi="Book Antiqua" w:cs="Times New Roman"/>
          <w:color w:val="auto"/>
          <w:sz w:val="24"/>
          <w:szCs w:val="24"/>
          <w:lang w:val="en-US"/>
        </w:rPr>
        <w:t>, calling</w:t>
      </w:r>
      <w:r w:rsidR="004C10B0" w:rsidRPr="0058034D">
        <w:rPr>
          <w:rFonts w:ascii="Book Antiqua" w:hAnsi="Book Antiqua" w:cs="Times New Roman"/>
          <w:color w:val="auto"/>
          <w:sz w:val="24"/>
          <w:szCs w:val="24"/>
          <w:lang w:val="en-US"/>
        </w:rPr>
        <w:t xml:space="preserve"> for continued</w:t>
      </w:r>
      <w:r w:rsidR="00F05F87" w:rsidRPr="0058034D">
        <w:rPr>
          <w:rFonts w:ascii="Book Antiqua" w:hAnsi="Book Antiqua" w:cs="Times New Roman"/>
          <w:color w:val="auto"/>
          <w:sz w:val="24"/>
          <w:szCs w:val="24"/>
          <w:lang w:val="en-US"/>
        </w:rPr>
        <w:t>,</w:t>
      </w:r>
      <w:r w:rsidR="004C10B0" w:rsidRPr="0058034D">
        <w:rPr>
          <w:rFonts w:ascii="Book Antiqua" w:hAnsi="Book Antiqua" w:cs="Times New Roman"/>
          <w:color w:val="auto"/>
          <w:sz w:val="24"/>
          <w:szCs w:val="24"/>
          <w:lang w:val="en-US"/>
        </w:rPr>
        <w:t xml:space="preserve"> coordinated care after hospitalization.</w:t>
      </w:r>
    </w:p>
    <w:p w:rsidR="00926859" w:rsidRPr="0058034D" w:rsidRDefault="00926859" w:rsidP="001D73C6">
      <w:pPr>
        <w:pStyle w:val="Body"/>
        <w:adjustRightInd w:val="0"/>
        <w:snapToGrid w:val="0"/>
        <w:spacing w:after="0" w:line="360" w:lineRule="auto"/>
        <w:jc w:val="both"/>
        <w:rPr>
          <w:rFonts w:ascii="Book Antiqua" w:hAnsi="Book Antiqua" w:cs="Times New Roman"/>
          <w:color w:val="auto"/>
          <w:sz w:val="24"/>
          <w:szCs w:val="24"/>
          <w:lang w:val="en-US"/>
        </w:rPr>
      </w:pPr>
    </w:p>
    <w:p w:rsidR="001D73C6" w:rsidRPr="0058034D" w:rsidRDefault="004C10B0" w:rsidP="001D73C6">
      <w:pPr>
        <w:adjustRightInd w:val="0"/>
        <w:snapToGrid w:val="0"/>
        <w:spacing w:line="360" w:lineRule="auto"/>
        <w:jc w:val="both"/>
        <w:rPr>
          <w:rFonts w:ascii="Book Antiqua" w:eastAsia="宋体" w:hAnsi="Book Antiqua"/>
          <w:kern w:val="2"/>
          <w:bdr w:val="none" w:sz="0" w:space="0" w:color="auto"/>
          <w:lang w:eastAsia="zh-CN"/>
        </w:rPr>
      </w:pPr>
      <w:r w:rsidRPr="0058034D">
        <w:rPr>
          <w:rFonts w:ascii="Book Antiqua" w:hAnsi="Book Antiqua"/>
        </w:rPr>
        <w:t xml:space="preserve">Seraj SM, Campbell EJ, Argyropoulos SK, Wegermann K, Chung RT, Richter JM. Hospital </w:t>
      </w:r>
      <w:r w:rsidR="001D73C6" w:rsidRPr="0058034D">
        <w:rPr>
          <w:rFonts w:ascii="Book Antiqua" w:hAnsi="Book Antiqua"/>
        </w:rPr>
        <w:t>readmissions in decompensated cirrhotics</w:t>
      </w:r>
      <w:r w:rsidR="001D73C6" w:rsidRPr="0058034D">
        <w:rPr>
          <w:rFonts w:ascii="Book Antiqua" w:hAnsi="Book Antiqua" w:hint="eastAsia"/>
          <w:lang w:eastAsia="zh-CN"/>
        </w:rPr>
        <w:t>:</w:t>
      </w:r>
      <w:r w:rsidRPr="0058034D">
        <w:rPr>
          <w:rFonts w:ascii="Book Antiqua" w:hAnsi="Book Antiqua"/>
        </w:rPr>
        <w:t xml:space="preserve"> </w:t>
      </w:r>
      <w:r w:rsidR="001D73C6" w:rsidRPr="0058034D">
        <w:rPr>
          <w:rFonts w:ascii="Book Antiqua" w:hAnsi="Book Antiqua"/>
        </w:rPr>
        <w:t xml:space="preserve">Factors </w:t>
      </w:r>
      <w:r w:rsidRPr="0058034D">
        <w:rPr>
          <w:rFonts w:ascii="Book Antiqua" w:hAnsi="Book Antiqua"/>
        </w:rPr>
        <w:t xml:space="preserve">pointing toward a prevention strategy. </w:t>
      </w:r>
      <w:bookmarkStart w:id="346" w:name="OLE_LINK2756"/>
      <w:bookmarkStart w:id="347" w:name="OLE_LINK2349"/>
      <w:bookmarkStart w:id="348" w:name="OLE_LINK2413"/>
      <w:bookmarkStart w:id="349" w:name="OLE_LINK2287"/>
      <w:bookmarkStart w:id="350" w:name="OLE_LINK2309"/>
      <w:bookmarkStart w:id="351" w:name="OLE_LINK2329"/>
      <w:bookmarkStart w:id="352" w:name="OLE_LINK2285"/>
      <w:bookmarkStart w:id="353" w:name="OLE_LINK2245"/>
      <w:bookmarkStart w:id="354" w:name="OLE_LINK2212"/>
      <w:bookmarkStart w:id="355" w:name="OLE_LINK2178"/>
      <w:bookmarkStart w:id="356" w:name="OLE_LINK2039"/>
      <w:bookmarkStart w:id="357" w:name="OLE_LINK3369"/>
      <w:bookmarkStart w:id="358" w:name="OLE_LINK3314"/>
      <w:bookmarkStart w:id="359" w:name="OLE_LINK2028"/>
      <w:bookmarkStart w:id="360" w:name="OLE_LINK2206"/>
      <w:bookmarkStart w:id="361" w:name="OLE_LINK2158"/>
      <w:bookmarkStart w:id="362" w:name="OLE_LINK2074"/>
      <w:bookmarkStart w:id="363" w:name="OLE_LINK2176"/>
      <w:bookmarkStart w:id="364" w:name="OLE_LINK1942"/>
      <w:bookmarkStart w:id="365" w:name="OLE_LINK1917"/>
      <w:bookmarkStart w:id="366" w:name="OLE_LINK1875"/>
      <w:bookmarkStart w:id="367" w:name="OLE_LINK1869"/>
      <w:bookmarkStart w:id="368" w:name="OLE_LINK1796"/>
      <w:bookmarkStart w:id="369" w:name="OLE_LINK1719"/>
      <w:bookmarkStart w:id="370" w:name="OLE_LINK1802"/>
      <w:bookmarkStart w:id="371" w:name="OLE_LINK1369"/>
      <w:bookmarkStart w:id="372" w:name="OLE_LINK1236"/>
      <w:bookmarkStart w:id="373" w:name="OLE_LINK658"/>
      <w:bookmarkStart w:id="374" w:name="OLE_LINK699"/>
      <w:bookmarkStart w:id="375" w:name="OLE_LINK140"/>
      <w:bookmarkStart w:id="376" w:name="OLE_LINK111"/>
      <w:bookmarkStart w:id="377" w:name="OLE_LINK110"/>
      <w:bookmarkStart w:id="378" w:name="OLE_LINK47"/>
      <w:bookmarkStart w:id="379" w:name="OLE_LINK48"/>
      <w:bookmarkStart w:id="380" w:name="OLE_LINK2951"/>
      <w:bookmarkStart w:id="381" w:name="OLE_LINK3500"/>
      <w:bookmarkStart w:id="382" w:name="OLE_LINK58"/>
      <w:bookmarkStart w:id="383" w:name="OLE_LINK3037"/>
      <w:bookmarkStart w:id="384" w:name="OLE_LINK61"/>
      <w:bookmarkStart w:id="385" w:name="OLE_LINK3055"/>
      <w:bookmarkStart w:id="386" w:name="OLE_LINK3169"/>
      <w:bookmarkStart w:id="387" w:name="OLE_LINK3178"/>
      <w:bookmarkStart w:id="388" w:name="OLE_LINK3179"/>
      <w:bookmarkStart w:id="389" w:name="OLE_LINK69"/>
      <w:bookmarkStart w:id="390" w:name="OLE_LINK3294"/>
      <w:bookmarkStart w:id="391" w:name="OLE_LINK3752"/>
      <w:bookmarkStart w:id="392" w:name="OLE_LINK3534"/>
      <w:bookmarkStart w:id="393" w:name="OLE_LINK3566"/>
      <w:bookmarkStart w:id="394" w:name="OLE_LINK82"/>
      <w:bookmarkStart w:id="395" w:name="OLE_LINK105"/>
      <w:bookmarkStart w:id="396" w:name="OLE_LINK106"/>
      <w:bookmarkStart w:id="397" w:name="OLE_LINK87"/>
      <w:bookmarkStart w:id="398" w:name="OLE_LINK3747"/>
      <w:bookmarkStart w:id="399" w:name="OLE_LINK89"/>
      <w:bookmarkStart w:id="400" w:name="OLE_LINK3689"/>
      <w:bookmarkStart w:id="401" w:name="OLE_LINK3826"/>
      <w:bookmarkStart w:id="402" w:name="OLE_LINK115"/>
      <w:bookmarkStart w:id="403" w:name="OLE_LINK98"/>
      <w:bookmarkStart w:id="404" w:name="OLE_LINK3936"/>
      <w:bookmarkStart w:id="405" w:name="OLE_LINK104"/>
      <w:bookmarkStart w:id="406" w:name="OLE_LINK3904"/>
      <w:bookmarkStart w:id="407" w:name="OLE_LINK116"/>
      <w:bookmarkStart w:id="408" w:name="OLE_LINK3927"/>
      <w:bookmarkStart w:id="409" w:name="OLE_LINK3978"/>
      <w:bookmarkStart w:id="410" w:name="OLE_LINK124"/>
      <w:bookmarkStart w:id="411" w:name="OLE_LINK4030"/>
      <w:bookmarkStart w:id="412" w:name="OLE_LINK4097"/>
      <w:bookmarkStart w:id="413" w:name="OLE_LINK148"/>
      <w:bookmarkStart w:id="414" w:name="OLE_LINK129"/>
      <w:bookmarkStart w:id="415" w:name="OLE_LINK154"/>
      <w:bookmarkStart w:id="416" w:name="OLE_LINK199"/>
      <w:bookmarkStart w:id="417" w:name="OLE_LINK200"/>
      <w:bookmarkStart w:id="418" w:name="OLE_LINK196"/>
      <w:bookmarkStart w:id="419" w:name="OLE_LINK341"/>
      <w:bookmarkStart w:id="420" w:name="OLE_LINK377"/>
      <w:bookmarkStart w:id="421" w:name="OLE_LINK366"/>
      <w:bookmarkStart w:id="422" w:name="OLE_LINK1038"/>
      <w:bookmarkStart w:id="423" w:name="OLE_LINK1175"/>
      <w:bookmarkStart w:id="424" w:name="OLE_LINK1423"/>
      <w:bookmarkStart w:id="425" w:name="OLE_LINK1440"/>
      <w:bookmarkStart w:id="426" w:name="OLE_LINK1572"/>
      <w:bookmarkStart w:id="427" w:name="OLE_LINK1388"/>
      <w:bookmarkStart w:id="428" w:name="OLE_LINK1439"/>
      <w:bookmarkStart w:id="429" w:name="OLE_LINK16"/>
      <w:bookmarkStart w:id="430" w:name="OLE_LINK1381"/>
      <w:bookmarkStart w:id="431" w:name="OLE_LINK1442"/>
      <w:bookmarkStart w:id="432" w:name="OLE_LINK1500"/>
      <w:bookmarkStart w:id="433" w:name="OLE_LINK1681"/>
      <w:bookmarkStart w:id="434" w:name="OLE_LINK1712"/>
      <w:bookmarkStart w:id="435" w:name="OLE_LINK3321"/>
      <w:bookmarkStart w:id="436" w:name="OLE_LINK747"/>
      <w:bookmarkStart w:id="437" w:name="OLE_LINK2187"/>
      <w:bookmarkStart w:id="438" w:name="OLE_LINK2564"/>
      <w:bookmarkStart w:id="439" w:name="OLE_LINK2735"/>
      <w:bookmarkStart w:id="440" w:name="OLE_LINK57"/>
      <w:bookmarkStart w:id="441" w:name="OLE_LINK55"/>
      <w:bookmarkStart w:id="442" w:name="OLE_LINK2911"/>
      <w:bookmarkStart w:id="443" w:name="OLE_LINK64"/>
      <w:bookmarkStart w:id="444" w:name="OLE_LINK3753"/>
      <w:bookmarkStart w:id="445" w:name="OLE_LINK3879"/>
      <w:bookmarkStart w:id="446" w:name="OLE_LINK4050"/>
      <w:r w:rsidR="001D73C6" w:rsidRPr="0058034D">
        <w:rPr>
          <w:rFonts w:ascii="Book Antiqua" w:eastAsia="宋体" w:hAnsi="Book Antiqua"/>
          <w:i/>
          <w:kern w:val="2"/>
          <w:bdr w:val="none" w:sz="0" w:space="0" w:color="auto"/>
          <w:lang w:eastAsia="zh-CN"/>
        </w:rPr>
        <w:t xml:space="preserve">World J Gastroenterol </w:t>
      </w:r>
      <w:r w:rsidR="001D73C6" w:rsidRPr="0058034D">
        <w:rPr>
          <w:rFonts w:ascii="Book Antiqua" w:eastAsia="宋体" w:hAnsi="Book Antiqua"/>
          <w:kern w:val="2"/>
          <w:bdr w:val="none" w:sz="0" w:space="0" w:color="auto"/>
          <w:lang w:eastAsia="zh-CN"/>
        </w:rPr>
        <w:t>201</w:t>
      </w:r>
      <w:r w:rsidR="001D73C6" w:rsidRPr="0058034D">
        <w:rPr>
          <w:rFonts w:ascii="Book Antiqua" w:eastAsia="宋体" w:hAnsi="Book Antiqua" w:hint="eastAsia"/>
          <w:kern w:val="2"/>
          <w:bdr w:val="none" w:sz="0" w:space="0" w:color="auto"/>
          <w:lang w:eastAsia="zh-CN"/>
        </w:rPr>
        <w:t>7</w:t>
      </w:r>
      <w:r w:rsidR="001D73C6" w:rsidRPr="0058034D">
        <w:rPr>
          <w:rFonts w:ascii="Book Antiqua" w:eastAsia="宋体" w:hAnsi="Book Antiqua"/>
          <w:kern w:val="2"/>
          <w:bdr w:val="none" w:sz="0" w:space="0" w:color="auto"/>
          <w:lang w:eastAsia="zh-CN"/>
        </w:rPr>
        <w:t>; In press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rsidR="001D73C6" w:rsidRPr="0058034D" w:rsidRDefault="001D73C6" w:rsidP="001D73C6">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kern w:val="2"/>
          <w:bdr w:val="none" w:sz="0" w:space="0" w:color="auto"/>
          <w:lang w:eastAsia="zh-CN"/>
        </w:rPr>
      </w:pPr>
    </w:p>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rsidR="004C10B0" w:rsidRPr="0058034D" w:rsidRDefault="004C10B0" w:rsidP="001D73C6">
      <w:pPr>
        <w:pStyle w:val="Body"/>
        <w:adjustRightInd w:val="0"/>
        <w:snapToGrid w:val="0"/>
        <w:spacing w:after="0" w:line="360" w:lineRule="auto"/>
        <w:jc w:val="both"/>
        <w:rPr>
          <w:rFonts w:ascii="Book Antiqua" w:hAnsi="Book Antiqua" w:cs="Times New Roman"/>
          <w:color w:val="auto"/>
          <w:sz w:val="24"/>
          <w:szCs w:val="24"/>
          <w:lang w:val="en-US"/>
        </w:rPr>
      </w:pPr>
    </w:p>
    <w:p w:rsidR="004C10B0" w:rsidRPr="0058034D" w:rsidRDefault="004C10B0" w:rsidP="001D73C6">
      <w:pPr>
        <w:pStyle w:val="Body"/>
        <w:adjustRightInd w:val="0"/>
        <w:snapToGrid w:val="0"/>
        <w:spacing w:after="0" w:line="360" w:lineRule="auto"/>
        <w:jc w:val="both"/>
        <w:rPr>
          <w:rFonts w:ascii="Book Antiqua" w:hAnsi="Book Antiqua" w:cs="Times New Roman"/>
          <w:color w:val="auto"/>
          <w:sz w:val="24"/>
          <w:szCs w:val="24"/>
        </w:rPr>
      </w:pPr>
    </w:p>
    <w:p w:rsidR="00926859" w:rsidRPr="0058034D" w:rsidRDefault="00926859" w:rsidP="001D73C6">
      <w:pPr>
        <w:pStyle w:val="Body"/>
        <w:adjustRightInd w:val="0"/>
        <w:snapToGrid w:val="0"/>
        <w:spacing w:after="0" w:line="360" w:lineRule="auto"/>
        <w:jc w:val="both"/>
        <w:rPr>
          <w:rFonts w:ascii="Book Antiqua" w:eastAsia="Times New Roman" w:hAnsi="Book Antiqua" w:cs="Times New Roman"/>
          <w:b/>
          <w:color w:val="auto"/>
          <w:sz w:val="24"/>
          <w:szCs w:val="24"/>
        </w:rPr>
      </w:pPr>
    </w:p>
    <w:p w:rsidR="001A0975" w:rsidRPr="0058034D" w:rsidRDefault="001A0975" w:rsidP="001D73C6">
      <w:pPr>
        <w:pStyle w:val="Body"/>
        <w:adjustRightInd w:val="0"/>
        <w:snapToGrid w:val="0"/>
        <w:spacing w:after="0" w:line="360" w:lineRule="auto"/>
        <w:jc w:val="both"/>
        <w:rPr>
          <w:rFonts w:ascii="Book Antiqua" w:eastAsia="Times New Roman" w:hAnsi="Book Antiqua" w:cs="Times New Roman"/>
          <w:color w:val="auto"/>
          <w:sz w:val="24"/>
          <w:szCs w:val="24"/>
        </w:rPr>
      </w:pPr>
    </w:p>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eastAsia="Times New Roman" w:hAnsi="Book Antiqua" w:cs="Times New Roman"/>
          <w:b/>
          <w:bCs/>
          <w:color w:val="auto"/>
          <w:sz w:val="24"/>
          <w:szCs w:val="24"/>
        </w:rPr>
        <w:br w:type="page"/>
      </w:r>
    </w:p>
    <w:p w:rsidR="001A0975" w:rsidRPr="0058034D" w:rsidRDefault="00B91696" w:rsidP="001D73C6">
      <w:pPr>
        <w:pStyle w:val="Body"/>
        <w:pageBreakBefore/>
        <w:widowControl w:val="0"/>
        <w:adjustRightInd w:val="0"/>
        <w:snapToGrid w:val="0"/>
        <w:spacing w:after="0" w:line="360" w:lineRule="auto"/>
        <w:jc w:val="both"/>
        <w:rPr>
          <w:rFonts w:ascii="Book Antiqua" w:eastAsia="Times New Roman" w:hAnsi="Book Antiqua" w:cs="Times New Roman"/>
          <w:b/>
          <w:bCs/>
          <w:color w:val="auto"/>
          <w:sz w:val="24"/>
          <w:szCs w:val="24"/>
        </w:rPr>
      </w:pPr>
      <w:r w:rsidRPr="0058034D">
        <w:rPr>
          <w:rFonts w:ascii="Book Antiqua" w:hAnsi="Book Antiqua" w:cs="Times New Roman"/>
          <w:b/>
          <w:bCs/>
          <w:color w:val="auto"/>
          <w:sz w:val="24"/>
          <w:szCs w:val="24"/>
        </w:rPr>
        <w:lastRenderedPageBreak/>
        <w:t>INTRODUCTION</w:t>
      </w:r>
    </w:p>
    <w:p w:rsidR="001A0975" w:rsidRPr="0058034D" w:rsidRDefault="005B3EAE" w:rsidP="001D73C6">
      <w:pPr>
        <w:pStyle w:val="Body"/>
        <w:adjustRightInd w:val="0"/>
        <w:snapToGrid w:val="0"/>
        <w:spacing w:after="0" w:line="360" w:lineRule="auto"/>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Cirrhosis is the second most common digestive disease cause of death and 12</w:t>
      </w:r>
      <w:r w:rsidRPr="0058034D">
        <w:rPr>
          <w:rFonts w:ascii="Book Antiqua" w:hAnsi="Book Antiqua" w:cs="Times New Roman"/>
          <w:color w:val="auto"/>
          <w:sz w:val="24"/>
          <w:szCs w:val="24"/>
          <w:vertAlign w:val="superscript"/>
          <w:lang w:val="en-US"/>
        </w:rPr>
        <w:t>th</w:t>
      </w:r>
      <w:r w:rsidRPr="0058034D">
        <w:rPr>
          <w:rFonts w:ascii="Book Antiqua" w:hAnsi="Book Antiqua" w:cs="Times New Roman"/>
          <w:color w:val="auto"/>
          <w:sz w:val="24"/>
          <w:szCs w:val="24"/>
          <w:lang w:val="en-US"/>
        </w:rPr>
        <w:t xml:space="preserve"> overall cause o</w:t>
      </w:r>
      <w:r w:rsidR="00FB2342" w:rsidRPr="0058034D">
        <w:rPr>
          <w:rFonts w:ascii="Book Antiqua" w:hAnsi="Book Antiqua" w:cs="Times New Roman"/>
          <w:color w:val="auto"/>
          <w:sz w:val="24"/>
          <w:szCs w:val="24"/>
          <w:lang w:val="en-US"/>
        </w:rPr>
        <w:t>f death in the United States</w:t>
      </w:r>
      <w:r w:rsidR="00FB2342" w:rsidRPr="0058034D">
        <w:rPr>
          <w:rFonts w:ascii="Book Antiqua" w:hAnsi="Book Antiqua" w:cs="Times New Roman"/>
          <w:color w:val="auto"/>
          <w:sz w:val="24"/>
          <w:szCs w:val="24"/>
          <w:vertAlign w:val="superscript"/>
          <w:lang w:val="en-US"/>
        </w:rPr>
        <w:t>[1]</w:t>
      </w:r>
      <w:r w:rsidRPr="0058034D">
        <w:rPr>
          <w:rFonts w:ascii="Book Antiqua" w:hAnsi="Book Antiqua" w:cs="Times New Roman"/>
          <w:color w:val="auto"/>
          <w:sz w:val="24"/>
          <w:szCs w:val="24"/>
          <w:lang w:val="en-US"/>
        </w:rPr>
        <w:t xml:space="preserve">. Cirrhosis and complications of </w:t>
      </w:r>
      <w:r w:rsidR="00B91696" w:rsidRPr="0058034D">
        <w:rPr>
          <w:rFonts w:ascii="Book Antiqua" w:hAnsi="Book Antiqua" w:cs="Times New Roman"/>
          <w:color w:val="auto"/>
          <w:sz w:val="24"/>
          <w:szCs w:val="24"/>
          <w:lang w:val="en-US"/>
        </w:rPr>
        <w:t>cirrhosis account for around 40</w:t>
      </w:r>
      <w:r w:rsidRPr="0058034D">
        <w:rPr>
          <w:rFonts w:ascii="Book Antiqua" w:hAnsi="Book Antiqua" w:cs="Times New Roman"/>
          <w:color w:val="auto"/>
          <w:sz w:val="24"/>
          <w:szCs w:val="24"/>
          <w:lang w:val="en-US"/>
        </w:rPr>
        <w:t xml:space="preserve">000 deaths in the United States annually, similar to diabetes and slightly more than kidney diseases, with a mortality rate of </w:t>
      </w:r>
      <w:r w:rsidR="00B91696" w:rsidRPr="0058034D">
        <w:rPr>
          <w:rFonts w:ascii="Book Antiqua" w:hAnsi="Book Antiqua" w:cs="Times New Roman"/>
          <w:color w:val="auto"/>
          <w:sz w:val="24"/>
          <w:szCs w:val="24"/>
          <w:lang w:val="en-US"/>
        </w:rPr>
        <w:t>25.7 deaths per 100</w:t>
      </w:r>
      <w:r w:rsidR="00FB2342" w:rsidRPr="0058034D">
        <w:rPr>
          <w:rFonts w:ascii="Book Antiqua" w:hAnsi="Book Antiqua" w:cs="Times New Roman"/>
          <w:color w:val="auto"/>
          <w:sz w:val="24"/>
          <w:szCs w:val="24"/>
          <w:lang w:val="en-US"/>
        </w:rPr>
        <w:t>000 people</w:t>
      </w:r>
      <w:r w:rsidR="00B91696" w:rsidRPr="0058034D">
        <w:rPr>
          <w:rFonts w:ascii="Book Antiqua" w:hAnsi="Book Antiqua" w:cs="Times New Roman"/>
          <w:color w:val="auto"/>
          <w:sz w:val="24"/>
          <w:szCs w:val="24"/>
          <w:vertAlign w:val="superscript"/>
          <w:lang w:val="en-US"/>
        </w:rPr>
        <w:t>[2,</w:t>
      </w:r>
      <w:r w:rsidR="00FB2342" w:rsidRPr="0058034D">
        <w:rPr>
          <w:rFonts w:ascii="Book Antiqua" w:hAnsi="Book Antiqua" w:cs="Times New Roman"/>
          <w:color w:val="auto"/>
          <w:sz w:val="24"/>
          <w:szCs w:val="24"/>
          <w:vertAlign w:val="superscript"/>
          <w:lang w:val="en-US"/>
        </w:rPr>
        <w:t>3]</w:t>
      </w:r>
      <w:r w:rsidRPr="0058034D">
        <w:rPr>
          <w:rFonts w:ascii="Book Antiqua" w:hAnsi="Book Antiqua" w:cs="Times New Roman"/>
          <w:color w:val="auto"/>
          <w:sz w:val="24"/>
          <w:szCs w:val="24"/>
          <w:lang w:val="en-US"/>
        </w:rPr>
        <w:t xml:space="preserve">. In addition to high mortality, cirrhosis and its complications are the cause of many high-cost hospitalizations. One study in 2002 showed </w:t>
      </w:r>
      <w:r w:rsidR="00B91696" w:rsidRPr="0058034D">
        <w:rPr>
          <w:rFonts w:ascii="Book Antiqua" w:hAnsi="Book Antiqua" w:cs="Times New Roman"/>
          <w:color w:val="auto"/>
          <w:sz w:val="24"/>
          <w:szCs w:val="24"/>
          <w:lang w:val="en-US"/>
        </w:rPr>
        <w:t>that cirrhosis accounts for 150</w:t>
      </w:r>
      <w:r w:rsidRPr="0058034D">
        <w:rPr>
          <w:rFonts w:ascii="Book Antiqua" w:hAnsi="Book Antiqua" w:cs="Times New Roman"/>
          <w:color w:val="auto"/>
          <w:sz w:val="24"/>
          <w:szCs w:val="24"/>
          <w:lang w:val="en-US"/>
        </w:rPr>
        <w:t>000 hospitalizations in the US, with an estimated single</w:t>
      </w:r>
      <w:r w:rsidR="00B91696" w:rsidRPr="0058034D">
        <w:rPr>
          <w:rFonts w:ascii="Book Antiqua" w:hAnsi="Book Antiqua" w:cs="Times New Roman"/>
          <w:color w:val="auto"/>
          <w:sz w:val="24"/>
          <w:szCs w:val="24"/>
          <w:lang w:val="en-US"/>
        </w:rPr>
        <w:t xml:space="preserve"> hospital admission cost of $15</w:t>
      </w:r>
      <w:r w:rsidRPr="0058034D">
        <w:rPr>
          <w:rFonts w:ascii="Book Antiqua" w:hAnsi="Book Antiqua" w:cs="Times New Roman"/>
          <w:color w:val="auto"/>
          <w:sz w:val="24"/>
          <w:szCs w:val="24"/>
          <w:lang w:val="en-US"/>
        </w:rPr>
        <w:t>000 and a total estimated</w:t>
      </w:r>
      <w:r w:rsidR="00FB2342" w:rsidRPr="0058034D">
        <w:rPr>
          <w:rFonts w:ascii="Book Antiqua" w:hAnsi="Book Antiqua" w:cs="Times New Roman"/>
          <w:color w:val="auto"/>
          <w:sz w:val="24"/>
          <w:szCs w:val="24"/>
          <w:lang w:val="en-US"/>
        </w:rPr>
        <w:t xml:space="preserve"> cost of $4 billion annually</w:t>
      </w:r>
      <w:r w:rsidR="00FB2342" w:rsidRPr="0058034D">
        <w:rPr>
          <w:rFonts w:ascii="Book Antiqua" w:hAnsi="Book Antiqua" w:cs="Times New Roman"/>
          <w:color w:val="auto"/>
          <w:sz w:val="24"/>
          <w:szCs w:val="24"/>
          <w:vertAlign w:val="superscript"/>
          <w:lang w:val="en-US"/>
        </w:rPr>
        <w:t>[2]</w:t>
      </w:r>
      <w:r w:rsidRPr="0058034D">
        <w:rPr>
          <w:rFonts w:ascii="Book Antiqua" w:hAnsi="Book Antiqua" w:cs="Times New Roman"/>
          <w:color w:val="auto"/>
          <w:sz w:val="24"/>
          <w:szCs w:val="24"/>
          <w:lang w:val="en-US"/>
        </w:rPr>
        <w:t xml:space="preserve">. A more recent study found that 37% of patients with decompensated cirrhosis were readmitted </w:t>
      </w:r>
      <w:r w:rsidR="005D1FD7" w:rsidRPr="0058034D">
        <w:rPr>
          <w:rFonts w:ascii="Book Antiqua" w:hAnsi="Book Antiqua" w:cs="Times New Roman"/>
          <w:color w:val="auto"/>
          <w:sz w:val="24"/>
          <w:szCs w:val="24"/>
          <w:lang w:val="en-US"/>
        </w:rPr>
        <w:t>with</w:t>
      </w:r>
      <w:r w:rsidRPr="0058034D">
        <w:rPr>
          <w:rFonts w:ascii="Book Antiqua" w:hAnsi="Book Antiqua" w:cs="Times New Roman"/>
          <w:color w:val="auto"/>
          <w:sz w:val="24"/>
          <w:szCs w:val="24"/>
          <w:lang w:val="en-US"/>
        </w:rPr>
        <w:t>in one month of dis</w:t>
      </w:r>
      <w:r w:rsidR="00B91696" w:rsidRPr="0058034D">
        <w:rPr>
          <w:rFonts w:ascii="Book Antiqua" w:hAnsi="Book Antiqua" w:cs="Times New Roman"/>
          <w:color w:val="auto"/>
          <w:sz w:val="24"/>
          <w:szCs w:val="24"/>
          <w:lang w:val="en-US"/>
        </w:rPr>
        <w:t>charge at a cost of roughly $20</w:t>
      </w:r>
      <w:r w:rsidRPr="0058034D">
        <w:rPr>
          <w:rFonts w:ascii="Book Antiqua" w:hAnsi="Book Antiqua" w:cs="Times New Roman"/>
          <w:color w:val="auto"/>
          <w:sz w:val="24"/>
          <w:szCs w:val="24"/>
          <w:lang w:val="en-US"/>
        </w:rPr>
        <w:t>000 pe</w:t>
      </w:r>
      <w:r w:rsidR="00FB2342" w:rsidRPr="0058034D">
        <w:rPr>
          <w:rFonts w:ascii="Book Antiqua" w:hAnsi="Book Antiqua" w:cs="Times New Roman"/>
          <w:color w:val="auto"/>
          <w:sz w:val="24"/>
          <w:szCs w:val="24"/>
          <w:lang w:val="en-US"/>
        </w:rPr>
        <w:t>r admission</w:t>
      </w:r>
      <w:r w:rsidR="00FB2342" w:rsidRPr="0058034D">
        <w:rPr>
          <w:rFonts w:ascii="Book Antiqua" w:hAnsi="Book Antiqua" w:cs="Times New Roman"/>
          <w:color w:val="auto"/>
          <w:sz w:val="24"/>
          <w:szCs w:val="24"/>
          <w:vertAlign w:val="superscript"/>
          <w:lang w:val="en-US"/>
        </w:rPr>
        <w:t>[4]</w:t>
      </w:r>
      <w:r w:rsidRPr="0058034D">
        <w:rPr>
          <w:rFonts w:ascii="Book Antiqua" w:hAnsi="Book Antiqua" w:cs="Times New Roman"/>
          <w:color w:val="auto"/>
          <w:sz w:val="24"/>
          <w:szCs w:val="24"/>
          <w:lang w:val="en-US"/>
        </w:rPr>
        <w:t>. The additional burdens of disease, including lost days of work, diminished quality of life, and health care costs are difficult to measure.</w:t>
      </w:r>
    </w:p>
    <w:p w:rsidR="001A0975" w:rsidRPr="0058034D" w:rsidRDefault="005B3EAE" w:rsidP="00B91696">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In the</w:t>
      </w:r>
      <w:r w:rsidR="00A03D8F" w:rsidRPr="0058034D">
        <w:rPr>
          <w:rFonts w:ascii="Book Antiqua" w:hAnsi="Book Antiqua" w:cs="Times New Roman"/>
          <w:color w:val="auto"/>
          <w:sz w:val="24"/>
          <w:szCs w:val="24"/>
          <w:lang w:val="en-US"/>
        </w:rPr>
        <w:t xml:space="preserve"> current value-based </w:t>
      </w:r>
      <w:r w:rsidRPr="0058034D">
        <w:rPr>
          <w:rFonts w:ascii="Book Antiqua" w:hAnsi="Book Antiqua" w:cs="Times New Roman"/>
          <w:color w:val="auto"/>
          <w:sz w:val="24"/>
          <w:szCs w:val="24"/>
          <w:lang w:val="en-US"/>
        </w:rPr>
        <w:t>health</w:t>
      </w:r>
      <w:r w:rsidR="00A03D8F" w:rsidRPr="0058034D">
        <w:rPr>
          <w:rFonts w:ascii="Book Antiqua" w:hAnsi="Book Antiqua" w:cs="Times New Roman"/>
          <w:color w:val="auto"/>
          <w:sz w:val="24"/>
          <w:szCs w:val="24"/>
          <w:lang w:val="en-US"/>
        </w:rPr>
        <w:t>care</w:t>
      </w:r>
      <w:r w:rsidRPr="0058034D">
        <w:rPr>
          <w:rFonts w:ascii="Book Antiqua" w:hAnsi="Book Antiqua" w:cs="Times New Roman"/>
          <w:color w:val="auto"/>
          <w:sz w:val="24"/>
          <w:szCs w:val="24"/>
          <w:lang w:val="en-US"/>
        </w:rPr>
        <w:t xml:space="preserve"> landscape, hospitals will be increasingly held financially accountable for readmissions under value-based care programs. Moreover, no evidence-based systems have been developed to reduce readmission rates in most chronic disease conditions. Providers and health systems face challenges, as the current body of literature lacks data on effective chronic disease care management for cirrhosis, and our current episodic system of health care delivery is insufficient to tackle this issue. Factors associated with readmissions in decompensated cirrhosis in previous works include </w:t>
      </w:r>
      <w:r w:rsidR="00FB3B7B" w:rsidRPr="0058034D">
        <w:rPr>
          <w:rFonts w:ascii="Book Antiqua" w:hAnsi="Book Antiqua" w:cs="Times New Roman"/>
          <w:color w:val="auto"/>
          <w:sz w:val="24"/>
          <w:szCs w:val="24"/>
          <w:lang w:val="en-US"/>
        </w:rPr>
        <w:t xml:space="preserve">Model for End-Stage Liver Disease </w:t>
      </w:r>
      <w:r w:rsidR="00FB3B7B" w:rsidRPr="0058034D">
        <w:rPr>
          <w:rFonts w:ascii="Book Antiqua" w:eastAsiaTheme="minorEastAsia" w:hAnsi="Book Antiqua" w:cs="Times New Roman" w:hint="eastAsia"/>
          <w:color w:val="auto"/>
          <w:sz w:val="24"/>
          <w:szCs w:val="24"/>
          <w:lang w:val="en-US" w:eastAsia="zh-CN"/>
        </w:rPr>
        <w:t>(</w:t>
      </w:r>
      <w:r w:rsidRPr="0058034D">
        <w:rPr>
          <w:rFonts w:ascii="Book Antiqua" w:hAnsi="Book Antiqua" w:cs="Times New Roman"/>
          <w:color w:val="auto"/>
          <w:sz w:val="24"/>
          <w:szCs w:val="24"/>
          <w:lang w:val="en-US"/>
        </w:rPr>
        <w:t>MELD</w:t>
      </w:r>
      <w:r w:rsidR="00FB3B7B" w:rsidRPr="0058034D">
        <w:rPr>
          <w:rFonts w:ascii="Book Antiqua" w:eastAsiaTheme="minorEastAsia" w:hAnsi="Book Antiqua" w:cs="Times New Roman" w:hint="eastAsia"/>
          <w:color w:val="auto"/>
          <w:sz w:val="24"/>
          <w:szCs w:val="24"/>
          <w:lang w:val="en-US" w:eastAsia="zh-CN"/>
        </w:rPr>
        <w:t>)</w:t>
      </w:r>
      <w:r w:rsidRPr="0058034D">
        <w:rPr>
          <w:rFonts w:ascii="Book Antiqua" w:hAnsi="Book Antiqua" w:cs="Times New Roman"/>
          <w:color w:val="auto"/>
          <w:sz w:val="24"/>
          <w:szCs w:val="24"/>
          <w:lang w:val="en-US"/>
        </w:rPr>
        <w:t xml:space="preserve">, diabetes, nosocomial infections, </w:t>
      </w:r>
      <w:r w:rsidR="00FB2342" w:rsidRPr="0058034D">
        <w:rPr>
          <w:rFonts w:ascii="Book Antiqua" w:hAnsi="Book Antiqua" w:cs="Times New Roman"/>
          <w:color w:val="auto"/>
          <w:sz w:val="24"/>
          <w:szCs w:val="24"/>
          <w:lang w:val="en-US"/>
        </w:rPr>
        <w:t>BMI and hepatic encephalopat</w:t>
      </w:r>
      <w:r w:rsidR="00B91696" w:rsidRPr="0058034D">
        <w:rPr>
          <w:rFonts w:ascii="Book Antiqua" w:hAnsi="Book Antiqua" w:cs="Times New Roman"/>
          <w:color w:val="auto"/>
          <w:sz w:val="24"/>
          <w:szCs w:val="24"/>
          <w:lang w:val="en-US"/>
        </w:rPr>
        <w:t>hy</w:t>
      </w:r>
      <w:r w:rsidR="00FB2342" w:rsidRPr="0058034D">
        <w:rPr>
          <w:rFonts w:ascii="Book Antiqua" w:hAnsi="Book Antiqua" w:cs="Times New Roman"/>
          <w:color w:val="auto"/>
          <w:sz w:val="24"/>
          <w:szCs w:val="24"/>
          <w:vertAlign w:val="superscript"/>
          <w:lang w:val="en-US"/>
        </w:rPr>
        <w:t>[5-7]</w:t>
      </w:r>
      <w:r w:rsidR="00FB2342" w:rsidRPr="0058034D">
        <w:rPr>
          <w:rFonts w:ascii="Book Antiqua" w:hAnsi="Book Antiqua" w:cs="Times New Roman"/>
          <w:color w:val="auto"/>
          <w:sz w:val="24"/>
          <w:szCs w:val="24"/>
          <w:lang w:val="en-US"/>
        </w:rPr>
        <w:t>.</w:t>
      </w:r>
    </w:p>
    <w:p w:rsidR="001A0975" w:rsidRPr="0058034D" w:rsidRDefault="005B3EAE" w:rsidP="00B91696">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Our institution has sought to improve the continuity of care for high-risk patients through post-discharge phone calls, as well as through care management programs for chronic conditions such as heart disease and diabetes. We hope to extend such programs to patients with cirrhosis to improve clinical ou</w:t>
      </w:r>
      <w:r w:rsidR="00FB2342" w:rsidRPr="0058034D">
        <w:rPr>
          <w:rFonts w:ascii="Book Antiqua" w:hAnsi="Book Antiqua" w:cs="Times New Roman"/>
          <w:color w:val="auto"/>
          <w:sz w:val="24"/>
          <w:szCs w:val="24"/>
          <w:lang w:val="en-US"/>
        </w:rPr>
        <w:t>tcomes and reduce readmissions</w:t>
      </w:r>
      <w:r w:rsidR="00FB2342" w:rsidRPr="0058034D">
        <w:rPr>
          <w:rFonts w:ascii="Book Antiqua" w:hAnsi="Book Antiqua" w:cs="Times New Roman"/>
          <w:color w:val="auto"/>
          <w:sz w:val="24"/>
          <w:szCs w:val="24"/>
          <w:vertAlign w:val="superscript"/>
          <w:lang w:val="en-US"/>
        </w:rPr>
        <w:t>[8]</w:t>
      </w:r>
      <w:r w:rsidRPr="0058034D">
        <w:rPr>
          <w:rFonts w:ascii="Book Antiqua" w:hAnsi="Book Antiqua" w:cs="Times New Roman"/>
          <w:color w:val="auto"/>
          <w:sz w:val="24"/>
          <w:szCs w:val="24"/>
          <w:lang w:val="en-US"/>
        </w:rPr>
        <w:t xml:space="preserve">. We performed this study to better understand and define the predictors of readmission, as well as time to first readmission, in a cohort of patients with </w:t>
      </w:r>
      <w:r w:rsidRPr="0058034D">
        <w:rPr>
          <w:rFonts w:ascii="Book Antiqua" w:hAnsi="Book Antiqua" w:cs="Times New Roman"/>
          <w:color w:val="auto"/>
          <w:sz w:val="24"/>
          <w:szCs w:val="24"/>
          <w:lang w:val="en-US"/>
        </w:rPr>
        <w:lastRenderedPageBreak/>
        <w:t>decompensated cirrhosis, to better target future programs aimed at reducing readmissions and improving patient outcomes.</w:t>
      </w:r>
    </w:p>
    <w:p w:rsidR="00480596" w:rsidRPr="0058034D" w:rsidRDefault="00480596" w:rsidP="001D73C6">
      <w:pPr>
        <w:pStyle w:val="Body"/>
        <w:adjustRightInd w:val="0"/>
        <w:snapToGrid w:val="0"/>
        <w:spacing w:after="0" w:line="360" w:lineRule="auto"/>
        <w:jc w:val="both"/>
        <w:rPr>
          <w:rFonts w:ascii="Book Antiqua" w:hAnsi="Book Antiqua" w:cs="Times New Roman"/>
          <w:color w:val="auto"/>
          <w:sz w:val="24"/>
          <w:szCs w:val="24"/>
        </w:rPr>
      </w:pPr>
    </w:p>
    <w:p w:rsidR="001A0975" w:rsidRPr="0058034D" w:rsidRDefault="00B91696"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b/>
          <w:bCs/>
          <w:color w:val="auto"/>
          <w:sz w:val="24"/>
          <w:szCs w:val="24"/>
          <w:lang w:val="en-US"/>
        </w:rPr>
        <w:t>MATERIALS AND METHODS</w:t>
      </w:r>
    </w:p>
    <w:p w:rsidR="001A0975" w:rsidRPr="0058034D" w:rsidRDefault="005B3EAE" w:rsidP="001D73C6">
      <w:pPr>
        <w:pStyle w:val="Body"/>
        <w:adjustRightInd w:val="0"/>
        <w:snapToGrid w:val="0"/>
        <w:spacing w:after="0" w:line="360" w:lineRule="auto"/>
        <w:jc w:val="both"/>
        <w:rPr>
          <w:rFonts w:ascii="Book Antiqua" w:eastAsia="Times New Roman" w:hAnsi="Book Antiqua" w:cs="Times New Roman"/>
          <w:b/>
          <w:i/>
          <w:iCs/>
          <w:color w:val="auto"/>
          <w:sz w:val="24"/>
          <w:szCs w:val="24"/>
        </w:rPr>
      </w:pPr>
      <w:r w:rsidRPr="0058034D">
        <w:rPr>
          <w:rFonts w:ascii="Book Antiqua" w:hAnsi="Book Antiqua" w:cs="Times New Roman"/>
          <w:b/>
          <w:i/>
          <w:iCs/>
          <w:color w:val="auto"/>
          <w:sz w:val="24"/>
          <w:szCs w:val="24"/>
          <w:lang w:val="en-US"/>
        </w:rPr>
        <w:t xml:space="preserve">Selection of </w:t>
      </w:r>
      <w:r w:rsidR="00B91696" w:rsidRPr="0058034D">
        <w:rPr>
          <w:rFonts w:ascii="Book Antiqua" w:hAnsi="Book Antiqua" w:cs="Times New Roman"/>
          <w:b/>
          <w:i/>
          <w:iCs/>
          <w:color w:val="auto"/>
          <w:sz w:val="24"/>
          <w:szCs w:val="24"/>
          <w:lang w:val="en-US"/>
        </w:rPr>
        <w:t>cohort</w:t>
      </w:r>
    </w:p>
    <w:p w:rsidR="001A0975" w:rsidRPr="0058034D" w:rsidRDefault="005B3EAE" w:rsidP="001D73C6">
      <w:pPr>
        <w:pStyle w:val="Body"/>
        <w:adjustRightInd w:val="0"/>
        <w:snapToGrid w:val="0"/>
        <w:spacing w:after="0" w:line="360" w:lineRule="auto"/>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 xml:space="preserve">We utilized an internal research patient data registry (RPDR), which is a database consisting of 1 billion records encompassing 4.5 million patients from 1988 to the present, to identify our cohort. Data come from multiple sources within 5 major Boston area hospitals, including billing registries and electronic medical records, and contain patient encounters, laboratory test results, imaging, and other clinical data. We searched this database to identify potential subjects by any of the International Classification of Diseases 9 (ICD-9) diagnosis groups or common procedure terminology codes associated with cirrhosis and complications of cirrhosis (Table 1). </w:t>
      </w:r>
    </w:p>
    <w:p w:rsidR="001A0975" w:rsidRPr="0058034D" w:rsidRDefault="005B3EAE" w:rsidP="00B91696">
      <w:pPr>
        <w:pStyle w:val="Body"/>
        <w:adjustRightInd w:val="0"/>
        <w:snapToGrid w:val="0"/>
        <w:spacing w:after="0" w:line="360" w:lineRule="auto"/>
        <w:ind w:firstLineChars="100" w:firstLine="240"/>
        <w:jc w:val="both"/>
        <w:rPr>
          <w:rFonts w:ascii="Book Antiqua" w:eastAsiaTheme="minorEastAsia" w:hAnsi="Book Antiqua" w:cs="Times New Roman"/>
          <w:color w:val="auto"/>
          <w:sz w:val="24"/>
          <w:szCs w:val="24"/>
          <w:lang w:eastAsia="zh-CN"/>
        </w:rPr>
      </w:pPr>
      <w:r w:rsidRPr="0058034D">
        <w:rPr>
          <w:rFonts w:ascii="Book Antiqua" w:hAnsi="Book Antiqua" w:cs="Times New Roman"/>
          <w:color w:val="auto"/>
          <w:sz w:val="24"/>
          <w:szCs w:val="24"/>
          <w:lang w:val="en-US"/>
        </w:rPr>
        <w:t>Patients over the age of 18 who were hospitalized due to one of the complications of cirrhosis between January 1, 2011 - December 31, 2013 were included in the initial study cohort. Complications of cirrhosis from Table 1 were grouped into the following categories for analysis:</w:t>
      </w:r>
      <w:r w:rsidR="00B91696" w:rsidRPr="0058034D">
        <w:rPr>
          <w:rFonts w:ascii="Book Antiqua" w:eastAsiaTheme="minorEastAsia" w:hAnsi="Book Antiqua" w:cs="Times New Roman" w:hint="eastAsia"/>
          <w:color w:val="auto"/>
          <w:sz w:val="24"/>
          <w:szCs w:val="24"/>
          <w:lang w:val="en-US" w:eastAsia="zh-CN"/>
        </w:rPr>
        <w:t xml:space="preserve"> (1) </w:t>
      </w:r>
      <w:r w:rsidRPr="0058034D">
        <w:rPr>
          <w:rFonts w:ascii="Book Antiqua" w:hAnsi="Book Antiqua" w:cs="Times New Roman"/>
          <w:color w:val="auto"/>
          <w:sz w:val="24"/>
          <w:szCs w:val="24"/>
        </w:rPr>
        <w:t>Hepatic encephalopathy (HE), defined as altered mental status due to chronic liver disease and improved after treatment with lactulose</w:t>
      </w:r>
      <w:r w:rsidR="00B91696" w:rsidRPr="0058034D">
        <w:rPr>
          <w:rFonts w:ascii="Book Antiqua" w:eastAsiaTheme="minorEastAsia" w:hAnsi="Book Antiqua" w:cs="Times New Roman" w:hint="eastAsia"/>
          <w:color w:val="auto"/>
          <w:sz w:val="24"/>
          <w:szCs w:val="24"/>
          <w:lang w:eastAsia="zh-CN"/>
        </w:rPr>
        <w:t xml:space="preserve">; (2) </w:t>
      </w:r>
      <w:r w:rsidRPr="0058034D">
        <w:rPr>
          <w:rFonts w:ascii="Book Antiqua" w:hAnsi="Book Antiqua" w:cs="Times New Roman"/>
          <w:color w:val="auto"/>
          <w:sz w:val="24"/>
          <w:szCs w:val="24"/>
        </w:rPr>
        <w:t>Gastrointestinal bleeding (GIB), defined as a clinically significant bleeding and varices, gastric antral vascular ectasia and portal hypertensiv</w:t>
      </w:r>
      <w:r w:rsidR="00B91696" w:rsidRPr="0058034D">
        <w:rPr>
          <w:rFonts w:ascii="Book Antiqua" w:hAnsi="Book Antiqua" w:cs="Times New Roman"/>
          <w:color w:val="auto"/>
          <w:sz w:val="24"/>
          <w:szCs w:val="24"/>
        </w:rPr>
        <w:t>e gastropathy seen on endoscopy </w:t>
      </w:r>
      <w:r w:rsidR="00B91696" w:rsidRPr="0058034D">
        <w:rPr>
          <w:rFonts w:ascii="Book Antiqua" w:eastAsiaTheme="minorEastAsia" w:hAnsi="Book Antiqua" w:cs="Times New Roman" w:hint="eastAsia"/>
          <w:color w:val="auto"/>
          <w:sz w:val="24"/>
          <w:szCs w:val="24"/>
          <w:lang w:eastAsia="zh-CN"/>
        </w:rPr>
        <w:t xml:space="preserve">; (3) </w:t>
      </w:r>
      <w:r w:rsidRPr="0058034D">
        <w:rPr>
          <w:rFonts w:ascii="Book Antiqua" w:hAnsi="Book Antiqua" w:cs="Times New Roman"/>
          <w:color w:val="auto"/>
          <w:sz w:val="24"/>
          <w:szCs w:val="24"/>
        </w:rPr>
        <w:t>Spontaneous bacterial peritonitis (SBP), defined as infection of preexisting ascitic fluid and more than 250 polymorphonuclear cells per high power field and/or monomicrobial culture in the ascitic fluid without evidence for an intra-abdominal secondary source such as a perfor</w:t>
      </w:r>
      <w:r w:rsidR="00B91696" w:rsidRPr="0058034D">
        <w:rPr>
          <w:rFonts w:ascii="Book Antiqua" w:hAnsi="Book Antiqua" w:cs="Times New Roman"/>
          <w:color w:val="auto"/>
          <w:sz w:val="24"/>
          <w:szCs w:val="24"/>
        </w:rPr>
        <w:t>ated viscus </w:t>
      </w:r>
      <w:r w:rsidR="00B91696" w:rsidRPr="0058034D">
        <w:rPr>
          <w:rFonts w:ascii="Book Antiqua" w:eastAsiaTheme="minorEastAsia" w:hAnsi="Book Antiqua" w:cs="Times New Roman" w:hint="eastAsia"/>
          <w:color w:val="auto"/>
          <w:sz w:val="24"/>
          <w:szCs w:val="24"/>
          <w:lang w:eastAsia="zh-CN"/>
        </w:rPr>
        <w:t>;</w:t>
      </w:r>
      <w:r w:rsidR="009322B0" w:rsidRPr="0058034D">
        <w:rPr>
          <w:rFonts w:ascii="Book Antiqua" w:eastAsiaTheme="minorEastAsia" w:hAnsi="Book Antiqua" w:cs="Times New Roman" w:hint="eastAsia"/>
          <w:color w:val="auto"/>
          <w:sz w:val="24"/>
          <w:szCs w:val="24"/>
          <w:lang w:eastAsia="zh-CN"/>
        </w:rPr>
        <w:t xml:space="preserve"> </w:t>
      </w:r>
      <w:r w:rsidR="00B91696" w:rsidRPr="0058034D">
        <w:rPr>
          <w:rFonts w:ascii="Book Antiqua" w:eastAsiaTheme="minorEastAsia" w:hAnsi="Book Antiqua" w:cs="Times New Roman" w:hint="eastAsia"/>
          <w:color w:val="auto"/>
          <w:sz w:val="24"/>
          <w:szCs w:val="24"/>
          <w:lang w:eastAsia="zh-CN"/>
        </w:rPr>
        <w:t xml:space="preserve">(4) </w:t>
      </w:r>
      <w:r w:rsidRPr="0058034D">
        <w:rPr>
          <w:rFonts w:ascii="Book Antiqua" w:hAnsi="Book Antiqua" w:cs="Times New Roman"/>
          <w:color w:val="auto"/>
          <w:sz w:val="24"/>
          <w:szCs w:val="24"/>
        </w:rPr>
        <w:t>Volume related, defined as ascites or hepatic hydrothorax requiring paracentesis during the hospitalization. Acute renal failure or hyponatremia was also included in this category</w:t>
      </w:r>
      <w:r w:rsidR="00B91696" w:rsidRPr="0058034D">
        <w:rPr>
          <w:rFonts w:ascii="Book Antiqua" w:eastAsiaTheme="minorEastAsia" w:hAnsi="Book Antiqua" w:cs="Times New Roman" w:hint="eastAsia"/>
          <w:color w:val="auto"/>
          <w:sz w:val="24"/>
          <w:szCs w:val="24"/>
          <w:lang w:eastAsia="zh-CN"/>
        </w:rPr>
        <w:t xml:space="preserve">; and (5) </w:t>
      </w:r>
      <w:r w:rsidRPr="0058034D">
        <w:rPr>
          <w:rFonts w:ascii="Book Antiqua" w:hAnsi="Book Antiqua" w:cs="Times New Roman"/>
          <w:color w:val="auto"/>
          <w:sz w:val="24"/>
          <w:szCs w:val="24"/>
        </w:rPr>
        <w:t>Other complications defined as hepatorenal syndrome, hepatopulmonary syndrome, hepatocellular carcinoma (HCC) and portal vein thrombosis</w:t>
      </w:r>
      <w:r w:rsidR="00B91696" w:rsidRPr="0058034D">
        <w:rPr>
          <w:rFonts w:ascii="Book Antiqua" w:eastAsiaTheme="minorEastAsia" w:hAnsi="Book Antiqua" w:cs="Times New Roman" w:hint="eastAsia"/>
          <w:color w:val="auto"/>
          <w:sz w:val="24"/>
          <w:szCs w:val="24"/>
          <w:lang w:eastAsia="zh-CN"/>
        </w:rPr>
        <w:t>.</w:t>
      </w:r>
      <w:r w:rsidRPr="0058034D">
        <w:rPr>
          <w:rFonts w:ascii="Book Antiqua" w:hAnsi="Book Antiqua" w:cs="Times New Roman"/>
          <w:color w:val="auto"/>
          <w:sz w:val="24"/>
          <w:szCs w:val="24"/>
        </w:rPr>
        <w:t xml:space="preserve"> </w:t>
      </w:r>
    </w:p>
    <w:p w:rsidR="001A0975" w:rsidRPr="0058034D" w:rsidRDefault="005B3EAE" w:rsidP="001D73C6">
      <w:pPr>
        <w:pStyle w:val="Body"/>
        <w:adjustRightInd w:val="0"/>
        <w:snapToGrid w:val="0"/>
        <w:spacing w:after="0" w:line="360" w:lineRule="auto"/>
        <w:ind w:firstLine="36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lastRenderedPageBreak/>
        <w:t>Emergency Department (ED) visits or hospitalizations due to any diagnosis other than complications of cirrhosis were not considered as a readmission. We did not include alcohol-related admissions, such as alcohol withdrawal, as admissions due to complications of cirrhosis. Also, in our institution many patients receive regular large volume paracentesis for ascites in ED visits. These brief encounters were not considered an elective readmission due to decompensation.</w:t>
      </w:r>
    </w:p>
    <w:p w:rsidR="001A0975" w:rsidRPr="0058034D" w:rsidRDefault="005B3EAE" w:rsidP="001D73C6">
      <w:pPr>
        <w:pStyle w:val="Body"/>
        <w:adjustRightInd w:val="0"/>
        <w:snapToGrid w:val="0"/>
        <w:spacing w:after="0" w:line="360" w:lineRule="auto"/>
        <w:ind w:firstLine="36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 xml:space="preserve">Exclusion criteria were advanced extrahepatic malignancy, end stage renal failure, end stage heart failure, patients with prior liver transplant, patients who had no further encounters within our health care system, and patients who died or were placed on hospice within one month from the index hospitalization. </w:t>
      </w:r>
    </w:p>
    <w:p w:rsidR="001A0975" w:rsidRPr="0058034D" w:rsidRDefault="001A0975" w:rsidP="001D73C6">
      <w:pPr>
        <w:pStyle w:val="Body"/>
        <w:adjustRightInd w:val="0"/>
        <w:snapToGrid w:val="0"/>
        <w:spacing w:after="0" w:line="360" w:lineRule="auto"/>
        <w:jc w:val="both"/>
        <w:rPr>
          <w:rFonts w:ascii="Book Antiqua" w:eastAsia="Times New Roman" w:hAnsi="Book Antiqua" w:cs="Times New Roman"/>
          <w:i/>
          <w:iCs/>
          <w:color w:val="auto"/>
          <w:sz w:val="24"/>
          <w:szCs w:val="24"/>
        </w:rPr>
      </w:pPr>
    </w:p>
    <w:p w:rsidR="001A0975" w:rsidRPr="0058034D" w:rsidRDefault="005B3EAE" w:rsidP="001D73C6">
      <w:pPr>
        <w:pStyle w:val="Body"/>
        <w:adjustRightInd w:val="0"/>
        <w:snapToGrid w:val="0"/>
        <w:spacing w:after="0" w:line="360" w:lineRule="auto"/>
        <w:jc w:val="both"/>
        <w:rPr>
          <w:rFonts w:ascii="Book Antiqua" w:eastAsia="Times New Roman" w:hAnsi="Book Antiqua" w:cs="Times New Roman"/>
          <w:b/>
          <w:i/>
          <w:iCs/>
          <w:color w:val="auto"/>
          <w:sz w:val="24"/>
          <w:szCs w:val="24"/>
        </w:rPr>
      </w:pPr>
      <w:r w:rsidRPr="0058034D">
        <w:rPr>
          <w:rFonts w:ascii="Book Antiqua" w:hAnsi="Book Antiqua" w:cs="Times New Roman"/>
          <w:b/>
          <w:i/>
          <w:iCs/>
          <w:color w:val="auto"/>
          <w:sz w:val="24"/>
          <w:szCs w:val="24"/>
          <w:lang w:val="en-US"/>
        </w:rPr>
        <w:t xml:space="preserve">Institutional </w:t>
      </w:r>
      <w:r w:rsidR="00B91696" w:rsidRPr="0058034D">
        <w:rPr>
          <w:rFonts w:ascii="Book Antiqua" w:hAnsi="Book Antiqua" w:cs="Times New Roman"/>
          <w:b/>
          <w:i/>
          <w:iCs/>
          <w:color w:val="auto"/>
          <w:sz w:val="24"/>
          <w:szCs w:val="24"/>
          <w:lang w:val="en-US"/>
        </w:rPr>
        <w:t>structure</w:t>
      </w:r>
    </w:p>
    <w:p w:rsidR="001A0975" w:rsidRPr="0058034D" w:rsidRDefault="005B3EAE" w:rsidP="001D73C6">
      <w:pPr>
        <w:pStyle w:val="Body"/>
        <w:adjustRightInd w:val="0"/>
        <w:snapToGrid w:val="0"/>
        <w:spacing w:after="0" w:line="360" w:lineRule="auto"/>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This study was conducted at a single academic transplant center. Our outpatient liver program includes 7 hepatologists</w:t>
      </w:r>
      <w:r w:rsidR="004273C2" w:rsidRPr="0058034D">
        <w:rPr>
          <w:rFonts w:ascii="Book Antiqua" w:hAnsi="Book Antiqua" w:cs="Times New Roman"/>
          <w:color w:val="auto"/>
          <w:sz w:val="24"/>
          <w:szCs w:val="24"/>
          <w:lang w:val="en-US"/>
        </w:rPr>
        <w:t>,</w:t>
      </w:r>
      <w:r w:rsidRPr="0058034D">
        <w:rPr>
          <w:rFonts w:ascii="Book Antiqua" w:hAnsi="Book Antiqua" w:cs="Times New Roman"/>
          <w:color w:val="auto"/>
          <w:sz w:val="24"/>
          <w:szCs w:val="24"/>
          <w:lang w:val="en-US"/>
        </w:rPr>
        <w:t xml:space="preserve"> 31 gastroenterologists not specifically trained in hepatology</w:t>
      </w:r>
      <w:r w:rsidR="004273C2" w:rsidRPr="0058034D">
        <w:rPr>
          <w:rFonts w:ascii="Book Antiqua" w:hAnsi="Book Antiqua" w:cs="Times New Roman"/>
          <w:color w:val="auto"/>
          <w:sz w:val="24"/>
          <w:szCs w:val="24"/>
          <w:lang w:val="en-US"/>
        </w:rPr>
        <w:t>,</w:t>
      </w:r>
      <w:r w:rsidRPr="0058034D">
        <w:rPr>
          <w:rFonts w:ascii="Book Antiqua" w:hAnsi="Book Antiqua" w:cs="Times New Roman"/>
          <w:color w:val="auto"/>
          <w:sz w:val="24"/>
          <w:szCs w:val="24"/>
          <w:lang w:val="en-US"/>
        </w:rPr>
        <w:t xml:space="preserve"> and 2 nurse practitioners, as well as an advanced liver fellow. I</w:t>
      </w:r>
      <w:r w:rsidRPr="0058034D">
        <w:rPr>
          <w:rFonts w:ascii="Book Antiqua" w:hAnsi="Book Antiqua" w:cs="Times New Roman"/>
          <w:color w:val="auto"/>
          <w:sz w:val="24"/>
          <w:szCs w:val="24"/>
          <w:lang w:val="nl-NL"/>
        </w:rPr>
        <w:t>npatient</w:t>
      </w:r>
      <w:r w:rsidRPr="0058034D">
        <w:rPr>
          <w:rFonts w:ascii="Book Antiqua" w:hAnsi="Book Antiqua" w:cs="Times New Roman"/>
          <w:color w:val="auto"/>
          <w:sz w:val="24"/>
          <w:szCs w:val="24"/>
          <w:lang w:val="en-US"/>
        </w:rPr>
        <w:t xml:space="preserve">s patients with liver disease can be admitted to our dedicated liver service but are most often admitted to a general medicine hospitalist service with hepatology or gastroenterology consultation. A majority of our patients are local and live within an hour’s drive or less from the hospital, though patients on the transplant list may come from other parts of New England, such as Maine and New Hampshire, and are seen more regularly as outpatients by local </w:t>
      </w:r>
      <w:r w:rsidR="00FB3B7B" w:rsidRPr="0058034D">
        <w:rPr>
          <w:rFonts w:ascii="Book Antiqua" w:hAnsi="Book Antiqua" w:cs="Times New Roman"/>
          <w:color w:val="auto"/>
          <w:sz w:val="24"/>
          <w:szCs w:val="24"/>
          <w:lang w:val="en-US"/>
        </w:rPr>
        <w:t>primary care physician</w:t>
      </w:r>
      <w:r w:rsidR="00FB3B7B" w:rsidRPr="0058034D">
        <w:rPr>
          <w:rFonts w:ascii="Book Antiqua" w:eastAsiaTheme="minorEastAsia" w:hAnsi="Book Antiqua" w:cs="Times New Roman" w:hint="eastAsia"/>
          <w:color w:val="auto"/>
          <w:sz w:val="24"/>
          <w:szCs w:val="24"/>
          <w:lang w:val="en-US" w:eastAsia="zh-CN"/>
        </w:rPr>
        <w:t>s</w:t>
      </w:r>
      <w:r w:rsidR="00FB3B7B" w:rsidRPr="0058034D">
        <w:rPr>
          <w:rFonts w:ascii="Book Antiqua" w:hAnsi="Book Antiqua" w:cs="Times New Roman"/>
          <w:color w:val="auto"/>
          <w:sz w:val="24"/>
          <w:szCs w:val="24"/>
          <w:lang w:val="en-US"/>
        </w:rPr>
        <w:t xml:space="preserve"> (PCP</w:t>
      </w:r>
      <w:r w:rsidR="00FB3B7B" w:rsidRPr="0058034D">
        <w:rPr>
          <w:rFonts w:ascii="Book Antiqua" w:eastAsiaTheme="minorEastAsia" w:hAnsi="Book Antiqua" w:cs="Times New Roman" w:hint="eastAsia"/>
          <w:color w:val="auto"/>
          <w:sz w:val="24"/>
          <w:szCs w:val="24"/>
          <w:lang w:val="en-US" w:eastAsia="zh-CN"/>
        </w:rPr>
        <w:t>s</w:t>
      </w:r>
      <w:r w:rsidR="00FB3B7B" w:rsidRPr="0058034D">
        <w:rPr>
          <w:rFonts w:ascii="Book Antiqua" w:hAnsi="Book Antiqua" w:cs="Times New Roman"/>
          <w:color w:val="auto"/>
          <w:sz w:val="24"/>
          <w:szCs w:val="24"/>
          <w:lang w:val="en-US"/>
        </w:rPr>
        <w:t>)</w:t>
      </w:r>
      <w:r w:rsidR="00FB3B7B"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and gastroenterologists.</w:t>
      </w:r>
    </w:p>
    <w:p w:rsidR="001A0975" w:rsidRPr="0058034D" w:rsidRDefault="001A0975" w:rsidP="001D73C6">
      <w:pPr>
        <w:pStyle w:val="Body"/>
        <w:adjustRightInd w:val="0"/>
        <w:snapToGrid w:val="0"/>
        <w:spacing w:after="0" w:line="360" w:lineRule="auto"/>
        <w:jc w:val="both"/>
        <w:rPr>
          <w:rFonts w:ascii="Book Antiqua" w:eastAsia="Times New Roman" w:hAnsi="Book Antiqua" w:cs="Times New Roman"/>
          <w:color w:val="auto"/>
          <w:sz w:val="24"/>
          <w:szCs w:val="24"/>
        </w:rPr>
      </w:pPr>
    </w:p>
    <w:p w:rsidR="001A0975" w:rsidRPr="0058034D" w:rsidRDefault="005B3EAE" w:rsidP="001D73C6">
      <w:pPr>
        <w:pStyle w:val="Body"/>
        <w:adjustRightInd w:val="0"/>
        <w:snapToGrid w:val="0"/>
        <w:spacing w:after="0" w:line="360" w:lineRule="auto"/>
        <w:jc w:val="both"/>
        <w:rPr>
          <w:rFonts w:ascii="Book Antiqua" w:eastAsia="Times New Roman" w:hAnsi="Book Antiqua" w:cs="Times New Roman"/>
          <w:b/>
          <w:i/>
          <w:iCs/>
          <w:color w:val="auto"/>
          <w:sz w:val="24"/>
          <w:szCs w:val="24"/>
        </w:rPr>
      </w:pPr>
      <w:r w:rsidRPr="0058034D">
        <w:rPr>
          <w:rFonts w:ascii="Book Antiqua" w:hAnsi="Book Antiqua" w:cs="Times New Roman"/>
          <w:b/>
          <w:i/>
          <w:iCs/>
          <w:color w:val="auto"/>
          <w:sz w:val="24"/>
          <w:szCs w:val="24"/>
          <w:lang w:val="en-US"/>
        </w:rPr>
        <w:t xml:space="preserve">Collection of </w:t>
      </w:r>
      <w:r w:rsidR="00B91696" w:rsidRPr="0058034D">
        <w:rPr>
          <w:rFonts w:ascii="Book Antiqua" w:hAnsi="Book Antiqua" w:cs="Times New Roman"/>
          <w:b/>
          <w:i/>
          <w:iCs/>
          <w:color w:val="auto"/>
          <w:sz w:val="24"/>
          <w:szCs w:val="24"/>
          <w:lang w:val="en-US"/>
        </w:rPr>
        <w:t>baseline data</w:t>
      </w:r>
    </w:p>
    <w:p w:rsidR="001A0975" w:rsidRPr="0058034D" w:rsidRDefault="005B3EAE" w:rsidP="001D73C6">
      <w:pPr>
        <w:pStyle w:val="Body"/>
        <w:adjustRightInd w:val="0"/>
        <w:snapToGrid w:val="0"/>
        <w:spacing w:after="0" w:line="360" w:lineRule="auto"/>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 xml:space="preserve">Medical records for patients meeting the above inclusion criteria were individually reviewed. Baseline variables collected from chart review and RPDR data included age, gender, race, education, health insurance, marital status, </w:t>
      </w:r>
      <w:r w:rsidR="00FB3B7B" w:rsidRPr="0058034D">
        <w:rPr>
          <w:rFonts w:ascii="Book Antiqua" w:hAnsi="Book Antiqua" w:cs="Times New Roman"/>
          <w:color w:val="auto"/>
          <w:sz w:val="24"/>
          <w:szCs w:val="24"/>
          <w:lang w:val="en-US"/>
        </w:rPr>
        <w:t>MELD</w:t>
      </w:r>
      <w:r w:rsidRPr="0058034D">
        <w:rPr>
          <w:rFonts w:ascii="Book Antiqua" w:hAnsi="Book Antiqua" w:cs="Times New Roman"/>
          <w:color w:val="auto"/>
          <w:sz w:val="24"/>
          <w:szCs w:val="24"/>
          <w:lang w:val="en-US"/>
        </w:rPr>
        <w:t xml:space="preserve"> scores, laboratory test results, co-morbidities, medications, date of index and subsequent admissions, date of follow-up visits by a </w:t>
      </w:r>
      <w:r w:rsidR="00FB3B7B" w:rsidRPr="0058034D">
        <w:rPr>
          <w:rFonts w:ascii="Book Antiqua" w:hAnsi="Book Antiqua" w:cs="Times New Roman"/>
          <w:color w:val="auto"/>
          <w:sz w:val="24"/>
          <w:szCs w:val="24"/>
          <w:lang w:val="en-US"/>
        </w:rPr>
        <w:t>PCP</w:t>
      </w:r>
      <w:r w:rsidRPr="0058034D">
        <w:rPr>
          <w:rFonts w:ascii="Book Antiqua" w:hAnsi="Book Antiqua" w:cs="Times New Roman"/>
          <w:color w:val="auto"/>
          <w:sz w:val="24"/>
          <w:szCs w:val="24"/>
          <w:lang w:val="en-US"/>
        </w:rPr>
        <w:t xml:space="preserve"> or a gastroenterologist, post-discharge setting, smoking </w:t>
      </w:r>
      <w:r w:rsidRPr="0058034D">
        <w:rPr>
          <w:rFonts w:ascii="Book Antiqua" w:hAnsi="Book Antiqua" w:cs="Times New Roman"/>
          <w:color w:val="auto"/>
          <w:sz w:val="24"/>
          <w:szCs w:val="24"/>
          <w:lang w:val="en-US"/>
        </w:rPr>
        <w:lastRenderedPageBreak/>
        <w:t>history and alcohol use. Admission and discharge MELD scores were calculated based on Mayo Clinic MELD calculator, using creatinine, total bilirubin, and international normalized ratio (INR) extracted closest to the admission an</w:t>
      </w:r>
      <w:r w:rsidR="00FB2342" w:rsidRPr="0058034D">
        <w:rPr>
          <w:rFonts w:ascii="Book Antiqua" w:hAnsi="Book Antiqua" w:cs="Times New Roman"/>
          <w:color w:val="auto"/>
          <w:sz w:val="24"/>
          <w:szCs w:val="24"/>
          <w:lang w:val="en-US"/>
        </w:rPr>
        <w:t>d discharge time, respectively</w:t>
      </w:r>
      <w:r w:rsidR="00FB2342" w:rsidRPr="0058034D">
        <w:rPr>
          <w:rFonts w:ascii="Book Antiqua" w:hAnsi="Book Antiqua" w:cs="Times New Roman"/>
          <w:color w:val="auto"/>
          <w:sz w:val="24"/>
          <w:szCs w:val="24"/>
          <w:vertAlign w:val="superscript"/>
          <w:lang w:val="en-US"/>
        </w:rPr>
        <w:t>[9]</w:t>
      </w:r>
      <w:r w:rsidRPr="0058034D">
        <w:rPr>
          <w:rFonts w:ascii="Book Antiqua" w:hAnsi="Book Antiqua" w:cs="Times New Roman"/>
          <w:color w:val="auto"/>
          <w:sz w:val="24"/>
          <w:szCs w:val="24"/>
          <w:lang w:val="en-US"/>
        </w:rPr>
        <w:t>. The Charlson Co-morbidity Index (CCI) was also calculated for e</w:t>
      </w:r>
      <w:r w:rsidR="00FB2342" w:rsidRPr="0058034D">
        <w:rPr>
          <w:rFonts w:ascii="Book Antiqua" w:hAnsi="Book Antiqua" w:cs="Times New Roman"/>
          <w:color w:val="auto"/>
          <w:sz w:val="24"/>
          <w:szCs w:val="24"/>
          <w:lang w:val="en-US"/>
        </w:rPr>
        <w:t>ach patient at index admission</w:t>
      </w:r>
      <w:r w:rsidR="00FB2342" w:rsidRPr="0058034D">
        <w:rPr>
          <w:rFonts w:ascii="Book Antiqua" w:hAnsi="Book Antiqua" w:cs="Times New Roman"/>
          <w:color w:val="auto"/>
          <w:sz w:val="24"/>
          <w:szCs w:val="24"/>
          <w:vertAlign w:val="superscript"/>
          <w:lang w:val="en-US"/>
        </w:rPr>
        <w:t>[10]</w:t>
      </w:r>
      <w:r w:rsidRPr="0058034D">
        <w:rPr>
          <w:rFonts w:ascii="Book Antiqua" w:hAnsi="Book Antiqua" w:cs="Times New Roman"/>
          <w:color w:val="auto"/>
          <w:sz w:val="24"/>
          <w:szCs w:val="24"/>
          <w:lang w:val="en-US"/>
        </w:rPr>
        <w:t xml:space="preserve">. </w:t>
      </w:r>
    </w:p>
    <w:p w:rsidR="001A0975" w:rsidRPr="0058034D" w:rsidRDefault="001A0975" w:rsidP="001D73C6">
      <w:pPr>
        <w:pStyle w:val="Body"/>
        <w:adjustRightInd w:val="0"/>
        <w:snapToGrid w:val="0"/>
        <w:spacing w:after="0" w:line="360" w:lineRule="auto"/>
        <w:jc w:val="both"/>
        <w:rPr>
          <w:rFonts w:ascii="Book Antiqua" w:eastAsia="Times New Roman" w:hAnsi="Book Antiqua" w:cs="Times New Roman"/>
          <w:i/>
          <w:iCs/>
          <w:color w:val="auto"/>
          <w:sz w:val="24"/>
          <w:szCs w:val="24"/>
        </w:rPr>
      </w:pPr>
    </w:p>
    <w:p w:rsidR="001A0975" w:rsidRPr="0058034D" w:rsidRDefault="005B3EAE" w:rsidP="001D73C6">
      <w:pPr>
        <w:pStyle w:val="Body"/>
        <w:adjustRightInd w:val="0"/>
        <w:snapToGrid w:val="0"/>
        <w:spacing w:after="0" w:line="360" w:lineRule="auto"/>
        <w:jc w:val="both"/>
        <w:rPr>
          <w:rFonts w:ascii="Book Antiqua" w:eastAsia="Times New Roman" w:hAnsi="Book Antiqua" w:cs="Times New Roman"/>
          <w:b/>
          <w:i/>
          <w:iCs/>
          <w:color w:val="auto"/>
          <w:sz w:val="24"/>
          <w:szCs w:val="24"/>
        </w:rPr>
      </w:pPr>
      <w:r w:rsidRPr="0058034D">
        <w:rPr>
          <w:rFonts w:ascii="Book Antiqua" w:hAnsi="Book Antiqua" w:cs="Times New Roman"/>
          <w:b/>
          <w:i/>
          <w:iCs/>
          <w:color w:val="auto"/>
          <w:sz w:val="24"/>
          <w:szCs w:val="24"/>
          <w:lang w:val="en-US"/>
        </w:rPr>
        <w:t xml:space="preserve">Follow-up </w:t>
      </w:r>
      <w:r w:rsidR="00B91696" w:rsidRPr="0058034D">
        <w:rPr>
          <w:rFonts w:ascii="Book Antiqua" w:hAnsi="Book Antiqua" w:cs="Times New Roman"/>
          <w:b/>
          <w:i/>
          <w:iCs/>
          <w:color w:val="auto"/>
          <w:sz w:val="24"/>
          <w:szCs w:val="24"/>
          <w:lang w:val="en-US"/>
        </w:rPr>
        <w:t>time and study outcomes</w:t>
      </w:r>
    </w:p>
    <w:p w:rsidR="001A0975" w:rsidRPr="0058034D" w:rsidRDefault="005B3EAE" w:rsidP="001D73C6">
      <w:pPr>
        <w:pStyle w:val="Body"/>
        <w:adjustRightInd w:val="0"/>
        <w:snapToGrid w:val="0"/>
        <w:spacing w:after="0" w:line="360" w:lineRule="auto"/>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Patients were followed from the index admission until readmission, death, discharge with hospice care, liver transplantation, loss to follow-up or December 31, 2013, whichever came first. All patients were followed post-discharge for a minimum of 90 days and all readmissions were reviewed. The primary outcomes were time to first readmission and 30-</w:t>
      </w:r>
      <w:r w:rsidR="00116ECF">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readmission rate for cirrhosis or a complication of cirrhosis. The secondary outcome was the 90-day readmission rate.</w:t>
      </w:r>
      <w:r w:rsidR="009322B0" w:rsidRPr="0058034D">
        <w:rPr>
          <w:rFonts w:ascii="Book Antiqua" w:hAnsi="Book Antiqua" w:cs="Times New Roman"/>
          <w:color w:val="auto"/>
          <w:sz w:val="24"/>
          <w:szCs w:val="24"/>
          <w:lang w:val="en-US"/>
        </w:rPr>
        <w:t xml:space="preserve"> </w:t>
      </w:r>
    </w:p>
    <w:p w:rsidR="001A0975" w:rsidRPr="0058034D" w:rsidRDefault="001A0975" w:rsidP="001D73C6">
      <w:pPr>
        <w:pStyle w:val="Body"/>
        <w:adjustRightInd w:val="0"/>
        <w:snapToGrid w:val="0"/>
        <w:spacing w:after="0" w:line="360" w:lineRule="auto"/>
        <w:jc w:val="both"/>
        <w:rPr>
          <w:rFonts w:ascii="Book Antiqua" w:eastAsia="Times New Roman" w:hAnsi="Book Antiqua" w:cs="Times New Roman"/>
          <w:i/>
          <w:iCs/>
          <w:color w:val="auto"/>
          <w:sz w:val="24"/>
          <w:szCs w:val="24"/>
        </w:rPr>
      </w:pPr>
    </w:p>
    <w:p w:rsidR="001A0975" w:rsidRPr="0058034D" w:rsidRDefault="005B3EAE" w:rsidP="001D73C6">
      <w:pPr>
        <w:pStyle w:val="Body"/>
        <w:adjustRightInd w:val="0"/>
        <w:snapToGrid w:val="0"/>
        <w:spacing w:after="0" w:line="360" w:lineRule="auto"/>
        <w:jc w:val="both"/>
        <w:rPr>
          <w:rFonts w:ascii="Book Antiqua" w:eastAsia="Times New Roman" w:hAnsi="Book Antiqua" w:cs="Times New Roman"/>
          <w:b/>
          <w:i/>
          <w:iCs/>
          <w:color w:val="auto"/>
          <w:sz w:val="24"/>
          <w:szCs w:val="24"/>
        </w:rPr>
      </w:pPr>
      <w:r w:rsidRPr="0058034D">
        <w:rPr>
          <w:rFonts w:ascii="Book Antiqua" w:hAnsi="Book Antiqua" w:cs="Times New Roman"/>
          <w:b/>
          <w:i/>
          <w:iCs/>
          <w:color w:val="auto"/>
          <w:sz w:val="24"/>
          <w:szCs w:val="24"/>
          <w:lang w:val="en-US"/>
        </w:rPr>
        <w:t xml:space="preserve">Statistical </w:t>
      </w:r>
      <w:r w:rsidR="00B91696" w:rsidRPr="0058034D">
        <w:rPr>
          <w:rFonts w:ascii="Book Antiqua" w:hAnsi="Book Antiqua" w:cs="Times New Roman"/>
          <w:b/>
          <w:i/>
          <w:iCs/>
          <w:color w:val="auto"/>
          <w:sz w:val="24"/>
          <w:szCs w:val="24"/>
          <w:lang w:val="en-US"/>
        </w:rPr>
        <w:t>analysis</w:t>
      </w:r>
    </w:p>
    <w:p w:rsidR="00514A97" w:rsidRPr="0058034D" w:rsidRDefault="005B3EAE" w:rsidP="001D73C6">
      <w:pPr>
        <w:adjustRightInd w:val="0"/>
        <w:snapToGrid w:val="0"/>
        <w:spacing w:line="360" w:lineRule="auto"/>
        <w:jc w:val="both"/>
        <w:rPr>
          <w:rFonts w:ascii="Book Antiqua" w:eastAsia="Times New Roman" w:hAnsi="Book Antiqua"/>
        </w:rPr>
      </w:pPr>
      <w:r w:rsidRPr="0058034D">
        <w:rPr>
          <w:rFonts w:ascii="Book Antiqua" w:hAnsi="Book Antiqua"/>
        </w:rPr>
        <w:t>Univariate analyses were performed using chi-square or proportional hazard ratio to find predictors of 30-</w:t>
      </w:r>
      <w:r w:rsidR="00116ECF">
        <w:rPr>
          <w:rFonts w:ascii="Book Antiqua" w:hAnsi="Book Antiqua" w:hint="eastAsia"/>
          <w:lang w:eastAsia="zh-CN"/>
        </w:rPr>
        <w:t>d</w:t>
      </w:r>
      <w:r w:rsidRPr="0058034D">
        <w:rPr>
          <w:rFonts w:ascii="Book Antiqua" w:hAnsi="Book Antiqua"/>
        </w:rPr>
        <w:t xml:space="preserve"> readmission and time to first readmission. Clinically relevant candidate variables with </w:t>
      </w:r>
      <w:r w:rsidR="00B91696" w:rsidRPr="0058034D">
        <w:rPr>
          <w:rFonts w:ascii="Book Antiqua" w:hAnsi="Book Antiqua"/>
          <w:i/>
        </w:rPr>
        <w:t xml:space="preserve">P &lt; </w:t>
      </w:r>
      <w:r w:rsidRPr="0058034D">
        <w:rPr>
          <w:rFonts w:ascii="Book Antiqua" w:hAnsi="Book Antiqua"/>
        </w:rPr>
        <w:t xml:space="preserve">0.15 were used in Cox proportional hazards regression (for time to first readmission) and logistic regression (for 30 and 90 </w:t>
      </w:r>
      <w:r w:rsidR="00B91696" w:rsidRPr="0058034D">
        <w:rPr>
          <w:rFonts w:ascii="Book Antiqua" w:hAnsi="Book Antiqua" w:hint="eastAsia"/>
          <w:lang w:eastAsia="zh-CN"/>
        </w:rPr>
        <w:t>d</w:t>
      </w:r>
      <w:r w:rsidRPr="0058034D">
        <w:rPr>
          <w:rFonts w:ascii="Book Antiqua" w:hAnsi="Book Antiqua"/>
        </w:rPr>
        <w:t xml:space="preserve"> readmission rates) models. Due to co-linearity between reason for index admission and medications at discharge, medications at discharge was excluded from the final models. Two-sided </w:t>
      </w:r>
      <w:r w:rsidR="00B91696" w:rsidRPr="0058034D">
        <w:rPr>
          <w:rFonts w:ascii="Book Antiqua" w:hAnsi="Book Antiqua"/>
          <w:i/>
        </w:rPr>
        <w:t xml:space="preserve">P </w:t>
      </w:r>
      <w:r w:rsidRPr="0058034D">
        <w:rPr>
          <w:rFonts w:ascii="Book Antiqua" w:hAnsi="Book Antiqua"/>
        </w:rPr>
        <w:t>values ≤</w:t>
      </w:r>
      <w:r w:rsidR="00B91696" w:rsidRPr="0058034D">
        <w:rPr>
          <w:rFonts w:ascii="Book Antiqua" w:hAnsi="Book Antiqua" w:hint="eastAsia"/>
          <w:lang w:eastAsia="zh-CN"/>
        </w:rPr>
        <w:t xml:space="preserve"> </w:t>
      </w:r>
      <w:r w:rsidRPr="0058034D">
        <w:rPr>
          <w:rFonts w:ascii="Book Antiqua" w:hAnsi="Book Antiqua"/>
        </w:rPr>
        <w:t xml:space="preserve">0.05 were considered significant. All statistical analyses were performed using SAS v.9.3. </w:t>
      </w:r>
      <w:r w:rsidR="00514A97" w:rsidRPr="0058034D">
        <w:rPr>
          <w:rFonts w:ascii="Book Antiqua" w:hAnsi="Book Antiqua"/>
        </w:rPr>
        <w:t xml:space="preserve">The statistical methods </w:t>
      </w:r>
      <w:r w:rsidR="00B323E8" w:rsidRPr="0058034D">
        <w:rPr>
          <w:rFonts w:ascii="Book Antiqua" w:hAnsi="Book Antiqua"/>
        </w:rPr>
        <w:t xml:space="preserve">and results </w:t>
      </w:r>
      <w:r w:rsidR="00514A97" w:rsidRPr="0058034D">
        <w:rPr>
          <w:rFonts w:ascii="Book Antiqua" w:hAnsi="Book Antiqua"/>
        </w:rPr>
        <w:t>of this study were reviewed by</w:t>
      </w:r>
      <w:r w:rsidR="00B323E8" w:rsidRPr="0058034D">
        <w:rPr>
          <w:rFonts w:ascii="Book Antiqua" w:hAnsi="Book Antiqua"/>
        </w:rPr>
        <w:t xml:space="preserve"> biostatistician</w:t>
      </w:r>
      <w:r w:rsidR="00514A97" w:rsidRPr="0058034D">
        <w:rPr>
          <w:rFonts w:ascii="Book Antiqua" w:hAnsi="Book Antiqua"/>
        </w:rPr>
        <w:t xml:space="preserve"> Han Lee, PhD of Massachusetts General Hospital and Harvard Medical School.</w:t>
      </w:r>
    </w:p>
    <w:p w:rsidR="00480596" w:rsidRPr="0058034D" w:rsidRDefault="00480596" w:rsidP="001D73C6">
      <w:pPr>
        <w:adjustRightInd w:val="0"/>
        <w:snapToGrid w:val="0"/>
        <w:spacing w:line="360" w:lineRule="auto"/>
        <w:jc w:val="both"/>
        <w:rPr>
          <w:rFonts w:ascii="Book Antiqua" w:eastAsia="Times New Roman" w:hAnsi="Book Antiqua"/>
          <w:b/>
          <w:bCs/>
          <w:u w:color="000000"/>
          <w:lang w:val="fr-FR"/>
        </w:rPr>
      </w:pPr>
    </w:p>
    <w:p w:rsidR="001A0975" w:rsidRPr="0058034D" w:rsidRDefault="00B91696" w:rsidP="001D73C6">
      <w:pPr>
        <w:adjustRightInd w:val="0"/>
        <w:snapToGrid w:val="0"/>
        <w:spacing w:line="360" w:lineRule="auto"/>
        <w:jc w:val="both"/>
        <w:rPr>
          <w:rFonts w:ascii="Book Antiqua" w:eastAsia="Calibri" w:hAnsi="Book Antiqua"/>
          <w:b/>
          <w:bCs/>
          <w:u w:color="000000"/>
          <w:lang w:val="fr-FR"/>
        </w:rPr>
      </w:pPr>
      <w:r w:rsidRPr="0058034D">
        <w:rPr>
          <w:rFonts w:ascii="Book Antiqua" w:hAnsi="Book Antiqua"/>
          <w:b/>
          <w:bCs/>
        </w:rPr>
        <w:t>RESULTS</w:t>
      </w:r>
    </w:p>
    <w:p w:rsidR="001A0975" w:rsidRPr="0058034D" w:rsidRDefault="005B3EAE" w:rsidP="001D73C6">
      <w:pPr>
        <w:pStyle w:val="Body"/>
        <w:adjustRightInd w:val="0"/>
        <w:snapToGrid w:val="0"/>
        <w:spacing w:after="0" w:line="360" w:lineRule="auto"/>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 xml:space="preserve">From January 1, 2011 to December 31, 2013, 222 patients were admitted to our center due to one of the complications of cirrhosis and did not meet any of the exclusion </w:t>
      </w:r>
      <w:r w:rsidRPr="0058034D">
        <w:rPr>
          <w:rFonts w:ascii="Book Antiqua" w:hAnsi="Book Antiqua" w:cs="Times New Roman"/>
          <w:color w:val="auto"/>
          <w:sz w:val="24"/>
          <w:szCs w:val="24"/>
          <w:lang w:val="en-US"/>
        </w:rPr>
        <w:lastRenderedPageBreak/>
        <w:t xml:space="preserve">criteria. </w:t>
      </w:r>
      <w:r w:rsidRPr="0058034D">
        <w:rPr>
          <w:rFonts w:ascii="Book Antiqua" w:eastAsia="Cambria" w:hAnsi="Book Antiqua" w:cs="Times New Roman"/>
          <w:color w:val="auto"/>
          <w:sz w:val="24"/>
          <w:szCs w:val="24"/>
          <w:shd w:val="clear" w:color="auto" w:fill="FFFFFF"/>
          <w:lang w:val="en-US"/>
        </w:rPr>
        <w:t>The median time from hospital discharge to end of the study period</w:t>
      </w:r>
      <w:r w:rsidRPr="0058034D">
        <w:rPr>
          <w:rFonts w:ascii="Book Antiqua" w:eastAsia="Cambria" w:hAnsi="Book Antiqua" w:cs="Times New Roman"/>
          <w:color w:val="auto"/>
          <w:sz w:val="24"/>
          <w:szCs w:val="24"/>
          <w:shd w:val="clear" w:color="auto" w:fill="FFFFFF"/>
        </w:rPr>
        <w:t> </w:t>
      </w:r>
      <w:r w:rsidRPr="0058034D">
        <w:rPr>
          <w:rFonts w:ascii="Book Antiqua" w:eastAsia="Cambria" w:hAnsi="Book Antiqua" w:cs="Times New Roman"/>
          <w:color w:val="auto"/>
          <w:sz w:val="24"/>
          <w:szCs w:val="24"/>
          <w:shd w:val="clear" w:color="auto" w:fill="FFFFFF"/>
          <w:lang w:val="en-US"/>
        </w:rPr>
        <w:t xml:space="preserve">was </w:t>
      </w:r>
      <w:r w:rsidRPr="0058034D">
        <w:rPr>
          <w:rFonts w:ascii="Book Antiqua" w:eastAsia="Cambria" w:hAnsi="Book Antiqua" w:cs="Times New Roman"/>
          <w:color w:val="auto"/>
          <w:sz w:val="24"/>
          <w:szCs w:val="24"/>
        </w:rPr>
        <w:t xml:space="preserve">273 </w:t>
      </w:r>
      <w:r w:rsidRPr="0058034D">
        <w:rPr>
          <w:rFonts w:ascii="Book Antiqua" w:hAnsi="Book Antiqua" w:cs="Times New Roman"/>
          <w:color w:val="auto"/>
          <w:sz w:val="24"/>
          <w:szCs w:val="24"/>
          <w:lang w:val="en-US"/>
        </w:rPr>
        <w:t xml:space="preserve">days. Baseline characteristics of the study population are presented in Table 2. </w:t>
      </w:r>
    </w:p>
    <w:p w:rsidR="001A0975" w:rsidRPr="0058034D" w:rsidRDefault="005B3EAE" w:rsidP="00B91696">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One hundred thirty-two of these 222 patients (59.4%) were readmitted at least once during the study period. The median time to first readmission, our primary outcome, was 54 days. Thirty and 90-day readmission rates were 20.7 and 30.1 percent, respectively. The most common cause of index admission was one of the volume related conditions (28.8%) while the most common cause of readmission was hepatic encephalopathy (35.5%) (Table 3). The average length of stay for the index hospitalization was 7.2 days, and 88 patients (49.4%) were readmitted with the same complication of cirrhosis.</w:t>
      </w:r>
    </w:p>
    <w:p w:rsidR="001A0975" w:rsidRPr="0058034D" w:rsidRDefault="005B3EAE" w:rsidP="00B91696">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Post-discharge conditions are summarized in Table 4 based on the post-discharge care setting. Patients discharged to a skilled nursing facility, those who left the hospital against medical advice, and homeless patients who were discharged to shelters had more 30-</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readmissions but the results were not statistically significant (</w:t>
      </w:r>
      <w:r w:rsidR="00B91696" w:rsidRPr="0058034D">
        <w:rPr>
          <w:rFonts w:ascii="Book Antiqua" w:hAnsi="Book Antiqua" w:cs="Times New Roman"/>
          <w:i/>
          <w:color w:val="auto"/>
          <w:sz w:val="24"/>
          <w:szCs w:val="24"/>
          <w:lang w:val="en-US"/>
        </w:rPr>
        <w:t xml:space="preserve">P &lt; </w:t>
      </w:r>
      <w:r w:rsidRPr="0058034D">
        <w:rPr>
          <w:rFonts w:ascii="Book Antiqua" w:hAnsi="Book Antiqua" w:cs="Times New Roman"/>
          <w:color w:val="auto"/>
          <w:sz w:val="24"/>
          <w:szCs w:val="24"/>
          <w:lang w:val="en-US"/>
        </w:rPr>
        <w:t xml:space="preserve">0.12). </w:t>
      </w:r>
    </w:p>
    <w:p w:rsidR="001A0975" w:rsidRPr="0058034D" w:rsidRDefault="005B3EAE" w:rsidP="00B91696">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One hundred sixty five patients out of the 222 index patients (74.3 %) had a follow-up outpatient visit in our institution at some point after index admission (Table 4). The rest of the patients were not seen at our center after discharge and may have had local follow-up. Of those 165 patients seen at our institution, 83 (37.4%) were seen only by a gastroenterologist, 22 (9.9%) only by a PCP and 31 (14%) both by a gastroenterologist and a PCP. The remaining 29 patients had an outpatient visit scheduled post-discharge but were readmitted before the scheduled visit. Among the patients who had a post-discharge follow-up visit at our institution, there was no significant difference in 30-</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readmission rates based on the visit by a PCP versus a gastroenterologist or both (</w:t>
      </w:r>
      <w:r w:rsidR="00514A97" w:rsidRPr="0058034D">
        <w:rPr>
          <w:rFonts w:ascii="Book Antiqua" w:hAnsi="Book Antiqua" w:cs="Times New Roman"/>
          <w:i/>
          <w:color w:val="auto"/>
          <w:sz w:val="24"/>
          <w:szCs w:val="24"/>
          <w:lang w:val="en-US"/>
        </w:rPr>
        <w:t>P</w:t>
      </w:r>
      <w:r w:rsidRPr="0058034D">
        <w:rPr>
          <w:rFonts w:ascii="Book Antiqua" w:hAnsi="Book Antiqua" w:cs="Times New Roman"/>
          <w:color w:val="auto"/>
          <w:sz w:val="24"/>
          <w:szCs w:val="24"/>
          <w:lang w:val="en-US"/>
        </w:rPr>
        <w:t xml:space="preserve"> =</w:t>
      </w:r>
      <w:r w:rsidR="00B91696"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 xml:space="preserve">0.9). </w:t>
      </w:r>
    </w:p>
    <w:p w:rsidR="001A0975" w:rsidRPr="0058034D" w:rsidRDefault="005B3EAE" w:rsidP="00B91696">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 xml:space="preserve">We further analyzed 30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readmission rates stratified by time until first post-discharge follow-up visit: &lt;</w:t>
      </w:r>
      <w:r w:rsidR="00B91696"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 xml:space="preserve">2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2-14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and &gt;</w:t>
      </w:r>
      <w:r w:rsidR="00B91696"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 xml:space="preserve">14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Thirty five patients (21%) were seen in an office visit within two days after index discharge, 66 (40%) between 2 and 14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and 64 (38.8%) after 14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but there was no statistically significant difference in the rate of readmission amongst these groups (</w:t>
      </w:r>
      <w:r w:rsidR="00B91696" w:rsidRPr="0058034D">
        <w:rPr>
          <w:rFonts w:ascii="Book Antiqua" w:hAnsi="Book Antiqua" w:cs="Times New Roman"/>
          <w:i/>
          <w:color w:val="auto"/>
          <w:sz w:val="24"/>
          <w:szCs w:val="24"/>
          <w:lang w:val="en-US"/>
        </w:rPr>
        <w:t xml:space="preserve">P = </w:t>
      </w:r>
      <w:r w:rsidRPr="0058034D">
        <w:rPr>
          <w:rFonts w:ascii="Book Antiqua" w:hAnsi="Book Antiqua" w:cs="Times New Roman"/>
          <w:color w:val="auto"/>
          <w:sz w:val="24"/>
          <w:szCs w:val="24"/>
          <w:lang w:val="en-US"/>
        </w:rPr>
        <w:t xml:space="preserve">0.1). The average time between discharge </w:t>
      </w:r>
      <w:r w:rsidRPr="0058034D">
        <w:rPr>
          <w:rFonts w:ascii="Book Antiqua" w:hAnsi="Book Antiqua" w:cs="Times New Roman"/>
          <w:color w:val="auto"/>
          <w:sz w:val="24"/>
          <w:szCs w:val="24"/>
          <w:lang w:val="en-US"/>
        </w:rPr>
        <w:lastRenderedPageBreak/>
        <w:t xml:space="preserve">and the first outpatient follow-up appointment was also calculated at 22.6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for patients seen by a GI specialist, 31.9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for those who saw a PCP and 24.7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for those who saw both.</w:t>
      </w:r>
    </w:p>
    <w:p w:rsidR="001A0975" w:rsidRPr="0058034D" w:rsidRDefault="005B3EAE" w:rsidP="00B91696">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In the univariate time-to-event analysis, the following covariates were associated with time to readmission (</w:t>
      </w:r>
      <w:r w:rsidR="00B91696" w:rsidRPr="0058034D">
        <w:rPr>
          <w:rFonts w:ascii="Book Antiqua" w:hAnsi="Book Antiqua" w:cs="Times New Roman"/>
          <w:i/>
          <w:color w:val="auto"/>
          <w:sz w:val="24"/>
          <w:szCs w:val="24"/>
          <w:lang w:val="en-US"/>
        </w:rPr>
        <w:t xml:space="preserve">P &lt; </w:t>
      </w:r>
      <w:r w:rsidRPr="0058034D">
        <w:rPr>
          <w:rFonts w:ascii="Book Antiqua" w:hAnsi="Book Antiqua" w:cs="Times New Roman"/>
          <w:color w:val="auto"/>
          <w:sz w:val="24"/>
          <w:szCs w:val="24"/>
          <w:lang w:val="en-US"/>
        </w:rPr>
        <w:t>0.05): education level, etiology of cirrhosis, MELD score, diagnosis of HE at index admission, history of HCC, and history of depression or bipolar disorder (Table 5). In the multivariate analysis, lower education level, any cirrhosis etiology other than alcohol, higher MELD score, HE at index admission and history of HCC were associated with shorter time to readmission (Table 5). Kaplan-Meier curves for time to readmission stratified by MELD score and etiology of cirrhosis are shown in Figures 1 and 2, respectively. In both the univariate and multivariate analysis of predictors for 30-day readmissions, patients with lower education, HE at index, ALT more than upper limit of normal (ULN) and Medicare patients had higher 30-day readmission rates (</w:t>
      </w:r>
      <w:r w:rsidR="00B91696" w:rsidRPr="0058034D">
        <w:rPr>
          <w:rFonts w:ascii="Book Antiqua" w:hAnsi="Book Antiqua" w:cs="Times New Roman"/>
          <w:i/>
          <w:color w:val="auto"/>
          <w:sz w:val="24"/>
          <w:szCs w:val="24"/>
          <w:lang w:val="en-US"/>
        </w:rPr>
        <w:t xml:space="preserve">P &lt; </w:t>
      </w:r>
      <w:r w:rsidRPr="0058034D">
        <w:rPr>
          <w:rFonts w:ascii="Book Antiqua" w:hAnsi="Book Antiqua" w:cs="Times New Roman"/>
          <w:color w:val="auto"/>
          <w:sz w:val="24"/>
          <w:szCs w:val="24"/>
          <w:lang w:val="en-US"/>
        </w:rPr>
        <w:t>0.05) (Table 6). The c-statistic for this test was 0.75.</w:t>
      </w:r>
    </w:p>
    <w:p w:rsidR="00480596" w:rsidRPr="0058034D" w:rsidRDefault="00480596" w:rsidP="001D73C6">
      <w:pPr>
        <w:pStyle w:val="Body"/>
        <w:adjustRightInd w:val="0"/>
        <w:snapToGrid w:val="0"/>
        <w:spacing w:after="0" w:line="360" w:lineRule="auto"/>
        <w:jc w:val="both"/>
        <w:rPr>
          <w:rFonts w:ascii="Book Antiqua" w:eastAsia="Times New Roman" w:hAnsi="Book Antiqua" w:cs="Times New Roman"/>
          <w:color w:val="auto"/>
          <w:sz w:val="24"/>
          <w:szCs w:val="24"/>
        </w:rPr>
      </w:pPr>
    </w:p>
    <w:p w:rsidR="001A0975" w:rsidRPr="0058034D" w:rsidRDefault="00B91696"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b/>
          <w:bCs/>
          <w:color w:val="auto"/>
          <w:sz w:val="24"/>
          <w:szCs w:val="24"/>
          <w:lang w:val="it-IT"/>
        </w:rPr>
        <w:t>DISCUSSION</w:t>
      </w:r>
    </w:p>
    <w:p w:rsidR="001A0975" w:rsidRPr="0058034D" w:rsidRDefault="005B3EAE" w:rsidP="001D73C6">
      <w:pPr>
        <w:pStyle w:val="Body"/>
        <w:adjustRightInd w:val="0"/>
        <w:snapToGrid w:val="0"/>
        <w:spacing w:after="0" w:line="360" w:lineRule="auto"/>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Hospital readmissions are costly and represent opportunities for improvements in quality of care, communication, and coordination. Readmissions are viewed as potentially avoidable and the</w:t>
      </w:r>
      <w:r w:rsidR="00A03D8F" w:rsidRPr="0058034D">
        <w:rPr>
          <w:rFonts w:ascii="Book Antiqua" w:hAnsi="Book Antiqua" w:cs="Times New Roman"/>
          <w:color w:val="auto"/>
          <w:sz w:val="24"/>
          <w:szCs w:val="24"/>
          <w:lang w:val="en-US"/>
        </w:rPr>
        <w:t xml:space="preserve"> large payers, such as the United States Department of Health and Human Services</w:t>
      </w:r>
      <w:r w:rsidRPr="0058034D">
        <w:rPr>
          <w:rFonts w:ascii="Book Antiqua" w:hAnsi="Book Antiqua" w:cs="Times New Roman"/>
          <w:color w:val="auto"/>
          <w:sz w:val="24"/>
          <w:szCs w:val="24"/>
          <w:lang w:val="en-US"/>
        </w:rPr>
        <w:t xml:space="preserve"> Center for Medicare and Medicaid Services Readmission Prevention Program penalizes hospitals for higher than expected readmissions for heart failure, myocardial infarction and pneumonia. As healthcare moves towards value-based payment methods, primary care and specialists alike must prepare to better organize care for the highest risk and highest cost patients. Understanding the attributes of patients and causes for readmission is the foundation for designing strategies to mitigate the economic losses and prevent clinical morbidity. Additionally, while the current 30-</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readmission threshold is appropriate for discrete admission events, such as surgery, applying this model to a chronic disease population may not capture true readmission risk or opportunity </w:t>
      </w:r>
      <w:r w:rsidR="00197C5C" w:rsidRPr="0058034D">
        <w:rPr>
          <w:rFonts w:ascii="Book Antiqua" w:hAnsi="Book Antiqua" w:cs="Times New Roman"/>
          <w:color w:val="auto"/>
          <w:sz w:val="24"/>
          <w:szCs w:val="24"/>
          <w:lang w:val="en-US"/>
        </w:rPr>
        <w:t>for</w:t>
      </w:r>
      <w:r w:rsidRPr="0058034D">
        <w:rPr>
          <w:rFonts w:ascii="Book Antiqua" w:hAnsi="Book Antiqua" w:cs="Times New Roman"/>
          <w:color w:val="auto"/>
          <w:sz w:val="24"/>
          <w:szCs w:val="24"/>
          <w:lang w:val="en-US"/>
        </w:rPr>
        <w:t xml:space="preserve"> improvement. By studying our </w:t>
      </w:r>
      <w:r w:rsidRPr="0058034D">
        <w:rPr>
          <w:rFonts w:ascii="Book Antiqua" w:hAnsi="Book Antiqua" w:cs="Times New Roman"/>
          <w:color w:val="auto"/>
          <w:sz w:val="24"/>
          <w:szCs w:val="24"/>
          <w:lang w:val="en-US"/>
        </w:rPr>
        <w:lastRenderedPageBreak/>
        <w:t xml:space="preserve">patients longitudinally, we showed that about 20% of our patients were readmitted within 30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but that rate rose to 30% at 90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We also found that lower education level, MELD score ≥ 15, chronic liver disease due to more than one etiology, HE at index admission, and history of HCC are associated with shorter time to readmission with the median time to first readmission of 54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w:t>
      </w:r>
    </w:p>
    <w:p w:rsidR="001A0975" w:rsidRPr="0058034D" w:rsidRDefault="005B3EAE" w:rsidP="00B91696">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Our data is consistent with previous studies which have shown similar 30-</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w:t>
      </w:r>
      <w:r w:rsidR="00FB2342" w:rsidRPr="0058034D">
        <w:rPr>
          <w:rFonts w:ascii="Book Antiqua" w:hAnsi="Book Antiqua" w:cs="Times New Roman"/>
          <w:color w:val="auto"/>
          <w:sz w:val="24"/>
          <w:szCs w:val="24"/>
          <w:lang w:val="en-US"/>
        </w:rPr>
        <w:t>and 90-</w:t>
      </w:r>
      <w:r w:rsidR="00B91696" w:rsidRPr="0058034D">
        <w:rPr>
          <w:rFonts w:ascii="Book Antiqua" w:eastAsiaTheme="minorEastAsia" w:hAnsi="Book Antiqua" w:cs="Times New Roman" w:hint="eastAsia"/>
          <w:color w:val="auto"/>
          <w:sz w:val="24"/>
          <w:szCs w:val="24"/>
          <w:lang w:val="en-US" w:eastAsia="zh-CN"/>
        </w:rPr>
        <w:t>d</w:t>
      </w:r>
      <w:r w:rsidR="00FB2342" w:rsidRPr="0058034D">
        <w:rPr>
          <w:rFonts w:ascii="Book Antiqua" w:hAnsi="Book Antiqua" w:cs="Times New Roman"/>
          <w:color w:val="auto"/>
          <w:sz w:val="24"/>
          <w:szCs w:val="24"/>
          <w:lang w:val="en-US"/>
        </w:rPr>
        <w:t xml:space="preserve"> readmission results</w:t>
      </w:r>
      <w:r w:rsidR="00B91696" w:rsidRPr="0058034D">
        <w:rPr>
          <w:rFonts w:ascii="Book Antiqua" w:hAnsi="Book Antiqua" w:cs="Times New Roman"/>
          <w:color w:val="auto"/>
          <w:sz w:val="24"/>
          <w:szCs w:val="24"/>
          <w:vertAlign w:val="superscript"/>
          <w:lang w:val="en-US"/>
        </w:rPr>
        <w:t>[4,7,</w:t>
      </w:r>
      <w:r w:rsidR="00FB2342" w:rsidRPr="0058034D">
        <w:rPr>
          <w:rFonts w:ascii="Book Antiqua" w:hAnsi="Book Antiqua" w:cs="Times New Roman"/>
          <w:color w:val="auto"/>
          <w:sz w:val="24"/>
          <w:szCs w:val="24"/>
          <w:vertAlign w:val="superscript"/>
          <w:lang w:val="en-US"/>
        </w:rPr>
        <w:t>11-13]</w:t>
      </w:r>
      <w:r w:rsidRPr="0058034D">
        <w:rPr>
          <w:rFonts w:ascii="Book Antiqua" w:hAnsi="Book Antiqua" w:cs="Times New Roman"/>
          <w:color w:val="auto"/>
          <w:sz w:val="24"/>
          <w:szCs w:val="24"/>
          <w:lang w:val="en-US"/>
        </w:rPr>
        <w:t>. We also found that Medicare patients, patients with lower education levels, higher ALT levels at discharge, and HE at the time of presentation are associated with higher 30-</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admission rates. We also found that MELD score, which is a measure of hepatic and renal function combined, is associated with more 30-day readmission and shorter time to first readmission rates. Prior studies have also demonstrated that patients with higher MELD score are mo</w:t>
      </w:r>
      <w:r w:rsidR="00FB2342" w:rsidRPr="0058034D">
        <w:rPr>
          <w:rFonts w:ascii="Book Antiqua" w:hAnsi="Book Antiqua" w:cs="Times New Roman"/>
          <w:color w:val="auto"/>
          <w:sz w:val="24"/>
          <w:szCs w:val="24"/>
          <w:lang w:val="en-US"/>
        </w:rPr>
        <w:t>re prone to 30-</w:t>
      </w:r>
      <w:r w:rsidR="00116ECF">
        <w:rPr>
          <w:rFonts w:ascii="Book Antiqua" w:eastAsiaTheme="minorEastAsia" w:hAnsi="Book Antiqua" w:cs="Times New Roman" w:hint="eastAsia"/>
          <w:color w:val="auto"/>
          <w:sz w:val="24"/>
          <w:szCs w:val="24"/>
          <w:lang w:val="en-US" w:eastAsia="zh-CN"/>
        </w:rPr>
        <w:t>d</w:t>
      </w:r>
      <w:r w:rsidR="00FB2342" w:rsidRPr="0058034D">
        <w:rPr>
          <w:rFonts w:ascii="Book Antiqua" w:hAnsi="Book Antiqua" w:cs="Times New Roman"/>
          <w:color w:val="auto"/>
          <w:sz w:val="24"/>
          <w:szCs w:val="24"/>
          <w:lang w:val="en-US"/>
        </w:rPr>
        <w:t xml:space="preserve"> readmission</w:t>
      </w:r>
      <w:r w:rsidR="00FB2342" w:rsidRPr="0058034D">
        <w:rPr>
          <w:rFonts w:ascii="Book Antiqua" w:hAnsi="Book Antiqua" w:cs="Times New Roman"/>
          <w:color w:val="auto"/>
          <w:sz w:val="24"/>
          <w:szCs w:val="24"/>
          <w:vertAlign w:val="superscript"/>
          <w:lang w:val="en-US"/>
        </w:rPr>
        <w:t>[4,11]</w:t>
      </w:r>
      <w:r w:rsidRPr="0058034D">
        <w:rPr>
          <w:rFonts w:ascii="Book Antiqua" w:hAnsi="Book Antiqua" w:cs="Times New Roman"/>
          <w:color w:val="auto"/>
          <w:sz w:val="24"/>
          <w:szCs w:val="24"/>
          <w:lang w:val="en-US"/>
        </w:rPr>
        <w:t xml:space="preserve"> or more first hospital admission in patients who had not b</w:t>
      </w:r>
      <w:r w:rsidR="00FB2342" w:rsidRPr="0058034D">
        <w:rPr>
          <w:rFonts w:ascii="Book Antiqua" w:hAnsi="Book Antiqua" w:cs="Times New Roman"/>
          <w:color w:val="auto"/>
          <w:sz w:val="24"/>
          <w:szCs w:val="24"/>
          <w:lang w:val="en-US"/>
        </w:rPr>
        <w:t>een admitted the previous year</w:t>
      </w:r>
      <w:r w:rsidR="00FB2342" w:rsidRPr="0058034D">
        <w:rPr>
          <w:rFonts w:ascii="Book Antiqua" w:hAnsi="Book Antiqua" w:cs="Times New Roman"/>
          <w:color w:val="auto"/>
          <w:sz w:val="24"/>
          <w:szCs w:val="24"/>
          <w:vertAlign w:val="superscript"/>
          <w:lang w:val="en-US"/>
        </w:rPr>
        <w:t>[14]</w:t>
      </w:r>
      <w:r w:rsidRPr="0058034D">
        <w:rPr>
          <w:rFonts w:ascii="Book Antiqua" w:hAnsi="Book Antiqua" w:cs="Times New Roman"/>
          <w:color w:val="auto"/>
          <w:sz w:val="24"/>
          <w:szCs w:val="24"/>
          <w:lang w:val="en-US"/>
        </w:rPr>
        <w:t>.</w:t>
      </w:r>
    </w:p>
    <w:p w:rsidR="001A0975" w:rsidRPr="0058034D" w:rsidRDefault="005B3EAE" w:rsidP="00B91696">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As seen in other recent studies, hepatic encephalopathy was a predictor for readmission, based on both 30-</w:t>
      </w:r>
      <w:r w:rsidR="00116ECF">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an</w:t>
      </w:r>
      <w:r w:rsidR="00FB2342" w:rsidRPr="0058034D">
        <w:rPr>
          <w:rFonts w:ascii="Book Antiqua" w:hAnsi="Book Antiqua" w:cs="Times New Roman"/>
          <w:color w:val="auto"/>
          <w:sz w:val="24"/>
          <w:szCs w:val="24"/>
          <w:lang w:val="en-US"/>
        </w:rPr>
        <w:t>d time to readmission analyses</w:t>
      </w:r>
      <w:r w:rsidR="00FB2342" w:rsidRPr="0058034D">
        <w:rPr>
          <w:rFonts w:ascii="Book Antiqua" w:hAnsi="Book Antiqua" w:cs="Times New Roman"/>
          <w:color w:val="auto"/>
          <w:sz w:val="24"/>
          <w:szCs w:val="24"/>
          <w:vertAlign w:val="superscript"/>
          <w:lang w:val="en-US"/>
        </w:rPr>
        <w:t>[7,15,16]</w:t>
      </w:r>
      <w:r w:rsidRPr="0058034D">
        <w:rPr>
          <w:rFonts w:ascii="Book Antiqua" w:hAnsi="Book Antiqua" w:cs="Times New Roman"/>
          <w:color w:val="auto"/>
          <w:sz w:val="24"/>
          <w:szCs w:val="24"/>
          <w:lang w:val="en-US"/>
        </w:rPr>
        <w:t>. The one-year mortality for cirrhotic patients with hepatic encephalopathy is very high, approaching 60</w:t>
      </w:r>
      <w:r w:rsidR="00B91696" w:rsidRPr="0058034D">
        <w:rPr>
          <w:rFonts w:ascii="Book Antiqua" w:eastAsiaTheme="minorEastAsia" w:hAnsi="Book Antiqua" w:cs="Times New Roman" w:hint="eastAsia"/>
          <w:color w:val="auto"/>
          <w:sz w:val="24"/>
          <w:szCs w:val="24"/>
          <w:lang w:val="en-US" w:eastAsia="zh-CN"/>
        </w:rPr>
        <w:t>%</w:t>
      </w:r>
      <w:r w:rsidRPr="0058034D">
        <w:rPr>
          <w:rFonts w:ascii="Book Antiqua" w:hAnsi="Book Antiqua" w:cs="Times New Roman"/>
          <w:color w:val="auto"/>
          <w:sz w:val="24"/>
          <w:szCs w:val="24"/>
          <w:lang w:val="en-US"/>
        </w:rPr>
        <w:t>-80% in re</w:t>
      </w:r>
      <w:r w:rsidR="00FB2342" w:rsidRPr="0058034D">
        <w:rPr>
          <w:rFonts w:ascii="Book Antiqua" w:hAnsi="Book Antiqua" w:cs="Times New Roman"/>
          <w:color w:val="auto"/>
          <w:sz w:val="24"/>
          <w:szCs w:val="24"/>
          <w:lang w:val="en-US"/>
        </w:rPr>
        <w:t>cent studies</w:t>
      </w:r>
      <w:r w:rsidR="00FB2342" w:rsidRPr="0058034D">
        <w:rPr>
          <w:rFonts w:ascii="Book Antiqua" w:hAnsi="Book Antiqua" w:cs="Times New Roman"/>
          <w:color w:val="auto"/>
          <w:sz w:val="24"/>
          <w:szCs w:val="24"/>
          <w:vertAlign w:val="superscript"/>
          <w:lang w:val="en-US"/>
        </w:rPr>
        <w:t>[17,18]</w:t>
      </w:r>
      <w:r w:rsidRPr="0058034D">
        <w:rPr>
          <w:rFonts w:ascii="Book Antiqua" w:hAnsi="Book Antiqua" w:cs="Times New Roman"/>
          <w:color w:val="auto"/>
          <w:sz w:val="24"/>
          <w:szCs w:val="24"/>
          <w:lang w:val="en-US"/>
        </w:rPr>
        <w:t xml:space="preserve">. HE is an expensive disease, costing </w:t>
      </w:r>
      <w:r w:rsidR="00B91696" w:rsidRPr="0058034D">
        <w:rPr>
          <w:rFonts w:ascii="Book Antiqua" w:hAnsi="Book Antiqua" w:cs="Times New Roman"/>
          <w:color w:val="auto"/>
          <w:sz w:val="24"/>
          <w:szCs w:val="24"/>
          <w:shd w:val="clear" w:color="auto" w:fill="FFFFFF"/>
          <w:lang w:val="en-US"/>
        </w:rPr>
        <w:t>approximately $63</w:t>
      </w:r>
      <w:r w:rsidRPr="0058034D">
        <w:rPr>
          <w:rFonts w:ascii="Book Antiqua" w:hAnsi="Book Antiqua" w:cs="Times New Roman"/>
          <w:color w:val="auto"/>
          <w:sz w:val="24"/>
          <w:szCs w:val="24"/>
          <w:shd w:val="clear" w:color="auto" w:fill="FFFFFF"/>
          <w:lang w:val="en-US"/>
        </w:rPr>
        <w:t>000 per case and is responsible for approximately 7.2 billion do</w:t>
      </w:r>
      <w:r w:rsidR="00FB2342" w:rsidRPr="0058034D">
        <w:rPr>
          <w:rFonts w:ascii="Book Antiqua" w:hAnsi="Book Antiqua" w:cs="Times New Roman"/>
          <w:color w:val="auto"/>
          <w:sz w:val="24"/>
          <w:szCs w:val="24"/>
          <w:shd w:val="clear" w:color="auto" w:fill="FFFFFF"/>
          <w:lang w:val="en-US"/>
        </w:rPr>
        <w:t>llars in direct costs annually</w:t>
      </w:r>
      <w:r w:rsidR="00FB2342" w:rsidRPr="0058034D">
        <w:rPr>
          <w:rFonts w:ascii="Book Antiqua" w:hAnsi="Book Antiqua" w:cs="Times New Roman"/>
          <w:color w:val="auto"/>
          <w:sz w:val="24"/>
          <w:szCs w:val="24"/>
          <w:shd w:val="clear" w:color="auto" w:fill="FFFFFF"/>
          <w:vertAlign w:val="superscript"/>
          <w:lang w:val="en-US"/>
        </w:rPr>
        <w:t>[19,20]</w:t>
      </w:r>
      <w:r w:rsidRPr="0058034D">
        <w:rPr>
          <w:rFonts w:ascii="Book Antiqua" w:hAnsi="Book Antiqua" w:cs="Times New Roman"/>
          <w:color w:val="auto"/>
          <w:sz w:val="24"/>
          <w:szCs w:val="24"/>
          <w:shd w:val="clear" w:color="auto" w:fill="FFFFFF"/>
          <w:lang w:val="en-US"/>
        </w:rPr>
        <w:t>.</w:t>
      </w:r>
      <w:r w:rsidRPr="0058034D">
        <w:rPr>
          <w:rFonts w:ascii="Book Antiqua" w:hAnsi="Book Antiqua" w:cs="Times New Roman"/>
          <w:color w:val="auto"/>
          <w:sz w:val="24"/>
          <w:szCs w:val="24"/>
          <w:lang w:val="en-US"/>
        </w:rPr>
        <w:t xml:space="preserve"> Thirty-four out of 62 (54.9%) of our patients who presented first with hepatic encephalopathy were readmitted at least once with the same diagnosis in one year. HE is not simply a marker of disease severity; forty four (71%) of our index patients who presented with HE had MELD score below 15. This is an opportunity for focused management, as we hypothesize that HE patients are more prone to readmission due to the functional impact of encephalopathy. </w:t>
      </w:r>
    </w:p>
    <w:p w:rsidR="001A0975" w:rsidRPr="0058034D" w:rsidRDefault="005B3EAE" w:rsidP="00B91696">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Careful discharge planning and expedited outpatient follow-up may help prevent readmissions, though further study is needed for cirrhosis patients. In our study, patients discharged to skilled nursing facility, those who left the hospital against medical advice and homeless patients who were discharged to shelters had higher 30-</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w:t>
      </w:r>
      <w:r w:rsidRPr="0058034D">
        <w:rPr>
          <w:rFonts w:ascii="Book Antiqua" w:hAnsi="Book Antiqua" w:cs="Times New Roman"/>
          <w:color w:val="auto"/>
          <w:sz w:val="24"/>
          <w:szCs w:val="24"/>
          <w:lang w:val="en-US"/>
        </w:rPr>
        <w:lastRenderedPageBreak/>
        <w:t>readmission rates, but the results were not statistically significant. While not statistically significant, it is worth noting that the majority of our patients (54.3%) were discharged home without any support services, and only 27.2% of our patient cohort had VNA services after their index admission, pointing to an opportunity for further outreach once the patient leaves the hospital. As many cirrhotic patients have HE, compromising their decision making, coordinating medications and returning to their outpatient clinics for follow-up more challenging. As health systems design interventions for these complex patients, the role of home health care should be considered, with home visits for patients in our catchment area from nurses and/or allied health professionals who help patients organize their care once they’ve left the hospital.</w:t>
      </w:r>
      <w:r w:rsidR="009322B0" w:rsidRPr="0058034D">
        <w:rPr>
          <w:rFonts w:ascii="Book Antiqua" w:hAnsi="Book Antiqua" w:cs="Times New Roman"/>
          <w:color w:val="auto"/>
          <w:sz w:val="24"/>
          <w:szCs w:val="24"/>
          <w:lang w:val="en-US"/>
        </w:rPr>
        <w:t xml:space="preserve"> </w:t>
      </w:r>
      <w:r w:rsidRPr="0058034D">
        <w:rPr>
          <w:rFonts w:ascii="Book Antiqua" w:hAnsi="Book Antiqua" w:cs="Times New Roman"/>
          <w:color w:val="auto"/>
          <w:sz w:val="24"/>
          <w:szCs w:val="24"/>
          <w:lang w:val="en-US"/>
        </w:rPr>
        <w:t xml:space="preserve"> </w:t>
      </w:r>
    </w:p>
    <w:p w:rsidR="00A87FD4" w:rsidRPr="0058034D" w:rsidRDefault="005B3EAE" w:rsidP="00B91696">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 xml:space="preserve">Early outpatient follow-up by primary care and/or specialists may be another opportunity to improve outcomes but not necessarily reduce readmissions. A recent study conducted by the VA found that early (within 7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of discharge) outpatient follow-up in patients with cirrhosis slightly increased the rate of 30-</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readmissions, but significantly</w:t>
      </w:r>
      <w:r w:rsidR="00FB2342" w:rsidRPr="0058034D">
        <w:rPr>
          <w:rFonts w:ascii="Book Antiqua" w:hAnsi="Book Antiqua" w:cs="Times New Roman"/>
          <w:color w:val="auto"/>
          <w:sz w:val="24"/>
          <w:szCs w:val="24"/>
          <w:lang w:val="en-US"/>
        </w:rPr>
        <w:t xml:space="preserve"> lowered the risk of mortality</w:t>
      </w:r>
      <w:r w:rsidR="00FB2342" w:rsidRPr="0058034D">
        <w:rPr>
          <w:rFonts w:ascii="Book Antiqua" w:hAnsi="Book Antiqua" w:cs="Times New Roman"/>
          <w:color w:val="auto"/>
          <w:sz w:val="24"/>
          <w:szCs w:val="24"/>
          <w:vertAlign w:val="superscript"/>
          <w:lang w:val="en-US"/>
        </w:rPr>
        <w:t>[21]</w:t>
      </w:r>
      <w:r w:rsidR="00FB2342" w:rsidRPr="0058034D">
        <w:rPr>
          <w:rFonts w:ascii="Book Antiqua" w:hAnsi="Book Antiqua" w:cs="Times New Roman"/>
          <w:color w:val="auto"/>
          <w:sz w:val="24"/>
          <w:szCs w:val="24"/>
          <w:lang w:val="en-US"/>
        </w:rPr>
        <w:t>.</w:t>
      </w:r>
      <w:r w:rsidRPr="0058034D">
        <w:rPr>
          <w:rFonts w:ascii="Book Antiqua" w:hAnsi="Book Antiqua" w:cs="Times New Roman"/>
          <w:color w:val="auto"/>
          <w:sz w:val="24"/>
          <w:szCs w:val="24"/>
          <w:lang w:val="en-US"/>
        </w:rPr>
        <w:t xml:space="preserve"> A study in Denmark showed that one-hour rehabilitation clinic within 1-3 </w:t>
      </w:r>
      <w:r w:rsidR="00B91696" w:rsidRPr="0058034D">
        <w:rPr>
          <w:rFonts w:ascii="Book Antiqua" w:eastAsiaTheme="minorEastAsia" w:hAnsi="Book Antiqua" w:cs="Times New Roman" w:hint="eastAsia"/>
          <w:color w:val="auto"/>
          <w:sz w:val="24"/>
          <w:szCs w:val="24"/>
          <w:lang w:val="en-US" w:eastAsia="zh-CN"/>
        </w:rPr>
        <w:t>wk</w:t>
      </w:r>
      <w:r w:rsidRPr="0058034D">
        <w:rPr>
          <w:rFonts w:ascii="Book Antiqua" w:hAnsi="Book Antiqua" w:cs="Times New Roman"/>
          <w:color w:val="auto"/>
          <w:sz w:val="24"/>
          <w:szCs w:val="24"/>
          <w:lang w:val="en-US"/>
        </w:rPr>
        <w:t xml:space="preserve"> after discharge from HE, reduced alcohol consumption and improved survival, but did not diminish the </w:t>
      </w:r>
      <w:r w:rsidR="00FB2342" w:rsidRPr="0058034D">
        <w:rPr>
          <w:rFonts w:ascii="Book Antiqua" w:hAnsi="Book Antiqua" w:cs="Times New Roman"/>
          <w:color w:val="auto"/>
          <w:sz w:val="24"/>
          <w:szCs w:val="24"/>
          <w:lang w:val="en-US"/>
        </w:rPr>
        <w:t>subsequent hospital admissions</w:t>
      </w:r>
      <w:r w:rsidR="00FB2342" w:rsidRPr="0058034D">
        <w:rPr>
          <w:rFonts w:ascii="Book Antiqua" w:hAnsi="Book Antiqua" w:cs="Times New Roman"/>
          <w:color w:val="auto"/>
          <w:sz w:val="24"/>
          <w:szCs w:val="24"/>
          <w:vertAlign w:val="superscript"/>
          <w:lang w:val="en-US"/>
        </w:rPr>
        <w:t>[22]</w:t>
      </w:r>
      <w:r w:rsidRPr="0058034D">
        <w:rPr>
          <w:rFonts w:ascii="Book Antiqua" w:hAnsi="Book Antiqua" w:cs="Times New Roman"/>
          <w:color w:val="auto"/>
          <w:sz w:val="24"/>
          <w:szCs w:val="24"/>
          <w:lang w:val="en-US"/>
        </w:rPr>
        <w:t xml:space="preserve">. While our own numbers on outpatient follow-up were small, we did not show that relatively early medical follow-up (14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or less) prevented readmissions.</w:t>
      </w:r>
      <w:r w:rsidR="009322B0" w:rsidRPr="0058034D">
        <w:rPr>
          <w:rFonts w:ascii="Book Antiqua" w:hAnsi="Book Antiqua" w:cs="Times New Roman"/>
          <w:color w:val="auto"/>
          <w:sz w:val="24"/>
          <w:szCs w:val="24"/>
          <w:lang w:val="en-US"/>
        </w:rPr>
        <w:t xml:space="preserve"> </w:t>
      </w:r>
      <w:r w:rsidRPr="0058034D">
        <w:rPr>
          <w:rFonts w:ascii="Book Antiqua" w:hAnsi="Book Antiqua" w:cs="Times New Roman"/>
          <w:color w:val="auto"/>
          <w:sz w:val="24"/>
          <w:szCs w:val="24"/>
          <w:lang w:val="en-US"/>
        </w:rPr>
        <w:t xml:space="preserve">Follow up in two or three weeks for cirrhotics may not be sufficient. As the average time to a post-discharge visit ranged from 22.6-31.9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and 29 patients were readmitted before they had an outpatient visit, there is clearly room to improve access to post-discharge care, potentially harnessing alternate care models such as home health services, RN-led clinics and virtual visits. </w:t>
      </w:r>
    </w:p>
    <w:p w:rsidR="001A0975" w:rsidRPr="0058034D" w:rsidRDefault="005B3EAE" w:rsidP="00B91696">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Due to our use of clinical records, rather than insurance claims data, we were not able to directly gather data about hospitalizations outside our health care system. Also, our inclusion criteria only searched for admissions due to complications of cirrhosis, although (many) patients were hospitalized electively or non-electively for existing co-</w:t>
      </w:r>
      <w:r w:rsidRPr="0058034D">
        <w:rPr>
          <w:rFonts w:ascii="Book Antiqua" w:hAnsi="Book Antiqua" w:cs="Times New Roman"/>
          <w:color w:val="auto"/>
          <w:sz w:val="24"/>
          <w:szCs w:val="24"/>
          <w:lang w:val="en-US"/>
        </w:rPr>
        <w:lastRenderedPageBreak/>
        <w:t xml:space="preserve">morbidities other than complications of cirrhosis. Our study is subject to selection bias given that patients followed at tertiary care centers tend to be more medically complex. </w:t>
      </w:r>
    </w:p>
    <w:p w:rsidR="001A0975" w:rsidRPr="0058034D" w:rsidRDefault="005B3EAE" w:rsidP="00B91696">
      <w:pPr>
        <w:pStyle w:val="Body"/>
        <w:adjustRightInd w:val="0"/>
        <w:snapToGrid w:val="0"/>
        <w:spacing w:after="0" w:line="360" w:lineRule="auto"/>
        <w:ind w:firstLineChars="100" w:firstLine="240"/>
        <w:jc w:val="both"/>
        <w:rPr>
          <w:rFonts w:ascii="Book Antiqua" w:eastAsia="Times New Roman" w:hAnsi="Book Antiqua" w:cs="Times New Roman"/>
          <w:color w:val="auto"/>
          <w:sz w:val="24"/>
          <w:szCs w:val="24"/>
        </w:rPr>
      </w:pPr>
      <w:r w:rsidRPr="0058034D">
        <w:rPr>
          <w:rFonts w:ascii="Book Antiqua" w:hAnsi="Book Antiqua" w:cs="Times New Roman"/>
          <w:color w:val="auto"/>
          <w:sz w:val="24"/>
          <w:szCs w:val="24"/>
          <w:lang w:val="en-US"/>
        </w:rPr>
        <w:t xml:space="preserve">In summary, we showed that readmission risk for patients with cirrhosis continues well beyond 30 </w:t>
      </w:r>
      <w:r w:rsidR="00116ECF">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and may be attributable to serious chronic disease and compromised </w:t>
      </w:r>
      <w:r w:rsidR="00197C5C" w:rsidRPr="0058034D">
        <w:rPr>
          <w:rFonts w:ascii="Book Antiqua" w:hAnsi="Book Antiqua" w:cs="Times New Roman"/>
          <w:color w:val="auto"/>
          <w:sz w:val="24"/>
          <w:szCs w:val="24"/>
          <w:lang w:val="en-US"/>
        </w:rPr>
        <w:t>coping</w:t>
      </w:r>
      <w:r w:rsidRPr="0058034D">
        <w:rPr>
          <w:rFonts w:ascii="Book Antiqua" w:hAnsi="Book Antiqua" w:cs="Times New Roman"/>
          <w:color w:val="auto"/>
          <w:sz w:val="24"/>
          <w:szCs w:val="24"/>
          <w:lang w:val="en-US"/>
        </w:rPr>
        <w:t xml:space="preserve"> skills. We found that lower education level, MELD score ≥ 15, chronic liver disease due to more than one etiology, HE at index admission, and history of HCC are associated with shorter time to readmission with the median time to first readmission of 54 </w:t>
      </w:r>
      <w:r w:rsidR="00B91696"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 xml:space="preserve">. As health systems and insurers increasingly </w:t>
      </w:r>
      <w:r w:rsidR="007A16DD" w:rsidRPr="0058034D">
        <w:rPr>
          <w:rFonts w:ascii="Book Antiqua" w:hAnsi="Book Antiqua" w:cs="Times New Roman"/>
          <w:color w:val="auto"/>
          <w:sz w:val="24"/>
          <w:szCs w:val="24"/>
          <w:lang w:val="en-US"/>
        </w:rPr>
        <w:t>support the adoption of value-based payment methods and patient-centered care</w:t>
      </w:r>
      <w:r w:rsidRPr="0058034D">
        <w:rPr>
          <w:rFonts w:ascii="Book Antiqua" w:hAnsi="Book Antiqua" w:cs="Times New Roman"/>
          <w:color w:val="auto"/>
          <w:sz w:val="24"/>
          <w:szCs w:val="24"/>
          <w:lang w:val="en-US"/>
        </w:rPr>
        <w:t>, providers and health systems leaders must work proactively to identify high-cost and high-risk patient populations that may benefit from integrated care systems to help proactively m</w:t>
      </w:r>
      <w:r w:rsidR="00A87FD4" w:rsidRPr="0058034D">
        <w:rPr>
          <w:rFonts w:ascii="Book Antiqua" w:hAnsi="Book Antiqua" w:cs="Times New Roman"/>
          <w:color w:val="auto"/>
          <w:sz w:val="24"/>
          <w:szCs w:val="24"/>
          <w:lang w:val="en-US"/>
        </w:rPr>
        <w:t>anage chronically ill patients</w:t>
      </w:r>
      <w:r w:rsidR="00A87FD4" w:rsidRPr="0058034D">
        <w:rPr>
          <w:rFonts w:ascii="Book Antiqua" w:hAnsi="Book Antiqua" w:cs="Times New Roman"/>
          <w:color w:val="auto"/>
          <w:sz w:val="24"/>
          <w:szCs w:val="24"/>
          <w:vertAlign w:val="superscript"/>
          <w:lang w:val="en-US"/>
        </w:rPr>
        <w:t>[23,24]</w:t>
      </w:r>
      <w:r w:rsidRPr="0058034D">
        <w:rPr>
          <w:rFonts w:ascii="Book Antiqua" w:hAnsi="Book Antiqua" w:cs="Times New Roman"/>
          <w:color w:val="auto"/>
          <w:sz w:val="24"/>
          <w:szCs w:val="24"/>
          <w:lang w:val="en-US"/>
        </w:rPr>
        <w:t xml:space="preserve">. We believe that patients with cirrhosis are a population that will benefit by a </w:t>
      </w:r>
      <w:r w:rsidR="00197C5C" w:rsidRPr="0058034D">
        <w:rPr>
          <w:rFonts w:ascii="Book Antiqua" w:hAnsi="Book Antiqua" w:cs="Times New Roman"/>
          <w:color w:val="auto"/>
          <w:sz w:val="24"/>
          <w:szCs w:val="24"/>
          <w:lang w:val="en-US"/>
        </w:rPr>
        <w:t>systematic</w:t>
      </w:r>
      <w:r w:rsidR="00197C5C" w:rsidRPr="0058034D">
        <w:rPr>
          <w:rFonts w:ascii="Book Antiqua" w:hAnsi="Book Antiqua" w:cs="Times New Roman"/>
          <w:color w:val="auto"/>
          <w:sz w:val="24"/>
          <w:szCs w:val="24"/>
        </w:rPr>
        <w:t xml:space="preserve"> </w:t>
      </w:r>
      <w:r w:rsidR="00197C5C" w:rsidRPr="0058034D">
        <w:rPr>
          <w:rFonts w:ascii="Book Antiqua" w:hAnsi="Book Antiqua" w:cs="Times New Roman"/>
          <w:color w:val="auto"/>
          <w:sz w:val="24"/>
          <w:szCs w:val="24"/>
          <w:lang w:val="en-US"/>
        </w:rPr>
        <w:t>multidisciplinary</w:t>
      </w:r>
      <w:r w:rsidRPr="0058034D">
        <w:rPr>
          <w:rFonts w:ascii="Book Antiqua" w:hAnsi="Book Antiqua" w:cs="Times New Roman"/>
          <w:color w:val="auto"/>
          <w:sz w:val="24"/>
          <w:szCs w:val="24"/>
          <w:lang w:val="en-US"/>
        </w:rPr>
        <w:t xml:space="preserve"> outreach program which has the potential for preventing readmissions, improving care and saving money. Future studies should explore systems of care to define post-discharge best practices for continued care once the patient leaves the hospital environment.</w:t>
      </w:r>
    </w:p>
    <w:p w:rsidR="00290345" w:rsidRPr="0058034D" w:rsidRDefault="00290345" w:rsidP="001D73C6">
      <w:pPr>
        <w:pStyle w:val="Body"/>
        <w:adjustRightInd w:val="0"/>
        <w:snapToGrid w:val="0"/>
        <w:spacing w:after="0" w:line="360" w:lineRule="auto"/>
        <w:jc w:val="both"/>
        <w:rPr>
          <w:rFonts w:ascii="Book Antiqua" w:eastAsiaTheme="minorEastAsia" w:hAnsi="Book Antiqua" w:cs="Times New Roman"/>
          <w:color w:val="auto"/>
          <w:sz w:val="24"/>
          <w:szCs w:val="24"/>
          <w:lang w:eastAsia="zh-CN"/>
        </w:rPr>
      </w:pPr>
    </w:p>
    <w:p w:rsidR="00F11B06" w:rsidRPr="0058034D" w:rsidRDefault="00F11B06" w:rsidP="00F11B06">
      <w:pPr>
        <w:pStyle w:val="Body"/>
        <w:adjustRightInd w:val="0"/>
        <w:snapToGrid w:val="0"/>
        <w:spacing w:after="0" w:line="360" w:lineRule="auto"/>
        <w:jc w:val="both"/>
        <w:rPr>
          <w:rFonts w:ascii="Book Antiqua" w:eastAsia="Times New Roman" w:hAnsi="Book Antiqua" w:cs="Times New Roman"/>
          <w:b/>
          <w:bCs/>
          <w:color w:val="auto"/>
          <w:sz w:val="24"/>
          <w:szCs w:val="24"/>
        </w:rPr>
      </w:pPr>
      <w:r w:rsidRPr="0058034D">
        <w:rPr>
          <w:rFonts w:ascii="Book Antiqua" w:hAnsi="Book Antiqua" w:cs="Times New Roman"/>
          <w:b/>
          <w:bCs/>
          <w:color w:val="auto"/>
          <w:sz w:val="24"/>
          <w:szCs w:val="24"/>
          <w:lang w:val="en-US"/>
        </w:rPr>
        <w:t>ACKNOWLEDGEMENTS</w:t>
      </w:r>
    </w:p>
    <w:p w:rsidR="00F11B06" w:rsidRPr="0058034D" w:rsidRDefault="00F11B06" w:rsidP="00F11B06">
      <w:pPr>
        <w:pStyle w:val="a6"/>
        <w:adjustRightInd w:val="0"/>
        <w:snapToGrid w:val="0"/>
        <w:spacing w:after="0" w:line="360" w:lineRule="auto"/>
        <w:ind w:left="0"/>
        <w:jc w:val="both"/>
        <w:rPr>
          <w:rFonts w:ascii="Book Antiqua" w:eastAsiaTheme="minorEastAsia" w:hAnsi="Book Antiqua" w:cs="Times New Roman"/>
          <w:color w:val="auto"/>
          <w:sz w:val="24"/>
          <w:szCs w:val="24"/>
          <w:lang w:eastAsia="zh-CN"/>
        </w:rPr>
      </w:pPr>
      <w:r w:rsidRPr="0058034D">
        <w:rPr>
          <w:rFonts w:ascii="Book Antiqua" w:hAnsi="Book Antiqua" w:cs="Times New Roman"/>
          <w:color w:val="auto"/>
          <w:sz w:val="24"/>
          <w:szCs w:val="24"/>
        </w:rPr>
        <w:t>Contributors:</w:t>
      </w:r>
      <w:r w:rsidRPr="0058034D">
        <w:rPr>
          <w:rFonts w:ascii="Book Antiqua" w:eastAsiaTheme="minorEastAsia" w:hAnsi="Book Antiqua" w:cs="Times New Roman" w:hint="eastAsia"/>
          <w:color w:val="auto"/>
          <w:sz w:val="24"/>
          <w:szCs w:val="24"/>
          <w:lang w:eastAsia="zh-CN"/>
        </w:rPr>
        <w:t xml:space="preserve"> </w:t>
      </w:r>
      <w:r w:rsidRPr="0058034D">
        <w:rPr>
          <w:rFonts w:ascii="Book Antiqua" w:hAnsi="Book Antiqua" w:cs="Times New Roman"/>
          <w:color w:val="auto"/>
          <w:sz w:val="24"/>
          <w:szCs w:val="24"/>
        </w:rPr>
        <w:t>Han Lee, PhD</w:t>
      </w:r>
      <w:r w:rsidRPr="0058034D">
        <w:rPr>
          <w:rFonts w:ascii="Book Antiqua" w:eastAsiaTheme="minorEastAsia" w:hAnsi="Book Antiqua" w:cs="Times New Roman" w:hint="eastAsia"/>
          <w:color w:val="auto"/>
          <w:sz w:val="24"/>
          <w:szCs w:val="24"/>
          <w:lang w:eastAsia="zh-CN"/>
        </w:rPr>
        <w:t>;</w:t>
      </w:r>
      <w:r w:rsidR="009322B0" w:rsidRPr="0058034D">
        <w:rPr>
          <w:rFonts w:ascii="Book Antiqua" w:eastAsiaTheme="minorEastAsia" w:hAnsi="Book Antiqua" w:cs="Times New Roman" w:hint="eastAsia"/>
          <w:color w:val="auto"/>
          <w:sz w:val="24"/>
          <w:szCs w:val="24"/>
          <w:lang w:eastAsia="zh-CN"/>
        </w:rPr>
        <w:t xml:space="preserve"> </w:t>
      </w:r>
      <w:r w:rsidRPr="0058034D">
        <w:rPr>
          <w:rFonts w:ascii="Book Antiqua" w:hAnsi="Book Antiqua" w:cs="Times New Roman"/>
          <w:color w:val="auto"/>
          <w:sz w:val="24"/>
          <w:szCs w:val="24"/>
        </w:rPr>
        <w:t>Amit Joshi, MBBS, PhD</w:t>
      </w:r>
      <w:r w:rsidRPr="0058034D">
        <w:rPr>
          <w:rFonts w:ascii="Book Antiqua" w:eastAsiaTheme="minorEastAsia" w:hAnsi="Book Antiqua" w:cs="Times New Roman" w:hint="eastAsia"/>
          <w:color w:val="auto"/>
          <w:sz w:val="24"/>
          <w:szCs w:val="24"/>
          <w:lang w:eastAsia="zh-CN"/>
        </w:rPr>
        <w:t xml:space="preserve">; </w:t>
      </w:r>
      <w:r w:rsidRPr="0058034D">
        <w:rPr>
          <w:rFonts w:ascii="Book Antiqua" w:hAnsi="Book Antiqua" w:cs="Times New Roman"/>
          <w:color w:val="auto"/>
          <w:sz w:val="24"/>
          <w:szCs w:val="24"/>
        </w:rPr>
        <w:t>Hamed Khalili, MD, MPH</w:t>
      </w:r>
      <w:r w:rsidRPr="0058034D">
        <w:rPr>
          <w:rFonts w:ascii="Book Antiqua" w:eastAsiaTheme="minorEastAsia" w:hAnsi="Book Antiqua" w:cs="Times New Roman" w:hint="eastAsia"/>
          <w:color w:val="auto"/>
          <w:sz w:val="24"/>
          <w:szCs w:val="24"/>
          <w:lang w:eastAsia="zh-CN"/>
        </w:rPr>
        <w:t>.</w:t>
      </w:r>
    </w:p>
    <w:p w:rsidR="00F11B06" w:rsidRPr="0058034D" w:rsidRDefault="00F11B06" w:rsidP="001D73C6">
      <w:pPr>
        <w:pStyle w:val="Body"/>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1A0975" w:rsidRPr="0058034D" w:rsidRDefault="00290345" w:rsidP="001D73C6">
      <w:pPr>
        <w:pStyle w:val="Body"/>
        <w:adjustRightInd w:val="0"/>
        <w:snapToGrid w:val="0"/>
        <w:spacing w:after="0" w:line="360" w:lineRule="auto"/>
        <w:jc w:val="both"/>
        <w:rPr>
          <w:rFonts w:ascii="Book Antiqua" w:eastAsiaTheme="minorEastAsia" w:hAnsi="Book Antiqua" w:cs="Times New Roman"/>
          <w:b/>
          <w:color w:val="auto"/>
          <w:sz w:val="24"/>
          <w:szCs w:val="24"/>
          <w:lang w:eastAsia="zh-CN"/>
        </w:rPr>
      </w:pPr>
      <w:r w:rsidRPr="0058034D">
        <w:rPr>
          <w:rFonts w:ascii="Book Antiqua" w:eastAsiaTheme="minorEastAsia" w:hAnsi="Book Antiqua" w:cs="Times New Roman" w:hint="eastAsia"/>
          <w:b/>
          <w:color w:val="auto"/>
          <w:sz w:val="24"/>
          <w:szCs w:val="24"/>
          <w:lang w:eastAsia="zh-CN"/>
        </w:rPr>
        <w:t>COMMENTS</w:t>
      </w:r>
    </w:p>
    <w:p w:rsidR="005D1FD7" w:rsidRPr="0058034D" w:rsidRDefault="005D1FD7" w:rsidP="001D73C6">
      <w:pPr>
        <w:adjustRightInd w:val="0"/>
        <w:snapToGrid w:val="0"/>
        <w:spacing w:line="360" w:lineRule="auto"/>
        <w:jc w:val="both"/>
        <w:rPr>
          <w:rFonts w:ascii="Book Antiqua" w:eastAsia="Times New Roman" w:hAnsi="Book Antiqua"/>
          <w:u w:color="000000"/>
          <w:lang w:val="fr-FR"/>
        </w:rPr>
      </w:pPr>
      <w:bookmarkStart w:id="447" w:name="OLE_LINK614"/>
      <w:bookmarkStart w:id="448" w:name="OLE_LINK615"/>
      <w:bookmarkStart w:id="449" w:name="OLE_LINK685"/>
      <w:bookmarkStart w:id="450" w:name="OLE_LINK849"/>
      <w:bookmarkStart w:id="451" w:name="OLE_LINK936"/>
      <w:bookmarkStart w:id="452" w:name="OLE_LINK937"/>
      <w:bookmarkStart w:id="453" w:name="OLE_LINK938"/>
      <w:bookmarkStart w:id="454" w:name="OLE_LINK939"/>
      <w:bookmarkStart w:id="455" w:name="OLE_LINK940"/>
      <w:bookmarkStart w:id="456" w:name="OLE_LINK941"/>
      <w:bookmarkStart w:id="457" w:name="OLE_LINK1153"/>
      <w:bookmarkStart w:id="458" w:name="OLE_LINK1001"/>
      <w:bookmarkStart w:id="459" w:name="OLE_LINK1166"/>
      <w:bookmarkStart w:id="460" w:name="OLE_LINK1167"/>
      <w:bookmarkStart w:id="461" w:name="OLE_LINK1233"/>
      <w:bookmarkStart w:id="462" w:name="OLE_LINK1234"/>
      <w:bookmarkStart w:id="463" w:name="OLE_LINK1253"/>
      <w:bookmarkStart w:id="464" w:name="OLE_LINK1275"/>
      <w:bookmarkStart w:id="465" w:name="OLE_LINK1345"/>
      <w:bookmarkStart w:id="466" w:name="OLE_LINK1067"/>
      <w:bookmarkStart w:id="467" w:name="OLE_LINK1069"/>
      <w:bookmarkStart w:id="468" w:name="OLE_LINK1557"/>
      <w:bookmarkStart w:id="469" w:name="OLE_LINK1591"/>
      <w:bookmarkStart w:id="470" w:name="OLE_LINK1592"/>
      <w:bookmarkStart w:id="471" w:name="OLE_LINK1605"/>
      <w:bookmarkStart w:id="472" w:name="OLE_LINK1645"/>
      <w:bookmarkStart w:id="473" w:name="OLE_LINK1659"/>
      <w:bookmarkStart w:id="474" w:name="OLE_LINK1692"/>
      <w:bookmarkStart w:id="475" w:name="OLE_LINK1693"/>
      <w:bookmarkStart w:id="476" w:name="OLE_LINK1702"/>
      <w:bookmarkStart w:id="477" w:name="OLE_LINK1703"/>
      <w:bookmarkStart w:id="478" w:name="OLE_LINK1785"/>
      <w:bookmarkStart w:id="479" w:name="OLE_LINK1806"/>
      <w:bookmarkStart w:id="480" w:name="OLE_LINK1932"/>
      <w:bookmarkStart w:id="481" w:name="OLE_LINK1934"/>
      <w:bookmarkStart w:id="482" w:name="OLE_LINK2037"/>
      <w:bookmarkStart w:id="483" w:name="OLE_LINK2073"/>
      <w:bookmarkStart w:id="484" w:name="OLE_LINK2089"/>
      <w:bookmarkStart w:id="485" w:name="OLE_LINK2172"/>
      <w:bookmarkStart w:id="486" w:name="OLE_LINK2173"/>
      <w:bookmarkStart w:id="487" w:name="OLE_LINK2257"/>
      <w:bookmarkStart w:id="488" w:name="OLE_LINK2534"/>
      <w:bookmarkStart w:id="489" w:name="OLE_LINK2480"/>
      <w:bookmarkStart w:id="490" w:name="OLE_LINK2498"/>
      <w:bookmarkStart w:id="491" w:name="OLE_LINK2500"/>
      <w:bookmarkStart w:id="492" w:name="OLE_LINK2501"/>
      <w:bookmarkStart w:id="493" w:name="OLE_LINK2561"/>
      <w:bookmarkStart w:id="494" w:name="OLE_LINK902"/>
      <w:bookmarkStart w:id="495" w:name="OLE_LINK903"/>
      <w:bookmarkStart w:id="496" w:name="OLE_LINK904"/>
      <w:bookmarkStart w:id="497" w:name="OLE_LINK905"/>
      <w:bookmarkStart w:id="498" w:name="OLE_LINK1827"/>
      <w:bookmarkStart w:id="499" w:name="OLE_LINK1828"/>
      <w:bookmarkStart w:id="500" w:name="OLE_LINK1829"/>
      <w:bookmarkStart w:id="501" w:name="OLE_LINK2351"/>
      <w:bookmarkStart w:id="502" w:name="OLE_LINK2353"/>
      <w:bookmarkStart w:id="503" w:name="OLE_LINK2354"/>
      <w:bookmarkStart w:id="504" w:name="OLE_LINK2355"/>
      <w:bookmarkStart w:id="505" w:name="OLE_LINK843"/>
      <w:bookmarkStart w:id="506" w:name="OLE_LINK844"/>
      <w:r w:rsidRPr="0058034D">
        <w:rPr>
          <w:rFonts w:ascii="Book Antiqua" w:hAnsi="Book Antiqua"/>
          <w:b/>
          <w:bCs/>
          <w:i/>
        </w:rPr>
        <w:t>Background</w:t>
      </w:r>
    </w:p>
    <w:bookmarkEnd w:id="447"/>
    <w:bookmarkEnd w:id="448"/>
    <w:p w:rsidR="005D1FD7" w:rsidRPr="0058034D" w:rsidRDefault="005D1FD7" w:rsidP="001D73C6">
      <w:pPr>
        <w:adjustRightInd w:val="0"/>
        <w:snapToGrid w:val="0"/>
        <w:spacing w:line="360" w:lineRule="auto"/>
        <w:jc w:val="both"/>
        <w:rPr>
          <w:rFonts w:ascii="Book Antiqua" w:hAnsi="Book Antiqua"/>
          <w:lang w:eastAsia="zh-CN"/>
        </w:rPr>
      </w:pPr>
      <w:r w:rsidRPr="0058034D">
        <w:rPr>
          <w:rFonts w:ascii="Book Antiqua" w:hAnsi="Book Antiqua"/>
        </w:rPr>
        <w:t xml:space="preserve">Hospital readmissions are gaining increasing scrutiny as a measure of value-based health care as they directly impact both quality and cost of care. Cirrhosis and complications of </w:t>
      </w:r>
      <w:r w:rsidR="009F0A12" w:rsidRPr="0058034D">
        <w:rPr>
          <w:rFonts w:ascii="Book Antiqua" w:hAnsi="Book Antiqua"/>
        </w:rPr>
        <w:t>cirrhosis account for around 40</w:t>
      </w:r>
      <w:r w:rsidRPr="0058034D">
        <w:rPr>
          <w:rFonts w:ascii="Book Antiqua" w:hAnsi="Book Antiqua"/>
        </w:rPr>
        <w:t>000 deaths in the United States an</w:t>
      </w:r>
      <w:r w:rsidR="009F0A12" w:rsidRPr="0058034D">
        <w:rPr>
          <w:rFonts w:ascii="Book Antiqua" w:hAnsi="Book Antiqua"/>
        </w:rPr>
        <w:t>nually and also account for 150</w:t>
      </w:r>
      <w:r w:rsidRPr="0058034D">
        <w:rPr>
          <w:rFonts w:ascii="Book Antiqua" w:hAnsi="Book Antiqua"/>
        </w:rPr>
        <w:t>000 hospitalizations in the US, with an estimated total estimated cost of $4 billion annually. A recent study found that 37% of patients with decompensated cirrhosis were readmitted within one month of dis</w:t>
      </w:r>
      <w:r w:rsidR="009F0A12" w:rsidRPr="0058034D">
        <w:rPr>
          <w:rFonts w:ascii="Book Antiqua" w:hAnsi="Book Antiqua"/>
        </w:rPr>
        <w:t>charge at a cost of roughly $20</w:t>
      </w:r>
      <w:r w:rsidRPr="0058034D">
        <w:rPr>
          <w:rFonts w:ascii="Book Antiqua" w:hAnsi="Book Antiqua"/>
        </w:rPr>
        <w:t>000 per admission.</w:t>
      </w:r>
    </w:p>
    <w:p w:rsidR="009F0A12" w:rsidRPr="0058034D" w:rsidRDefault="009F0A12" w:rsidP="001D73C6">
      <w:pPr>
        <w:adjustRightInd w:val="0"/>
        <w:snapToGrid w:val="0"/>
        <w:spacing w:line="360" w:lineRule="auto"/>
        <w:jc w:val="both"/>
        <w:rPr>
          <w:rFonts w:ascii="Book Antiqua" w:hAnsi="Book Antiqua"/>
          <w:b/>
          <w:lang w:eastAsia="zh-CN"/>
        </w:rPr>
      </w:pPr>
    </w:p>
    <w:p w:rsidR="005D1FD7" w:rsidRPr="0058034D" w:rsidRDefault="005D1FD7" w:rsidP="001D73C6">
      <w:pPr>
        <w:adjustRightInd w:val="0"/>
        <w:snapToGrid w:val="0"/>
        <w:spacing w:line="360" w:lineRule="auto"/>
        <w:jc w:val="both"/>
        <w:rPr>
          <w:rFonts w:ascii="Book Antiqua" w:hAnsi="Book Antiqua"/>
          <w:b/>
          <w:bCs/>
          <w:i/>
        </w:rPr>
      </w:pPr>
      <w:r w:rsidRPr="0058034D">
        <w:rPr>
          <w:rFonts w:ascii="Book Antiqua" w:hAnsi="Book Antiqua"/>
          <w:b/>
          <w:bCs/>
          <w:i/>
        </w:rPr>
        <w:t>Research frontiers</w:t>
      </w:r>
    </w:p>
    <w:p w:rsidR="005D1FD7" w:rsidRPr="0058034D" w:rsidRDefault="005D1FD7" w:rsidP="001D73C6">
      <w:pPr>
        <w:adjustRightInd w:val="0"/>
        <w:snapToGrid w:val="0"/>
        <w:spacing w:line="360" w:lineRule="auto"/>
        <w:jc w:val="both"/>
        <w:rPr>
          <w:rFonts w:ascii="Book Antiqua" w:hAnsi="Book Antiqua"/>
          <w:lang w:eastAsia="zh-CN"/>
        </w:rPr>
      </w:pPr>
      <w:r w:rsidRPr="0058034D">
        <w:rPr>
          <w:rFonts w:ascii="Book Antiqua" w:hAnsi="Book Antiqua"/>
        </w:rPr>
        <w:t>In the current value-based healthcare landscape, hospitals will be increasingly held financially accountable for readmissions under value-based care programs. Moreover, no evidence-based systems have been developed to reduce readmission rates in most chronic disease conditions, such as cirrhosis.</w:t>
      </w:r>
    </w:p>
    <w:p w:rsidR="009F0A12" w:rsidRPr="0058034D" w:rsidRDefault="009F0A12" w:rsidP="001D73C6">
      <w:pPr>
        <w:adjustRightInd w:val="0"/>
        <w:snapToGrid w:val="0"/>
        <w:spacing w:line="360" w:lineRule="auto"/>
        <w:jc w:val="both"/>
        <w:rPr>
          <w:rFonts w:ascii="Book Antiqua" w:hAnsi="Book Antiqua"/>
          <w:lang w:eastAsia="zh-CN"/>
        </w:rPr>
      </w:pPr>
    </w:p>
    <w:p w:rsidR="005D1FD7" w:rsidRPr="0058034D" w:rsidRDefault="005D1FD7" w:rsidP="001D73C6">
      <w:pPr>
        <w:adjustRightInd w:val="0"/>
        <w:snapToGrid w:val="0"/>
        <w:spacing w:line="360" w:lineRule="auto"/>
        <w:jc w:val="both"/>
        <w:rPr>
          <w:rFonts w:ascii="Book Antiqua" w:hAnsi="Book Antiqua"/>
          <w:i/>
        </w:rPr>
      </w:pPr>
      <w:r w:rsidRPr="0058034D">
        <w:rPr>
          <w:rFonts w:ascii="Book Antiqua" w:hAnsi="Book Antiqua"/>
          <w:b/>
          <w:bCs/>
          <w:i/>
        </w:rPr>
        <w:t>Innovations and breakthroughs</w:t>
      </w:r>
    </w:p>
    <w:p w:rsidR="005D1FD7" w:rsidRPr="0058034D" w:rsidRDefault="005D1FD7" w:rsidP="001D73C6">
      <w:pPr>
        <w:pStyle w:val="Body"/>
        <w:adjustRightInd w:val="0"/>
        <w:snapToGrid w:val="0"/>
        <w:spacing w:after="0" w:line="360" w:lineRule="auto"/>
        <w:jc w:val="both"/>
        <w:rPr>
          <w:rFonts w:ascii="Book Antiqua" w:eastAsia="Arial Unicode MS" w:hAnsi="Book Antiqua" w:cs="Times New Roman"/>
          <w:color w:val="auto"/>
          <w:sz w:val="24"/>
          <w:szCs w:val="24"/>
          <w:lang w:val="en-US" w:eastAsia="zh-CN"/>
        </w:rPr>
      </w:pPr>
      <w:r w:rsidRPr="0058034D">
        <w:rPr>
          <w:rFonts w:ascii="Book Antiqua" w:eastAsia="Arial Unicode MS" w:hAnsi="Book Antiqua" w:cs="Times New Roman"/>
          <w:color w:val="auto"/>
          <w:sz w:val="24"/>
          <w:szCs w:val="24"/>
          <w:lang w:val="en-US"/>
        </w:rPr>
        <w:t>Factors associated with readmissions in decompensated cirrhosis in previous works include MELD, diabetes, nosocomial infections, BMI and hepatic encephalopathy</w:t>
      </w:r>
      <w:r w:rsidR="004827FE" w:rsidRPr="0058034D">
        <w:rPr>
          <w:rFonts w:ascii="Book Antiqua" w:eastAsia="Arial Unicode MS" w:hAnsi="Book Antiqua" w:cs="Times New Roman"/>
          <w:color w:val="auto"/>
          <w:sz w:val="24"/>
          <w:szCs w:val="24"/>
          <w:lang w:val="en-US"/>
        </w:rPr>
        <w:t xml:space="preserve">. Early outpatient follow-up by primary care and/or specialists may be another opportunity to improve outcomes but not necessarily reduce readmissions. A recent study found that early (within 7 </w:t>
      </w:r>
      <w:r w:rsidR="009F0A12" w:rsidRPr="0058034D">
        <w:rPr>
          <w:rFonts w:ascii="Book Antiqua" w:eastAsia="Arial Unicode MS" w:hAnsi="Book Antiqua" w:cs="Times New Roman" w:hint="eastAsia"/>
          <w:color w:val="auto"/>
          <w:sz w:val="24"/>
          <w:szCs w:val="24"/>
          <w:lang w:val="en-US" w:eastAsia="zh-CN"/>
        </w:rPr>
        <w:t>d</w:t>
      </w:r>
      <w:r w:rsidR="004827FE" w:rsidRPr="0058034D">
        <w:rPr>
          <w:rFonts w:ascii="Book Antiqua" w:eastAsia="Arial Unicode MS" w:hAnsi="Book Antiqua" w:cs="Times New Roman"/>
          <w:color w:val="auto"/>
          <w:sz w:val="24"/>
          <w:szCs w:val="24"/>
          <w:lang w:val="en-US"/>
        </w:rPr>
        <w:t xml:space="preserve"> of discharge) outpatient follow-up in patients with cirrhosis slightly increased the rate of 30-</w:t>
      </w:r>
      <w:r w:rsidR="009F0A12" w:rsidRPr="0058034D">
        <w:rPr>
          <w:rFonts w:ascii="Book Antiqua" w:eastAsia="Arial Unicode MS" w:hAnsi="Book Antiqua" w:cs="Times New Roman" w:hint="eastAsia"/>
          <w:color w:val="auto"/>
          <w:sz w:val="24"/>
          <w:szCs w:val="24"/>
          <w:lang w:val="en-US" w:eastAsia="zh-CN"/>
        </w:rPr>
        <w:t>d</w:t>
      </w:r>
      <w:r w:rsidR="004827FE" w:rsidRPr="0058034D">
        <w:rPr>
          <w:rFonts w:ascii="Book Antiqua" w:eastAsia="Arial Unicode MS" w:hAnsi="Book Antiqua" w:cs="Times New Roman"/>
          <w:color w:val="auto"/>
          <w:sz w:val="24"/>
          <w:szCs w:val="24"/>
          <w:lang w:val="en-US"/>
        </w:rPr>
        <w:t xml:space="preserve"> readmissions, but significantly lowered the risk of mortality. While our own numbers on outpatient follow-up were small, we did not show that relatively early medical follow-up (14 </w:t>
      </w:r>
      <w:r w:rsidR="009F0A12" w:rsidRPr="0058034D">
        <w:rPr>
          <w:rFonts w:ascii="Book Antiqua" w:eastAsia="Arial Unicode MS" w:hAnsi="Book Antiqua" w:cs="Times New Roman" w:hint="eastAsia"/>
          <w:color w:val="auto"/>
          <w:sz w:val="24"/>
          <w:szCs w:val="24"/>
          <w:lang w:val="en-US" w:eastAsia="zh-CN"/>
        </w:rPr>
        <w:t>d</w:t>
      </w:r>
      <w:r w:rsidR="004827FE" w:rsidRPr="0058034D">
        <w:rPr>
          <w:rFonts w:ascii="Book Antiqua" w:eastAsia="Arial Unicode MS" w:hAnsi="Book Antiqua" w:cs="Times New Roman"/>
          <w:color w:val="auto"/>
          <w:sz w:val="24"/>
          <w:szCs w:val="24"/>
          <w:lang w:val="en-US"/>
        </w:rPr>
        <w:t xml:space="preserve"> or less) prevented readmissions.</w:t>
      </w:r>
      <w:r w:rsidR="009322B0" w:rsidRPr="0058034D">
        <w:rPr>
          <w:rFonts w:ascii="Book Antiqua" w:eastAsia="Arial Unicode MS" w:hAnsi="Book Antiqua" w:cs="Times New Roman"/>
          <w:color w:val="auto"/>
          <w:sz w:val="24"/>
          <w:szCs w:val="24"/>
          <w:lang w:val="en-US"/>
        </w:rPr>
        <w:t xml:space="preserve"> </w:t>
      </w:r>
      <w:r w:rsidR="004827FE" w:rsidRPr="0058034D">
        <w:rPr>
          <w:rFonts w:ascii="Book Antiqua" w:eastAsia="Arial Unicode MS" w:hAnsi="Book Antiqua" w:cs="Times New Roman"/>
          <w:color w:val="auto"/>
          <w:sz w:val="24"/>
          <w:szCs w:val="24"/>
          <w:lang w:val="en-US"/>
        </w:rPr>
        <w:t xml:space="preserve">Follow up in two or three weeks for cirrhotics may not be sufficient, as the average time to a post-discharge visit ranged from 22.6-31.9 </w:t>
      </w:r>
      <w:r w:rsidR="009F0A12" w:rsidRPr="0058034D">
        <w:rPr>
          <w:rFonts w:ascii="Book Antiqua" w:eastAsia="Arial Unicode MS" w:hAnsi="Book Antiqua" w:cs="Times New Roman" w:hint="eastAsia"/>
          <w:color w:val="auto"/>
          <w:sz w:val="24"/>
          <w:szCs w:val="24"/>
          <w:lang w:val="en-US" w:eastAsia="zh-CN"/>
        </w:rPr>
        <w:t>d</w:t>
      </w:r>
      <w:r w:rsidR="004827FE" w:rsidRPr="0058034D">
        <w:rPr>
          <w:rFonts w:ascii="Book Antiqua" w:eastAsia="Arial Unicode MS" w:hAnsi="Book Antiqua" w:cs="Times New Roman"/>
          <w:color w:val="auto"/>
          <w:sz w:val="24"/>
          <w:szCs w:val="24"/>
          <w:lang w:val="en-US"/>
        </w:rPr>
        <w:t xml:space="preserve">, and 29 patients were readmitted before they had an outpatient visit; there is clearly room to improve access to post-discharge care, potentially harnessing alternate care models such as home health services, RN-led clinics and virtual visits. </w:t>
      </w:r>
    </w:p>
    <w:p w:rsidR="009F0A12" w:rsidRPr="0058034D" w:rsidRDefault="009F0A12" w:rsidP="001D73C6">
      <w:pPr>
        <w:pStyle w:val="Body"/>
        <w:adjustRightInd w:val="0"/>
        <w:snapToGrid w:val="0"/>
        <w:spacing w:after="0" w:line="360" w:lineRule="auto"/>
        <w:jc w:val="both"/>
        <w:rPr>
          <w:rFonts w:ascii="Book Antiqua" w:eastAsia="Arial Unicode MS" w:hAnsi="Book Antiqua" w:cs="Times New Roman"/>
          <w:color w:val="auto"/>
          <w:sz w:val="24"/>
          <w:szCs w:val="24"/>
          <w:lang w:val="en-US" w:eastAsia="zh-CN"/>
        </w:rPr>
      </w:pPr>
    </w:p>
    <w:p w:rsidR="005D1FD7" w:rsidRPr="0058034D" w:rsidRDefault="005D1FD7" w:rsidP="001D73C6">
      <w:pPr>
        <w:adjustRightInd w:val="0"/>
        <w:snapToGrid w:val="0"/>
        <w:spacing w:line="360" w:lineRule="auto"/>
        <w:jc w:val="both"/>
        <w:rPr>
          <w:rFonts w:ascii="Book Antiqua" w:hAnsi="Book Antiqua"/>
          <w:b/>
          <w:bCs/>
          <w:i/>
        </w:rPr>
      </w:pPr>
      <w:bookmarkStart w:id="507" w:name="OLE_LINK1860"/>
      <w:bookmarkStart w:id="508" w:name="OLE_LINK1861"/>
      <w:r w:rsidRPr="0058034D">
        <w:rPr>
          <w:rFonts w:ascii="Book Antiqua" w:hAnsi="Book Antiqua"/>
          <w:b/>
          <w:bCs/>
          <w:i/>
        </w:rPr>
        <w:t xml:space="preserve">Applications </w:t>
      </w:r>
    </w:p>
    <w:bookmarkEnd w:id="507"/>
    <w:bookmarkEnd w:id="508"/>
    <w:p w:rsidR="005D1FD7" w:rsidRPr="0058034D" w:rsidRDefault="00F11B06" w:rsidP="001D73C6">
      <w:pPr>
        <w:pStyle w:val="Body"/>
        <w:adjustRightInd w:val="0"/>
        <w:snapToGrid w:val="0"/>
        <w:spacing w:after="0" w:line="360" w:lineRule="auto"/>
        <w:jc w:val="both"/>
        <w:rPr>
          <w:rFonts w:ascii="Book Antiqua" w:eastAsia="Arial Unicode MS" w:hAnsi="Book Antiqua" w:cs="Times New Roman"/>
          <w:color w:val="auto"/>
          <w:sz w:val="24"/>
          <w:szCs w:val="24"/>
          <w:lang w:val="en-US"/>
        </w:rPr>
      </w:pPr>
      <w:r w:rsidRPr="0058034D">
        <w:rPr>
          <w:rFonts w:ascii="Book Antiqua" w:eastAsia="Arial Unicode MS" w:hAnsi="Book Antiqua" w:cs="Times New Roman" w:hint="eastAsia"/>
          <w:color w:val="auto"/>
          <w:sz w:val="24"/>
          <w:szCs w:val="24"/>
          <w:lang w:val="en-US" w:eastAsia="zh-CN"/>
        </w:rPr>
        <w:t>Authors</w:t>
      </w:r>
      <w:r w:rsidRPr="0058034D">
        <w:rPr>
          <w:rFonts w:ascii="Book Antiqua" w:eastAsia="Arial Unicode MS" w:hAnsi="Book Antiqua" w:cs="Times New Roman"/>
          <w:color w:val="auto"/>
          <w:sz w:val="24"/>
          <w:szCs w:val="24"/>
          <w:lang w:val="en-US" w:eastAsia="zh-CN"/>
        </w:rPr>
        <w:t>’</w:t>
      </w:r>
      <w:r w:rsidR="005D1FD7" w:rsidRPr="0058034D">
        <w:rPr>
          <w:rFonts w:ascii="Book Antiqua" w:eastAsia="Arial Unicode MS" w:hAnsi="Book Antiqua" w:cs="Times New Roman"/>
          <w:color w:val="auto"/>
          <w:sz w:val="24"/>
          <w:szCs w:val="24"/>
          <w:lang w:val="en-US"/>
        </w:rPr>
        <w:t xml:space="preserve"> institution has sought to improve the continuity of care for high-risk patients through post-discharge phone calls, as well as through care management programs for chronic conditions such as heart disease and diabetes, and </w:t>
      </w:r>
      <w:r w:rsidRPr="0058034D">
        <w:rPr>
          <w:rFonts w:ascii="Book Antiqua" w:eastAsia="Arial Unicode MS" w:hAnsi="Book Antiqua" w:cs="Times New Roman" w:hint="eastAsia"/>
          <w:color w:val="auto"/>
          <w:sz w:val="24"/>
          <w:szCs w:val="24"/>
          <w:lang w:val="en-US" w:eastAsia="zh-CN"/>
        </w:rPr>
        <w:t>they</w:t>
      </w:r>
      <w:r w:rsidR="005D1FD7" w:rsidRPr="0058034D">
        <w:rPr>
          <w:rFonts w:ascii="Book Antiqua" w:eastAsia="Arial Unicode MS" w:hAnsi="Book Antiqua" w:cs="Times New Roman"/>
          <w:color w:val="auto"/>
          <w:sz w:val="24"/>
          <w:szCs w:val="24"/>
          <w:lang w:val="en-US"/>
        </w:rPr>
        <w:t xml:space="preserve"> hope to extend such programs to patients with cirrhosis to improve clinical outcomes and reduce readmissions. </w:t>
      </w:r>
      <w:r w:rsidRPr="0058034D">
        <w:rPr>
          <w:rFonts w:ascii="Book Antiqua" w:eastAsia="Arial Unicode MS" w:hAnsi="Book Antiqua" w:cs="Times New Roman" w:hint="eastAsia"/>
          <w:color w:val="auto"/>
          <w:sz w:val="24"/>
          <w:szCs w:val="24"/>
          <w:lang w:val="en-US" w:eastAsia="zh-CN"/>
        </w:rPr>
        <w:t>Authors</w:t>
      </w:r>
      <w:r w:rsidR="005D1FD7" w:rsidRPr="0058034D">
        <w:rPr>
          <w:rFonts w:ascii="Book Antiqua" w:eastAsia="Arial Unicode MS" w:hAnsi="Book Antiqua" w:cs="Times New Roman"/>
          <w:color w:val="auto"/>
          <w:sz w:val="24"/>
          <w:szCs w:val="24"/>
          <w:lang w:val="en-US"/>
        </w:rPr>
        <w:t xml:space="preserve"> performed this study to better understand and define the predictors of readmission, as well as time to first readmission, in a cohort of patients </w:t>
      </w:r>
      <w:r w:rsidR="005D1FD7" w:rsidRPr="0058034D">
        <w:rPr>
          <w:rFonts w:ascii="Book Antiqua" w:eastAsia="Arial Unicode MS" w:hAnsi="Book Antiqua" w:cs="Times New Roman"/>
          <w:color w:val="auto"/>
          <w:sz w:val="24"/>
          <w:szCs w:val="24"/>
          <w:lang w:val="en-US"/>
        </w:rPr>
        <w:lastRenderedPageBreak/>
        <w:t>with decompensated cirrhosis, to better target future programs aimed at reducing readmissions and improving patient outcomes.</w:t>
      </w:r>
    </w:p>
    <w:p w:rsidR="00A059DB" w:rsidRDefault="00A059DB" w:rsidP="001D73C6">
      <w:pPr>
        <w:adjustRightInd w:val="0"/>
        <w:snapToGrid w:val="0"/>
        <w:spacing w:line="360" w:lineRule="auto"/>
        <w:jc w:val="both"/>
        <w:rPr>
          <w:rFonts w:ascii="Book Antiqua" w:hAnsi="Book Antiqua" w:hint="eastAsia"/>
          <w:b/>
          <w:bCs/>
          <w:i/>
          <w:lang w:eastAsia="zh-CN"/>
        </w:rPr>
      </w:pPr>
    </w:p>
    <w:p w:rsidR="005D1FD7" w:rsidRPr="0058034D" w:rsidRDefault="005D1FD7" w:rsidP="001D73C6">
      <w:pPr>
        <w:adjustRightInd w:val="0"/>
        <w:snapToGrid w:val="0"/>
        <w:spacing w:line="360" w:lineRule="auto"/>
        <w:jc w:val="both"/>
        <w:rPr>
          <w:rFonts w:ascii="Book Antiqua" w:hAnsi="Book Antiqua"/>
          <w:b/>
          <w:bCs/>
          <w:i/>
        </w:rPr>
      </w:pPr>
      <w:bookmarkStart w:id="509" w:name="_GoBack"/>
      <w:bookmarkEnd w:id="509"/>
      <w:r w:rsidRPr="0058034D">
        <w:rPr>
          <w:rFonts w:ascii="Book Antiqua" w:hAnsi="Book Antiqua"/>
          <w:b/>
          <w:bCs/>
          <w:i/>
        </w:rPr>
        <w:t>Terminology</w:t>
      </w:r>
    </w:p>
    <w:p w:rsidR="004827FE" w:rsidRPr="0058034D" w:rsidRDefault="004827FE" w:rsidP="001D73C6">
      <w:pPr>
        <w:adjustRightInd w:val="0"/>
        <w:snapToGrid w:val="0"/>
        <w:spacing w:line="360" w:lineRule="auto"/>
        <w:jc w:val="both"/>
        <w:rPr>
          <w:rFonts w:ascii="Book Antiqua" w:hAnsi="Book Antiqua" w:cs="Arial"/>
          <w:bCs/>
          <w:shd w:val="clear" w:color="auto" w:fill="FFFFFF"/>
          <w:lang w:eastAsia="zh-CN"/>
        </w:rPr>
      </w:pPr>
      <w:bookmarkStart w:id="510" w:name="OLE_LINK2204"/>
      <w:bookmarkStart w:id="511" w:name="OLE_LINK2135"/>
      <w:bookmarkStart w:id="512" w:name="OLE_LINK2585"/>
      <w:bookmarkStart w:id="513" w:name="OLE_LINK2586"/>
      <w:bookmarkStart w:id="514" w:name="OLE_LINK2709"/>
      <w:bookmarkStart w:id="515" w:name="OLE_LINK2926"/>
      <w:bookmarkStart w:id="516" w:name="OLE_LINK678"/>
      <w:bookmarkStart w:id="517" w:name="OLE_LINK679"/>
      <w:r w:rsidRPr="0058034D">
        <w:rPr>
          <w:rFonts w:ascii="Book Antiqua" w:hAnsi="Book Antiqua" w:cs="Arial"/>
          <w:bCs/>
          <w:shd w:val="clear" w:color="auto" w:fill="FFFFFF"/>
        </w:rPr>
        <w:t>Value</w:t>
      </w:r>
      <w:r w:rsidRPr="0058034D">
        <w:rPr>
          <w:rFonts w:ascii="Book Antiqua" w:hAnsi="Book Antiqua" w:cs="Arial"/>
          <w:shd w:val="clear" w:color="auto" w:fill="FFFFFF"/>
        </w:rPr>
        <w:t>-</w:t>
      </w:r>
      <w:r w:rsidR="00F11B06" w:rsidRPr="0058034D">
        <w:rPr>
          <w:rFonts w:ascii="Book Antiqua" w:hAnsi="Book Antiqua" w:cs="Arial"/>
          <w:bCs/>
          <w:shd w:val="clear" w:color="auto" w:fill="FFFFFF"/>
        </w:rPr>
        <w:t>based payments</w:t>
      </w:r>
      <w:r w:rsidRPr="0058034D">
        <w:rPr>
          <w:rStyle w:val="apple-converted-space"/>
          <w:rFonts w:ascii="Book Antiqua" w:hAnsi="Book Antiqua" w:cs="Arial"/>
          <w:shd w:val="clear" w:color="auto" w:fill="FFFFFF"/>
        </w:rPr>
        <w:t> </w:t>
      </w:r>
      <w:r w:rsidRPr="0058034D">
        <w:rPr>
          <w:rFonts w:ascii="Book Antiqua" w:hAnsi="Book Antiqua" w:cs="Arial"/>
          <w:shd w:val="clear" w:color="auto" w:fill="FFFFFF"/>
        </w:rPr>
        <w:t>are a strategy increasingly adopted by payers with the goal of shifting from volume-</w:t>
      </w:r>
      <w:r w:rsidRPr="0058034D">
        <w:rPr>
          <w:rFonts w:ascii="Book Antiqua" w:hAnsi="Book Antiqua" w:cs="Arial"/>
          <w:bCs/>
          <w:shd w:val="clear" w:color="auto" w:fill="FFFFFF"/>
        </w:rPr>
        <w:t>based payment</w:t>
      </w:r>
      <w:r w:rsidRPr="0058034D">
        <w:rPr>
          <w:rFonts w:ascii="Book Antiqua" w:hAnsi="Book Antiqua" w:cs="Arial"/>
          <w:shd w:val="clear" w:color="auto" w:fill="FFFFFF"/>
        </w:rPr>
        <w:t xml:space="preserve">, </w:t>
      </w:r>
      <w:r w:rsidRPr="0058034D">
        <w:rPr>
          <w:rFonts w:ascii="Book Antiqua" w:hAnsi="Book Antiqua" w:cs="Arial"/>
          <w:i/>
          <w:shd w:val="clear" w:color="auto" w:fill="FFFFFF"/>
        </w:rPr>
        <w:t>e</w:t>
      </w:r>
      <w:r w:rsidR="00F11B06" w:rsidRPr="0058034D">
        <w:rPr>
          <w:rFonts w:ascii="Book Antiqua" w:hAnsi="Book Antiqua" w:cs="Arial" w:hint="eastAsia"/>
          <w:i/>
          <w:shd w:val="clear" w:color="auto" w:fill="FFFFFF"/>
          <w:lang w:eastAsia="zh-CN"/>
        </w:rPr>
        <w:t>.</w:t>
      </w:r>
      <w:r w:rsidRPr="0058034D">
        <w:rPr>
          <w:rFonts w:ascii="Book Antiqua" w:hAnsi="Book Antiqua" w:cs="Arial"/>
          <w:i/>
          <w:shd w:val="clear" w:color="auto" w:fill="FFFFFF"/>
        </w:rPr>
        <w:t>g</w:t>
      </w:r>
      <w:r w:rsidR="00F11B06" w:rsidRPr="0058034D">
        <w:rPr>
          <w:rFonts w:ascii="Book Antiqua" w:hAnsi="Book Antiqua" w:cs="Arial" w:hint="eastAsia"/>
          <w:shd w:val="clear" w:color="auto" w:fill="FFFFFF"/>
          <w:lang w:eastAsia="zh-CN"/>
        </w:rPr>
        <w:t>.,</w:t>
      </w:r>
      <w:r w:rsidRPr="0058034D">
        <w:rPr>
          <w:rFonts w:ascii="Book Antiqua" w:hAnsi="Book Antiqua" w:cs="Arial"/>
          <w:shd w:val="clear" w:color="auto" w:fill="FFFFFF"/>
        </w:rPr>
        <w:t xml:space="preserve"> “fee-for service”</w:t>
      </w:r>
      <w:r w:rsidRPr="0058034D">
        <w:rPr>
          <w:rStyle w:val="apple-converted-space"/>
          <w:rFonts w:ascii="Book Antiqua" w:hAnsi="Book Antiqua" w:cs="Arial"/>
          <w:shd w:val="clear" w:color="auto" w:fill="FFFFFF"/>
        </w:rPr>
        <w:t> </w:t>
      </w:r>
      <w:r w:rsidRPr="0058034D">
        <w:rPr>
          <w:rFonts w:ascii="Book Antiqua" w:hAnsi="Book Antiqua" w:cs="Arial"/>
          <w:bCs/>
          <w:shd w:val="clear" w:color="auto" w:fill="FFFFFF"/>
        </w:rPr>
        <w:t>payments,</w:t>
      </w:r>
      <w:r w:rsidRPr="0058034D">
        <w:rPr>
          <w:rStyle w:val="apple-converted-space"/>
          <w:rFonts w:ascii="Book Antiqua" w:hAnsi="Book Antiqua" w:cs="Arial"/>
          <w:shd w:val="clear" w:color="auto" w:fill="FFFFFF"/>
        </w:rPr>
        <w:t> </w:t>
      </w:r>
      <w:r w:rsidRPr="0058034D">
        <w:rPr>
          <w:rFonts w:ascii="Book Antiqua" w:hAnsi="Book Antiqua" w:cs="Arial"/>
          <w:shd w:val="clear" w:color="auto" w:fill="FFFFFF"/>
        </w:rPr>
        <w:t>to</w:t>
      </w:r>
      <w:r w:rsidRPr="0058034D">
        <w:rPr>
          <w:rStyle w:val="apple-converted-space"/>
          <w:rFonts w:ascii="Book Antiqua" w:hAnsi="Book Antiqua" w:cs="Arial"/>
          <w:shd w:val="clear" w:color="auto" w:fill="FFFFFF"/>
        </w:rPr>
        <w:t> </w:t>
      </w:r>
      <w:r w:rsidRPr="0058034D">
        <w:rPr>
          <w:rFonts w:ascii="Book Antiqua" w:hAnsi="Book Antiqua" w:cs="Arial"/>
          <w:bCs/>
          <w:shd w:val="clear" w:color="auto" w:fill="FFFFFF"/>
        </w:rPr>
        <w:t>those based on improved clinical outcomes.</w:t>
      </w:r>
    </w:p>
    <w:p w:rsidR="00F11B06" w:rsidRPr="0058034D" w:rsidRDefault="00F11B06" w:rsidP="001D73C6">
      <w:pPr>
        <w:adjustRightInd w:val="0"/>
        <w:snapToGrid w:val="0"/>
        <w:spacing w:line="360" w:lineRule="auto"/>
        <w:jc w:val="both"/>
        <w:rPr>
          <w:rFonts w:ascii="Book Antiqua" w:hAnsi="Book Antiqua" w:cs="Arial"/>
          <w:shd w:val="clear" w:color="auto" w:fill="FFFFFF"/>
          <w:lang w:eastAsia="zh-CN"/>
        </w:rPr>
      </w:pPr>
    </w:p>
    <w:p w:rsidR="005D1FD7" w:rsidRPr="0058034D" w:rsidRDefault="005D1FD7" w:rsidP="001D73C6">
      <w:pPr>
        <w:adjustRightInd w:val="0"/>
        <w:snapToGrid w:val="0"/>
        <w:spacing w:line="360" w:lineRule="auto"/>
        <w:jc w:val="both"/>
        <w:rPr>
          <w:rFonts w:ascii="Book Antiqua" w:hAnsi="Book Antiqua"/>
          <w:b/>
          <w:bCs/>
          <w:i/>
        </w:rPr>
      </w:pPr>
      <w:r w:rsidRPr="0058034D">
        <w:rPr>
          <w:rFonts w:ascii="Book Antiqua" w:hAnsi="Book Antiqua"/>
          <w:b/>
          <w:bCs/>
          <w:i/>
        </w:rPr>
        <w:t>Peer</w:t>
      </w:r>
      <w:r w:rsidR="00F11B06" w:rsidRPr="0058034D">
        <w:rPr>
          <w:rFonts w:ascii="Book Antiqua" w:hAnsi="Book Antiqua" w:hint="eastAsia"/>
          <w:b/>
          <w:bCs/>
          <w:i/>
          <w:lang w:eastAsia="zh-CN"/>
        </w:rPr>
        <w:t>-</w:t>
      </w:r>
      <w:r w:rsidRPr="0058034D">
        <w:rPr>
          <w:rFonts w:ascii="Book Antiqua" w:hAnsi="Book Antiqua"/>
          <w:b/>
          <w:bCs/>
          <w:i/>
        </w:rPr>
        <w:t>review</w:t>
      </w:r>
    </w:p>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10"/>
    <w:bookmarkEnd w:id="511"/>
    <w:bookmarkEnd w:id="512"/>
    <w:bookmarkEnd w:id="513"/>
    <w:bookmarkEnd w:id="514"/>
    <w:bookmarkEnd w:id="515"/>
    <w:bookmarkEnd w:id="516"/>
    <w:bookmarkEnd w:id="517"/>
    <w:p w:rsidR="00514A97" w:rsidRPr="0058034D" w:rsidRDefault="005D1FD7" w:rsidP="001D73C6">
      <w:pPr>
        <w:pStyle w:val="Body"/>
        <w:adjustRightInd w:val="0"/>
        <w:snapToGrid w:val="0"/>
        <w:spacing w:after="0" w:line="360" w:lineRule="auto"/>
        <w:jc w:val="both"/>
        <w:rPr>
          <w:rFonts w:ascii="Book Antiqua" w:eastAsia="Times New Roman" w:hAnsi="Book Antiqua" w:cs="Times New Roman"/>
          <w:color w:val="auto"/>
          <w:sz w:val="24"/>
          <w:szCs w:val="24"/>
          <w:lang w:val="en-US"/>
        </w:rPr>
      </w:pPr>
      <w:r w:rsidRPr="0058034D">
        <w:rPr>
          <w:rFonts w:ascii="Book Antiqua" w:eastAsia="Times New Roman" w:hAnsi="Book Antiqua" w:cs="Times New Roman"/>
          <w:color w:val="auto"/>
          <w:sz w:val="24"/>
          <w:szCs w:val="24"/>
          <w:lang w:val="en-US"/>
        </w:rPr>
        <w:t>For chronic disease populations, current 30-</w:t>
      </w:r>
      <w:r w:rsidR="00F11B06" w:rsidRPr="0058034D">
        <w:rPr>
          <w:rFonts w:ascii="Book Antiqua" w:eastAsiaTheme="minorEastAsia" w:hAnsi="Book Antiqua" w:cs="Times New Roman" w:hint="eastAsia"/>
          <w:color w:val="auto"/>
          <w:sz w:val="24"/>
          <w:szCs w:val="24"/>
          <w:lang w:val="en-US" w:eastAsia="zh-CN"/>
        </w:rPr>
        <w:t>d</w:t>
      </w:r>
      <w:r w:rsidRPr="0058034D">
        <w:rPr>
          <w:rFonts w:ascii="Book Antiqua" w:eastAsia="Times New Roman" w:hAnsi="Book Antiqua" w:cs="Times New Roman"/>
          <w:color w:val="auto"/>
          <w:sz w:val="24"/>
          <w:szCs w:val="24"/>
          <w:lang w:val="en-US"/>
        </w:rPr>
        <w:t xml:space="preserve"> readmission thresholds may not capture true readmission risk or opportunities for improvement. This paper found that lower education level, MELD score </w:t>
      </w:r>
      <w:r w:rsidR="00F11B06" w:rsidRPr="0058034D">
        <w:rPr>
          <w:rFonts w:ascii="Book Antiqua" w:eastAsia="Times New Roman" w:hAnsi="Book Antiqua" w:cs="Times New Roman"/>
          <w:color w:val="auto"/>
          <w:sz w:val="24"/>
          <w:szCs w:val="24"/>
          <w:lang w:val="en-US"/>
        </w:rPr>
        <w:t>≥</w:t>
      </w:r>
      <w:r w:rsidR="00F11B06"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eastAsia="Times New Roman" w:hAnsi="Book Antiqua" w:cs="Times New Roman"/>
          <w:color w:val="auto"/>
          <w:sz w:val="24"/>
          <w:szCs w:val="24"/>
          <w:lang w:val="en-US"/>
        </w:rPr>
        <w:t xml:space="preserve">15, chronic liver disease due to more than one etiology, HE at index admission and history of HCC are associated with shorter time to readmission with the median time to first readmission of 54 </w:t>
      </w:r>
      <w:r w:rsidR="00F11B06" w:rsidRPr="0058034D">
        <w:rPr>
          <w:rFonts w:ascii="Book Antiqua" w:eastAsiaTheme="minorEastAsia" w:hAnsi="Book Antiqua" w:cs="Times New Roman" w:hint="eastAsia"/>
          <w:color w:val="auto"/>
          <w:sz w:val="24"/>
          <w:szCs w:val="24"/>
          <w:lang w:val="en-US" w:eastAsia="zh-CN"/>
        </w:rPr>
        <w:t>d</w:t>
      </w:r>
      <w:r w:rsidRPr="0058034D">
        <w:rPr>
          <w:rFonts w:ascii="Book Antiqua" w:eastAsia="Times New Roman" w:hAnsi="Book Antiqua" w:cs="Times New Roman"/>
          <w:color w:val="auto"/>
          <w:sz w:val="24"/>
          <w:szCs w:val="24"/>
          <w:lang w:val="en-US"/>
        </w:rPr>
        <w:t>. Designing post-admission continuity of care interventions with these factors in mind would improve clinical practice and patient outcomes.</w:t>
      </w:r>
      <w:r w:rsidR="00514A97" w:rsidRPr="0058034D">
        <w:rPr>
          <w:rFonts w:ascii="Book Antiqua" w:hAnsi="Book Antiqua"/>
          <w:b/>
          <w:bCs/>
          <w:color w:val="auto"/>
          <w:sz w:val="24"/>
          <w:szCs w:val="24"/>
        </w:rPr>
        <w:br w:type="page"/>
      </w:r>
    </w:p>
    <w:p w:rsidR="001A0975" w:rsidRDefault="00F11B06" w:rsidP="001D73C6">
      <w:pPr>
        <w:pStyle w:val="Body"/>
        <w:adjustRightInd w:val="0"/>
        <w:snapToGrid w:val="0"/>
        <w:spacing w:after="0" w:line="360" w:lineRule="auto"/>
        <w:jc w:val="both"/>
        <w:outlineLvl w:val="1"/>
        <w:rPr>
          <w:rFonts w:ascii="Book Antiqua" w:eastAsiaTheme="minorEastAsia" w:hAnsi="Book Antiqua" w:cs="Times New Roman"/>
          <w:b/>
          <w:bCs/>
          <w:color w:val="auto"/>
          <w:sz w:val="24"/>
          <w:szCs w:val="24"/>
          <w:lang w:val="en-US" w:eastAsia="zh-CN"/>
        </w:rPr>
      </w:pPr>
      <w:r w:rsidRPr="0058034D">
        <w:rPr>
          <w:rFonts w:ascii="Book Antiqua" w:hAnsi="Book Antiqua" w:cs="Times New Roman"/>
          <w:b/>
          <w:bCs/>
          <w:color w:val="auto"/>
          <w:sz w:val="24"/>
          <w:szCs w:val="24"/>
          <w:lang w:val="en-US"/>
        </w:rPr>
        <w:lastRenderedPageBreak/>
        <w:t>REFERENCES</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1 Centers for Disease Control and Prevention (CDC). In: Kirch W (Ed.). Encyclopedia of Public Heal</w:t>
      </w:r>
      <w:r>
        <w:rPr>
          <w:rFonts w:ascii="Book Antiqua" w:eastAsia="宋体" w:hAnsi="Book Antiqua" w:cs="宋体"/>
          <w:color w:val="000000"/>
        </w:rPr>
        <w:t>th. Netherlands: Springer, 2008</w:t>
      </w:r>
      <w:r>
        <w:rPr>
          <w:rFonts w:ascii="Book Antiqua" w:eastAsia="宋体" w:hAnsi="Book Antiqua" w:cs="宋体" w:hint="eastAsia"/>
          <w:color w:val="000000"/>
        </w:rPr>
        <w:t xml:space="preserve">: </w:t>
      </w:r>
      <w:r w:rsidRPr="00CF5EBD">
        <w:rPr>
          <w:rFonts w:ascii="Book Antiqua" w:eastAsia="宋体" w:hAnsi="Book Antiqua" w:cs="宋体"/>
          <w:color w:val="000000"/>
        </w:rPr>
        <w:t>105 [DOI: 10.1007/978-1-4020-5614-7_343]</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2 </w:t>
      </w:r>
      <w:r w:rsidRPr="00CF5EBD">
        <w:rPr>
          <w:rFonts w:ascii="Book Antiqua" w:eastAsia="宋体" w:hAnsi="Book Antiqua" w:cs="宋体"/>
          <w:b/>
          <w:bCs/>
          <w:color w:val="000000"/>
        </w:rPr>
        <w:t>Kim WR</w:t>
      </w:r>
      <w:r w:rsidRPr="00CF5EBD">
        <w:rPr>
          <w:rFonts w:ascii="Book Antiqua" w:eastAsia="宋体" w:hAnsi="Book Antiqua" w:cs="宋体"/>
          <w:color w:val="000000"/>
        </w:rPr>
        <w:t>, Brown RS, Terrault NA, El-Serag H. Burden of liver disease in the United States: summary of a workshop. </w:t>
      </w:r>
      <w:r w:rsidRPr="00CF5EBD">
        <w:rPr>
          <w:rFonts w:ascii="Book Antiqua" w:eastAsia="宋体" w:hAnsi="Book Antiqua" w:cs="宋体"/>
          <w:i/>
          <w:iCs/>
          <w:color w:val="000000"/>
        </w:rPr>
        <w:t>Hepatology</w:t>
      </w:r>
      <w:r w:rsidRPr="00CF5EBD">
        <w:rPr>
          <w:rFonts w:ascii="Book Antiqua" w:eastAsia="宋体" w:hAnsi="Book Antiqua" w:cs="宋体"/>
          <w:color w:val="000000"/>
        </w:rPr>
        <w:t> 2002; </w:t>
      </w:r>
      <w:r w:rsidRPr="00CF5EBD">
        <w:rPr>
          <w:rFonts w:ascii="Book Antiqua" w:eastAsia="宋体" w:hAnsi="Book Antiqua" w:cs="宋体"/>
          <w:b/>
          <w:bCs/>
          <w:color w:val="000000"/>
        </w:rPr>
        <w:t>36</w:t>
      </w:r>
      <w:r w:rsidRPr="00CF5EBD">
        <w:rPr>
          <w:rFonts w:ascii="Book Antiqua" w:eastAsia="宋体" w:hAnsi="Book Antiqua" w:cs="宋体"/>
          <w:color w:val="000000"/>
        </w:rPr>
        <w:t>: 227-242 [PMID: 12085369 DOI: 10.1053/jhep.2002.34734]</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3 </w:t>
      </w:r>
      <w:r w:rsidRPr="00CF5EBD">
        <w:rPr>
          <w:rFonts w:ascii="Book Antiqua" w:eastAsia="宋体" w:hAnsi="Book Antiqua" w:cs="宋体"/>
          <w:b/>
          <w:bCs/>
          <w:color w:val="000000"/>
        </w:rPr>
        <w:t>Asrani SK</w:t>
      </w:r>
      <w:r w:rsidRPr="00CF5EBD">
        <w:rPr>
          <w:rFonts w:ascii="Book Antiqua" w:eastAsia="宋体" w:hAnsi="Book Antiqua" w:cs="宋体"/>
          <w:color w:val="000000"/>
        </w:rPr>
        <w:t>, Larson JJ, Yawn B, Therneau TM, Kim WR. Underestimation of liver-related mortality in the United States. </w:t>
      </w:r>
      <w:r w:rsidRPr="00CF5EBD">
        <w:rPr>
          <w:rFonts w:ascii="Book Antiqua" w:eastAsia="宋体" w:hAnsi="Book Antiqua" w:cs="宋体"/>
          <w:i/>
          <w:iCs/>
          <w:color w:val="000000"/>
        </w:rPr>
        <w:t>Gastroenterology</w:t>
      </w:r>
      <w:r w:rsidRPr="00CF5EBD">
        <w:rPr>
          <w:rFonts w:ascii="Book Antiqua" w:eastAsia="宋体" w:hAnsi="Book Antiqua" w:cs="宋体"/>
          <w:color w:val="000000"/>
        </w:rPr>
        <w:t> 2013; </w:t>
      </w:r>
      <w:r w:rsidRPr="00CF5EBD">
        <w:rPr>
          <w:rFonts w:ascii="Book Antiqua" w:eastAsia="宋体" w:hAnsi="Book Antiqua" w:cs="宋体"/>
          <w:b/>
          <w:bCs/>
          <w:color w:val="000000"/>
        </w:rPr>
        <w:t>145</w:t>
      </w:r>
      <w:r w:rsidRPr="00CF5EBD">
        <w:rPr>
          <w:rFonts w:ascii="Book Antiqua" w:eastAsia="宋体" w:hAnsi="Book Antiqua" w:cs="宋体"/>
          <w:color w:val="000000"/>
        </w:rPr>
        <w:t>: 375-82.e1-2 [PMID: 23583430 DO</w:t>
      </w:r>
      <w:r>
        <w:rPr>
          <w:rFonts w:ascii="Book Antiqua" w:eastAsia="宋体" w:hAnsi="Book Antiqua" w:cs="宋体"/>
          <w:color w:val="000000"/>
        </w:rPr>
        <w:t>I: 10.1053/j.gastro.2013.04.005</w:t>
      </w:r>
      <w:r w:rsidRPr="00CF5EBD">
        <w:rPr>
          <w:rFonts w:ascii="Book Antiqua" w:eastAsia="宋体" w:hAnsi="Book Antiqua" w:cs="宋体"/>
          <w:color w:val="000000"/>
        </w:rPr>
        <w:t>]</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4 </w:t>
      </w:r>
      <w:r w:rsidRPr="00CF5EBD">
        <w:rPr>
          <w:rFonts w:ascii="Book Antiqua" w:eastAsia="宋体" w:hAnsi="Book Antiqua" w:cs="宋体"/>
          <w:b/>
          <w:bCs/>
          <w:color w:val="000000"/>
        </w:rPr>
        <w:t>Volk ML</w:t>
      </w:r>
      <w:r w:rsidRPr="00CF5EBD">
        <w:rPr>
          <w:rFonts w:ascii="Book Antiqua" w:eastAsia="宋体" w:hAnsi="Book Antiqua" w:cs="宋体"/>
          <w:color w:val="000000"/>
        </w:rPr>
        <w:t>, Tocco RS, Bazick J, Rakoski MO, Lok AS. Hospital readmissions among patients with decompensated cirrhosis. </w:t>
      </w:r>
      <w:r w:rsidRPr="00CF5EBD">
        <w:rPr>
          <w:rFonts w:ascii="Book Antiqua" w:eastAsia="宋体" w:hAnsi="Book Antiqua" w:cs="宋体"/>
          <w:i/>
          <w:iCs/>
          <w:color w:val="000000"/>
        </w:rPr>
        <w:t>Am J Gastroenterol</w:t>
      </w:r>
      <w:r w:rsidRPr="00CF5EBD">
        <w:rPr>
          <w:rFonts w:ascii="Book Antiqua" w:eastAsia="宋体" w:hAnsi="Book Antiqua" w:cs="宋体"/>
          <w:color w:val="000000"/>
        </w:rPr>
        <w:t> 2012; </w:t>
      </w:r>
      <w:r w:rsidRPr="00CF5EBD">
        <w:rPr>
          <w:rFonts w:ascii="Book Antiqua" w:eastAsia="宋体" w:hAnsi="Book Antiqua" w:cs="宋体"/>
          <w:b/>
          <w:bCs/>
          <w:color w:val="000000"/>
        </w:rPr>
        <w:t>107</w:t>
      </w:r>
      <w:r w:rsidRPr="00CF5EBD">
        <w:rPr>
          <w:rFonts w:ascii="Book Antiqua" w:eastAsia="宋体" w:hAnsi="Book Antiqua" w:cs="宋体"/>
          <w:color w:val="000000"/>
        </w:rPr>
        <w:t>: 247-252 [PMID: 21931378 DOI: 10.1038/ajg.2011.314]</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5 </w:t>
      </w:r>
      <w:r w:rsidRPr="00CF5EBD">
        <w:rPr>
          <w:rFonts w:ascii="Book Antiqua" w:eastAsia="宋体" w:hAnsi="Book Antiqua" w:cs="宋体"/>
          <w:b/>
          <w:bCs/>
          <w:color w:val="000000"/>
        </w:rPr>
        <w:t>Agrawal K</w:t>
      </w:r>
      <w:r w:rsidRPr="00CF5EBD">
        <w:rPr>
          <w:rFonts w:ascii="Book Antiqua" w:eastAsia="宋体" w:hAnsi="Book Antiqua" w:cs="宋体"/>
          <w:color w:val="000000"/>
        </w:rPr>
        <w:t>, Kumar P, Markert R, Agrawal S. Risk Factors for 30-Day Readmissions of Individuals with Decompensated Cirrhosis. </w:t>
      </w:r>
      <w:r w:rsidRPr="00CF5EBD">
        <w:rPr>
          <w:rFonts w:ascii="Book Antiqua" w:eastAsia="宋体" w:hAnsi="Book Antiqua" w:cs="宋体"/>
          <w:i/>
          <w:iCs/>
          <w:color w:val="000000"/>
        </w:rPr>
        <w:t>South Med J</w:t>
      </w:r>
      <w:r w:rsidRPr="00CF5EBD">
        <w:rPr>
          <w:rFonts w:ascii="Book Antiqua" w:eastAsia="宋体" w:hAnsi="Book Antiqua" w:cs="宋体"/>
          <w:color w:val="000000"/>
        </w:rPr>
        <w:t> 2015; </w:t>
      </w:r>
      <w:r w:rsidRPr="00CF5EBD">
        <w:rPr>
          <w:rFonts w:ascii="Book Antiqua" w:eastAsia="宋体" w:hAnsi="Book Antiqua" w:cs="宋体"/>
          <w:b/>
          <w:bCs/>
          <w:color w:val="000000"/>
        </w:rPr>
        <w:t>108</w:t>
      </w:r>
      <w:r w:rsidRPr="00CF5EBD">
        <w:rPr>
          <w:rFonts w:ascii="Book Antiqua" w:eastAsia="宋体" w:hAnsi="Book Antiqua" w:cs="宋体"/>
          <w:color w:val="000000"/>
        </w:rPr>
        <w:t>: 682-687 [PMID: 26539950 DOI: 10.14423/SMJ.0000000000000371]</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6 </w:t>
      </w:r>
      <w:r w:rsidRPr="00CF5EBD">
        <w:rPr>
          <w:rFonts w:ascii="Book Antiqua" w:eastAsia="宋体" w:hAnsi="Book Antiqua" w:cs="宋体"/>
          <w:b/>
          <w:bCs/>
          <w:color w:val="000000"/>
        </w:rPr>
        <w:t>Tapper EB</w:t>
      </w:r>
      <w:r w:rsidRPr="00CF5EBD">
        <w:rPr>
          <w:rFonts w:ascii="Book Antiqua" w:eastAsia="宋体" w:hAnsi="Book Antiqua" w:cs="宋体"/>
          <w:color w:val="000000"/>
        </w:rPr>
        <w:t>, Finkelstein D, Mittleman MA, Piatkowski G, Chang M, Lai M. A Quality Improvement Initiative Reduces 30-Day Rate of Readmission for Patients With Cirrhosis. </w:t>
      </w:r>
      <w:r w:rsidRPr="00CF5EBD">
        <w:rPr>
          <w:rFonts w:ascii="Book Antiqua" w:eastAsia="宋体" w:hAnsi="Book Antiqua" w:cs="宋体"/>
          <w:i/>
          <w:iCs/>
          <w:color w:val="000000"/>
        </w:rPr>
        <w:t>Clin Gastroenterol Hepatol</w:t>
      </w:r>
      <w:r w:rsidRPr="00CF5EBD">
        <w:rPr>
          <w:rFonts w:ascii="Book Antiqua" w:eastAsia="宋体" w:hAnsi="Book Antiqua" w:cs="宋体"/>
          <w:color w:val="000000"/>
        </w:rPr>
        <w:t> 2016; </w:t>
      </w:r>
      <w:r w:rsidRPr="00CF5EBD">
        <w:rPr>
          <w:rFonts w:ascii="Book Antiqua" w:eastAsia="宋体" w:hAnsi="Book Antiqua" w:cs="宋体"/>
          <w:b/>
          <w:bCs/>
          <w:color w:val="000000"/>
        </w:rPr>
        <w:t>14</w:t>
      </w:r>
      <w:r w:rsidRPr="00CF5EBD">
        <w:rPr>
          <w:rFonts w:ascii="Book Antiqua" w:eastAsia="宋体" w:hAnsi="Book Antiqua" w:cs="宋体"/>
          <w:color w:val="000000"/>
        </w:rPr>
        <w:t>: 753-759 [PMID: 26407750 DOI: 10.1016/j.cgh.2015.08.041]</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7 </w:t>
      </w:r>
      <w:r w:rsidRPr="00CF5EBD">
        <w:rPr>
          <w:rFonts w:ascii="Book Antiqua" w:eastAsia="宋体" w:hAnsi="Book Antiqua" w:cs="宋体"/>
          <w:b/>
          <w:bCs/>
          <w:color w:val="000000"/>
        </w:rPr>
        <w:t>Bajaj JS</w:t>
      </w:r>
      <w:r w:rsidRPr="00CF5EBD">
        <w:rPr>
          <w:rFonts w:ascii="Book Antiqua" w:eastAsia="宋体" w:hAnsi="Book Antiqua" w:cs="宋体"/>
          <w:color w:val="000000"/>
        </w:rPr>
        <w:t>, Reddy KR, Tandon P, Wong F, Kamath PS, Garcia-Tsao G, Maliakkal B, Biggins SW, Thuluvath PJ, Fallon MB, Subramanian RM, Vargas H, Thacker LR, O'Leary JG. The 3-month readmission rate remains unacceptably high in a large North American cohort of patients with cirrhosis. </w:t>
      </w:r>
      <w:r w:rsidRPr="00CF5EBD">
        <w:rPr>
          <w:rFonts w:ascii="Book Antiqua" w:eastAsia="宋体" w:hAnsi="Book Antiqua" w:cs="宋体"/>
          <w:i/>
          <w:iCs/>
          <w:color w:val="000000"/>
        </w:rPr>
        <w:t>Hepatology</w:t>
      </w:r>
      <w:r w:rsidRPr="00CF5EBD">
        <w:rPr>
          <w:rFonts w:ascii="Book Antiqua" w:eastAsia="宋体" w:hAnsi="Book Antiqua" w:cs="宋体"/>
          <w:color w:val="000000"/>
        </w:rPr>
        <w:t> 2016; </w:t>
      </w:r>
      <w:r w:rsidRPr="00CF5EBD">
        <w:rPr>
          <w:rFonts w:ascii="Book Antiqua" w:eastAsia="宋体" w:hAnsi="Book Antiqua" w:cs="宋体"/>
          <w:b/>
          <w:bCs/>
          <w:color w:val="000000"/>
        </w:rPr>
        <w:t>64</w:t>
      </w:r>
      <w:r w:rsidRPr="00CF5EBD">
        <w:rPr>
          <w:rFonts w:ascii="Book Antiqua" w:eastAsia="宋体" w:hAnsi="Book Antiqua" w:cs="宋体"/>
          <w:color w:val="000000"/>
        </w:rPr>
        <w:t xml:space="preserve">: 200-208 [PMID: </w:t>
      </w:r>
      <w:r>
        <w:rPr>
          <w:rFonts w:ascii="Book Antiqua" w:eastAsia="宋体" w:hAnsi="Book Antiqua" w:cs="宋体"/>
          <w:color w:val="000000"/>
        </w:rPr>
        <w:t>26690389 DOI: 10.1002/hep.28414</w:t>
      </w:r>
      <w:r w:rsidRPr="00CF5EBD">
        <w:rPr>
          <w:rFonts w:ascii="Book Antiqua" w:eastAsia="宋体" w:hAnsi="Book Antiqua" w:cs="宋体"/>
          <w:color w:val="000000"/>
        </w:rPr>
        <w:t>]</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8 </w:t>
      </w:r>
      <w:r w:rsidRPr="00CF5EBD">
        <w:rPr>
          <w:rFonts w:ascii="Book Antiqua" w:eastAsia="宋体" w:hAnsi="Book Antiqua" w:cs="宋体"/>
          <w:b/>
          <w:bCs/>
          <w:color w:val="000000"/>
        </w:rPr>
        <w:t>Runyon B</w:t>
      </w:r>
      <w:r w:rsidRPr="00CF5EBD">
        <w:rPr>
          <w:rFonts w:ascii="Book Antiqua" w:eastAsia="宋体" w:hAnsi="Book Antiqua" w:cs="宋体"/>
          <w:color w:val="000000"/>
        </w:rPr>
        <w:t>, Mitroi L. Do Automated Telephone Systems Decrease Hospital Readmissions Among Patients with Cirrhosis? </w:t>
      </w:r>
      <w:r w:rsidRPr="00CF5EBD">
        <w:rPr>
          <w:rFonts w:ascii="Book Antiqua" w:eastAsia="宋体" w:hAnsi="Book Antiqua" w:cs="宋体"/>
          <w:i/>
          <w:iCs/>
          <w:color w:val="000000"/>
        </w:rPr>
        <w:t>Dig Dis Sci</w:t>
      </w:r>
      <w:r w:rsidRPr="00CF5EBD">
        <w:rPr>
          <w:rFonts w:ascii="Book Antiqua" w:eastAsia="宋体" w:hAnsi="Book Antiqua" w:cs="宋体"/>
          <w:color w:val="000000"/>
        </w:rPr>
        <w:t> 2015; </w:t>
      </w:r>
      <w:r w:rsidRPr="00CF5EBD">
        <w:rPr>
          <w:rFonts w:ascii="Book Antiqua" w:eastAsia="宋体" w:hAnsi="Book Antiqua" w:cs="宋体"/>
          <w:b/>
          <w:bCs/>
          <w:color w:val="000000"/>
        </w:rPr>
        <w:t>60</w:t>
      </w:r>
      <w:r w:rsidRPr="00CF5EBD">
        <w:rPr>
          <w:rFonts w:ascii="Book Antiqua" w:eastAsia="宋体" w:hAnsi="Book Antiqua" w:cs="宋体"/>
          <w:color w:val="000000"/>
        </w:rPr>
        <w:t>: 3502-3503 [PMID: 26396001 DOI: 10.1007/s10620-015-3883-6]</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9 </w:t>
      </w:r>
      <w:r w:rsidRPr="00CF5EBD">
        <w:rPr>
          <w:rFonts w:ascii="Book Antiqua" w:eastAsia="宋体" w:hAnsi="Book Antiqua" w:cs="宋体"/>
          <w:b/>
          <w:bCs/>
          <w:color w:val="000000"/>
        </w:rPr>
        <w:t>Kamath PS</w:t>
      </w:r>
      <w:r w:rsidRPr="00CF5EBD">
        <w:rPr>
          <w:rFonts w:ascii="Book Antiqua" w:eastAsia="宋体" w:hAnsi="Book Antiqua" w:cs="宋体"/>
          <w:color w:val="000000"/>
        </w:rPr>
        <w:t>, Kim WR. The model for end-stage liver disease (MELD). </w:t>
      </w:r>
      <w:r w:rsidRPr="00CF5EBD">
        <w:rPr>
          <w:rFonts w:ascii="Book Antiqua" w:eastAsia="宋体" w:hAnsi="Book Antiqua" w:cs="宋体"/>
          <w:i/>
          <w:iCs/>
          <w:color w:val="000000"/>
        </w:rPr>
        <w:t>Hepatology</w:t>
      </w:r>
      <w:r w:rsidRPr="00CF5EBD">
        <w:rPr>
          <w:rFonts w:ascii="Book Antiqua" w:eastAsia="宋体" w:hAnsi="Book Antiqua" w:cs="宋体"/>
          <w:color w:val="000000"/>
        </w:rPr>
        <w:t> 2007; </w:t>
      </w:r>
      <w:r w:rsidRPr="00CF5EBD">
        <w:rPr>
          <w:rFonts w:ascii="Book Antiqua" w:eastAsia="宋体" w:hAnsi="Book Antiqua" w:cs="宋体"/>
          <w:b/>
          <w:bCs/>
          <w:color w:val="000000"/>
        </w:rPr>
        <w:t>45</w:t>
      </w:r>
      <w:r w:rsidRPr="00CF5EBD">
        <w:rPr>
          <w:rFonts w:ascii="Book Antiqua" w:eastAsia="宋体" w:hAnsi="Book Antiqua" w:cs="宋体"/>
          <w:color w:val="000000"/>
        </w:rPr>
        <w:t>: 797-805 [PMID: 17326206 DOI: 10.1002/hep.21563]</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lastRenderedPageBreak/>
        <w:t>10 </w:t>
      </w:r>
      <w:r w:rsidRPr="00CF5EBD">
        <w:rPr>
          <w:rFonts w:ascii="Book Antiqua" w:eastAsia="宋体" w:hAnsi="Book Antiqua" w:cs="宋体"/>
          <w:b/>
          <w:bCs/>
          <w:color w:val="000000"/>
        </w:rPr>
        <w:t>Deyo RA</w:t>
      </w:r>
      <w:r w:rsidRPr="00CF5EBD">
        <w:rPr>
          <w:rFonts w:ascii="Book Antiqua" w:eastAsia="宋体" w:hAnsi="Book Antiqua" w:cs="宋体"/>
          <w:color w:val="000000"/>
        </w:rPr>
        <w:t>, Cherkin DC, Ciol MA. Adapting a clinical comorbidity index for use with ICD-9-CM administrative databases. </w:t>
      </w:r>
      <w:r w:rsidRPr="00CF5EBD">
        <w:rPr>
          <w:rFonts w:ascii="Book Antiqua" w:eastAsia="宋体" w:hAnsi="Book Antiqua" w:cs="宋体"/>
          <w:i/>
          <w:iCs/>
          <w:color w:val="000000"/>
        </w:rPr>
        <w:t>J Clin Epidemiol</w:t>
      </w:r>
      <w:r w:rsidRPr="00CF5EBD">
        <w:rPr>
          <w:rFonts w:ascii="Book Antiqua" w:eastAsia="宋体" w:hAnsi="Book Antiqua" w:cs="宋体"/>
          <w:color w:val="000000"/>
        </w:rPr>
        <w:t> 1992; </w:t>
      </w:r>
      <w:r w:rsidRPr="00CF5EBD">
        <w:rPr>
          <w:rFonts w:ascii="Book Antiqua" w:eastAsia="宋体" w:hAnsi="Book Antiqua" w:cs="宋体"/>
          <w:b/>
          <w:bCs/>
          <w:color w:val="000000"/>
        </w:rPr>
        <w:t>45</w:t>
      </w:r>
      <w:r w:rsidRPr="00CF5EBD">
        <w:rPr>
          <w:rFonts w:ascii="Book Antiqua" w:eastAsia="宋体" w:hAnsi="Book Antiqua" w:cs="宋体"/>
          <w:color w:val="000000"/>
        </w:rPr>
        <w:t>: 613-619 [PMID: 1607900]</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11 </w:t>
      </w:r>
      <w:r w:rsidRPr="00CF5EBD">
        <w:rPr>
          <w:rFonts w:ascii="Book Antiqua" w:eastAsia="宋体" w:hAnsi="Book Antiqua" w:cs="宋体"/>
          <w:b/>
          <w:bCs/>
          <w:color w:val="000000"/>
        </w:rPr>
        <w:t>Berman K</w:t>
      </w:r>
      <w:r w:rsidRPr="00CF5EBD">
        <w:rPr>
          <w:rFonts w:ascii="Book Antiqua" w:eastAsia="宋体" w:hAnsi="Book Antiqua" w:cs="宋体"/>
          <w:color w:val="000000"/>
        </w:rPr>
        <w:t>, Tandra S, Forssell K, Vuppalanchi R, Burton JR, Nguyen J, Mullis D, Kwo P, Chalasani N. Incidence and predictors of 30-day readmission among patients hospitalized for advanced liver disease. </w:t>
      </w:r>
      <w:r w:rsidRPr="00CF5EBD">
        <w:rPr>
          <w:rFonts w:ascii="Book Antiqua" w:eastAsia="宋体" w:hAnsi="Book Antiqua" w:cs="宋体"/>
          <w:i/>
          <w:iCs/>
          <w:color w:val="000000"/>
        </w:rPr>
        <w:t>Clin Gastroenterol Hepatol</w:t>
      </w:r>
      <w:r w:rsidRPr="00CF5EBD">
        <w:rPr>
          <w:rFonts w:ascii="Book Antiqua" w:eastAsia="宋体" w:hAnsi="Book Antiqua" w:cs="宋体"/>
          <w:color w:val="000000"/>
        </w:rPr>
        <w:t> 2011; </w:t>
      </w:r>
      <w:r w:rsidRPr="00CF5EBD">
        <w:rPr>
          <w:rFonts w:ascii="Book Antiqua" w:eastAsia="宋体" w:hAnsi="Book Antiqua" w:cs="宋体"/>
          <w:b/>
          <w:bCs/>
          <w:color w:val="000000"/>
        </w:rPr>
        <w:t>9</w:t>
      </w:r>
      <w:r w:rsidRPr="00CF5EBD">
        <w:rPr>
          <w:rFonts w:ascii="Book Antiqua" w:eastAsia="宋体" w:hAnsi="Book Antiqua" w:cs="宋体"/>
          <w:color w:val="000000"/>
        </w:rPr>
        <w:t>: 254-259 [PMID: 21092762 DOI: 10.1016/j.cgh.2010.10.035]</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12 </w:t>
      </w:r>
      <w:r w:rsidRPr="00CF5EBD">
        <w:rPr>
          <w:rFonts w:ascii="Book Antiqua" w:eastAsia="宋体" w:hAnsi="Book Antiqua" w:cs="宋体"/>
          <w:b/>
          <w:bCs/>
          <w:color w:val="000000"/>
        </w:rPr>
        <w:t>Bini EJ</w:t>
      </w:r>
      <w:r w:rsidRPr="00CF5EBD">
        <w:rPr>
          <w:rFonts w:ascii="Book Antiqua" w:eastAsia="宋体" w:hAnsi="Book Antiqua" w:cs="宋体"/>
          <w:color w:val="000000"/>
        </w:rPr>
        <w:t>, Weinshel EH, Generoso R, Salman L, Dahr G, Pena-Sing I, Komorowski T. Impact of gastroenterology consultation on the outcomes of patients admitted to the hospital with decompensated cirrhosis. </w:t>
      </w:r>
      <w:r w:rsidRPr="00CF5EBD">
        <w:rPr>
          <w:rFonts w:ascii="Book Antiqua" w:eastAsia="宋体" w:hAnsi="Book Antiqua" w:cs="宋体"/>
          <w:i/>
          <w:iCs/>
          <w:color w:val="000000"/>
        </w:rPr>
        <w:t>Hepatology</w:t>
      </w:r>
      <w:r w:rsidRPr="00CF5EBD">
        <w:rPr>
          <w:rFonts w:ascii="Book Antiqua" w:eastAsia="宋体" w:hAnsi="Book Antiqua" w:cs="宋体"/>
          <w:color w:val="000000"/>
        </w:rPr>
        <w:t> 2001; </w:t>
      </w:r>
      <w:r w:rsidRPr="00CF5EBD">
        <w:rPr>
          <w:rFonts w:ascii="Book Antiqua" w:eastAsia="宋体" w:hAnsi="Book Antiqua" w:cs="宋体"/>
          <w:b/>
          <w:bCs/>
          <w:color w:val="000000"/>
        </w:rPr>
        <w:t>34</w:t>
      </w:r>
      <w:r w:rsidRPr="00CF5EBD">
        <w:rPr>
          <w:rFonts w:ascii="Book Antiqua" w:eastAsia="宋体" w:hAnsi="Book Antiqua" w:cs="宋体"/>
          <w:color w:val="000000"/>
        </w:rPr>
        <w:t>: 1089-1095 [PMID: 11731996 DOI: 10.1053/jhep.2001.29204]</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13 </w:t>
      </w:r>
      <w:r w:rsidRPr="00CF5EBD">
        <w:rPr>
          <w:rFonts w:ascii="Book Antiqua" w:eastAsia="宋体" w:hAnsi="Book Antiqua" w:cs="宋体"/>
          <w:b/>
          <w:bCs/>
          <w:color w:val="000000"/>
        </w:rPr>
        <w:t>Jencks SF</w:t>
      </w:r>
      <w:r w:rsidRPr="00CF5EBD">
        <w:rPr>
          <w:rFonts w:ascii="Book Antiqua" w:eastAsia="宋体" w:hAnsi="Book Antiqua" w:cs="宋体"/>
          <w:color w:val="000000"/>
        </w:rPr>
        <w:t>, Williams MV, Coleman EA. Rehospitalizations among patients in the Medicare fee-for-service program. </w:t>
      </w:r>
      <w:r w:rsidRPr="00CF5EBD">
        <w:rPr>
          <w:rFonts w:ascii="Book Antiqua" w:eastAsia="宋体" w:hAnsi="Book Antiqua" w:cs="宋体"/>
          <w:i/>
          <w:iCs/>
          <w:color w:val="000000"/>
        </w:rPr>
        <w:t>N Engl J Med</w:t>
      </w:r>
      <w:r w:rsidRPr="00CF5EBD">
        <w:rPr>
          <w:rFonts w:ascii="Book Antiqua" w:eastAsia="宋体" w:hAnsi="Book Antiqua" w:cs="宋体"/>
          <w:color w:val="000000"/>
        </w:rPr>
        <w:t> 2009; </w:t>
      </w:r>
      <w:r w:rsidRPr="00CF5EBD">
        <w:rPr>
          <w:rFonts w:ascii="Book Antiqua" w:eastAsia="宋体" w:hAnsi="Book Antiqua" w:cs="宋体"/>
          <w:b/>
          <w:bCs/>
          <w:color w:val="000000"/>
        </w:rPr>
        <w:t>360</w:t>
      </w:r>
      <w:r w:rsidRPr="00CF5EBD">
        <w:rPr>
          <w:rFonts w:ascii="Book Antiqua" w:eastAsia="宋体" w:hAnsi="Book Antiqua" w:cs="宋体"/>
          <w:color w:val="000000"/>
        </w:rPr>
        <w:t>: 1418-1428 [PMID: 19339721 DOI: 10.1056/NEJMsa0803563]</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14 </w:t>
      </w:r>
      <w:r w:rsidRPr="00CF5EBD">
        <w:rPr>
          <w:rFonts w:ascii="Book Antiqua" w:eastAsia="宋体" w:hAnsi="Book Antiqua" w:cs="宋体"/>
          <w:b/>
          <w:bCs/>
          <w:color w:val="000000"/>
        </w:rPr>
        <w:t>Johnson KB</w:t>
      </w:r>
      <w:r w:rsidRPr="00CF5EBD">
        <w:rPr>
          <w:rFonts w:ascii="Book Antiqua" w:eastAsia="宋体" w:hAnsi="Book Antiqua" w:cs="宋体"/>
          <w:color w:val="000000"/>
        </w:rPr>
        <w:t>, Campbell EJ, Chi H, Zheng H, King LY, Wu Y, Delemos A, Hurairah A, Corey K, Richter JM, Chung RT. Advanced disease, diuretic use, and marital status predict hospital admissions in an ambulatory cirrhosis cohort. </w:t>
      </w:r>
      <w:r w:rsidRPr="00CF5EBD">
        <w:rPr>
          <w:rFonts w:ascii="Book Antiqua" w:eastAsia="宋体" w:hAnsi="Book Antiqua" w:cs="宋体"/>
          <w:i/>
          <w:iCs/>
          <w:color w:val="000000"/>
        </w:rPr>
        <w:t>Dig Dis Sci</w:t>
      </w:r>
      <w:r w:rsidRPr="00CF5EBD">
        <w:rPr>
          <w:rFonts w:ascii="Book Antiqua" w:eastAsia="宋体" w:hAnsi="Book Antiqua" w:cs="宋体"/>
          <w:color w:val="000000"/>
        </w:rPr>
        <w:t> 2014; </w:t>
      </w:r>
      <w:r w:rsidRPr="00CF5EBD">
        <w:rPr>
          <w:rFonts w:ascii="Book Antiqua" w:eastAsia="宋体" w:hAnsi="Book Antiqua" w:cs="宋体"/>
          <w:b/>
          <w:bCs/>
          <w:color w:val="000000"/>
        </w:rPr>
        <w:t>59</w:t>
      </w:r>
      <w:r w:rsidRPr="00CF5EBD">
        <w:rPr>
          <w:rFonts w:ascii="Book Antiqua" w:eastAsia="宋体" w:hAnsi="Book Antiqua" w:cs="宋体"/>
          <w:color w:val="000000"/>
        </w:rPr>
        <w:t>: 174-182 [PMID: 23990035 DOI: 10.1007/s10620-013-2832-5]</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15 </w:t>
      </w:r>
      <w:r w:rsidRPr="00CF5EBD">
        <w:rPr>
          <w:rFonts w:ascii="Book Antiqua" w:eastAsia="宋体" w:hAnsi="Book Antiqua" w:cs="宋体"/>
          <w:b/>
          <w:bCs/>
          <w:color w:val="000000"/>
        </w:rPr>
        <w:t>Tapper EB</w:t>
      </w:r>
      <w:r w:rsidRPr="00CF5EBD">
        <w:rPr>
          <w:rFonts w:ascii="Book Antiqua" w:eastAsia="宋体" w:hAnsi="Book Antiqua" w:cs="宋体"/>
          <w:color w:val="000000"/>
        </w:rPr>
        <w:t>, Halbert B, Mellinger J. Rates of and Reasons for Hospital Readmissions in Patients With Cirrhosis: A Multistate Population-based Cohort Study. </w:t>
      </w:r>
      <w:r w:rsidRPr="00CF5EBD">
        <w:rPr>
          <w:rFonts w:ascii="Book Antiqua" w:eastAsia="宋体" w:hAnsi="Book Antiqua" w:cs="宋体"/>
          <w:i/>
          <w:iCs/>
          <w:color w:val="000000"/>
        </w:rPr>
        <w:t>Clin Gastroenterol Hepatol</w:t>
      </w:r>
      <w:r w:rsidRPr="00CF5EBD">
        <w:rPr>
          <w:rFonts w:ascii="Book Antiqua" w:eastAsia="宋体" w:hAnsi="Book Antiqua" w:cs="宋体"/>
          <w:color w:val="000000"/>
        </w:rPr>
        <w:t> 2016; </w:t>
      </w:r>
      <w:r w:rsidRPr="00CF5EBD">
        <w:rPr>
          <w:rFonts w:ascii="Book Antiqua" w:eastAsia="宋体" w:hAnsi="Book Antiqua" w:cs="宋体"/>
          <w:b/>
          <w:bCs/>
          <w:color w:val="000000"/>
        </w:rPr>
        <w:t>14</w:t>
      </w:r>
      <w:r w:rsidRPr="00CF5EBD">
        <w:rPr>
          <w:rFonts w:ascii="Book Antiqua" w:eastAsia="宋体" w:hAnsi="Book Antiqua" w:cs="宋体"/>
          <w:color w:val="000000"/>
        </w:rPr>
        <w:t>: 1181-1188.e2 [PMID: 27085758 DOI: 10.1016/j.cgh.2016.04.009]</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16 </w:t>
      </w:r>
      <w:r w:rsidRPr="00CF5EBD">
        <w:rPr>
          <w:rFonts w:ascii="Book Antiqua" w:eastAsia="宋体" w:hAnsi="Book Antiqua" w:cs="宋体"/>
          <w:b/>
          <w:bCs/>
          <w:color w:val="000000"/>
        </w:rPr>
        <w:t>Saab S</w:t>
      </w:r>
      <w:r w:rsidRPr="00CF5EBD">
        <w:rPr>
          <w:rFonts w:ascii="Book Antiqua" w:eastAsia="宋体" w:hAnsi="Book Antiqua" w:cs="宋体"/>
          <w:color w:val="000000"/>
        </w:rPr>
        <w:t>. Evaluation of the impact of rehospitalization in the management of hepatic encephalopathy. </w:t>
      </w:r>
      <w:r w:rsidRPr="00CF5EBD">
        <w:rPr>
          <w:rFonts w:ascii="Book Antiqua" w:eastAsia="宋体" w:hAnsi="Book Antiqua" w:cs="宋体"/>
          <w:i/>
          <w:iCs/>
          <w:color w:val="000000"/>
        </w:rPr>
        <w:t>Int J Gen Med</w:t>
      </w:r>
      <w:r w:rsidRPr="00CF5EBD">
        <w:rPr>
          <w:rFonts w:ascii="Book Antiqua" w:eastAsia="宋体" w:hAnsi="Book Antiqua" w:cs="宋体"/>
          <w:color w:val="000000"/>
        </w:rPr>
        <w:t> 2015; </w:t>
      </w:r>
      <w:r w:rsidRPr="00CF5EBD">
        <w:rPr>
          <w:rFonts w:ascii="Book Antiqua" w:eastAsia="宋体" w:hAnsi="Book Antiqua" w:cs="宋体"/>
          <w:b/>
          <w:bCs/>
          <w:color w:val="000000"/>
        </w:rPr>
        <w:t>8</w:t>
      </w:r>
      <w:r w:rsidRPr="00CF5EBD">
        <w:rPr>
          <w:rFonts w:ascii="Book Antiqua" w:eastAsia="宋体" w:hAnsi="Book Antiqua" w:cs="宋体"/>
          <w:color w:val="000000"/>
        </w:rPr>
        <w:t>: 165-173 [PMID: 25999756 DOI: 10.2147/IJGM.S81878]</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17 </w:t>
      </w:r>
      <w:r w:rsidRPr="00CF5EBD">
        <w:rPr>
          <w:rFonts w:ascii="Book Antiqua" w:eastAsia="宋体" w:hAnsi="Book Antiqua" w:cs="宋体"/>
          <w:b/>
          <w:bCs/>
          <w:color w:val="000000"/>
        </w:rPr>
        <w:t>Jepsen P</w:t>
      </w:r>
      <w:r w:rsidRPr="00CF5EBD">
        <w:rPr>
          <w:rFonts w:ascii="Book Antiqua" w:eastAsia="宋体" w:hAnsi="Book Antiqua" w:cs="宋体"/>
          <w:color w:val="000000"/>
        </w:rPr>
        <w:t>, Ott P, Andersen PK, Sørensen HT, Vilstrup H. Clinical course of alcoholic liver cirrhosis: a Danish population-based cohort study. </w:t>
      </w:r>
      <w:r w:rsidRPr="00CF5EBD">
        <w:rPr>
          <w:rFonts w:ascii="Book Antiqua" w:eastAsia="宋体" w:hAnsi="Book Antiqua" w:cs="宋体"/>
          <w:i/>
          <w:iCs/>
          <w:color w:val="000000"/>
        </w:rPr>
        <w:t>Hepatology</w:t>
      </w:r>
      <w:r w:rsidRPr="00CF5EBD">
        <w:rPr>
          <w:rFonts w:ascii="Book Antiqua" w:eastAsia="宋体" w:hAnsi="Book Antiqua" w:cs="宋体"/>
          <w:color w:val="000000"/>
        </w:rPr>
        <w:t> 2010; </w:t>
      </w:r>
      <w:r w:rsidRPr="00CF5EBD">
        <w:rPr>
          <w:rFonts w:ascii="Book Antiqua" w:eastAsia="宋体" w:hAnsi="Book Antiqua" w:cs="宋体"/>
          <w:b/>
          <w:bCs/>
          <w:color w:val="000000"/>
        </w:rPr>
        <w:t>51</w:t>
      </w:r>
      <w:r w:rsidRPr="00CF5EBD">
        <w:rPr>
          <w:rFonts w:ascii="Book Antiqua" w:eastAsia="宋体" w:hAnsi="Book Antiqua" w:cs="宋体"/>
          <w:color w:val="000000"/>
        </w:rPr>
        <w:t>: 1675-1682 [PMID: 20186844 DOI: 10.1002/hep.23500]</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lastRenderedPageBreak/>
        <w:t>18 </w:t>
      </w:r>
      <w:r w:rsidRPr="00CF5EBD">
        <w:rPr>
          <w:rFonts w:ascii="Book Antiqua" w:eastAsia="宋体" w:hAnsi="Book Antiqua" w:cs="宋体"/>
          <w:b/>
          <w:bCs/>
          <w:color w:val="000000"/>
        </w:rPr>
        <w:t>Stewart CA</w:t>
      </w:r>
      <w:r w:rsidRPr="00CF5EBD">
        <w:rPr>
          <w:rFonts w:ascii="Book Antiqua" w:eastAsia="宋体" w:hAnsi="Book Antiqua" w:cs="宋体"/>
          <w:color w:val="000000"/>
        </w:rPr>
        <w:t>, Malinchoc M, Kim WR, Kamath PS. Hepatic encephalopathy as a predictor of survival in patients with end-stage liver disease. </w:t>
      </w:r>
      <w:r w:rsidRPr="00CF5EBD">
        <w:rPr>
          <w:rFonts w:ascii="Book Antiqua" w:eastAsia="宋体" w:hAnsi="Book Antiqua" w:cs="宋体"/>
          <w:i/>
          <w:iCs/>
          <w:color w:val="000000"/>
        </w:rPr>
        <w:t>Liver Transpl</w:t>
      </w:r>
      <w:r w:rsidRPr="00CF5EBD">
        <w:rPr>
          <w:rFonts w:ascii="Book Antiqua" w:eastAsia="宋体" w:hAnsi="Book Antiqua" w:cs="宋体"/>
          <w:color w:val="000000"/>
        </w:rPr>
        <w:t> 2007; </w:t>
      </w:r>
      <w:r w:rsidRPr="00CF5EBD">
        <w:rPr>
          <w:rFonts w:ascii="Book Antiqua" w:eastAsia="宋体" w:hAnsi="Book Antiqua" w:cs="宋体"/>
          <w:b/>
          <w:bCs/>
          <w:color w:val="000000"/>
        </w:rPr>
        <w:t>13</w:t>
      </w:r>
      <w:r w:rsidRPr="00CF5EBD">
        <w:rPr>
          <w:rFonts w:ascii="Book Antiqua" w:eastAsia="宋体" w:hAnsi="Book Antiqua" w:cs="宋体"/>
          <w:color w:val="000000"/>
        </w:rPr>
        <w:t>: 1366-1371 [PMID: 17520742 DOI: 10.1002/lt.21129]</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19 </w:t>
      </w:r>
      <w:r w:rsidRPr="00CF5EBD">
        <w:rPr>
          <w:rFonts w:ascii="Book Antiqua" w:eastAsia="宋体" w:hAnsi="Book Antiqua" w:cs="宋体"/>
          <w:b/>
          <w:bCs/>
          <w:color w:val="000000"/>
        </w:rPr>
        <w:t>Stepanova M</w:t>
      </w:r>
      <w:r w:rsidRPr="00CF5EBD">
        <w:rPr>
          <w:rFonts w:ascii="Book Antiqua" w:eastAsia="宋体" w:hAnsi="Book Antiqua" w:cs="宋体"/>
          <w:color w:val="000000"/>
        </w:rPr>
        <w:t>, Mishra A, Venkatesan C, Younossi ZM. In-hospital mortality and economic burden associated with hepatic encephalopathy in the United States from 2005 to 2009. </w:t>
      </w:r>
      <w:r w:rsidRPr="00CF5EBD">
        <w:rPr>
          <w:rFonts w:ascii="Book Antiqua" w:eastAsia="宋体" w:hAnsi="Book Antiqua" w:cs="宋体"/>
          <w:i/>
          <w:iCs/>
          <w:color w:val="000000"/>
        </w:rPr>
        <w:t>Clin Gastroenterol Hepatol</w:t>
      </w:r>
      <w:r w:rsidRPr="00CF5EBD">
        <w:rPr>
          <w:rFonts w:ascii="Book Antiqua" w:eastAsia="宋体" w:hAnsi="Book Antiqua" w:cs="宋体"/>
          <w:color w:val="000000"/>
        </w:rPr>
        <w:t> 2012; </w:t>
      </w:r>
      <w:r w:rsidRPr="00CF5EBD">
        <w:rPr>
          <w:rFonts w:ascii="Book Antiqua" w:eastAsia="宋体" w:hAnsi="Book Antiqua" w:cs="宋体"/>
          <w:b/>
          <w:bCs/>
          <w:color w:val="000000"/>
        </w:rPr>
        <w:t>10</w:t>
      </w:r>
      <w:r w:rsidRPr="00CF5EBD">
        <w:rPr>
          <w:rFonts w:ascii="Book Antiqua" w:eastAsia="宋体" w:hAnsi="Book Antiqua" w:cs="宋体"/>
          <w:color w:val="000000"/>
        </w:rPr>
        <w:t>: 1034-41.e1 [PMID: 22642955 DOI: 10.1016/j.cgh.2012.05.016]</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20 </w:t>
      </w:r>
      <w:r w:rsidRPr="00CF5EBD">
        <w:rPr>
          <w:rFonts w:ascii="Book Antiqua" w:eastAsia="宋体" w:hAnsi="Book Antiqua" w:cs="宋体"/>
          <w:b/>
          <w:bCs/>
          <w:color w:val="000000"/>
        </w:rPr>
        <w:t>Courson A</w:t>
      </w:r>
      <w:r w:rsidRPr="00CF5EBD">
        <w:rPr>
          <w:rFonts w:ascii="Book Antiqua" w:eastAsia="宋体" w:hAnsi="Book Antiqua" w:cs="宋体"/>
          <w:color w:val="000000"/>
        </w:rPr>
        <w:t>, Jones GM, Twilla JD. Treatment of Acute Hepatic Encephalopathy: Comparing the Effects of Adding Rifaximin to Lactulose on Patient Outcomes. </w:t>
      </w:r>
      <w:r w:rsidRPr="00CF5EBD">
        <w:rPr>
          <w:rFonts w:ascii="Book Antiqua" w:eastAsia="宋体" w:hAnsi="Book Antiqua" w:cs="宋体"/>
          <w:i/>
          <w:iCs/>
          <w:color w:val="000000"/>
        </w:rPr>
        <w:t>J Pharm Pract</w:t>
      </w:r>
      <w:r w:rsidRPr="00CF5EBD">
        <w:rPr>
          <w:rFonts w:ascii="Book Antiqua" w:eastAsia="宋体" w:hAnsi="Book Antiqua" w:cs="宋体"/>
          <w:color w:val="000000"/>
        </w:rPr>
        <w:t> 2016; </w:t>
      </w:r>
      <w:r w:rsidRPr="00CF5EBD">
        <w:rPr>
          <w:rFonts w:ascii="Book Antiqua" w:eastAsia="宋体" w:hAnsi="Book Antiqua" w:cs="宋体"/>
          <w:b/>
          <w:bCs/>
          <w:color w:val="000000"/>
        </w:rPr>
        <w:t>29</w:t>
      </w:r>
      <w:r w:rsidRPr="00CF5EBD">
        <w:rPr>
          <w:rFonts w:ascii="Book Antiqua" w:eastAsia="宋体" w:hAnsi="Book Antiqua" w:cs="宋体"/>
          <w:color w:val="000000"/>
        </w:rPr>
        <w:t>: 212-217 [PMID: 25586470 DOI: 10.1177/0897190014566312]</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21 </w:t>
      </w:r>
      <w:r w:rsidRPr="00CF5EBD">
        <w:rPr>
          <w:rFonts w:ascii="Book Antiqua" w:eastAsia="宋体" w:hAnsi="Book Antiqua" w:cs="宋体"/>
          <w:b/>
          <w:bCs/>
          <w:color w:val="000000"/>
        </w:rPr>
        <w:t>Kanwal F</w:t>
      </w:r>
      <w:r w:rsidRPr="00CF5EBD">
        <w:rPr>
          <w:rFonts w:ascii="Book Antiqua" w:eastAsia="宋体" w:hAnsi="Book Antiqua" w:cs="宋体"/>
          <w:color w:val="000000"/>
        </w:rPr>
        <w:t>, Asch SM, Kramer JR, Cao Y, Asrani S, El-Serag HB. Early outpatient follow-up and 30-day outcomes in patients hospitalized with cirrhosis. </w:t>
      </w:r>
      <w:r w:rsidRPr="00CF5EBD">
        <w:rPr>
          <w:rFonts w:ascii="Book Antiqua" w:eastAsia="宋体" w:hAnsi="Book Antiqua" w:cs="宋体"/>
          <w:i/>
          <w:iCs/>
          <w:color w:val="000000"/>
        </w:rPr>
        <w:t>Hepatology</w:t>
      </w:r>
      <w:r w:rsidRPr="00CF5EBD">
        <w:rPr>
          <w:rFonts w:ascii="Book Antiqua" w:eastAsia="宋体" w:hAnsi="Book Antiqua" w:cs="宋体"/>
          <w:color w:val="000000"/>
        </w:rPr>
        <w:t> 2016; </w:t>
      </w:r>
      <w:r w:rsidRPr="00CF5EBD">
        <w:rPr>
          <w:rFonts w:ascii="Book Antiqua" w:eastAsia="宋体" w:hAnsi="Book Antiqua" w:cs="宋体"/>
          <w:b/>
          <w:bCs/>
          <w:color w:val="000000"/>
        </w:rPr>
        <w:t>64</w:t>
      </w:r>
      <w:r w:rsidRPr="00CF5EBD">
        <w:rPr>
          <w:rFonts w:ascii="Book Antiqua" w:eastAsia="宋体" w:hAnsi="Book Antiqua" w:cs="宋体"/>
          <w:color w:val="000000"/>
        </w:rPr>
        <w:t>: 569-581 [PMID: 26991920 DOI: 10.1002/hep.28558]</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22 </w:t>
      </w:r>
      <w:r w:rsidRPr="00CF5EBD">
        <w:rPr>
          <w:rFonts w:ascii="Book Antiqua" w:eastAsia="宋体" w:hAnsi="Book Antiqua" w:cs="宋体"/>
          <w:b/>
          <w:bCs/>
          <w:color w:val="000000"/>
        </w:rPr>
        <w:t>Andersen MM</w:t>
      </w:r>
      <w:r w:rsidRPr="00CF5EBD">
        <w:rPr>
          <w:rFonts w:ascii="Book Antiqua" w:eastAsia="宋体" w:hAnsi="Book Antiqua" w:cs="宋体"/>
          <w:color w:val="000000"/>
        </w:rPr>
        <w:t>, Aunt S, Jensen NM, Homann C, Manniche J, Svendsen S, Christensen E, Reher-Langberg A, Schiødt FV. Rehabilitation for cirrhotic patients discharged after hepatic encephalopathy improves survival. </w:t>
      </w:r>
      <w:r w:rsidRPr="00CF5EBD">
        <w:rPr>
          <w:rFonts w:ascii="Book Antiqua" w:eastAsia="宋体" w:hAnsi="Book Antiqua" w:cs="宋体"/>
          <w:i/>
          <w:iCs/>
          <w:color w:val="000000"/>
        </w:rPr>
        <w:t>Dan Med J</w:t>
      </w:r>
      <w:r w:rsidRPr="00CF5EBD">
        <w:rPr>
          <w:rFonts w:ascii="Book Antiqua" w:eastAsia="宋体" w:hAnsi="Book Antiqua" w:cs="宋体"/>
          <w:color w:val="000000"/>
        </w:rPr>
        <w:t> 2013; </w:t>
      </w:r>
      <w:r w:rsidRPr="00CF5EBD">
        <w:rPr>
          <w:rFonts w:ascii="Book Antiqua" w:eastAsia="宋体" w:hAnsi="Book Antiqua" w:cs="宋体"/>
          <w:b/>
          <w:bCs/>
          <w:color w:val="000000"/>
        </w:rPr>
        <w:t>60</w:t>
      </w:r>
      <w:r w:rsidRPr="00CF5EBD">
        <w:rPr>
          <w:rFonts w:ascii="Book Antiqua" w:eastAsia="宋体" w:hAnsi="Book Antiqua" w:cs="宋体"/>
          <w:color w:val="000000"/>
        </w:rPr>
        <w:t>: A4683 [PMID: 23905568]</w:t>
      </w:r>
    </w:p>
    <w:p w:rsidR="00116ECF" w:rsidRPr="002E0BD1" w:rsidRDefault="00116ECF" w:rsidP="00116ECF">
      <w:pPr>
        <w:adjustRightInd w:val="0"/>
        <w:snapToGrid w:val="0"/>
        <w:spacing w:line="360" w:lineRule="auto"/>
        <w:jc w:val="both"/>
        <w:rPr>
          <w:rFonts w:ascii="Book Antiqua" w:eastAsia="Times New Roman" w:hAnsi="Book Antiqua"/>
        </w:rPr>
      </w:pPr>
      <w:r w:rsidRPr="002E0BD1">
        <w:rPr>
          <w:rFonts w:ascii="Book Antiqua" w:eastAsia="宋体" w:hAnsi="Book Antiqua" w:cs="宋体" w:hint="eastAsia"/>
          <w:color w:val="000000"/>
        </w:rPr>
        <w:t xml:space="preserve">23 </w:t>
      </w:r>
      <w:r w:rsidRPr="002E0BD1">
        <w:rPr>
          <w:rFonts w:ascii="Book Antiqua" w:hAnsi="Book Antiqua"/>
          <w:b/>
        </w:rPr>
        <w:t>Fisher ES</w:t>
      </w:r>
      <w:r w:rsidRPr="002E0BD1">
        <w:rPr>
          <w:rFonts w:ascii="Book Antiqua" w:hAnsi="Book Antiqua"/>
        </w:rPr>
        <w:t xml:space="preserve">. Building a Medical Neighborhood for the Medical Home. </w:t>
      </w:r>
      <w:r w:rsidRPr="002E0BD1">
        <w:rPr>
          <w:rFonts w:ascii="Book Antiqua" w:hAnsi="Book Antiqua"/>
          <w:i/>
          <w:iCs/>
        </w:rPr>
        <w:t>N Engl J Med.</w:t>
      </w:r>
      <w:r w:rsidRPr="002E0BD1">
        <w:rPr>
          <w:rFonts w:ascii="Book Antiqua" w:hAnsi="Book Antiqua"/>
        </w:rPr>
        <w:t xml:space="preserve"> 2008;</w:t>
      </w:r>
      <w:r>
        <w:rPr>
          <w:rFonts w:ascii="Book Antiqua" w:hAnsi="Book Antiqua" w:hint="eastAsia"/>
        </w:rPr>
        <w:t xml:space="preserve"> </w:t>
      </w:r>
      <w:r w:rsidRPr="002E0BD1">
        <w:rPr>
          <w:rFonts w:ascii="Book Antiqua" w:hAnsi="Book Antiqua"/>
          <w:b/>
        </w:rPr>
        <w:t>359</w:t>
      </w:r>
      <w:r w:rsidRPr="002E0BD1">
        <w:rPr>
          <w:rFonts w:ascii="Book Antiqua" w:hAnsi="Book Antiqua"/>
        </w:rPr>
        <w:t>:</w:t>
      </w:r>
      <w:r>
        <w:rPr>
          <w:rFonts w:ascii="Book Antiqua" w:hAnsi="Book Antiqua" w:hint="eastAsia"/>
        </w:rPr>
        <w:t xml:space="preserve"> </w:t>
      </w:r>
      <w:r w:rsidRPr="002E0BD1">
        <w:rPr>
          <w:rFonts w:ascii="Book Antiqua" w:hAnsi="Book Antiqua"/>
        </w:rPr>
        <w:t>1202-1205 [PMID: 18799556 DOI: 10.1056/NEJMp0806233]</w:t>
      </w:r>
    </w:p>
    <w:p w:rsidR="00116ECF" w:rsidRPr="00CF5EBD" w:rsidRDefault="00116ECF" w:rsidP="00116ECF">
      <w:pPr>
        <w:spacing w:line="360" w:lineRule="auto"/>
        <w:jc w:val="both"/>
        <w:rPr>
          <w:rFonts w:ascii="Book Antiqua" w:eastAsia="宋体" w:hAnsi="Book Antiqua" w:cs="宋体"/>
          <w:color w:val="000000"/>
        </w:rPr>
      </w:pPr>
      <w:r w:rsidRPr="00CF5EBD">
        <w:rPr>
          <w:rFonts w:ascii="Book Antiqua" w:eastAsia="宋体" w:hAnsi="Book Antiqua" w:cs="宋体"/>
          <w:color w:val="000000"/>
        </w:rPr>
        <w:t>24 </w:t>
      </w:r>
      <w:r w:rsidRPr="00CF5EBD">
        <w:rPr>
          <w:rFonts w:ascii="Book Antiqua" w:eastAsia="宋体" w:hAnsi="Book Antiqua" w:cs="宋体"/>
          <w:b/>
          <w:bCs/>
          <w:color w:val="000000"/>
        </w:rPr>
        <w:t>Butcher L</w:t>
      </w:r>
      <w:r w:rsidRPr="00CF5EBD">
        <w:rPr>
          <w:rFonts w:ascii="Book Antiqua" w:eastAsia="宋体" w:hAnsi="Book Antiqua" w:cs="宋体"/>
          <w:color w:val="000000"/>
        </w:rPr>
        <w:t>. Building a medical neighborhood. </w:t>
      </w:r>
      <w:r w:rsidRPr="00CF5EBD">
        <w:rPr>
          <w:rFonts w:ascii="Book Antiqua" w:eastAsia="宋体" w:hAnsi="Book Antiqua" w:cs="宋体"/>
          <w:i/>
          <w:iCs/>
          <w:color w:val="000000"/>
        </w:rPr>
        <w:t>Hosp Health Netw</w:t>
      </w:r>
      <w:r w:rsidRPr="00CF5EBD">
        <w:rPr>
          <w:rFonts w:ascii="Book Antiqua" w:eastAsia="宋体" w:hAnsi="Book Antiqua" w:cs="宋体"/>
          <w:color w:val="000000"/>
        </w:rPr>
        <w:t> 2011; </w:t>
      </w:r>
      <w:r w:rsidRPr="00CF5EBD">
        <w:rPr>
          <w:rFonts w:ascii="Book Antiqua" w:eastAsia="宋体" w:hAnsi="Book Antiqua" w:cs="宋体"/>
          <w:b/>
          <w:bCs/>
          <w:color w:val="000000"/>
        </w:rPr>
        <w:t>85</w:t>
      </w:r>
      <w:r w:rsidRPr="00CF5EBD">
        <w:rPr>
          <w:rFonts w:ascii="Book Antiqua" w:eastAsia="宋体" w:hAnsi="Book Antiqua" w:cs="宋体"/>
          <w:color w:val="000000"/>
        </w:rPr>
        <w:t>: 31-2, 34 [PMID: 22279690]</w:t>
      </w:r>
    </w:p>
    <w:p w:rsidR="00F11B06" w:rsidRPr="0058034D" w:rsidRDefault="005B3EAE" w:rsidP="00F11B06">
      <w:pPr>
        <w:wordWrap w:val="0"/>
        <w:spacing w:line="360" w:lineRule="auto"/>
        <w:ind w:left="360" w:hangingChars="150" w:hanging="360"/>
        <w:jc w:val="right"/>
        <w:rPr>
          <w:rFonts w:ascii="Book Antiqua" w:hAnsi="Book Antiqua"/>
        </w:rPr>
      </w:pPr>
      <w:r w:rsidRPr="0058034D">
        <w:rPr>
          <w:rFonts w:ascii="Book Antiqua" w:hAnsi="Book Antiqua"/>
        </w:rPr>
        <w:tab/>
      </w:r>
      <w:bookmarkStart w:id="518" w:name="OLE_LINK4059"/>
      <w:bookmarkStart w:id="519" w:name="OLE_LINK4102"/>
      <w:bookmarkStart w:id="520" w:name="OLE_LINK4061"/>
      <w:bookmarkStart w:id="521" w:name="OLE_LINK4041"/>
      <w:bookmarkStart w:id="522" w:name="OLE_LINK4039"/>
      <w:bookmarkStart w:id="523" w:name="OLE_LINK3948"/>
      <w:bookmarkStart w:id="524" w:name="OLE_LINK3985"/>
      <w:bookmarkStart w:id="525" w:name="OLE_LINK3899"/>
      <w:bookmarkStart w:id="526" w:name="OLE_LINK4018"/>
      <w:bookmarkStart w:id="527" w:name="OLE_LINK3983"/>
      <w:bookmarkStart w:id="528" w:name="OLE_LINK3880"/>
      <w:bookmarkStart w:id="529" w:name="OLE_LINK3867"/>
      <w:bookmarkStart w:id="530" w:name="OLE_LINK3961"/>
      <w:bookmarkStart w:id="531" w:name="OLE_LINK3939"/>
      <w:bookmarkStart w:id="532" w:name="OLE_LINK3920"/>
      <w:bookmarkStart w:id="533" w:name="OLE_LINK3898"/>
      <w:bookmarkStart w:id="534" w:name="OLE_LINK3862"/>
      <w:bookmarkStart w:id="535" w:name="OLE_LINK3889"/>
      <w:bookmarkStart w:id="536" w:name="OLE_LINK3871"/>
      <w:bookmarkStart w:id="537" w:name="OLE_LINK3833"/>
      <w:bookmarkStart w:id="538" w:name="OLE_LINK3709"/>
      <w:bookmarkStart w:id="539" w:name="OLE_LINK3693"/>
      <w:bookmarkStart w:id="540" w:name="OLE_LINK3694"/>
      <w:bookmarkStart w:id="541" w:name="OLE_LINK3692"/>
      <w:bookmarkStart w:id="542" w:name="OLE_LINK3662"/>
      <w:bookmarkStart w:id="543" w:name="OLE_LINK3638"/>
      <w:bookmarkStart w:id="544" w:name="OLE_LINK3604"/>
      <w:bookmarkStart w:id="545" w:name="OLE_LINK3750"/>
      <w:bookmarkStart w:id="546" w:name="OLE_LINK3705"/>
      <w:bookmarkStart w:id="547" w:name="OLE_LINK3573"/>
      <w:bookmarkStart w:id="548" w:name="OLE_LINK3565"/>
      <w:bookmarkStart w:id="549" w:name="OLE_LINK3554"/>
      <w:bookmarkStart w:id="550" w:name="OLE_LINK3549"/>
      <w:bookmarkStart w:id="551" w:name="OLE_LINK3796"/>
      <w:bookmarkStart w:id="552" w:name="OLE_LINK3755"/>
      <w:bookmarkStart w:id="553" w:name="OLE_LINK3640"/>
      <w:bookmarkStart w:id="554" w:name="OLE_LINK3435"/>
      <w:bookmarkStart w:id="555" w:name="OLE_LINK3372"/>
      <w:bookmarkStart w:id="556" w:name="OLE_LINK3324"/>
      <w:bookmarkStart w:id="557" w:name="OLE_LINK3412"/>
      <w:bookmarkStart w:id="558" w:name="OLE_LINK3378"/>
      <w:bookmarkStart w:id="559" w:name="OLE_LINK3318"/>
      <w:bookmarkStart w:id="560" w:name="OLE_LINK3281"/>
      <w:bookmarkStart w:id="561" w:name="OLE_LINK3263"/>
      <w:bookmarkStart w:id="562" w:name="OLE_LINK3249"/>
      <w:bookmarkStart w:id="563" w:name="OLE_LINK3254"/>
      <w:bookmarkStart w:id="564" w:name="OLE_LINK3245"/>
      <w:bookmarkStart w:id="565" w:name="OLE_LINK3187"/>
      <w:bookmarkStart w:id="566" w:name="OLE_LINK3380"/>
      <w:bookmarkStart w:id="567" w:name="OLE_LINK3248"/>
      <w:bookmarkStart w:id="568" w:name="OLE_LINK3219"/>
      <w:bookmarkStart w:id="569" w:name="OLE_LINK3167"/>
      <w:bookmarkStart w:id="570" w:name="OLE_LINK3218"/>
      <w:bookmarkStart w:id="571" w:name="OLE_LINK3184"/>
      <w:bookmarkStart w:id="572" w:name="OLE_LINK3186"/>
      <w:bookmarkStart w:id="573" w:name="OLE_LINK3192"/>
      <w:bookmarkStart w:id="574" w:name="OLE_LINK3160"/>
      <w:bookmarkStart w:id="575" w:name="OLE_LINK3142"/>
      <w:bookmarkStart w:id="576" w:name="OLE_LINK3114"/>
      <w:bookmarkStart w:id="577" w:name="OLE_LINK3089"/>
      <w:bookmarkStart w:id="578" w:name="OLE_LINK3071"/>
      <w:bookmarkStart w:id="579" w:name="OLE_LINK3065"/>
      <w:bookmarkStart w:id="580" w:name="OLE_LINK3059"/>
      <w:bookmarkStart w:id="581" w:name="OLE_LINK3039"/>
      <w:bookmarkStart w:id="582" w:name="OLE_LINK3032"/>
      <w:bookmarkStart w:id="583" w:name="OLE_LINK3015"/>
      <w:bookmarkStart w:id="584" w:name="OLE_LINK3135"/>
      <w:bookmarkStart w:id="585" w:name="OLE_LINK3108"/>
      <w:bookmarkStart w:id="586" w:name="OLE_LINK3067"/>
      <w:bookmarkStart w:id="587" w:name="OLE_LINK3020"/>
      <w:bookmarkStart w:id="588" w:name="OLE_LINK2972"/>
      <w:bookmarkStart w:id="589" w:name="OLE_LINK2953"/>
      <w:bookmarkStart w:id="590" w:name="OLE_LINK3506"/>
      <w:bookmarkStart w:id="591" w:name="OLE_LINK3031"/>
      <w:bookmarkStart w:id="592" w:name="OLE_LINK2986"/>
      <w:bookmarkStart w:id="593" w:name="OLE_LINK2954"/>
      <w:bookmarkStart w:id="594" w:name="OLE_LINK2920"/>
      <w:bookmarkStart w:id="595" w:name="OLE_LINK2938"/>
      <w:bookmarkStart w:id="596" w:name="OLE_LINK2915"/>
      <w:bookmarkStart w:id="597" w:name="OLE_LINK2889"/>
      <w:bookmarkStart w:id="598" w:name="OLE_LINK2853"/>
      <w:bookmarkStart w:id="599" w:name="OLE_LINK2837"/>
      <w:bookmarkStart w:id="600" w:name="OLE_LINK2893"/>
      <w:bookmarkStart w:id="601" w:name="OLE_LINK2846"/>
      <w:bookmarkStart w:id="602" w:name="OLE_LINK3467"/>
      <w:bookmarkStart w:id="603" w:name="OLE_LINK2864"/>
      <w:bookmarkStart w:id="604" w:name="OLE_LINK2834"/>
      <w:bookmarkStart w:id="605" w:name="OLE_LINK2858"/>
      <w:bookmarkStart w:id="606" w:name="OLE_LINK2777"/>
      <w:bookmarkStart w:id="607" w:name="OLE_LINK2744"/>
      <w:bookmarkStart w:id="608" w:name="OLE_LINK2733"/>
      <w:bookmarkStart w:id="609" w:name="OLE_LINK2724"/>
      <w:bookmarkStart w:id="610" w:name="OLE_LINK2779"/>
      <w:bookmarkStart w:id="611" w:name="OLE_LINK3508"/>
      <w:bookmarkStart w:id="612" w:name="OLE_LINK3464"/>
      <w:bookmarkStart w:id="613" w:name="OLE_LINK2757"/>
      <w:bookmarkStart w:id="614" w:name="OLE_LINK2739"/>
      <w:bookmarkStart w:id="615" w:name="OLE_LINK2703"/>
      <w:bookmarkStart w:id="616" w:name="OLE_LINK2678"/>
      <w:bookmarkStart w:id="617" w:name="OLE_LINK2629"/>
      <w:bookmarkStart w:id="618" w:name="OLE_LINK2593"/>
      <w:bookmarkStart w:id="619" w:name="OLE_LINK2567"/>
      <w:bookmarkStart w:id="620" w:name="OLE_LINK2669"/>
      <w:bookmarkStart w:id="621" w:name="OLE_LINK2648"/>
      <w:bookmarkStart w:id="622" w:name="OLE_LINK2589"/>
      <w:bookmarkStart w:id="623" w:name="OLE_LINK2594"/>
      <w:bookmarkStart w:id="624" w:name="OLE_LINK2550"/>
      <w:bookmarkStart w:id="625" w:name="OLE_LINK2537"/>
      <w:bookmarkStart w:id="626" w:name="OLE_LINK2555"/>
      <w:bookmarkStart w:id="627" w:name="OLE_LINK2528"/>
      <w:bookmarkStart w:id="628" w:name="OLE_LINK2554"/>
      <w:bookmarkStart w:id="629" w:name="OLE_LINK2615"/>
      <w:bookmarkStart w:id="630" w:name="OLE_LINK2583"/>
      <w:bookmarkStart w:id="631" w:name="OLE_LINK2511"/>
      <w:bookmarkStart w:id="632" w:name="OLE_LINK2483"/>
      <w:bookmarkStart w:id="633" w:name="OLE_LINK2471"/>
      <w:bookmarkStart w:id="634" w:name="OLE_LINK2532"/>
      <w:bookmarkStart w:id="635" w:name="OLE_LINK2476"/>
      <w:bookmarkStart w:id="636" w:name="OLE_LINK2382"/>
      <w:bookmarkStart w:id="637" w:name="OLE_LINK2474"/>
      <w:bookmarkStart w:id="638" w:name="OLE_LINK2370"/>
      <w:bookmarkStart w:id="639" w:name="OLE_LINK2427"/>
      <w:bookmarkStart w:id="640" w:name="OLE_LINK2369"/>
      <w:bookmarkStart w:id="641" w:name="OLE_LINK2336"/>
      <w:bookmarkStart w:id="642" w:name="OLE_LINK2432"/>
      <w:bookmarkStart w:id="643" w:name="OLE_LINK2402"/>
      <w:bookmarkStart w:id="644" w:name="OLE_LINK2330"/>
      <w:bookmarkStart w:id="645" w:name="OLE_LINK2290"/>
      <w:bookmarkStart w:id="646" w:name="OLE_LINK2240"/>
      <w:bookmarkStart w:id="647" w:name="OLE_LINK2314"/>
      <w:bookmarkStart w:id="648" w:name="OLE_LINK2273"/>
      <w:bookmarkStart w:id="649" w:name="OLE_LINK2236"/>
      <w:bookmarkStart w:id="650" w:name="OLE_LINK2395"/>
      <w:bookmarkStart w:id="651" w:name="OLE_LINK2294"/>
      <w:bookmarkStart w:id="652" w:name="OLE_LINK2281"/>
      <w:bookmarkStart w:id="653" w:name="OLE_LINK2248"/>
      <w:bookmarkStart w:id="654" w:name="OLE_LINK2219"/>
      <w:bookmarkStart w:id="655" w:name="OLE_LINK2139"/>
      <w:bookmarkStart w:id="656" w:name="OLE_LINK3357"/>
      <w:bookmarkStart w:id="657" w:name="OLE_LINK2128"/>
      <w:bookmarkStart w:id="658" w:name="OLE_LINK2101"/>
      <w:bookmarkStart w:id="659" w:name="OLE_LINK2181"/>
      <w:bookmarkStart w:id="660" w:name="OLE_LINK2133"/>
      <w:bookmarkStart w:id="661" w:name="OLE_LINK2041"/>
      <w:bookmarkStart w:id="662" w:name="OLE_LINK2043"/>
      <w:bookmarkStart w:id="663" w:name="OLE_LINK1997"/>
      <w:bookmarkStart w:id="664" w:name="OLE_LINK3410"/>
      <w:bookmarkStart w:id="665" w:name="OLE_LINK3374"/>
      <w:bookmarkStart w:id="666" w:name="OLE_LINK3320"/>
      <w:bookmarkStart w:id="667" w:name="OLE_LINK2071"/>
      <w:bookmarkStart w:id="668" w:name="OLE_LINK2274"/>
      <w:bookmarkStart w:id="669" w:name="OLE_LINK2265"/>
      <w:bookmarkStart w:id="670" w:name="OLE_LINK2211"/>
      <w:bookmarkStart w:id="671" w:name="OLE_LINK2167"/>
      <w:bookmarkStart w:id="672" w:name="OLE_LINK2131"/>
      <w:bookmarkStart w:id="673" w:name="OLE_LINK2087"/>
      <w:bookmarkStart w:id="674" w:name="OLE_LINK2040"/>
      <w:bookmarkStart w:id="675" w:name="OLE_LINK1984"/>
      <w:bookmarkStart w:id="676" w:name="OLE_LINK2192"/>
      <w:bookmarkStart w:id="677" w:name="OLE_LINK2136"/>
      <w:bookmarkStart w:id="678" w:name="OLE_LINK2094"/>
      <w:bookmarkStart w:id="679" w:name="OLE_LINK2066"/>
      <w:bookmarkStart w:id="680" w:name="OLE_LINK2031"/>
      <w:bookmarkStart w:id="681" w:name="OLE_LINK1983"/>
      <w:bookmarkStart w:id="682" w:name="OLE_LINK1970"/>
      <w:bookmarkStart w:id="683" w:name="OLE_LINK1943"/>
      <w:bookmarkStart w:id="684" w:name="OLE_LINK1922"/>
      <w:bookmarkStart w:id="685" w:name="OLE_LINK1890"/>
      <w:bookmarkStart w:id="686" w:name="OLE_LINK1883"/>
      <w:bookmarkStart w:id="687" w:name="OLE_LINK1870"/>
      <w:bookmarkStart w:id="688" w:name="OLE_LINK2056"/>
      <w:bookmarkStart w:id="689" w:name="OLE_LINK2027"/>
      <w:bookmarkStart w:id="690" w:name="OLE_LINK1834"/>
      <w:bookmarkStart w:id="691" w:name="OLE_LINK1960"/>
      <w:bookmarkStart w:id="692" w:name="OLE_LINK1916"/>
      <w:bookmarkStart w:id="693" w:name="OLE_LINK1879"/>
      <w:bookmarkStart w:id="694" w:name="OLE_LINK1841"/>
      <w:bookmarkStart w:id="695" w:name="OLE_LINK1977"/>
      <w:bookmarkStart w:id="696" w:name="OLE_LINK1939"/>
      <w:bookmarkStart w:id="697" w:name="OLE_LINK1901"/>
      <w:bookmarkStart w:id="698" w:name="OLE_LINK1859"/>
      <w:bookmarkStart w:id="699" w:name="OLE_LINK1862"/>
      <w:bookmarkStart w:id="700" w:name="OLE_LINK1808"/>
      <w:bookmarkStart w:id="701" w:name="OLE_LINK1865"/>
      <w:bookmarkStart w:id="702" w:name="OLE_LINK1825"/>
      <w:bookmarkStart w:id="703" w:name="OLE_LINK1792"/>
      <w:bookmarkStart w:id="704" w:name="OLE_LINK1736"/>
      <w:bookmarkStart w:id="705" w:name="OLE_LINK1699"/>
      <w:bookmarkStart w:id="706" w:name="OLE_LINK1630"/>
      <w:bookmarkStart w:id="707" w:name="OLE_LINK1593"/>
      <w:bookmarkStart w:id="708" w:name="OLE_LINK1586"/>
      <w:bookmarkStart w:id="709" w:name="OLE_LINK1761"/>
      <w:bookmarkStart w:id="710" w:name="OLE_LINK1716"/>
      <w:bookmarkStart w:id="711" w:name="OLE_LINK1671"/>
      <w:bookmarkStart w:id="712" w:name="OLE_LINK1619"/>
      <w:bookmarkStart w:id="713" w:name="OLE_LINK1565"/>
      <w:bookmarkStart w:id="714" w:name="OLE_LINK1721"/>
      <w:bookmarkStart w:id="715" w:name="OLE_LINK1650"/>
      <w:bookmarkStart w:id="716" w:name="OLE_LINK1618"/>
      <w:bookmarkStart w:id="717" w:name="OLE_LINK1576"/>
      <w:bookmarkStart w:id="718" w:name="OLE_LINK1490"/>
      <w:bookmarkStart w:id="719" w:name="OLE_LINK1390"/>
      <w:bookmarkStart w:id="720" w:name="OLE_LINK1503"/>
      <w:bookmarkStart w:id="721" w:name="OLE_LINK1472"/>
      <w:bookmarkStart w:id="722" w:name="OLE_LINK1443"/>
      <w:bookmarkStart w:id="723" w:name="OLE_LINK1370"/>
      <w:bookmarkStart w:id="724" w:name="OLE_LINK1457"/>
      <w:bookmarkStart w:id="725" w:name="OLE_LINK1384"/>
      <w:bookmarkStart w:id="726" w:name="OLE_LINK1344"/>
      <w:bookmarkStart w:id="727" w:name="OLE_LINK1531"/>
      <w:bookmarkStart w:id="728" w:name="OLE_LINK1462"/>
      <w:bookmarkStart w:id="729" w:name="OLE_LINK1343"/>
      <w:bookmarkStart w:id="730" w:name="OLE_LINK1349"/>
      <w:bookmarkStart w:id="731" w:name="OLE_LINK1691"/>
      <w:bookmarkStart w:id="732" w:name="OLE_LINK1661"/>
      <w:bookmarkStart w:id="733" w:name="OLE_LINK1622"/>
      <w:bookmarkStart w:id="734" w:name="OLE_LINK1585"/>
      <w:bookmarkStart w:id="735" w:name="OLE_LINK1530"/>
      <w:bookmarkStart w:id="736" w:name="OLE_LINK1492"/>
      <w:bookmarkStart w:id="737" w:name="OLE_LINK1448"/>
      <w:bookmarkStart w:id="738" w:name="OLE_LINK1410"/>
      <w:bookmarkStart w:id="739" w:name="OLE_LINK1373"/>
      <w:bookmarkStart w:id="740" w:name="OLE_LINK1176"/>
      <w:bookmarkStart w:id="741" w:name="OLE_LINK1172"/>
      <w:bookmarkStart w:id="742" w:name="OLE_LINK1185"/>
      <w:bookmarkStart w:id="743" w:name="OLE_LINK1060"/>
      <w:bookmarkStart w:id="744" w:name="OLE_LINK1169"/>
      <w:bookmarkStart w:id="745" w:name="OLE_LINK1074"/>
      <w:bookmarkStart w:id="746" w:name="OLE_LINK1158"/>
      <w:bookmarkStart w:id="747" w:name="OLE_LINK1056"/>
      <w:bookmarkStart w:id="748" w:name="OLE_LINK1288"/>
      <w:bookmarkStart w:id="749" w:name="OLE_LINK1241"/>
      <w:bookmarkStart w:id="750" w:name="OLE_LINK1200"/>
      <w:bookmarkStart w:id="751" w:name="OLE_LINK1137"/>
      <w:bookmarkStart w:id="752" w:name="OLE_LINK1059"/>
      <w:bookmarkStart w:id="753" w:name="OLE_LINK930"/>
      <w:bookmarkStart w:id="754" w:name="OLE_LINK911"/>
      <w:bookmarkStart w:id="755" w:name="OLE_LINK946"/>
      <w:bookmarkStart w:id="756" w:name="OLE_LINK1052"/>
      <w:bookmarkStart w:id="757" w:name="OLE_LINK993"/>
      <w:bookmarkStart w:id="758" w:name="OLE_LINK992"/>
      <w:bookmarkStart w:id="759" w:name="OLE_LINK906"/>
      <w:bookmarkStart w:id="760" w:name="OLE_LINK898"/>
      <w:bookmarkStart w:id="761" w:name="OLE_LINK909"/>
      <w:bookmarkStart w:id="762" w:name="OLE_LINK847"/>
      <w:bookmarkStart w:id="763" w:name="OLE_LINK1030"/>
      <w:bookmarkStart w:id="764" w:name="OLE_LINK981"/>
      <w:bookmarkStart w:id="765" w:name="OLE_LINK943"/>
      <w:bookmarkStart w:id="766" w:name="OLE_LINK891"/>
      <w:bookmarkStart w:id="767" w:name="OLE_LINK1106"/>
      <w:bookmarkStart w:id="768" w:name="OLE_LINK1076"/>
      <w:bookmarkStart w:id="769" w:name="OLE_LINK1049"/>
      <w:bookmarkStart w:id="770" w:name="OLE_LINK1018"/>
      <w:bookmarkStart w:id="771" w:name="OLE_LINK980"/>
      <w:bookmarkStart w:id="772" w:name="OLE_LINK908"/>
      <w:bookmarkStart w:id="773" w:name="OLE_LINK856"/>
      <w:bookmarkStart w:id="774" w:name="OLE_LINK2898"/>
      <w:bookmarkStart w:id="775" w:name="OLE_LINK865"/>
      <w:bookmarkStart w:id="776" w:name="OLE_LINK826"/>
      <w:bookmarkStart w:id="777" w:name="OLE_LINK782"/>
      <w:bookmarkStart w:id="778" w:name="OLE_LINK889"/>
      <w:bookmarkStart w:id="779" w:name="OLE_LINK836"/>
      <w:bookmarkStart w:id="780" w:name="OLE_LINK2882"/>
      <w:bookmarkStart w:id="781" w:name="OLE_LINK792"/>
      <w:bookmarkStart w:id="782" w:name="OLE_LINK700"/>
      <w:bookmarkStart w:id="783" w:name="OLE_LINK642"/>
      <w:bookmarkStart w:id="784" w:name="OLE_LINK833"/>
      <w:bookmarkStart w:id="785" w:name="OLE_LINK781"/>
      <w:bookmarkStart w:id="786" w:name="OLE_LINK739"/>
      <w:bookmarkStart w:id="787" w:name="OLE_LINK660"/>
      <w:bookmarkStart w:id="788" w:name="OLE_LINK801"/>
      <w:bookmarkStart w:id="789" w:name="OLE_LINK770"/>
      <w:bookmarkStart w:id="790" w:name="OLE_LINK716"/>
      <w:bookmarkStart w:id="791" w:name="OLE_LINK593"/>
      <w:bookmarkStart w:id="792" w:name="OLE_LINK714"/>
      <w:bookmarkStart w:id="793" w:name="OLE_LINK640"/>
      <w:bookmarkStart w:id="794" w:name="OLE_LINK582"/>
      <w:bookmarkStart w:id="795" w:name="OLE_LINK589"/>
      <w:bookmarkStart w:id="796" w:name="OLE_LINK542"/>
      <w:bookmarkStart w:id="797" w:name="OLE_LINK722"/>
      <w:bookmarkStart w:id="798" w:name="OLE_LINK688"/>
      <w:bookmarkStart w:id="799" w:name="OLE_LINK639"/>
      <w:bookmarkStart w:id="800" w:name="OLE_LINK581"/>
      <w:bookmarkStart w:id="801" w:name="OLE_LINK2700"/>
      <w:bookmarkStart w:id="802" w:name="OLE_LINK567"/>
      <w:bookmarkStart w:id="803" w:name="OLE_LINK480"/>
      <w:bookmarkStart w:id="804" w:name="OLE_LINK574"/>
      <w:bookmarkStart w:id="805" w:name="OLE_LINK572"/>
      <w:bookmarkStart w:id="806" w:name="OLE_LINK532"/>
      <w:bookmarkStart w:id="807" w:name="OLE_LINK491"/>
      <w:bookmarkStart w:id="808" w:name="OLE_LINK575"/>
      <w:bookmarkStart w:id="809" w:name="OLE_LINK519"/>
      <w:bookmarkStart w:id="810" w:name="OLE_LINK462"/>
      <w:bookmarkStart w:id="811" w:name="OLE_LINK471"/>
      <w:bookmarkStart w:id="812" w:name="OLE_LINK430"/>
      <w:bookmarkStart w:id="813" w:name="OLE_LINK686"/>
      <w:bookmarkStart w:id="814" w:name="OLE_LINK648"/>
      <w:bookmarkStart w:id="815" w:name="OLE_LINK535"/>
      <w:bookmarkStart w:id="816" w:name="OLE_LINK489"/>
      <w:bookmarkStart w:id="817" w:name="OLE_LINK450"/>
      <w:bookmarkStart w:id="818" w:name="OLE_LINK303"/>
      <w:bookmarkStart w:id="819" w:name="OLE_LINK379"/>
      <w:bookmarkStart w:id="820" w:name="OLE_LINK384"/>
      <w:bookmarkStart w:id="821" w:name="OLE_LINK288"/>
      <w:bookmarkStart w:id="822" w:name="OLE_LINK457"/>
      <w:bookmarkStart w:id="823" w:name="OLE_LINK1830"/>
      <w:bookmarkStart w:id="824" w:name="OLE_LINK334"/>
      <w:bookmarkStart w:id="825" w:name="OLE_LINK371"/>
      <w:bookmarkStart w:id="826" w:name="OLE_LINK346"/>
      <w:bookmarkStart w:id="827" w:name="OLE_LINK400"/>
      <w:bookmarkStart w:id="828" w:name="OLE_LINK385"/>
      <w:bookmarkStart w:id="829" w:name="OLE_LINK321"/>
      <w:bookmarkStart w:id="830" w:name="OLE_LINK304"/>
      <w:bookmarkStart w:id="831" w:name="OLE_LINK313"/>
      <w:bookmarkStart w:id="832" w:name="OLE_LINK282"/>
      <w:bookmarkStart w:id="833" w:name="OLE_LINK240"/>
      <w:bookmarkStart w:id="834" w:name="OLE_LINK281"/>
      <w:bookmarkStart w:id="835" w:name="OLE_LINK250"/>
      <w:bookmarkStart w:id="836" w:name="OLE_LINK212"/>
      <w:bookmarkStart w:id="837" w:name="OLE_LINK226"/>
      <w:bookmarkStart w:id="838" w:name="OLE_LINK225"/>
      <w:bookmarkStart w:id="839" w:name="OLE_LINK149"/>
      <w:bookmarkStart w:id="840" w:name="OLE_LINK254"/>
      <w:bookmarkStart w:id="841" w:name="OLE_LINK183"/>
      <w:bookmarkStart w:id="842" w:name="OLE_LINK387"/>
      <w:bookmarkStart w:id="843" w:name="OLE_LINK320"/>
      <w:bookmarkStart w:id="844" w:name="OLE_LINK120"/>
      <w:bookmarkStart w:id="845" w:name="OLE_LINK51"/>
      <w:r w:rsidR="00F11B06" w:rsidRPr="0058034D">
        <w:rPr>
          <w:rFonts w:ascii="Book Antiqua" w:hAnsi="Book Antiqua"/>
          <w:b/>
          <w:bCs/>
        </w:rPr>
        <w:t>P-Reviewer:</w:t>
      </w:r>
      <w:r w:rsidR="009322B0" w:rsidRPr="0058034D">
        <w:rPr>
          <w:rFonts w:ascii="Book Antiqua" w:hAnsi="Book Antiqua"/>
          <w:b/>
          <w:bCs/>
        </w:rPr>
        <w:t xml:space="preserve"> </w:t>
      </w:r>
      <w:r w:rsidR="00F11B06" w:rsidRPr="0058034D">
        <w:rPr>
          <w:rFonts w:ascii="Book Antiqua" w:hAnsi="Book Antiqua"/>
          <w:bCs/>
        </w:rPr>
        <w:t>Liu</w:t>
      </w:r>
      <w:r w:rsidR="00F11B06" w:rsidRPr="0058034D">
        <w:rPr>
          <w:rFonts w:ascii="Book Antiqua" w:hAnsi="Book Antiqua" w:hint="eastAsia"/>
          <w:bCs/>
          <w:lang w:eastAsia="zh-CN"/>
        </w:rPr>
        <w:t xml:space="preserve"> R</w:t>
      </w:r>
      <w:r w:rsidR="00F11B06" w:rsidRPr="0058034D">
        <w:rPr>
          <w:rFonts w:ascii="Book Antiqua" w:hAnsi="Book Antiqua" w:hint="eastAsia"/>
          <w:b/>
          <w:bCs/>
          <w:lang w:eastAsia="zh-CN"/>
        </w:rPr>
        <w:t xml:space="preserve"> </w:t>
      </w:r>
      <w:r w:rsidR="00F11B06" w:rsidRPr="0058034D">
        <w:rPr>
          <w:rFonts w:ascii="Book Antiqua" w:hAnsi="Book Antiqua"/>
          <w:b/>
          <w:bCs/>
        </w:rPr>
        <w:t>S-Editor:</w:t>
      </w:r>
      <w:r w:rsidR="00F11B06" w:rsidRPr="0058034D">
        <w:rPr>
          <w:rFonts w:ascii="Book Antiqua" w:hAnsi="Book Antiqua"/>
        </w:rPr>
        <w:t xml:space="preserve"> Yu J </w:t>
      </w:r>
      <w:r w:rsidR="00F11B06" w:rsidRPr="0058034D">
        <w:rPr>
          <w:rFonts w:ascii="Book Antiqua" w:hAnsi="Book Antiqua"/>
          <w:b/>
          <w:bCs/>
        </w:rPr>
        <w:t>L-Editor:</w:t>
      </w:r>
      <w:r w:rsidR="009322B0" w:rsidRPr="0058034D">
        <w:rPr>
          <w:rFonts w:ascii="Book Antiqua" w:hAnsi="Book Antiqua"/>
        </w:rPr>
        <w:t xml:space="preserve"> </w:t>
      </w:r>
      <w:r w:rsidR="00F11B06" w:rsidRPr="0058034D">
        <w:rPr>
          <w:rFonts w:ascii="Book Antiqua" w:hAnsi="Book Antiqua"/>
          <w:b/>
          <w:bCs/>
        </w:rPr>
        <w:t>E-Editor:</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rsidR="00F11B06" w:rsidRPr="0058034D" w:rsidRDefault="00F11B06" w:rsidP="00F11B06">
      <w:pPr>
        <w:adjustRightInd w:val="0"/>
        <w:snapToGrid w:val="0"/>
        <w:spacing w:line="360" w:lineRule="auto"/>
        <w:rPr>
          <w:rFonts w:ascii="Book Antiqua" w:hAnsi="Book Antiqua"/>
        </w:rPr>
      </w:pPr>
      <w:bookmarkStart w:id="846" w:name="OLE_LINK3510"/>
      <w:bookmarkStart w:id="847" w:name="OLE_LINK3509"/>
      <w:bookmarkStart w:id="848" w:name="OLE_LINK3504"/>
      <w:bookmarkStart w:id="849" w:name="OLE_LINK3503"/>
      <w:bookmarkStart w:id="850" w:name="OLE_LINK4020"/>
      <w:bookmarkStart w:id="851" w:name="OLE_LINK4019"/>
      <w:bookmarkStart w:id="852" w:name="OLE_LINK4040"/>
      <w:bookmarkStart w:id="853" w:name="OLE_LINK4042"/>
      <w:bookmarkStart w:id="854" w:name="OLE_LINK4008"/>
      <w:bookmarkStart w:id="855" w:name="OLE_LINK3980"/>
      <w:bookmarkStart w:id="856" w:name="OLE_LINK3986"/>
      <w:bookmarkStart w:id="857" w:name="OLE_LINK3941"/>
      <w:bookmarkStart w:id="858" w:name="OLE_LINK3905"/>
      <w:bookmarkStart w:id="859" w:name="OLE_LINK3984"/>
      <w:bookmarkStart w:id="860" w:name="OLE_LINK3964"/>
      <w:bookmarkStart w:id="861" w:name="OLE_LINK3924"/>
      <w:bookmarkStart w:id="862" w:name="OLE_LINK3866"/>
      <w:bookmarkStart w:id="863" w:name="OLE_LINK3942"/>
      <w:bookmarkStart w:id="864" w:name="OLE_LINK3922"/>
      <w:bookmarkStart w:id="865" w:name="OLE_LINK3907"/>
      <w:bookmarkStart w:id="866" w:name="OLE_LINK3874"/>
      <w:bookmarkStart w:id="867" w:name="OLE_LINK3861"/>
      <w:bookmarkStart w:id="868" w:name="OLE_LINK3847"/>
      <w:bookmarkStart w:id="869" w:name="OLE_LINK3836"/>
      <w:bookmarkStart w:id="870" w:name="OLE_LINK3834"/>
      <w:bookmarkStart w:id="871" w:name="OLE_LINK3827"/>
      <w:bookmarkStart w:id="872" w:name="OLE_LINK3759"/>
      <w:bookmarkStart w:id="873" w:name="OLE_LINK3711"/>
      <w:bookmarkStart w:id="874" w:name="OLE_LINK3728"/>
      <w:bookmarkStart w:id="875" w:name="OLE_LINK3706"/>
      <w:bookmarkStart w:id="876" w:name="OLE_LINK3600"/>
      <w:bookmarkStart w:id="877" w:name="OLE_LINK3605"/>
      <w:bookmarkStart w:id="878" w:name="OLE_LINK3603"/>
      <w:bookmarkStart w:id="879" w:name="OLE_LINK3602"/>
      <w:bookmarkStart w:id="880" w:name="OLE_LINK3601"/>
      <w:bookmarkStart w:id="881" w:name="OLE_LINK3598"/>
      <w:bookmarkStart w:id="882" w:name="OLE_LINK3582"/>
      <w:bookmarkStart w:id="883" w:name="OLE_LINK3574"/>
      <w:bookmarkStart w:id="884" w:name="OLE_LINK3569"/>
      <w:bookmarkStart w:id="885" w:name="OLE_LINK3551"/>
      <w:bookmarkStart w:id="886" w:name="OLE_LINK3542"/>
      <w:bookmarkStart w:id="887" w:name="OLE_LINK3541"/>
      <w:bookmarkStart w:id="888" w:name="OLE_LINK3550"/>
      <w:bookmarkStart w:id="889" w:name="OLE_LINK3809"/>
      <w:bookmarkStart w:id="890" w:name="OLE_LINK3762"/>
      <w:bookmarkStart w:id="891" w:name="OLE_LINK3465"/>
      <w:bookmarkStart w:id="892" w:name="OLE_LINK3450"/>
      <w:bookmarkStart w:id="893" w:name="OLE_LINK3444"/>
      <w:bookmarkStart w:id="894" w:name="OLE_LINK3441"/>
      <w:bookmarkStart w:id="895" w:name="OLE_LINK3440"/>
      <w:bookmarkStart w:id="896" w:name="OLE_LINK3383"/>
      <w:bookmarkStart w:id="897" w:name="OLE_LINK3382"/>
      <w:bookmarkStart w:id="898" w:name="OLE_LINK3381"/>
      <w:bookmarkStart w:id="899" w:name="OLE_LINK3420"/>
      <w:bookmarkStart w:id="900" w:name="OLE_LINK3389"/>
      <w:bookmarkStart w:id="901" w:name="OLE_LINK3388"/>
      <w:r w:rsidRPr="0058034D">
        <w:rPr>
          <w:rFonts w:ascii="Book Antiqua" w:hAnsi="Book Antiqua"/>
          <w:b/>
        </w:rPr>
        <w:t xml:space="preserve">Specialty type: </w:t>
      </w:r>
      <w:r w:rsidRPr="0058034D">
        <w:rPr>
          <w:rFonts w:ascii="Book Antiqua" w:hAnsi="Book Antiqua"/>
        </w:rPr>
        <w:t>Gastroenterology and hepatology</w:t>
      </w:r>
    </w:p>
    <w:p w:rsidR="00F11B06" w:rsidRPr="0058034D" w:rsidRDefault="00F11B06" w:rsidP="00F11B06">
      <w:pPr>
        <w:adjustRightInd w:val="0"/>
        <w:snapToGrid w:val="0"/>
        <w:spacing w:line="360" w:lineRule="auto"/>
        <w:rPr>
          <w:rFonts w:ascii="Book Antiqua" w:hAnsi="Book Antiqua"/>
          <w:lang w:eastAsia="zh-CN"/>
        </w:rPr>
      </w:pPr>
      <w:r w:rsidRPr="0058034D">
        <w:rPr>
          <w:rFonts w:ascii="Book Antiqua" w:hAnsi="Book Antiqua"/>
          <w:b/>
        </w:rPr>
        <w:t xml:space="preserve">Country of origin: </w:t>
      </w:r>
      <w:r w:rsidRPr="0058034D">
        <w:rPr>
          <w:rFonts w:ascii="Book Antiqua" w:hAnsi="Book Antiqua" w:hint="eastAsia"/>
          <w:lang w:eastAsia="zh-CN"/>
        </w:rPr>
        <w:t>United States</w:t>
      </w:r>
    </w:p>
    <w:bookmarkEnd w:id="846"/>
    <w:bookmarkEnd w:id="847"/>
    <w:bookmarkEnd w:id="848"/>
    <w:bookmarkEnd w:id="849"/>
    <w:p w:rsidR="00F11B06" w:rsidRPr="0058034D" w:rsidRDefault="00F11B06" w:rsidP="00F11B06">
      <w:pPr>
        <w:shd w:val="clear" w:color="auto" w:fill="FFFFFF"/>
        <w:spacing w:line="360" w:lineRule="auto"/>
        <w:rPr>
          <w:rFonts w:ascii="Book Antiqua" w:hAnsi="Book Antiqua" w:cs="Helvetica"/>
          <w:b/>
        </w:rPr>
      </w:pPr>
      <w:r w:rsidRPr="0058034D">
        <w:rPr>
          <w:rFonts w:ascii="Book Antiqua" w:hAnsi="Book Antiqua" w:cs="Helvetica"/>
          <w:b/>
        </w:rPr>
        <w:t>Peer-review report classification</w:t>
      </w:r>
    </w:p>
    <w:p w:rsidR="00F11B06" w:rsidRPr="0058034D" w:rsidRDefault="00F11B06" w:rsidP="00F11B06">
      <w:pPr>
        <w:shd w:val="clear" w:color="auto" w:fill="FFFFFF"/>
        <w:spacing w:line="360" w:lineRule="auto"/>
        <w:rPr>
          <w:rFonts w:ascii="Book Antiqua" w:hAnsi="Book Antiqua" w:cs="Helvetica"/>
        </w:rPr>
      </w:pPr>
      <w:r w:rsidRPr="0058034D">
        <w:rPr>
          <w:rFonts w:ascii="Book Antiqua" w:hAnsi="Book Antiqua" w:cs="Helvetica"/>
        </w:rPr>
        <w:t>Grade A (Excellent): 0</w:t>
      </w:r>
    </w:p>
    <w:p w:rsidR="00F11B06" w:rsidRPr="0058034D" w:rsidRDefault="00F11B06" w:rsidP="00F11B06">
      <w:pPr>
        <w:shd w:val="clear" w:color="auto" w:fill="FFFFFF"/>
        <w:spacing w:line="360" w:lineRule="auto"/>
        <w:rPr>
          <w:rFonts w:ascii="Book Antiqua" w:hAnsi="Book Antiqua" w:cs="Helvetica"/>
          <w:lang w:eastAsia="zh-CN"/>
        </w:rPr>
      </w:pPr>
      <w:r w:rsidRPr="0058034D">
        <w:rPr>
          <w:rFonts w:ascii="Book Antiqua" w:hAnsi="Book Antiqua" w:cs="Helvetica"/>
        </w:rPr>
        <w:t xml:space="preserve">Grade B (Very good): </w:t>
      </w:r>
      <w:r w:rsidRPr="0058034D">
        <w:rPr>
          <w:rFonts w:ascii="Book Antiqua" w:hAnsi="Book Antiqua" w:cs="Helvetica" w:hint="eastAsia"/>
          <w:lang w:eastAsia="zh-CN"/>
        </w:rPr>
        <w:t>B</w:t>
      </w:r>
    </w:p>
    <w:p w:rsidR="00F11B06" w:rsidRPr="0058034D" w:rsidRDefault="00F11B06" w:rsidP="00F11B06">
      <w:pPr>
        <w:shd w:val="clear" w:color="auto" w:fill="FFFFFF"/>
        <w:spacing w:line="360" w:lineRule="auto"/>
        <w:rPr>
          <w:rFonts w:ascii="Book Antiqua" w:hAnsi="Book Antiqua" w:cs="Helvetica"/>
          <w:lang w:eastAsia="zh-CN"/>
        </w:rPr>
      </w:pPr>
      <w:r w:rsidRPr="0058034D">
        <w:rPr>
          <w:rFonts w:ascii="Book Antiqua" w:hAnsi="Book Antiqua" w:cs="Helvetica"/>
        </w:rPr>
        <w:t xml:space="preserve">Grade C (Good): </w:t>
      </w:r>
      <w:r w:rsidRPr="0058034D">
        <w:rPr>
          <w:rFonts w:ascii="Book Antiqua" w:hAnsi="Book Antiqua" w:cs="Helvetica" w:hint="eastAsia"/>
          <w:lang w:eastAsia="zh-CN"/>
        </w:rPr>
        <w:t>0</w:t>
      </w:r>
    </w:p>
    <w:p w:rsidR="00F11B06" w:rsidRPr="0058034D" w:rsidRDefault="00F11B06" w:rsidP="00F11B06">
      <w:pPr>
        <w:shd w:val="clear" w:color="auto" w:fill="FFFFFF"/>
        <w:spacing w:line="360" w:lineRule="auto"/>
        <w:rPr>
          <w:rFonts w:ascii="Book Antiqua" w:hAnsi="Book Antiqua" w:cs="Helvetica"/>
        </w:rPr>
      </w:pPr>
      <w:r w:rsidRPr="0058034D">
        <w:rPr>
          <w:rFonts w:ascii="Book Antiqua" w:hAnsi="Book Antiqua" w:cs="Helvetica"/>
        </w:rPr>
        <w:t>Grade D (Fair): 0</w:t>
      </w:r>
    </w:p>
    <w:p w:rsidR="00F11B06" w:rsidRPr="0058034D" w:rsidRDefault="00F11B06" w:rsidP="00F11B06">
      <w:pPr>
        <w:shd w:val="clear" w:color="auto" w:fill="FFFFFF"/>
        <w:spacing w:line="360" w:lineRule="auto"/>
        <w:rPr>
          <w:rFonts w:ascii="Calibri" w:hAnsi="Calibri"/>
          <w:sz w:val="22"/>
          <w:szCs w:val="22"/>
          <w:lang w:eastAsia="zh-CN"/>
        </w:rPr>
      </w:pPr>
      <w:r w:rsidRPr="0058034D">
        <w:rPr>
          <w:rFonts w:ascii="Book Antiqua" w:hAnsi="Book Antiqua" w:cs="Helvetica"/>
        </w:rPr>
        <w:lastRenderedPageBreak/>
        <w:t xml:space="preserve">Grade E (Poor): </w:t>
      </w:r>
      <w:bookmarkEnd w:id="850"/>
      <w:bookmarkEnd w:id="851"/>
      <w:r w:rsidRPr="0058034D">
        <w:rPr>
          <w:rFonts w:ascii="Book Antiqua" w:hAnsi="Book Antiqua" w:cs="Helvetica"/>
        </w:rPr>
        <w:t>0</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rsidR="001A0975" w:rsidRPr="0058034D" w:rsidRDefault="001A0975" w:rsidP="001D73C6">
      <w:pPr>
        <w:pStyle w:val="a6"/>
        <w:adjustRightInd w:val="0"/>
        <w:snapToGrid w:val="0"/>
        <w:spacing w:after="0" w:line="360" w:lineRule="auto"/>
        <w:ind w:left="0"/>
        <w:jc w:val="both"/>
        <w:rPr>
          <w:rFonts w:ascii="Book Antiqua" w:eastAsia="Times New Roman" w:hAnsi="Book Antiqua" w:cs="Times New Roman"/>
          <w:color w:val="auto"/>
          <w:sz w:val="24"/>
          <w:szCs w:val="24"/>
        </w:rPr>
      </w:pPr>
    </w:p>
    <w:p w:rsidR="00F11B06" w:rsidRPr="0058034D" w:rsidRDefault="00F11B06">
      <w:pPr>
        <w:rPr>
          <w:rFonts w:ascii="Book Antiqua" w:eastAsia="Calibri" w:hAnsi="Book Antiqua"/>
          <w:b/>
          <w:bCs/>
          <w:u w:color="000000"/>
          <w:lang w:val="fr-FR"/>
        </w:rPr>
      </w:pPr>
      <w:r w:rsidRPr="0058034D">
        <w:rPr>
          <w:rFonts w:ascii="Book Antiqua" w:hAnsi="Book Antiqua"/>
          <w:b/>
          <w:bCs/>
        </w:rPr>
        <w:br w:type="page"/>
      </w:r>
    </w:p>
    <w:p w:rsidR="001A0975" w:rsidRPr="0058034D" w:rsidRDefault="008210CC" w:rsidP="001D73C6">
      <w:pPr>
        <w:pStyle w:val="Body"/>
        <w:widowControl w:val="0"/>
        <w:adjustRightInd w:val="0"/>
        <w:snapToGrid w:val="0"/>
        <w:spacing w:after="0" w:line="360" w:lineRule="auto"/>
        <w:jc w:val="both"/>
        <w:rPr>
          <w:rFonts w:ascii="Book Antiqua" w:eastAsia="Times New Roman" w:hAnsi="Book Antiqua" w:cs="Times New Roman"/>
          <w:b/>
          <w:bCs/>
          <w:color w:val="auto"/>
          <w:sz w:val="24"/>
          <w:szCs w:val="24"/>
        </w:rPr>
      </w:pPr>
      <w:r w:rsidRPr="0058034D">
        <w:rPr>
          <w:rFonts w:ascii="Book Antiqua" w:eastAsia="Times New Roman" w:hAnsi="Book Antiqua" w:cs="Times New Roman"/>
          <w:b/>
          <w:bCs/>
          <w:color w:val="auto"/>
          <w:sz w:val="24"/>
          <w:szCs w:val="24"/>
        </w:rPr>
        <w:lastRenderedPageBreak/>
        <w:t>Table 1 ICD-9 codes used to identify patients</w:t>
      </w:r>
    </w:p>
    <w:tbl>
      <w:tblPr>
        <w:tblW w:w="6660" w:type="dxa"/>
        <w:tblInd w:w="108" w:type="dxa"/>
        <w:tblLayout w:type="fixed"/>
        <w:tblLook w:val="04A0" w:firstRow="1" w:lastRow="0" w:firstColumn="1" w:lastColumn="0" w:noHBand="0" w:noVBand="1"/>
      </w:tblPr>
      <w:tblGrid>
        <w:gridCol w:w="5636"/>
        <w:gridCol w:w="1024"/>
      </w:tblGrid>
      <w:tr w:rsidR="001A0975" w:rsidRPr="0058034D" w:rsidTr="008210CC">
        <w:trPr>
          <w:trHeight w:val="72"/>
        </w:trPr>
        <w:tc>
          <w:tcPr>
            <w:tcW w:w="5636" w:type="dxa"/>
            <w:tcBorders>
              <w:top w:val="single" w:sz="4" w:space="0" w:color="auto"/>
            </w:tcBorders>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Bleeding from esophageal varices</w:t>
            </w:r>
          </w:p>
        </w:tc>
        <w:tc>
          <w:tcPr>
            <w:tcW w:w="1024" w:type="dxa"/>
            <w:tcBorders>
              <w:top w:val="single" w:sz="4" w:space="0" w:color="auto"/>
            </w:tcBorders>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456</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Esophageal varices in diseases classified elsewhere</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456.2</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Spontaneous bacterial peritonitis</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567.23</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Alcoholic fatty liver</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571</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Alcoholic cirrhosis of liver</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571.2</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Laennec's cirrhosis</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571.2</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Cirrhosis of liver nos</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571.5</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Cirrhosis of liver without mention of alcohol</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571.5</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Macro nodular cirrhosis</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571.5</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Micro nodular cirrhosis</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571.5</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Portal cirrhosis NOS</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571.5</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Posthepatitic cirrhosis</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571.5</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Post necrotic cirrhosis</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571.5</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Cholangitic cirrhosis</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571.6</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Cholestatic cirrhosis</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571.6</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Hepatic encephalopathy</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572.2</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Portal hypertension</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572.3</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Hepatorenal syndrome</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572.4</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Other sequelae of chronic liver disease</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572.8</w:t>
            </w:r>
          </w:p>
        </w:tc>
      </w:tr>
      <w:tr w:rsidR="001A0975" w:rsidRPr="0058034D" w:rsidTr="008210CC">
        <w:trPr>
          <w:trHeight w:val="240"/>
        </w:trPr>
        <w:tc>
          <w:tcPr>
            <w:tcW w:w="5636" w:type="dxa"/>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Hepatopulmonary syndrome</w:t>
            </w:r>
          </w:p>
        </w:tc>
        <w:tc>
          <w:tcPr>
            <w:tcW w:w="1024" w:type="dxa"/>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573.5</w:t>
            </w:r>
          </w:p>
        </w:tc>
      </w:tr>
      <w:tr w:rsidR="001A0975" w:rsidRPr="0058034D" w:rsidTr="008210CC">
        <w:trPr>
          <w:trHeight w:val="240"/>
        </w:trPr>
        <w:tc>
          <w:tcPr>
            <w:tcW w:w="5636" w:type="dxa"/>
            <w:tcBorders>
              <w:bottom w:val="single" w:sz="4" w:space="0" w:color="auto"/>
            </w:tcBorders>
            <w:shd w:val="clear" w:color="auto" w:fill="FFFFFF"/>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lastRenderedPageBreak/>
              <w:t>Ascites</w:t>
            </w:r>
          </w:p>
        </w:tc>
        <w:tc>
          <w:tcPr>
            <w:tcW w:w="1024" w:type="dxa"/>
            <w:tcBorders>
              <w:bottom w:val="single" w:sz="4" w:space="0" w:color="auto"/>
            </w:tcBorders>
            <w:shd w:val="clear" w:color="auto" w:fill="FFFFFF"/>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u w:color="222222"/>
                <w:lang w:val="en-US"/>
              </w:rPr>
              <w:t>789.5</w:t>
            </w:r>
          </w:p>
        </w:tc>
      </w:tr>
    </w:tbl>
    <w:p w:rsidR="001A0975" w:rsidRPr="0058034D" w:rsidRDefault="001A0975" w:rsidP="001D73C6">
      <w:pPr>
        <w:pStyle w:val="Body"/>
        <w:widowControl w:val="0"/>
        <w:adjustRightInd w:val="0"/>
        <w:snapToGrid w:val="0"/>
        <w:spacing w:after="0" w:line="360" w:lineRule="auto"/>
        <w:jc w:val="both"/>
        <w:rPr>
          <w:rFonts w:ascii="Book Antiqua" w:eastAsia="Times New Roman" w:hAnsi="Book Antiqua" w:cs="Times New Roman"/>
          <w:b/>
          <w:bCs/>
          <w:color w:val="auto"/>
          <w:sz w:val="24"/>
          <w:szCs w:val="24"/>
        </w:rPr>
      </w:pPr>
    </w:p>
    <w:p w:rsidR="001A0975" w:rsidRPr="0058034D" w:rsidRDefault="001A0975" w:rsidP="001D73C6">
      <w:pPr>
        <w:pStyle w:val="Body"/>
        <w:adjustRightInd w:val="0"/>
        <w:snapToGrid w:val="0"/>
        <w:spacing w:after="0" w:line="360" w:lineRule="auto"/>
        <w:jc w:val="both"/>
        <w:rPr>
          <w:rFonts w:ascii="Book Antiqua" w:eastAsia="Times New Roman" w:hAnsi="Book Antiqua" w:cs="Times New Roman"/>
          <w:color w:val="auto"/>
          <w:sz w:val="24"/>
          <w:szCs w:val="24"/>
        </w:rPr>
      </w:pPr>
    </w:p>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eastAsia="Times New Roman" w:hAnsi="Book Antiqua" w:cs="Times New Roman"/>
          <w:color w:val="auto"/>
          <w:sz w:val="24"/>
          <w:szCs w:val="24"/>
        </w:rPr>
        <w:br w:type="page"/>
      </w:r>
    </w:p>
    <w:tbl>
      <w:tblPr>
        <w:tblW w:w="82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62"/>
        <w:gridCol w:w="2790"/>
      </w:tblGrid>
      <w:tr w:rsidR="0058034D" w:rsidRPr="0058034D" w:rsidTr="008210CC">
        <w:trPr>
          <w:trHeight w:val="245"/>
        </w:trPr>
        <w:tc>
          <w:tcPr>
            <w:tcW w:w="8252" w:type="dxa"/>
            <w:gridSpan w:val="2"/>
            <w:tcBorders>
              <w:top w:val="nil"/>
              <w:left w:val="nil"/>
              <w:bottom w:val="single" w:sz="4" w:space="0" w:color="auto"/>
              <w:right w:val="nil"/>
            </w:tcBorders>
            <w:shd w:val="clear" w:color="auto" w:fill="auto"/>
            <w:tcMar>
              <w:top w:w="80" w:type="dxa"/>
              <w:left w:w="80" w:type="dxa"/>
              <w:bottom w:w="80" w:type="dxa"/>
              <w:right w:w="80" w:type="dxa"/>
            </w:tcMar>
            <w:vAlign w:val="center"/>
          </w:tcPr>
          <w:p w:rsidR="001A0975" w:rsidRPr="00830F2F" w:rsidRDefault="005B3EAE" w:rsidP="001D73C6">
            <w:pPr>
              <w:pStyle w:val="Body"/>
              <w:adjustRightInd w:val="0"/>
              <w:snapToGrid w:val="0"/>
              <w:spacing w:after="0" w:line="360" w:lineRule="auto"/>
              <w:jc w:val="both"/>
              <w:rPr>
                <w:rFonts w:ascii="Book Antiqua" w:eastAsiaTheme="minorEastAsia" w:hAnsi="Book Antiqua" w:cs="Times New Roman"/>
                <w:b/>
                <w:color w:val="auto"/>
                <w:sz w:val="24"/>
                <w:szCs w:val="24"/>
                <w:lang w:eastAsia="zh-CN"/>
              </w:rPr>
            </w:pPr>
            <w:r w:rsidRPr="0058034D">
              <w:rPr>
                <w:rFonts w:ascii="Book Antiqua" w:hAnsi="Book Antiqua" w:cs="Times New Roman"/>
                <w:b/>
                <w:bCs/>
                <w:color w:val="auto"/>
                <w:sz w:val="24"/>
                <w:szCs w:val="24"/>
                <w:lang w:val="en-US"/>
              </w:rPr>
              <w:lastRenderedPageBreak/>
              <w:t>Table 2</w:t>
            </w:r>
            <w:r w:rsidRPr="0058034D">
              <w:rPr>
                <w:rFonts w:ascii="Book Antiqua" w:hAnsi="Book Antiqua" w:cs="Times New Roman"/>
                <w:b/>
                <w:color w:val="auto"/>
                <w:sz w:val="24"/>
                <w:szCs w:val="24"/>
                <w:lang w:val="en-US"/>
              </w:rPr>
              <w:t xml:space="preserve"> Baseline characteristics of cohort (</w:t>
            </w:r>
            <w:r w:rsidR="001D73C6" w:rsidRPr="0058034D">
              <w:rPr>
                <w:rFonts w:ascii="Book Antiqua" w:hAnsi="Book Antiqua" w:cs="Times New Roman"/>
                <w:b/>
                <w:i/>
                <w:color w:val="auto"/>
                <w:sz w:val="24"/>
                <w:szCs w:val="24"/>
                <w:lang w:val="en-US"/>
              </w:rPr>
              <w:t xml:space="preserve">n = </w:t>
            </w:r>
            <w:r w:rsidRPr="0058034D">
              <w:rPr>
                <w:rFonts w:ascii="Book Antiqua" w:hAnsi="Book Antiqua" w:cs="Times New Roman"/>
                <w:b/>
                <w:color w:val="auto"/>
                <w:sz w:val="24"/>
                <w:szCs w:val="24"/>
                <w:lang w:val="en-US"/>
              </w:rPr>
              <w:t>222)</w:t>
            </w:r>
            <w:r w:rsidR="00830F2F">
              <w:rPr>
                <w:rFonts w:ascii="Book Antiqua" w:eastAsiaTheme="minorEastAsia" w:hAnsi="Book Antiqua" w:cs="Times New Roman" w:hint="eastAsia"/>
                <w:b/>
                <w:color w:val="auto"/>
                <w:sz w:val="24"/>
                <w:szCs w:val="24"/>
                <w:lang w:val="en-US" w:eastAsia="zh-CN"/>
              </w:rPr>
              <w:t xml:space="preserve"> </w:t>
            </w:r>
            <w:r w:rsidR="00830F2F" w:rsidRPr="00830F2F">
              <w:rPr>
                <w:rFonts w:ascii="Book Antiqua" w:eastAsiaTheme="minorEastAsia" w:hAnsi="Book Antiqua" w:cs="Times New Roman" w:hint="eastAsia"/>
                <w:b/>
                <w:i/>
                <w:color w:val="auto"/>
                <w:sz w:val="24"/>
                <w:szCs w:val="24"/>
                <w:lang w:val="en-US" w:eastAsia="zh-CN"/>
              </w:rPr>
              <w:t>n</w:t>
            </w:r>
            <w:r w:rsidR="00830F2F">
              <w:rPr>
                <w:rFonts w:ascii="Book Antiqua" w:eastAsiaTheme="minorEastAsia" w:hAnsi="Book Antiqua" w:cs="Times New Roman" w:hint="eastAsia"/>
                <w:b/>
                <w:color w:val="auto"/>
                <w:sz w:val="24"/>
                <w:szCs w:val="24"/>
                <w:lang w:val="en-US" w:eastAsia="zh-CN"/>
              </w:rPr>
              <w:t xml:space="preserve"> (%)</w:t>
            </w:r>
          </w:p>
        </w:tc>
      </w:tr>
      <w:tr w:rsidR="0058034D" w:rsidRPr="0058034D" w:rsidTr="008210CC">
        <w:trPr>
          <w:trHeight w:val="189"/>
        </w:trPr>
        <w:tc>
          <w:tcPr>
            <w:tcW w:w="5462" w:type="dxa"/>
            <w:tcBorders>
              <w:top w:val="single" w:sz="4" w:space="0" w:color="auto"/>
              <w:left w:val="nil"/>
              <w:bottom w:val="nil"/>
              <w:right w:val="nil"/>
            </w:tcBorders>
            <w:shd w:val="clear" w:color="auto" w:fill="D9D9D9"/>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rPr>
                <w:rFonts w:ascii="Book Antiqua" w:hAnsi="Book Antiqua" w:cs="Times New Roman"/>
                <w:b/>
                <w:color w:val="auto"/>
                <w:sz w:val="24"/>
                <w:szCs w:val="24"/>
              </w:rPr>
            </w:pPr>
            <w:r w:rsidRPr="0058034D">
              <w:rPr>
                <w:rFonts w:ascii="Book Antiqua" w:hAnsi="Book Antiqua" w:cs="Times New Roman"/>
                <w:b/>
                <w:color w:val="auto"/>
                <w:sz w:val="24"/>
                <w:szCs w:val="24"/>
                <w:lang w:val="en-US"/>
              </w:rPr>
              <w:t>Demographics</w:t>
            </w:r>
          </w:p>
        </w:tc>
        <w:tc>
          <w:tcPr>
            <w:tcW w:w="2790" w:type="dxa"/>
            <w:tcBorders>
              <w:top w:val="single" w:sz="4" w:space="0" w:color="auto"/>
              <w:left w:val="nil"/>
              <w:bottom w:val="nil"/>
              <w:right w:val="nil"/>
            </w:tcBorders>
            <w:shd w:val="clear" w:color="auto" w:fill="D9D9D9"/>
            <w:tcMar>
              <w:top w:w="80" w:type="dxa"/>
              <w:left w:w="80" w:type="dxa"/>
              <w:bottom w:w="80" w:type="dxa"/>
              <w:right w:w="80" w:type="dxa"/>
            </w:tcMar>
            <w:vAlign w:val="center"/>
          </w:tcPr>
          <w:p w:rsidR="001A0975" w:rsidRPr="0058034D" w:rsidRDefault="005B3EAE" w:rsidP="00830F2F">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color w:val="auto"/>
                <w:sz w:val="24"/>
                <w:szCs w:val="24"/>
                <w:lang w:val="en-US"/>
              </w:rPr>
              <w:t xml:space="preserve">Number of patients </w:t>
            </w:r>
          </w:p>
        </w:tc>
      </w:tr>
      <w:tr w:rsidR="0058034D" w:rsidRPr="0058034D" w:rsidTr="008210CC">
        <w:trPr>
          <w:trHeight w:val="252"/>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Male</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149 (67.2)</w:t>
            </w:r>
          </w:p>
        </w:tc>
      </w:tr>
      <w:tr w:rsidR="0058034D" w:rsidRPr="0058034D" w:rsidTr="008210CC">
        <w:trPr>
          <w:trHeight w:val="261"/>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White</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168 (76)</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Married</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82 (36.9)</w:t>
            </w:r>
          </w:p>
        </w:tc>
      </w:tr>
      <w:tr w:rsidR="0058034D" w:rsidRPr="0058034D" w:rsidTr="008210CC">
        <w:trPr>
          <w:trHeight w:val="27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Age</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8210CC"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eastAsiaTheme="minorEastAsia" w:hAnsi="Book Antiqua" w:cs="Times New Roman" w:hint="eastAsia"/>
                <w:color w:val="auto"/>
                <w:sz w:val="24"/>
                <w:szCs w:val="24"/>
                <w:lang w:val="en-US" w:eastAsia="zh-CN"/>
              </w:rPr>
              <w:t>m</w:t>
            </w:r>
            <w:r w:rsidR="005B3EAE" w:rsidRPr="0058034D">
              <w:rPr>
                <w:rFonts w:ascii="Book Antiqua" w:hAnsi="Book Antiqua" w:cs="Times New Roman"/>
                <w:color w:val="auto"/>
                <w:sz w:val="24"/>
                <w:szCs w:val="24"/>
                <w:lang w:val="en-US"/>
              </w:rPr>
              <w:t>ean (SD): 56.7 (11.7)</w:t>
            </w:r>
          </w:p>
        </w:tc>
      </w:tr>
      <w:tr w:rsidR="0058034D" w:rsidRPr="0058034D" w:rsidTr="008210CC">
        <w:trPr>
          <w:trHeight w:val="36"/>
        </w:trPr>
        <w:tc>
          <w:tcPr>
            <w:tcW w:w="8252" w:type="dxa"/>
            <w:gridSpan w:val="2"/>
            <w:tcBorders>
              <w:top w:val="nil"/>
              <w:left w:val="nil"/>
              <w:bottom w:val="nil"/>
              <w:right w:val="nil"/>
            </w:tcBorders>
            <w:shd w:val="clear" w:color="auto" w:fill="F2F2F2"/>
            <w:tcMar>
              <w:top w:w="80" w:type="dxa"/>
              <w:left w:w="80" w:type="dxa"/>
              <w:bottom w:w="80" w:type="dxa"/>
              <w:right w:w="80" w:type="dxa"/>
            </w:tcMar>
            <w:vAlign w:val="center"/>
          </w:tcPr>
          <w:p w:rsidR="00AF5303" w:rsidRPr="0058034D" w:rsidRDefault="00AF5303"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Insurance</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Private insurance</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81 (36.5)</w:t>
            </w:r>
          </w:p>
        </w:tc>
      </w:tr>
      <w:tr w:rsidR="0058034D" w:rsidRPr="0058034D" w:rsidTr="008210CC">
        <w:trPr>
          <w:trHeight w:val="45"/>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Medicaid or </w:t>
            </w:r>
            <w:r w:rsidR="00FB3B7B" w:rsidRPr="0058034D">
              <w:rPr>
                <w:rFonts w:ascii="Book Antiqua" w:hAnsi="Book Antiqua" w:cs="Times New Roman"/>
                <w:color w:val="auto"/>
                <w:sz w:val="24"/>
                <w:szCs w:val="24"/>
                <w:lang w:val="en-US"/>
              </w:rPr>
              <w:t>mass health</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74 (33.3)</w:t>
            </w:r>
          </w:p>
        </w:tc>
      </w:tr>
      <w:tr w:rsidR="0058034D" w:rsidRPr="0058034D" w:rsidTr="008210CC">
        <w:trPr>
          <w:trHeight w:val="45"/>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Medicare</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62 (27.9)</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No Insurance (self-pay/free care)</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5 (2.3)</w:t>
            </w:r>
          </w:p>
        </w:tc>
      </w:tr>
      <w:tr w:rsidR="0058034D" w:rsidRPr="0058034D" w:rsidTr="008210CC">
        <w:trPr>
          <w:trHeight w:val="234"/>
        </w:trPr>
        <w:tc>
          <w:tcPr>
            <w:tcW w:w="8252" w:type="dxa"/>
            <w:gridSpan w:val="2"/>
            <w:tcBorders>
              <w:top w:val="nil"/>
              <w:left w:val="nil"/>
              <w:bottom w:val="nil"/>
              <w:right w:val="nil"/>
            </w:tcBorders>
            <w:shd w:val="clear" w:color="auto" w:fill="F2F2F2"/>
            <w:tcMar>
              <w:top w:w="80" w:type="dxa"/>
              <w:left w:w="80" w:type="dxa"/>
              <w:bottom w:w="80" w:type="dxa"/>
              <w:right w:w="80" w:type="dxa"/>
            </w:tcMar>
            <w:vAlign w:val="center"/>
          </w:tcPr>
          <w:p w:rsidR="00AF5303" w:rsidRPr="0058034D" w:rsidRDefault="00AF5303"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Education</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High school/equivalent or less</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127 (57.2)</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Some college and above</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60 (27)</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Not recorded</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35 (15.8)</w:t>
            </w:r>
          </w:p>
        </w:tc>
      </w:tr>
      <w:tr w:rsidR="0058034D" w:rsidRPr="0058034D" w:rsidTr="008210CC">
        <w:trPr>
          <w:trHeight w:val="250"/>
        </w:trPr>
        <w:tc>
          <w:tcPr>
            <w:tcW w:w="8252" w:type="dxa"/>
            <w:gridSpan w:val="2"/>
            <w:tcBorders>
              <w:top w:val="nil"/>
              <w:left w:val="nil"/>
              <w:bottom w:val="nil"/>
              <w:right w:val="nil"/>
            </w:tcBorders>
            <w:shd w:val="clear" w:color="auto" w:fill="D9D9D9"/>
            <w:tcMar>
              <w:top w:w="80" w:type="dxa"/>
              <w:left w:w="80" w:type="dxa"/>
              <w:bottom w:w="80" w:type="dxa"/>
              <w:right w:w="80" w:type="dxa"/>
            </w:tcMar>
            <w:vAlign w:val="center"/>
          </w:tcPr>
          <w:p w:rsidR="00AF5303" w:rsidRPr="0058034D" w:rsidRDefault="00AF5303"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Clinical History</w:t>
            </w:r>
          </w:p>
        </w:tc>
      </w:tr>
      <w:tr w:rsidR="0058034D" w:rsidRPr="0058034D" w:rsidTr="008210CC">
        <w:trPr>
          <w:trHeight w:val="250"/>
        </w:trPr>
        <w:tc>
          <w:tcPr>
            <w:tcW w:w="8252" w:type="dxa"/>
            <w:gridSpan w:val="2"/>
            <w:tcBorders>
              <w:top w:val="nil"/>
              <w:left w:val="nil"/>
              <w:bottom w:val="nil"/>
              <w:right w:val="nil"/>
            </w:tcBorders>
            <w:shd w:val="clear" w:color="auto" w:fill="F2F2F2"/>
            <w:tcMar>
              <w:top w:w="80" w:type="dxa"/>
              <w:left w:w="80" w:type="dxa"/>
              <w:bottom w:w="80" w:type="dxa"/>
              <w:right w:w="80" w:type="dxa"/>
            </w:tcMar>
            <w:vAlign w:val="center"/>
          </w:tcPr>
          <w:p w:rsidR="00AF5303" w:rsidRPr="0058034D" w:rsidRDefault="00AF5303"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Alcohol use</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Former heavy use</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110 (49.5)</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No significant history</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65 (29.3)</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Current heavy use</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47 (21.2)</w:t>
            </w:r>
          </w:p>
        </w:tc>
      </w:tr>
      <w:tr w:rsidR="0058034D" w:rsidRPr="0058034D" w:rsidTr="008210CC">
        <w:trPr>
          <w:trHeight w:val="250"/>
        </w:trPr>
        <w:tc>
          <w:tcPr>
            <w:tcW w:w="8252" w:type="dxa"/>
            <w:gridSpan w:val="2"/>
            <w:tcBorders>
              <w:top w:val="nil"/>
              <w:left w:val="nil"/>
              <w:bottom w:val="nil"/>
              <w:right w:val="nil"/>
            </w:tcBorders>
            <w:shd w:val="clear" w:color="auto" w:fill="F2F2F2"/>
            <w:tcMar>
              <w:top w:w="80" w:type="dxa"/>
              <w:left w:w="80" w:type="dxa"/>
              <w:bottom w:w="80" w:type="dxa"/>
              <w:right w:w="80" w:type="dxa"/>
            </w:tcMar>
            <w:vAlign w:val="center"/>
          </w:tcPr>
          <w:p w:rsidR="00AF5303" w:rsidRPr="0058034D" w:rsidRDefault="00AF5303"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Smoking</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lastRenderedPageBreak/>
              <w:t>Never smoked</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82 (36.7)</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Former smoker</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77 (34.7)</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Current smoker</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63 (28.4)</w:t>
            </w:r>
          </w:p>
        </w:tc>
      </w:tr>
      <w:tr w:rsidR="0058034D" w:rsidRPr="0058034D" w:rsidTr="008210CC">
        <w:trPr>
          <w:trHeight w:val="250"/>
        </w:trPr>
        <w:tc>
          <w:tcPr>
            <w:tcW w:w="8252" w:type="dxa"/>
            <w:gridSpan w:val="2"/>
            <w:tcBorders>
              <w:top w:val="nil"/>
              <w:left w:val="nil"/>
              <w:bottom w:val="nil"/>
              <w:right w:val="nil"/>
            </w:tcBorders>
            <w:shd w:val="clear" w:color="auto" w:fill="F2F2F2"/>
            <w:tcMar>
              <w:top w:w="80" w:type="dxa"/>
              <w:left w:w="80" w:type="dxa"/>
              <w:bottom w:w="80" w:type="dxa"/>
              <w:right w:w="80" w:type="dxa"/>
            </w:tcMar>
            <w:vAlign w:val="center"/>
          </w:tcPr>
          <w:p w:rsidR="00AF5303" w:rsidRPr="0058034D" w:rsidRDefault="00AF5303"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Etiology of cirrhosis</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Alcohol </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83 (37.4)</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HCV or HBV (HCV</w:t>
            </w:r>
            <w:r w:rsidR="003C61B3" w:rsidRPr="0058034D">
              <w:rPr>
                <w:rFonts w:ascii="Book Antiqua" w:eastAsiaTheme="minorEastAsia" w:hAnsi="Book Antiqua" w:cs="Times New Roman" w:hint="eastAsia"/>
                <w:color w:val="auto"/>
                <w:sz w:val="24"/>
                <w:szCs w:val="24"/>
                <w:lang w:val="en-US" w:eastAsia="zh-CN"/>
              </w:rPr>
              <w:t>,</w:t>
            </w:r>
            <w:r w:rsidRPr="0058034D">
              <w:rPr>
                <w:rFonts w:ascii="Book Antiqua" w:hAnsi="Book Antiqua" w:cs="Times New Roman"/>
                <w:color w:val="auto"/>
                <w:sz w:val="24"/>
                <w:szCs w:val="24"/>
                <w:lang w:val="en-US"/>
              </w:rPr>
              <w:t xml:space="preserve"> </w:t>
            </w:r>
            <w:r w:rsidR="001D73C6" w:rsidRPr="0058034D">
              <w:rPr>
                <w:rFonts w:ascii="Book Antiqua" w:hAnsi="Book Antiqua" w:cs="Times New Roman"/>
                <w:i/>
                <w:color w:val="auto"/>
                <w:sz w:val="24"/>
                <w:szCs w:val="24"/>
                <w:lang w:val="en-US"/>
              </w:rPr>
              <w:t xml:space="preserve">n = </w:t>
            </w:r>
            <w:r w:rsidRPr="0058034D">
              <w:rPr>
                <w:rFonts w:ascii="Book Antiqua" w:hAnsi="Book Antiqua" w:cs="Times New Roman"/>
                <w:color w:val="auto"/>
                <w:sz w:val="24"/>
                <w:szCs w:val="24"/>
                <w:lang w:val="en-US"/>
              </w:rPr>
              <w:t>46)</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lang w:val="en-US"/>
              </w:rPr>
            </w:pPr>
            <w:r w:rsidRPr="0058034D">
              <w:rPr>
                <w:rFonts w:ascii="Book Antiqua" w:hAnsi="Book Antiqua" w:cs="Times New Roman"/>
                <w:color w:val="auto"/>
                <w:sz w:val="24"/>
                <w:szCs w:val="24"/>
                <w:lang w:val="en-US"/>
              </w:rPr>
              <w:t>49 (22.1)</w:t>
            </w:r>
          </w:p>
        </w:tc>
      </w:tr>
      <w:tr w:rsidR="0058034D" w:rsidRPr="0058034D" w:rsidTr="008210CC">
        <w:trPr>
          <w:trHeight w:val="16"/>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Combination of etiologies (mainly HCV + </w:t>
            </w:r>
            <w:r w:rsidR="003C61B3" w:rsidRPr="0058034D">
              <w:rPr>
                <w:rFonts w:ascii="Book Antiqua" w:hAnsi="Book Antiqua" w:cs="Times New Roman"/>
                <w:color w:val="auto"/>
                <w:sz w:val="24"/>
                <w:szCs w:val="24"/>
                <w:lang w:val="en-US"/>
              </w:rPr>
              <w:t>alcohol</w:t>
            </w:r>
            <w:r w:rsidRPr="0058034D">
              <w:rPr>
                <w:rFonts w:ascii="Book Antiqua" w:hAnsi="Book Antiqua" w:cs="Times New Roman"/>
                <w:color w:val="auto"/>
                <w:sz w:val="24"/>
                <w:szCs w:val="24"/>
                <w:lang w:val="en-US"/>
              </w:rPr>
              <w:t>)</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40 (18)</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NASH</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29 (13)</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Cryptogenic or other etiologies</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21 (9.5)</w:t>
            </w:r>
          </w:p>
        </w:tc>
      </w:tr>
      <w:tr w:rsidR="0058034D" w:rsidRPr="0058034D" w:rsidTr="008210CC">
        <w:trPr>
          <w:trHeight w:val="250"/>
        </w:trPr>
        <w:tc>
          <w:tcPr>
            <w:tcW w:w="8252" w:type="dxa"/>
            <w:gridSpan w:val="2"/>
            <w:tcBorders>
              <w:top w:val="nil"/>
              <w:left w:val="nil"/>
              <w:bottom w:val="nil"/>
              <w:right w:val="nil"/>
            </w:tcBorders>
            <w:shd w:val="clear" w:color="auto" w:fill="D9D9D9"/>
            <w:tcMar>
              <w:top w:w="80" w:type="dxa"/>
              <w:left w:w="80" w:type="dxa"/>
              <w:bottom w:w="80" w:type="dxa"/>
              <w:right w:w="80" w:type="dxa"/>
            </w:tcMar>
            <w:vAlign w:val="center"/>
          </w:tcPr>
          <w:p w:rsidR="00AF5303" w:rsidRPr="0058034D" w:rsidRDefault="00AF5303"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Co-morbidities (Top 5)</w:t>
            </w:r>
          </w:p>
        </w:tc>
      </w:tr>
      <w:tr w:rsidR="0058034D" w:rsidRPr="0058034D" w:rsidTr="008210CC">
        <w:trPr>
          <w:trHeight w:val="279"/>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Mental </w:t>
            </w:r>
            <w:r w:rsidR="003C61B3" w:rsidRPr="0058034D">
              <w:rPr>
                <w:rFonts w:ascii="Book Antiqua" w:hAnsi="Book Antiqua" w:cs="Times New Roman"/>
                <w:color w:val="auto"/>
                <w:sz w:val="24"/>
                <w:szCs w:val="24"/>
                <w:lang w:val="en-US"/>
              </w:rPr>
              <w:t xml:space="preserve">health </w:t>
            </w:r>
            <w:r w:rsidRPr="0058034D">
              <w:rPr>
                <w:rFonts w:ascii="Book Antiqua" w:hAnsi="Book Antiqua" w:cs="Times New Roman"/>
                <w:color w:val="auto"/>
                <w:sz w:val="24"/>
                <w:szCs w:val="24"/>
                <w:lang w:val="en-US"/>
              </w:rPr>
              <w:t xml:space="preserve">(Depression or </w:t>
            </w:r>
            <w:r w:rsidR="003C61B3" w:rsidRPr="0058034D">
              <w:rPr>
                <w:rFonts w:ascii="Book Antiqua" w:hAnsi="Book Antiqua" w:cs="Times New Roman"/>
                <w:color w:val="auto"/>
                <w:sz w:val="24"/>
                <w:szCs w:val="24"/>
                <w:lang w:val="en-US"/>
              </w:rPr>
              <w:t xml:space="preserve">bipolar </w:t>
            </w:r>
            <w:r w:rsidRPr="0058034D">
              <w:rPr>
                <w:rFonts w:ascii="Book Antiqua" w:hAnsi="Book Antiqua" w:cs="Times New Roman"/>
                <w:color w:val="auto"/>
                <w:sz w:val="24"/>
                <w:szCs w:val="24"/>
                <w:lang w:val="en-US"/>
              </w:rPr>
              <w:t>disorder)</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68 (30.2)</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Diabetes mel</w:t>
            </w:r>
            <w:r w:rsidR="00AF5303" w:rsidRPr="0058034D">
              <w:rPr>
                <w:rFonts w:ascii="Book Antiqua" w:hAnsi="Book Antiqua" w:cs="Times New Roman"/>
                <w:color w:val="auto"/>
                <w:sz w:val="24"/>
                <w:szCs w:val="24"/>
                <w:lang w:val="en-US"/>
              </w:rPr>
              <w:t>lit</w:t>
            </w:r>
            <w:r w:rsidRPr="0058034D">
              <w:rPr>
                <w:rFonts w:ascii="Book Antiqua" w:hAnsi="Book Antiqua" w:cs="Times New Roman"/>
                <w:color w:val="auto"/>
                <w:sz w:val="24"/>
                <w:szCs w:val="24"/>
                <w:lang w:val="en-US"/>
              </w:rPr>
              <w:t>u</w:t>
            </w:r>
            <w:r w:rsidR="00AF5303" w:rsidRPr="0058034D">
              <w:rPr>
                <w:rFonts w:ascii="Book Antiqua" w:hAnsi="Book Antiqua" w:cs="Times New Roman"/>
                <w:color w:val="auto"/>
                <w:sz w:val="24"/>
                <w:szCs w:val="24"/>
                <w:lang w:val="en-US"/>
              </w:rPr>
              <w:t>s</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65 (29.8)</w:t>
            </w:r>
          </w:p>
        </w:tc>
      </w:tr>
      <w:tr w:rsidR="0058034D" w:rsidRPr="0058034D" w:rsidTr="008210CC">
        <w:trPr>
          <w:trHeight w:val="279"/>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C</w:t>
            </w:r>
            <w:r w:rsidR="00AF5303" w:rsidRPr="0058034D">
              <w:rPr>
                <w:rFonts w:ascii="Book Antiqua" w:hAnsi="Book Antiqua" w:cs="Times New Roman"/>
                <w:color w:val="auto"/>
                <w:sz w:val="24"/>
                <w:szCs w:val="24"/>
                <w:lang w:val="en-US"/>
              </w:rPr>
              <w:t xml:space="preserve">oronary </w:t>
            </w:r>
            <w:r w:rsidR="003C61B3" w:rsidRPr="0058034D">
              <w:rPr>
                <w:rFonts w:ascii="Book Antiqua" w:hAnsi="Book Antiqua" w:cs="Times New Roman"/>
                <w:color w:val="auto"/>
                <w:sz w:val="24"/>
                <w:szCs w:val="24"/>
                <w:lang w:val="en-US"/>
              </w:rPr>
              <w:t>artery disease</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27 (12)</w:t>
            </w:r>
          </w:p>
        </w:tc>
      </w:tr>
      <w:tr w:rsidR="0058034D" w:rsidRPr="0058034D" w:rsidTr="008210CC">
        <w:trPr>
          <w:trHeight w:val="250"/>
        </w:trPr>
        <w:tc>
          <w:tcPr>
            <w:tcW w:w="5462"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C</w:t>
            </w:r>
            <w:r w:rsidR="00AF5303" w:rsidRPr="0058034D">
              <w:rPr>
                <w:rFonts w:ascii="Book Antiqua" w:hAnsi="Book Antiqua" w:cs="Times New Roman"/>
                <w:color w:val="auto"/>
                <w:sz w:val="24"/>
                <w:szCs w:val="24"/>
                <w:lang w:val="en-US"/>
              </w:rPr>
              <w:t>hronic</w:t>
            </w:r>
            <w:r w:rsidR="003C61B3" w:rsidRPr="0058034D">
              <w:rPr>
                <w:rFonts w:ascii="Book Antiqua" w:hAnsi="Book Antiqua" w:cs="Times New Roman"/>
                <w:color w:val="auto"/>
                <w:sz w:val="24"/>
                <w:szCs w:val="24"/>
                <w:lang w:val="en-US"/>
              </w:rPr>
              <w:t xml:space="preserve"> kidney disease</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27 (12)</w:t>
            </w:r>
          </w:p>
        </w:tc>
      </w:tr>
      <w:tr w:rsidR="0058034D" w:rsidRPr="0058034D" w:rsidTr="008210CC">
        <w:trPr>
          <w:trHeight w:val="250"/>
        </w:trPr>
        <w:tc>
          <w:tcPr>
            <w:tcW w:w="5462" w:type="dxa"/>
            <w:tcBorders>
              <w:top w:val="nil"/>
              <w:left w:val="nil"/>
              <w:bottom w:val="single" w:sz="4" w:space="0" w:color="auto"/>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H</w:t>
            </w:r>
            <w:r w:rsidR="00AF5303" w:rsidRPr="0058034D">
              <w:rPr>
                <w:rFonts w:ascii="Book Antiqua" w:hAnsi="Book Antiqua" w:cs="Times New Roman"/>
                <w:color w:val="auto"/>
                <w:sz w:val="24"/>
                <w:szCs w:val="24"/>
                <w:lang w:val="en-US"/>
              </w:rPr>
              <w:t xml:space="preserve">epatocellular </w:t>
            </w:r>
            <w:r w:rsidR="003C61B3" w:rsidRPr="0058034D">
              <w:rPr>
                <w:rFonts w:ascii="Book Antiqua" w:hAnsi="Book Antiqua" w:cs="Times New Roman"/>
                <w:color w:val="auto"/>
                <w:sz w:val="24"/>
                <w:szCs w:val="24"/>
                <w:lang w:val="en-US"/>
              </w:rPr>
              <w:t>carcinoma</w:t>
            </w:r>
          </w:p>
        </w:tc>
        <w:tc>
          <w:tcPr>
            <w:tcW w:w="2790" w:type="dxa"/>
            <w:tcBorders>
              <w:top w:val="nil"/>
              <w:left w:val="nil"/>
              <w:bottom w:val="single" w:sz="4" w:space="0" w:color="auto"/>
              <w:right w:val="nil"/>
            </w:tcBorders>
            <w:shd w:val="clear" w:color="auto" w:fill="auto"/>
            <w:tcMar>
              <w:top w:w="80" w:type="dxa"/>
              <w:left w:w="80" w:type="dxa"/>
              <w:bottom w:w="80" w:type="dxa"/>
              <w:right w:w="80" w:type="dxa"/>
            </w:tcMar>
            <w:vAlign w:val="center"/>
          </w:tcPr>
          <w:p w:rsidR="00432A97" w:rsidRPr="0058034D" w:rsidRDefault="00432A97" w:rsidP="008210CC">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24 (10.6)</w:t>
            </w:r>
          </w:p>
        </w:tc>
      </w:tr>
    </w:tbl>
    <w:p w:rsidR="001A0975" w:rsidRPr="0058034D" w:rsidRDefault="00FB3B7B" w:rsidP="001D73C6">
      <w:pPr>
        <w:pStyle w:val="Body"/>
        <w:widowControl w:val="0"/>
        <w:adjustRightInd w:val="0"/>
        <w:snapToGrid w:val="0"/>
        <w:spacing w:after="0" w:line="360" w:lineRule="auto"/>
        <w:jc w:val="both"/>
        <w:rPr>
          <w:rFonts w:ascii="Book Antiqua" w:eastAsiaTheme="minorEastAsia" w:hAnsi="Book Antiqua" w:cs="Times New Roman"/>
          <w:color w:val="auto"/>
          <w:sz w:val="24"/>
          <w:szCs w:val="24"/>
          <w:lang w:eastAsia="zh-CN"/>
        </w:rPr>
      </w:pPr>
      <w:r w:rsidRPr="0058034D">
        <w:rPr>
          <w:rFonts w:ascii="Book Antiqua" w:eastAsia="Times New Roman" w:hAnsi="Book Antiqua" w:cs="Times New Roman" w:hint="eastAsia"/>
          <w:color w:val="auto"/>
          <w:sz w:val="24"/>
          <w:szCs w:val="24"/>
        </w:rPr>
        <w:t>HCV:</w:t>
      </w:r>
      <w:r w:rsidR="009322B0" w:rsidRPr="0058034D">
        <w:rPr>
          <w:rFonts w:ascii="Book Antiqua" w:eastAsia="Times New Roman" w:hAnsi="Book Antiqua" w:cs="Times New Roman" w:hint="eastAsia"/>
          <w:color w:val="auto"/>
          <w:sz w:val="24"/>
          <w:szCs w:val="24"/>
        </w:rPr>
        <w:t xml:space="preserve"> </w:t>
      </w:r>
      <w:r w:rsidRPr="0058034D">
        <w:rPr>
          <w:rFonts w:ascii="Book Antiqua" w:eastAsia="Times New Roman" w:hAnsi="Book Antiqua" w:cs="Times New Roman"/>
          <w:color w:val="auto"/>
          <w:sz w:val="24"/>
          <w:szCs w:val="24"/>
        </w:rPr>
        <w:t xml:space="preserve"> Hepatitis C virus</w:t>
      </w:r>
      <w:r w:rsidRPr="0058034D">
        <w:rPr>
          <w:rFonts w:ascii="Book Antiqua" w:eastAsiaTheme="minorEastAsia" w:hAnsi="Book Antiqua" w:cs="Times New Roman" w:hint="eastAsia"/>
          <w:color w:val="auto"/>
          <w:sz w:val="24"/>
          <w:szCs w:val="24"/>
          <w:lang w:eastAsia="zh-CN"/>
        </w:rPr>
        <w:t>; HBV:</w:t>
      </w:r>
      <w:r w:rsidRPr="0058034D">
        <w:rPr>
          <w:rFonts w:ascii="Book Antiqua" w:eastAsia="Times New Roman" w:hAnsi="Book Antiqua" w:cs="Times New Roman"/>
          <w:color w:val="auto"/>
          <w:sz w:val="24"/>
          <w:szCs w:val="24"/>
          <w:lang w:val="en-US"/>
        </w:rPr>
        <w:t xml:space="preserve"> </w:t>
      </w:r>
      <w:r w:rsidRPr="0058034D">
        <w:rPr>
          <w:rFonts w:ascii="Book Antiqua" w:eastAsiaTheme="minorEastAsia" w:hAnsi="Book Antiqua" w:cs="Times New Roman"/>
          <w:color w:val="auto"/>
          <w:sz w:val="24"/>
          <w:szCs w:val="24"/>
          <w:lang w:val="en-US" w:eastAsia="zh-CN"/>
        </w:rPr>
        <w:t xml:space="preserve">Hepatitis </w:t>
      </w:r>
      <w:r w:rsidRPr="0058034D">
        <w:rPr>
          <w:rFonts w:ascii="Book Antiqua" w:eastAsiaTheme="minorEastAsia" w:hAnsi="Book Antiqua" w:cs="Times New Roman" w:hint="eastAsia"/>
          <w:color w:val="auto"/>
          <w:sz w:val="24"/>
          <w:szCs w:val="24"/>
          <w:lang w:val="en-US" w:eastAsia="zh-CN"/>
        </w:rPr>
        <w:t>B</w:t>
      </w:r>
      <w:r w:rsidRPr="0058034D">
        <w:rPr>
          <w:rFonts w:ascii="Book Antiqua" w:eastAsiaTheme="minorEastAsia" w:hAnsi="Book Antiqua" w:cs="Times New Roman"/>
          <w:color w:val="auto"/>
          <w:sz w:val="24"/>
          <w:szCs w:val="24"/>
          <w:lang w:val="en-US" w:eastAsia="zh-CN"/>
        </w:rPr>
        <w:t xml:space="preserve"> virus</w:t>
      </w:r>
      <w:r w:rsidRPr="0058034D">
        <w:rPr>
          <w:rFonts w:ascii="Book Antiqua" w:eastAsiaTheme="minorEastAsia" w:hAnsi="Book Antiqua" w:cs="Times New Roman" w:hint="eastAsia"/>
          <w:color w:val="auto"/>
          <w:sz w:val="24"/>
          <w:szCs w:val="24"/>
          <w:lang w:val="en-US" w:eastAsia="zh-CN"/>
        </w:rPr>
        <w:t>.</w:t>
      </w:r>
    </w:p>
    <w:p w:rsidR="001A0975" w:rsidRPr="0058034D" w:rsidRDefault="00E53DDA" w:rsidP="001D73C6">
      <w:pPr>
        <w:adjustRightInd w:val="0"/>
        <w:snapToGrid w:val="0"/>
        <w:spacing w:line="360" w:lineRule="auto"/>
        <w:jc w:val="both"/>
        <w:rPr>
          <w:rFonts w:ascii="Book Antiqua" w:eastAsia="Times New Roman" w:hAnsi="Book Antiqua"/>
          <w:u w:color="000000"/>
          <w:lang w:val="fr-FR"/>
        </w:rPr>
      </w:pPr>
      <w:r w:rsidRPr="0058034D">
        <w:rPr>
          <w:rFonts w:ascii="Book Antiqua" w:eastAsia="Times New Roman" w:hAnsi="Book Antiqua"/>
        </w:rPr>
        <w:br w:type="page"/>
      </w:r>
    </w:p>
    <w:tbl>
      <w:tblPr>
        <w:tblW w:w="72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42"/>
        <w:gridCol w:w="2520"/>
      </w:tblGrid>
      <w:tr w:rsidR="00AF5303" w:rsidRPr="0058034D" w:rsidTr="009953B7">
        <w:trPr>
          <w:trHeight w:val="245"/>
        </w:trPr>
        <w:tc>
          <w:tcPr>
            <w:tcW w:w="7262" w:type="dxa"/>
            <w:gridSpan w:val="2"/>
            <w:tcBorders>
              <w:top w:val="nil"/>
              <w:left w:val="nil"/>
              <w:bottom w:val="single" w:sz="4" w:space="0" w:color="auto"/>
              <w:right w:val="nil"/>
            </w:tcBorders>
            <w:shd w:val="clear" w:color="auto" w:fill="auto"/>
            <w:tcMar>
              <w:top w:w="80" w:type="dxa"/>
              <w:left w:w="80" w:type="dxa"/>
              <w:bottom w:w="80" w:type="dxa"/>
              <w:right w:w="80" w:type="dxa"/>
            </w:tcMar>
            <w:vAlign w:val="center"/>
          </w:tcPr>
          <w:p w:rsidR="00AF5303" w:rsidRPr="0058034D" w:rsidRDefault="00AF5303" w:rsidP="001D73C6">
            <w:pPr>
              <w:adjustRightInd w:val="0"/>
              <w:snapToGrid w:val="0"/>
              <w:spacing w:line="360" w:lineRule="auto"/>
              <w:jc w:val="both"/>
              <w:rPr>
                <w:rFonts w:ascii="Book Antiqua" w:hAnsi="Book Antiqua"/>
                <w:b/>
                <w:lang w:eastAsia="zh-CN"/>
              </w:rPr>
            </w:pPr>
            <w:r w:rsidRPr="0058034D">
              <w:rPr>
                <w:rFonts w:ascii="Book Antiqua" w:hAnsi="Book Antiqua"/>
                <w:b/>
                <w:bCs/>
              </w:rPr>
              <w:lastRenderedPageBreak/>
              <w:t>Table 3</w:t>
            </w:r>
            <w:r w:rsidRPr="0058034D">
              <w:rPr>
                <w:rFonts w:ascii="Book Antiqua" w:hAnsi="Book Antiqua"/>
                <w:b/>
              </w:rPr>
              <w:t xml:space="preserve"> Hospitalization </w:t>
            </w:r>
            <w:r w:rsidR="009953B7" w:rsidRPr="0058034D">
              <w:rPr>
                <w:rFonts w:ascii="Book Antiqua" w:hAnsi="Book Antiqua"/>
                <w:b/>
              </w:rPr>
              <w:t>characteristics</w:t>
            </w:r>
            <w:r w:rsidR="00830F2F" w:rsidRPr="00830F2F">
              <w:rPr>
                <w:rFonts w:ascii="Book Antiqua" w:hAnsi="Book Antiqua" w:hint="eastAsia"/>
                <w:b/>
                <w:i/>
                <w:lang w:eastAsia="zh-CN"/>
              </w:rPr>
              <w:t xml:space="preserve"> n </w:t>
            </w:r>
            <w:r w:rsidR="00830F2F">
              <w:rPr>
                <w:rFonts w:ascii="Book Antiqua" w:hAnsi="Book Antiqua" w:hint="eastAsia"/>
                <w:b/>
                <w:lang w:eastAsia="zh-CN"/>
              </w:rPr>
              <w:t>(%)</w:t>
            </w:r>
          </w:p>
        </w:tc>
      </w:tr>
      <w:tr w:rsidR="001A0975" w:rsidRPr="0058034D" w:rsidTr="009953B7">
        <w:trPr>
          <w:trHeight w:val="250"/>
        </w:trPr>
        <w:tc>
          <w:tcPr>
            <w:tcW w:w="4742" w:type="dxa"/>
            <w:tcBorders>
              <w:top w:val="single" w:sz="4" w:space="0" w:color="auto"/>
              <w:left w:val="nil"/>
              <w:bottom w:val="single" w:sz="4" w:space="0" w:color="auto"/>
              <w:right w:val="nil"/>
            </w:tcBorders>
            <w:shd w:val="clear" w:color="auto" w:fill="D9D9D9"/>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b/>
                <w:color w:val="auto"/>
                <w:sz w:val="24"/>
                <w:szCs w:val="24"/>
              </w:rPr>
            </w:pPr>
            <w:r w:rsidRPr="0058034D">
              <w:rPr>
                <w:rFonts w:ascii="Book Antiqua" w:hAnsi="Book Antiqua" w:cs="Times New Roman"/>
                <w:b/>
                <w:color w:val="auto"/>
                <w:sz w:val="24"/>
                <w:szCs w:val="24"/>
                <w:lang w:val="en-US"/>
              </w:rPr>
              <w:t xml:space="preserve">Index </w:t>
            </w:r>
            <w:r w:rsidR="009953B7" w:rsidRPr="0058034D">
              <w:rPr>
                <w:rFonts w:ascii="Book Antiqua" w:hAnsi="Book Antiqua" w:cs="Times New Roman"/>
                <w:b/>
                <w:color w:val="auto"/>
                <w:sz w:val="24"/>
                <w:szCs w:val="24"/>
                <w:lang w:val="en-US"/>
              </w:rPr>
              <w:t>hospitalization</w:t>
            </w:r>
          </w:p>
        </w:tc>
        <w:tc>
          <w:tcPr>
            <w:tcW w:w="2520" w:type="dxa"/>
            <w:tcBorders>
              <w:top w:val="single" w:sz="4" w:space="0" w:color="auto"/>
              <w:left w:val="nil"/>
              <w:bottom w:val="single" w:sz="4" w:space="0" w:color="auto"/>
              <w:right w:val="nil"/>
            </w:tcBorders>
            <w:shd w:val="clear" w:color="auto" w:fill="D9D9D9"/>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lang w:val="en-US"/>
              </w:rPr>
              <w:t> </w:t>
            </w:r>
          </w:p>
        </w:tc>
      </w:tr>
      <w:tr w:rsidR="001A0975" w:rsidRPr="0058034D" w:rsidTr="009953B7">
        <w:trPr>
          <w:trHeight w:val="198"/>
        </w:trPr>
        <w:tc>
          <w:tcPr>
            <w:tcW w:w="4742" w:type="dxa"/>
            <w:tcBorders>
              <w:top w:val="single" w:sz="4" w:space="0" w:color="auto"/>
              <w:left w:val="nil"/>
              <w:bottom w:val="nil"/>
              <w:right w:val="nil"/>
            </w:tcBorders>
            <w:shd w:val="clear" w:color="auto" w:fill="F2F2F2"/>
            <w:tcMar>
              <w:top w:w="80" w:type="dxa"/>
              <w:left w:w="80" w:type="dxa"/>
              <w:bottom w:w="80" w:type="dxa"/>
              <w:right w:w="80" w:type="dxa"/>
            </w:tcMar>
            <w:vAlign w:val="center"/>
          </w:tcPr>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lang w:val="en-US"/>
              </w:rPr>
              <w:t>Complication of cirrhosis at index admission</w:t>
            </w:r>
          </w:p>
        </w:tc>
        <w:tc>
          <w:tcPr>
            <w:tcW w:w="2520" w:type="dxa"/>
            <w:tcBorders>
              <w:top w:val="single" w:sz="4" w:space="0" w:color="auto"/>
              <w:left w:val="nil"/>
              <w:bottom w:val="nil"/>
              <w:right w:val="nil"/>
            </w:tcBorders>
            <w:shd w:val="clear" w:color="auto" w:fill="F2F2F2"/>
            <w:tcMar>
              <w:top w:w="80" w:type="dxa"/>
              <w:left w:w="80" w:type="dxa"/>
              <w:bottom w:w="80" w:type="dxa"/>
              <w:right w:w="80" w:type="dxa"/>
            </w:tcMar>
            <w:vAlign w:val="center"/>
          </w:tcPr>
          <w:p w:rsidR="001A0975" w:rsidRPr="0058034D" w:rsidRDefault="005B3EAE" w:rsidP="00830F2F">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Number of patients </w:t>
            </w:r>
          </w:p>
        </w:tc>
      </w:tr>
      <w:tr w:rsidR="001A0975" w:rsidRPr="0058034D" w:rsidTr="009953B7">
        <w:trPr>
          <w:trHeight w:val="108"/>
        </w:trPr>
        <w:tc>
          <w:tcPr>
            <w:tcW w:w="474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AF5303"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Volume-</w:t>
            </w:r>
            <w:r w:rsidR="005B3EAE" w:rsidRPr="0058034D">
              <w:rPr>
                <w:rFonts w:ascii="Book Antiqua" w:hAnsi="Book Antiqua" w:cs="Times New Roman"/>
                <w:color w:val="auto"/>
                <w:sz w:val="24"/>
                <w:szCs w:val="24"/>
                <w:lang w:val="en-US"/>
              </w:rPr>
              <w:t>related</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64 (28.8)</w:t>
            </w:r>
          </w:p>
        </w:tc>
      </w:tr>
      <w:tr w:rsidR="001A0975" w:rsidRPr="0058034D" w:rsidTr="009953B7">
        <w:trPr>
          <w:trHeight w:val="250"/>
        </w:trPr>
        <w:tc>
          <w:tcPr>
            <w:tcW w:w="474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Hepatic </w:t>
            </w:r>
            <w:r w:rsidR="009953B7" w:rsidRPr="0058034D">
              <w:rPr>
                <w:rFonts w:ascii="Book Antiqua" w:hAnsi="Book Antiqua" w:cs="Times New Roman"/>
                <w:color w:val="auto"/>
                <w:sz w:val="24"/>
                <w:szCs w:val="24"/>
                <w:lang w:val="en-US"/>
              </w:rPr>
              <w:t>encephalopathy</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61 (27.5)</w:t>
            </w:r>
          </w:p>
        </w:tc>
      </w:tr>
      <w:tr w:rsidR="001A0975" w:rsidRPr="0058034D" w:rsidTr="009953B7">
        <w:trPr>
          <w:trHeight w:val="250"/>
        </w:trPr>
        <w:tc>
          <w:tcPr>
            <w:tcW w:w="474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Variceal </w:t>
            </w:r>
            <w:r w:rsidR="009953B7" w:rsidRPr="0058034D">
              <w:rPr>
                <w:rFonts w:ascii="Book Antiqua" w:hAnsi="Book Antiqua" w:cs="Times New Roman"/>
                <w:color w:val="auto"/>
                <w:sz w:val="24"/>
                <w:szCs w:val="24"/>
                <w:lang w:val="en-US"/>
              </w:rPr>
              <w:t>bleeding</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54 (24.3)</w:t>
            </w:r>
          </w:p>
        </w:tc>
      </w:tr>
      <w:tr w:rsidR="001A0975" w:rsidRPr="0058034D" w:rsidTr="009953B7">
        <w:trPr>
          <w:trHeight w:val="250"/>
        </w:trPr>
        <w:tc>
          <w:tcPr>
            <w:tcW w:w="474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S</w:t>
            </w:r>
            <w:r w:rsidR="00AF5303" w:rsidRPr="0058034D">
              <w:rPr>
                <w:rFonts w:ascii="Book Antiqua" w:hAnsi="Book Antiqua" w:cs="Times New Roman"/>
                <w:color w:val="auto"/>
                <w:sz w:val="24"/>
                <w:szCs w:val="24"/>
                <w:lang w:val="en-US"/>
              </w:rPr>
              <w:t xml:space="preserve">pontaneous </w:t>
            </w:r>
            <w:r w:rsidR="009953B7" w:rsidRPr="0058034D">
              <w:rPr>
                <w:rFonts w:ascii="Book Antiqua" w:hAnsi="Book Antiqua" w:cs="Times New Roman"/>
                <w:color w:val="auto"/>
                <w:sz w:val="24"/>
                <w:szCs w:val="24"/>
                <w:lang w:val="en-US"/>
              </w:rPr>
              <w:t>bacterial peritonitis</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27 (12.2)</w:t>
            </w:r>
          </w:p>
        </w:tc>
      </w:tr>
      <w:tr w:rsidR="001A0975" w:rsidRPr="0058034D" w:rsidTr="009953B7">
        <w:trPr>
          <w:trHeight w:val="250"/>
        </w:trPr>
        <w:tc>
          <w:tcPr>
            <w:tcW w:w="474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Other or &gt;</w:t>
            </w:r>
            <w:r w:rsidR="009953B7"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1 complication</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16</w:t>
            </w:r>
            <w:r w:rsidR="009322B0" w:rsidRPr="0058034D">
              <w:rPr>
                <w:rFonts w:ascii="Book Antiqua" w:hAnsi="Book Antiqua" w:cs="Times New Roman"/>
                <w:color w:val="auto"/>
                <w:sz w:val="24"/>
                <w:szCs w:val="24"/>
                <w:lang w:val="en-US"/>
              </w:rPr>
              <w:t xml:space="preserve"> </w:t>
            </w:r>
            <w:r w:rsidRPr="0058034D">
              <w:rPr>
                <w:rFonts w:ascii="Book Antiqua" w:hAnsi="Book Antiqua" w:cs="Times New Roman"/>
                <w:color w:val="auto"/>
                <w:sz w:val="24"/>
                <w:szCs w:val="24"/>
                <w:lang w:val="en-US"/>
              </w:rPr>
              <w:t>(7.2)</w:t>
            </w:r>
          </w:p>
        </w:tc>
      </w:tr>
      <w:tr w:rsidR="001A0975" w:rsidRPr="0058034D" w:rsidTr="009953B7">
        <w:trPr>
          <w:trHeight w:val="45"/>
        </w:trPr>
        <w:tc>
          <w:tcPr>
            <w:tcW w:w="4742" w:type="dxa"/>
            <w:tcBorders>
              <w:top w:val="nil"/>
              <w:left w:val="nil"/>
              <w:bottom w:val="nil"/>
              <w:right w:val="nil"/>
            </w:tcBorders>
            <w:shd w:val="clear" w:color="auto" w:fill="F2F2F2"/>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w:t>
            </w:r>
          </w:p>
        </w:tc>
        <w:tc>
          <w:tcPr>
            <w:tcW w:w="2520" w:type="dxa"/>
            <w:tcBorders>
              <w:top w:val="nil"/>
              <w:left w:val="nil"/>
              <w:bottom w:val="nil"/>
              <w:right w:val="nil"/>
            </w:tcBorders>
            <w:shd w:val="clear" w:color="auto" w:fill="F2F2F2"/>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Mean (SD)</w:t>
            </w:r>
          </w:p>
        </w:tc>
      </w:tr>
      <w:tr w:rsidR="001A0975" w:rsidRPr="0058034D" w:rsidTr="009953B7">
        <w:trPr>
          <w:trHeight w:val="250"/>
        </w:trPr>
        <w:tc>
          <w:tcPr>
            <w:tcW w:w="474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Length of </w:t>
            </w:r>
            <w:r w:rsidR="009953B7" w:rsidRPr="0058034D">
              <w:rPr>
                <w:rFonts w:ascii="Book Antiqua" w:hAnsi="Book Antiqua" w:cs="Times New Roman"/>
                <w:color w:val="auto"/>
                <w:sz w:val="24"/>
                <w:szCs w:val="24"/>
                <w:lang w:val="en-US"/>
              </w:rPr>
              <w:t>stay</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7.2 (7.8)</w:t>
            </w:r>
          </w:p>
        </w:tc>
      </w:tr>
      <w:tr w:rsidR="001A0975" w:rsidRPr="0058034D" w:rsidTr="009953B7">
        <w:trPr>
          <w:trHeight w:val="250"/>
        </w:trPr>
        <w:tc>
          <w:tcPr>
            <w:tcW w:w="474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MELD at admission </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13.3 (7.7)</w:t>
            </w:r>
          </w:p>
        </w:tc>
      </w:tr>
      <w:tr w:rsidR="001A0975" w:rsidRPr="0058034D" w:rsidTr="009953B7">
        <w:trPr>
          <w:trHeight w:val="250"/>
        </w:trPr>
        <w:tc>
          <w:tcPr>
            <w:tcW w:w="474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MELD at discharge</w:t>
            </w:r>
            <w:r w:rsidR="009322B0" w:rsidRPr="0058034D">
              <w:rPr>
                <w:rFonts w:ascii="Book Antiqua" w:hAnsi="Book Antiqua" w:cs="Times New Roman"/>
                <w:color w:val="auto"/>
                <w:sz w:val="24"/>
                <w:szCs w:val="24"/>
                <w:lang w:val="en-US"/>
              </w:rPr>
              <w:t xml:space="preserve"> </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12.2 (7.5)</w:t>
            </w:r>
          </w:p>
        </w:tc>
      </w:tr>
      <w:tr w:rsidR="001A0975" w:rsidRPr="0058034D" w:rsidTr="009953B7">
        <w:trPr>
          <w:trHeight w:val="16"/>
        </w:trPr>
        <w:tc>
          <w:tcPr>
            <w:tcW w:w="4742" w:type="dxa"/>
            <w:tcBorders>
              <w:top w:val="nil"/>
              <w:left w:val="nil"/>
              <w:bottom w:val="nil"/>
              <w:right w:val="nil"/>
            </w:tcBorders>
            <w:shd w:val="clear" w:color="auto" w:fill="D9D9D9"/>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rPr>
                <w:rFonts w:ascii="Book Antiqua" w:hAnsi="Book Antiqua" w:cs="Times New Roman"/>
                <w:b/>
                <w:color w:val="auto"/>
                <w:sz w:val="24"/>
                <w:szCs w:val="24"/>
              </w:rPr>
            </w:pPr>
            <w:r w:rsidRPr="0058034D">
              <w:rPr>
                <w:rFonts w:ascii="Book Antiqua" w:hAnsi="Book Antiqua" w:cs="Times New Roman"/>
                <w:b/>
                <w:color w:val="auto"/>
                <w:sz w:val="24"/>
                <w:szCs w:val="24"/>
                <w:lang w:val="en-US"/>
              </w:rPr>
              <w:t>Readmissions</w:t>
            </w:r>
          </w:p>
        </w:tc>
        <w:tc>
          <w:tcPr>
            <w:tcW w:w="2520" w:type="dxa"/>
            <w:tcBorders>
              <w:top w:val="nil"/>
              <w:left w:val="nil"/>
              <w:bottom w:val="nil"/>
              <w:right w:val="nil"/>
            </w:tcBorders>
            <w:shd w:val="clear" w:color="auto" w:fill="D9D9D9"/>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color w:val="auto"/>
                <w:sz w:val="24"/>
                <w:szCs w:val="24"/>
                <w:lang w:val="en-US"/>
              </w:rPr>
              <w:t>Number of patients (%)</w:t>
            </w:r>
          </w:p>
        </w:tc>
      </w:tr>
      <w:tr w:rsidR="001A0975" w:rsidRPr="0058034D" w:rsidTr="009953B7">
        <w:trPr>
          <w:trHeight w:val="250"/>
        </w:trPr>
        <w:tc>
          <w:tcPr>
            <w:tcW w:w="474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Readmitted with the same complication</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88 (49.4)</w:t>
            </w:r>
          </w:p>
        </w:tc>
      </w:tr>
      <w:tr w:rsidR="001A0975" w:rsidRPr="0058034D" w:rsidTr="009953B7">
        <w:trPr>
          <w:trHeight w:val="250"/>
        </w:trPr>
        <w:tc>
          <w:tcPr>
            <w:tcW w:w="474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Readmitted in one month</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46 (20.7)</w:t>
            </w:r>
          </w:p>
        </w:tc>
      </w:tr>
      <w:tr w:rsidR="00AF5303" w:rsidRPr="0058034D" w:rsidTr="009953B7">
        <w:trPr>
          <w:trHeight w:val="153"/>
        </w:trPr>
        <w:tc>
          <w:tcPr>
            <w:tcW w:w="7262" w:type="dxa"/>
            <w:gridSpan w:val="2"/>
            <w:tcBorders>
              <w:top w:val="nil"/>
              <w:left w:val="nil"/>
              <w:bottom w:val="nil"/>
              <w:right w:val="nil"/>
            </w:tcBorders>
            <w:shd w:val="clear" w:color="auto" w:fill="F2F2F2"/>
            <w:tcMar>
              <w:top w:w="80" w:type="dxa"/>
              <w:left w:w="80" w:type="dxa"/>
              <w:bottom w:w="80" w:type="dxa"/>
              <w:right w:w="80" w:type="dxa"/>
            </w:tcMar>
            <w:vAlign w:val="center"/>
          </w:tcPr>
          <w:p w:rsidR="00AF5303" w:rsidRPr="0058034D" w:rsidRDefault="00AF5303"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Cause of </w:t>
            </w:r>
            <w:r w:rsidR="009953B7" w:rsidRPr="0058034D">
              <w:rPr>
                <w:rFonts w:ascii="Book Antiqua" w:hAnsi="Book Antiqua" w:cs="Times New Roman"/>
                <w:color w:val="auto"/>
                <w:sz w:val="24"/>
                <w:szCs w:val="24"/>
                <w:lang w:val="en-US"/>
              </w:rPr>
              <w:t>readmission</w:t>
            </w:r>
          </w:p>
        </w:tc>
      </w:tr>
      <w:tr w:rsidR="001A0975" w:rsidRPr="0058034D" w:rsidTr="009953B7">
        <w:trPr>
          <w:trHeight w:val="250"/>
        </w:trPr>
        <w:tc>
          <w:tcPr>
            <w:tcW w:w="474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Hepatic </w:t>
            </w:r>
            <w:r w:rsidR="009953B7" w:rsidRPr="0058034D">
              <w:rPr>
                <w:rFonts w:ascii="Book Antiqua" w:hAnsi="Book Antiqua" w:cs="Times New Roman"/>
                <w:color w:val="auto"/>
                <w:sz w:val="24"/>
                <w:szCs w:val="24"/>
                <w:lang w:val="en-US"/>
              </w:rPr>
              <w:t>encephalopathy</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49 (35.5)</w:t>
            </w:r>
          </w:p>
        </w:tc>
      </w:tr>
      <w:tr w:rsidR="001A0975" w:rsidRPr="0058034D" w:rsidTr="009953B7">
        <w:trPr>
          <w:trHeight w:val="250"/>
        </w:trPr>
        <w:tc>
          <w:tcPr>
            <w:tcW w:w="474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AF5303"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Volume-</w:t>
            </w:r>
            <w:r w:rsidR="005B3EAE" w:rsidRPr="0058034D">
              <w:rPr>
                <w:rFonts w:ascii="Book Antiqua" w:hAnsi="Book Antiqua" w:cs="Times New Roman"/>
                <w:color w:val="auto"/>
                <w:sz w:val="24"/>
                <w:szCs w:val="24"/>
                <w:lang w:val="en-US"/>
              </w:rPr>
              <w:t>related</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38 (27.5)</w:t>
            </w:r>
          </w:p>
        </w:tc>
      </w:tr>
      <w:tr w:rsidR="001A0975" w:rsidRPr="0058034D" w:rsidTr="009953B7">
        <w:trPr>
          <w:trHeight w:val="250"/>
        </w:trPr>
        <w:tc>
          <w:tcPr>
            <w:tcW w:w="4742"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Variceal </w:t>
            </w:r>
            <w:r w:rsidR="009953B7" w:rsidRPr="0058034D">
              <w:rPr>
                <w:rFonts w:ascii="Book Antiqua" w:hAnsi="Book Antiqua" w:cs="Times New Roman"/>
                <w:color w:val="auto"/>
                <w:sz w:val="24"/>
                <w:szCs w:val="24"/>
                <w:lang w:val="en-US"/>
              </w:rPr>
              <w:t>bleeding</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1A0975" w:rsidRPr="0058034D" w:rsidRDefault="005B3EAE"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31 (22.5)</w:t>
            </w:r>
          </w:p>
        </w:tc>
      </w:tr>
      <w:tr w:rsidR="00AF5303" w:rsidRPr="0058034D" w:rsidTr="009953B7">
        <w:trPr>
          <w:trHeight w:val="250"/>
        </w:trPr>
        <w:tc>
          <w:tcPr>
            <w:tcW w:w="4742" w:type="dxa"/>
            <w:tcBorders>
              <w:top w:val="nil"/>
              <w:left w:val="nil"/>
              <w:bottom w:val="nil"/>
              <w:right w:val="nil"/>
            </w:tcBorders>
            <w:shd w:val="clear" w:color="auto" w:fill="auto"/>
            <w:tcMar>
              <w:top w:w="80" w:type="dxa"/>
              <w:left w:w="80" w:type="dxa"/>
              <w:bottom w:w="80" w:type="dxa"/>
              <w:right w:w="80" w:type="dxa"/>
            </w:tcMar>
            <w:vAlign w:val="center"/>
          </w:tcPr>
          <w:p w:rsidR="00AF5303" w:rsidRPr="0058034D" w:rsidRDefault="00AF5303"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lastRenderedPageBreak/>
              <w:t>Other or &gt;</w:t>
            </w:r>
            <w:r w:rsidR="009953B7"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1 complication</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AF5303" w:rsidRPr="0058034D" w:rsidRDefault="00AF5303"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12 (8.7)</w:t>
            </w:r>
          </w:p>
        </w:tc>
      </w:tr>
      <w:tr w:rsidR="00AF5303" w:rsidRPr="0058034D" w:rsidTr="009953B7">
        <w:trPr>
          <w:trHeight w:val="250"/>
        </w:trPr>
        <w:tc>
          <w:tcPr>
            <w:tcW w:w="4742" w:type="dxa"/>
            <w:tcBorders>
              <w:top w:val="nil"/>
              <w:left w:val="nil"/>
              <w:bottom w:val="single" w:sz="4" w:space="0" w:color="auto"/>
              <w:right w:val="nil"/>
            </w:tcBorders>
            <w:shd w:val="clear" w:color="auto" w:fill="auto"/>
            <w:tcMar>
              <w:top w:w="80" w:type="dxa"/>
              <w:left w:w="80" w:type="dxa"/>
              <w:bottom w:w="80" w:type="dxa"/>
              <w:right w:w="80" w:type="dxa"/>
            </w:tcMar>
            <w:vAlign w:val="center"/>
          </w:tcPr>
          <w:p w:rsidR="00AF5303" w:rsidRPr="0058034D" w:rsidRDefault="00AF5303"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Spontaneous </w:t>
            </w:r>
            <w:r w:rsidR="009953B7" w:rsidRPr="0058034D">
              <w:rPr>
                <w:rFonts w:ascii="Book Antiqua" w:hAnsi="Book Antiqua" w:cs="Times New Roman"/>
                <w:color w:val="auto"/>
                <w:sz w:val="24"/>
                <w:szCs w:val="24"/>
                <w:lang w:val="en-US"/>
              </w:rPr>
              <w:t>bacterial peritonitis</w:t>
            </w:r>
          </w:p>
        </w:tc>
        <w:tc>
          <w:tcPr>
            <w:tcW w:w="2520" w:type="dxa"/>
            <w:tcBorders>
              <w:top w:val="nil"/>
              <w:left w:val="nil"/>
              <w:bottom w:val="single" w:sz="4" w:space="0" w:color="auto"/>
              <w:right w:val="nil"/>
            </w:tcBorders>
            <w:shd w:val="clear" w:color="auto" w:fill="auto"/>
            <w:tcMar>
              <w:top w:w="80" w:type="dxa"/>
              <w:left w:w="80" w:type="dxa"/>
              <w:bottom w:w="80" w:type="dxa"/>
              <w:right w:w="80" w:type="dxa"/>
            </w:tcMar>
            <w:vAlign w:val="center"/>
          </w:tcPr>
          <w:p w:rsidR="00AF5303" w:rsidRPr="0058034D" w:rsidRDefault="00AF5303"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8 (5.8)</w:t>
            </w:r>
          </w:p>
        </w:tc>
      </w:tr>
    </w:tbl>
    <w:p w:rsidR="001A0975" w:rsidRPr="0058034D" w:rsidRDefault="00FB3B7B" w:rsidP="001D73C6">
      <w:pPr>
        <w:pStyle w:val="Body"/>
        <w:widowControl w:val="0"/>
        <w:adjustRightInd w:val="0"/>
        <w:snapToGrid w:val="0"/>
        <w:spacing w:after="0" w:line="360" w:lineRule="auto"/>
        <w:jc w:val="both"/>
        <w:rPr>
          <w:rFonts w:ascii="Book Antiqua" w:eastAsiaTheme="minorEastAsia" w:hAnsi="Book Antiqua" w:cs="Times New Roman"/>
          <w:color w:val="auto"/>
          <w:sz w:val="24"/>
          <w:szCs w:val="24"/>
          <w:lang w:eastAsia="zh-CN"/>
        </w:rPr>
      </w:pPr>
      <w:r w:rsidRPr="0058034D">
        <w:rPr>
          <w:rFonts w:ascii="Book Antiqua" w:eastAsiaTheme="minorEastAsia" w:hAnsi="Book Antiqua" w:cs="Times New Roman" w:hint="eastAsia"/>
          <w:color w:val="auto"/>
          <w:sz w:val="24"/>
          <w:szCs w:val="24"/>
          <w:lang w:eastAsia="zh-CN"/>
        </w:rPr>
        <w:t xml:space="preserve">MELD: </w:t>
      </w:r>
      <w:r w:rsidRPr="0058034D">
        <w:rPr>
          <w:rFonts w:ascii="Book Antiqua" w:eastAsiaTheme="minorEastAsia" w:hAnsi="Book Antiqua" w:cs="Times New Roman"/>
          <w:color w:val="auto"/>
          <w:sz w:val="24"/>
          <w:szCs w:val="24"/>
          <w:lang w:val="en-US" w:eastAsia="zh-CN"/>
        </w:rPr>
        <w:t>Model for End-Stage Liver Disease</w:t>
      </w:r>
      <w:r w:rsidRPr="0058034D">
        <w:rPr>
          <w:rFonts w:ascii="Book Antiqua" w:eastAsiaTheme="minorEastAsia" w:hAnsi="Book Antiqua" w:cs="Times New Roman" w:hint="eastAsia"/>
          <w:color w:val="auto"/>
          <w:sz w:val="24"/>
          <w:szCs w:val="24"/>
          <w:lang w:val="en-US" w:eastAsia="zh-CN"/>
        </w:rPr>
        <w:t>.</w:t>
      </w:r>
    </w:p>
    <w:p w:rsidR="001A0975" w:rsidRPr="0058034D" w:rsidRDefault="001A0975" w:rsidP="001D73C6">
      <w:pPr>
        <w:pStyle w:val="Body"/>
        <w:adjustRightInd w:val="0"/>
        <w:snapToGrid w:val="0"/>
        <w:spacing w:after="0" w:line="360" w:lineRule="auto"/>
        <w:jc w:val="both"/>
        <w:rPr>
          <w:rFonts w:ascii="Book Antiqua" w:eastAsia="Times New Roman" w:hAnsi="Book Antiqua" w:cs="Times New Roman"/>
          <w:color w:val="auto"/>
          <w:sz w:val="24"/>
          <w:szCs w:val="24"/>
        </w:rPr>
      </w:pPr>
    </w:p>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rPr>
        <w:br w:type="page"/>
      </w:r>
    </w:p>
    <w:tbl>
      <w:tblPr>
        <w:tblpPr w:leftFromText="180" w:rightFromText="180" w:vertAnchor="text" w:horzAnchor="margin" w:tblpXSpec="center" w:tblpY="-193"/>
        <w:tblW w:w="108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70"/>
        <w:gridCol w:w="2853"/>
        <w:gridCol w:w="117"/>
        <w:gridCol w:w="3160"/>
        <w:gridCol w:w="990"/>
      </w:tblGrid>
      <w:tr w:rsidR="00514A97" w:rsidRPr="0058034D" w:rsidTr="009953B7">
        <w:trPr>
          <w:trHeight w:val="104"/>
        </w:trPr>
        <w:tc>
          <w:tcPr>
            <w:tcW w:w="6740" w:type="dxa"/>
            <w:gridSpan w:val="3"/>
            <w:tcBorders>
              <w:top w:val="nil"/>
              <w:left w:val="nil"/>
              <w:bottom w:val="single" w:sz="4" w:space="0" w:color="auto"/>
              <w:right w:val="nil"/>
            </w:tcBorders>
            <w:shd w:val="clear" w:color="auto" w:fill="auto"/>
            <w:tcMar>
              <w:top w:w="80" w:type="dxa"/>
              <w:left w:w="80" w:type="dxa"/>
              <w:bottom w:w="80" w:type="dxa"/>
              <w:right w:w="80" w:type="dxa"/>
            </w:tcMar>
            <w:vAlign w:val="center"/>
          </w:tcPr>
          <w:p w:rsidR="00514A97" w:rsidRPr="0058034D" w:rsidRDefault="009953B7" w:rsidP="001D73C6">
            <w:pPr>
              <w:adjustRightInd w:val="0"/>
              <w:snapToGrid w:val="0"/>
              <w:spacing w:line="360" w:lineRule="auto"/>
              <w:jc w:val="both"/>
              <w:rPr>
                <w:rFonts w:ascii="Book Antiqua" w:hAnsi="Book Antiqua"/>
                <w:b/>
              </w:rPr>
            </w:pPr>
            <w:r w:rsidRPr="0058034D">
              <w:rPr>
                <w:rFonts w:ascii="Book Antiqua" w:hAnsi="Book Antiqua"/>
                <w:b/>
                <w:bCs/>
              </w:rPr>
              <w:lastRenderedPageBreak/>
              <w:t>Table 4</w:t>
            </w:r>
            <w:r w:rsidR="00514A97" w:rsidRPr="0058034D">
              <w:rPr>
                <w:rFonts w:ascii="Book Antiqua" w:hAnsi="Book Antiqua"/>
                <w:b/>
              </w:rPr>
              <w:t xml:space="preserve"> Post-discharge follow-up</w:t>
            </w:r>
            <w:r w:rsidR="00830F2F" w:rsidRPr="00830F2F">
              <w:rPr>
                <w:rFonts w:ascii="Book Antiqua" w:hAnsi="Book Antiqua" w:hint="eastAsia"/>
                <w:b/>
                <w:i/>
                <w:lang w:eastAsia="zh-CN"/>
              </w:rPr>
              <w:t xml:space="preserve"> n </w:t>
            </w:r>
            <w:r w:rsidR="00830F2F">
              <w:rPr>
                <w:rFonts w:ascii="Book Antiqua" w:hAnsi="Book Antiqua" w:hint="eastAsia"/>
                <w:b/>
                <w:lang w:eastAsia="zh-CN"/>
              </w:rPr>
              <w:t>(%)</w:t>
            </w:r>
          </w:p>
        </w:tc>
        <w:tc>
          <w:tcPr>
            <w:tcW w:w="31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514A97" w:rsidRPr="0058034D" w:rsidRDefault="00514A97" w:rsidP="001D73C6">
            <w:pPr>
              <w:adjustRightInd w:val="0"/>
              <w:snapToGrid w:val="0"/>
              <w:spacing w:line="360" w:lineRule="auto"/>
              <w:jc w:val="both"/>
              <w:rPr>
                <w:rFonts w:ascii="Book Antiqua" w:hAnsi="Book Antiqua"/>
              </w:rPr>
            </w:pPr>
          </w:p>
        </w:tc>
        <w:tc>
          <w:tcPr>
            <w:tcW w:w="990" w:type="dxa"/>
            <w:tcBorders>
              <w:top w:val="nil"/>
              <w:left w:val="nil"/>
              <w:bottom w:val="single" w:sz="4" w:space="0" w:color="auto"/>
              <w:right w:val="nil"/>
            </w:tcBorders>
            <w:shd w:val="clear" w:color="auto" w:fill="auto"/>
            <w:tcMar>
              <w:top w:w="80" w:type="dxa"/>
              <w:left w:w="80" w:type="dxa"/>
              <w:bottom w:w="80" w:type="dxa"/>
              <w:right w:w="80" w:type="dxa"/>
            </w:tcMar>
            <w:vAlign w:val="bottom"/>
          </w:tcPr>
          <w:p w:rsidR="00514A97" w:rsidRPr="0058034D" w:rsidRDefault="00514A97" w:rsidP="001D73C6">
            <w:pPr>
              <w:adjustRightInd w:val="0"/>
              <w:snapToGrid w:val="0"/>
              <w:spacing w:line="360" w:lineRule="auto"/>
              <w:jc w:val="both"/>
              <w:rPr>
                <w:rFonts w:ascii="Book Antiqua" w:hAnsi="Book Antiqua"/>
              </w:rPr>
            </w:pPr>
          </w:p>
        </w:tc>
      </w:tr>
      <w:tr w:rsidR="00E53DDA" w:rsidRPr="0058034D" w:rsidTr="009953B7">
        <w:trPr>
          <w:trHeight w:val="193"/>
        </w:trPr>
        <w:tc>
          <w:tcPr>
            <w:tcW w:w="3770" w:type="dxa"/>
            <w:tcBorders>
              <w:top w:val="single" w:sz="4" w:space="0" w:color="auto"/>
              <w:left w:val="nil"/>
              <w:bottom w:val="single" w:sz="4" w:space="0" w:color="auto"/>
              <w:right w:val="nil"/>
            </w:tcBorders>
            <w:shd w:val="clear" w:color="auto" w:fill="D9D9D9"/>
            <w:tcMar>
              <w:top w:w="80" w:type="dxa"/>
              <w:left w:w="80" w:type="dxa"/>
              <w:bottom w:w="80" w:type="dxa"/>
              <w:right w:w="80" w:type="dxa"/>
            </w:tcMar>
            <w:vAlign w:val="center"/>
          </w:tcPr>
          <w:p w:rsidR="00E53DDA" w:rsidRPr="0058034D" w:rsidRDefault="00E53DDA" w:rsidP="001D73C6">
            <w:pPr>
              <w:pStyle w:val="Body"/>
              <w:adjustRightInd w:val="0"/>
              <w:snapToGrid w:val="0"/>
              <w:spacing w:after="0" w:line="360" w:lineRule="auto"/>
              <w:jc w:val="both"/>
              <w:rPr>
                <w:rFonts w:ascii="Book Antiqua" w:hAnsi="Book Antiqua" w:cs="Times New Roman"/>
                <w:b/>
                <w:color w:val="auto"/>
                <w:sz w:val="24"/>
                <w:szCs w:val="24"/>
              </w:rPr>
            </w:pPr>
            <w:r w:rsidRPr="0058034D">
              <w:rPr>
                <w:rFonts w:ascii="Book Antiqua" w:hAnsi="Book Antiqua" w:cs="Times New Roman"/>
                <w:b/>
                <w:color w:val="auto"/>
                <w:sz w:val="24"/>
                <w:szCs w:val="24"/>
                <w:lang w:val="en-US"/>
              </w:rPr>
              <w:t>Post-discharge status</w:t>
            </w:r>
          </w:p>
        </w:tc>
        <w:tc>
          <w:tcPr>
            <w:tcW w:w="2970" w:type="dxa"/>
            <w:gridSpan w:val="2"/>
            <w:tcBorders>
              <w:top w:val="single" w:sz="4" w:space="0" w:color="auto"/>
              <w:left w:val="nil"/>
              <w:bottom w:val="single" w:sz="4" w:space="0" w:color="auto"/>
              <w:right w:val="nil"/>
            </w:tcBorders>
            <w:shd w:val="clear" w:color="auto" w:fill="D9D9D9"/>
            <w:tcMar>
              <w:top w:w="80" w:type="dxa"/>
              <w:left w:w="80" w:type="dxa"/>
              <w:bottom w:w="80" w:type="dxa"/>
              <w:right w:w="80" w:type="dxa"/>
            </w:tcMar>
            <w:vAlign w:val="center"/>
          </w:tcPr>
          <w:p w:rsidR="00E53DDA" w:rsidRPr="0058034D" w:rsidRDefault="00E53DDA" w:rsidP="00830F2F">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color w:val="auto"/>
                <w:sz w:val="24"/>
                <w:szCs w:val="24"/>
                <w:lang w:val="en-US"/>
              </w:rPr>
              <w:t>Number of patients</w:t>
            </w:r>
          </w:p>
        </w:tc>
        <w:tc>
          <w:tcPr>
            <w:tcW w:w="3160"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vAlign w:val="bottom"/>
          </w:tcPr>
          <w:p w:rsidR="00E53DDA" w:rsidRPr="00830F2F" w:rsidRDefault="00E53DDA" w:rsidP="00830F2F">
            <w:pPr>
              <w:pStyle w:val="Body"/>
              <w:adjustRightInd w:val="0"/>
              <w:snapToGrid w:val="0"/>
              <w:spacing w:after="0" w:line="360" w:lineRule="auto"/>
              <w:jc w:val="both"/>
              <w:rPr>
                <w:rFonts w:ascii="Book Antiqua" w:eastAsiaTheme="minorEastAsia" w:hAnsi="Book Antiqua" w:cs="Times New Roman"/>
                <w:b/>
                <w:color w:val="auto"/>
                <w:sz w:val="24"/>
                <w:szCs w:val="24"/>
                <w:lang w:eastAsia="zh-CN"/>
              </w:rPr>
            </w:pPr>
            <w:r w:rsidRPr="0058034D">
              <w:rPr>
                <w:rFonts w:ascii="Book Antiqua" w:hAnsi="Book Antiqua" w:cs="Times New Roman"/>
                <w:b/>
                <w:color w:val="auto"/>
                <w:sz w:val="24"/>
                <w:szCs w:val="24"/>
                <w:lang w:val="en-US"/>
              </w:rPr>
              <w:t>30-</w:t>
            </w:r>
            <w:r w:rsidR="009953B7" w:rsidRPr="0058034D">
              <w:rPr>
                <w:rFonts w:ascii="Book Antiqua" w:eastAsiaTheme="minorEastAsia" w:hAnsi="Book Antiqua" w:cs="Times New Roman" w:hint="eastAsia"/>
                <w:b/>
                <w:color w:val="auto"/>
                <w:sz w:val="24"/>
                <w:szCs w:val="24"/>
                <w:lang w:val="en-US" w:eastAsia="zh-CN"/>
              </w:rPr>
              <w:t>d</w:t>
            </w:r>
            <w:r w:rsidR="00830F2F">
              <w:rPr>
                <w:rFonts w:ascii="Book Antiqua" w:hAnsi="Book Antiqua" w:cs="Times New Roman"/>
                <w:b/>
                <w:color w:val="auto"/>
                <w:sz w:val="24"/>
                <w:szCs w:val="24"/>
                <w:lang w:val="en-US"/>
              </w:rPr>
              <w:t xml:space="preserve"> readmissions</w:t>
            </w:r>
          </w:p>
        </w:tc>
        <w:tc>
          <w:tcPr>
            <w:tcW w:w="990" w:type="dxa"/>
            <w:tcBorders>
              <w:top w:val="single" w:sz="4" w:space="0" w:color="auto"/>
              <w:left w:val="nil"/>
              <w:bottom w:val="single" w:sz="4" w:space="0" w:color="auto"/>
              <w:right w:val="nil"/>
            </w:tcBorders>
            <w:shd w:val="clear" w:color="auto" w:fill="D9D9D9"/>
            <w:tcMar>
              <w:top w:w="80" w:type="dxa"/>
              <w:left w:w="80" w:type="dxa"/>
              <w:bottom w:w="80" w:type="dxa"/>
              <w:right w:w="80" w:type="dxa"/>
            </w:tcMar>
            <w:vAlign w:val="bottom"/>
          </w:tcPr>
          <w:p w:rsidR="00E53DDA" w:rsidRPr="0058034D" w:rsidRDefault="00514A97" w:rsidP="001D73C6">
            <w:pPr>
              <w:pStyle w:val="Body"/>
              <w:adjustRightInd w:val="0"/>
              <w:snapToGrid w:val="0"/>
              <w:spacing w:after="0" w:line="360" w:lineRule="auto"/>
              <w:jc w:val="both"/>
              <w:rPr>
                <w:rFonts w:ascii="Book Antiqua" w:hAnsi="Book Antiqua" w:cs="Times New Roman"/>
                <w:b/>
                <w:color w:val="auto"/>
                <w:sz w:val="24"/>
                <w:szCs w:val="24"/>
              </w:rPr>
            </w:pPr>
            <w:r w:rsidRPr="0058034D">
              <w:rPr>
                <w:rFonts w:ascii="Book Antiqua" w:hAnsi="Book Antiqua" w:cs="Times New Roman"/>
                <w:b/>
                <w:i/>
                <w:color w:val="auto"/>
                <w:sz w:val="24"/>
                <w:szCs w:val="24"/>
                <w:lang w:val="en-US"/>
              </w:rPr>
              <w:t>P</w:t>
            </w:r>
            <w:r w:rsidR="009953B7" w:rsidRPr="0058034D">
              <w:rPr>
                <w:rFonts w:ascii="Book Antiqua" w:eastAsiaTheme="minorEastAsia" w:hAnsi="Book Antiqua" w:cs="Times New Roman" w:hint="eastAsia"/>
                <w:b/>
                <w:color w:val="auto"/>
                <w:sz w:val="24"/>
                <w:szCs w:val="24"/>
                <w:lang w:val="en-US" w:eastAsia="zh-CN"/>
              </w:rPr>
              <w:t xml:space="preserve"> </w:t>
            </w:r>
            <w:r w:rsidR="00E53DDA" w:rsidRPr="0058034D">
              <w:rPr>
                <w:rFonts w:ascii="Book Antiqua" w:hAnsi="Book Antiqua" w:cs="Times New Roman"/>
                <w:b/>
                <w:color w:val="auto"/>
                <w:sz w:val="24"/>
                <w:szCs w:val="24"/>
                <w:lang w:val="en-US"/>
              </w:rPr>
              <w:t>value</w:t>
            </w:r>
          </w:p>
        </w:tc>
      </w:tr>
      <w:tr w:rsidR="00E53DDA" w:rsidRPr="0058034D" w:rsidTr="009953B7">
        <w:trPr>
          <w:trHeight w:val="490"/>
        </w:trPr>
        <w:tc>
          <w:tcPr>
            <w:tcW w:w="3770" w:type="dxa"/>
            <w:tcBorders>
              <w:top w:val="single" w:sz="4" w:space="0" w:color="auto"/>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Home</w:t>
            </w:r>
          </w:p>
        </w:tc>
        <w:tc>
          <w:tcPr>
            <w:tcW w:w="2970" w:type="dxa"/>
            <w:gridSpan w:val="2"/>
            <w:tcBorders>
              <w:top w:val="single" w:sz="4" w:space="0" w:color="auto"/>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120 (54.3)</w:t>
            </w:r>
          </w:p>
        </w:tc>
        <w:tc>
          <w:tcPr>
            <w:tcW w:w="3160" w:type="dxa"/>
            <w:tcBorders>
              <w:top w:val="single" w:sz="4" w:space="0" w:color="auto"/>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19 (15.9)</w:t>
            </w:r>
          </w:p>
        </w:tc>
        <w:tc>
          <w:tcPr>
            <w:tcW w:w="990" w:type="dxa"/>
            <w:tcBorders>
              <w:top w:val="single" w:sz="4" w:space="0" w:color="auto"/>
              <w:left w:val="nil"/>
              <w:bottom w:val="nil"/>
              <w:right w:val="nil"/>
            </w:tcBorders>
            <w:shd w:val="clear" w:color="auto" w:fill="auto"/>
            <w:tcMar>
              <w:top w:w="80" w:type="dxa"/>
              <w:left w:w="80" w:type="dxa"/>
              <w:bottom w:w="80" w:type="dxa"/>
              <w:right w:w="80" w:type="dxa"/>
            </w:tcMar>
            <w:vAlign w:val="bottom"/>
          </w:tcPr>
          <w:p w:rsidR="00E53DDA" w:rsidRPr="0058034D" w:rsidRDefault="00B91696"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i/>
                <w:color w:val="auto"/>
                <w:sz w:val="24"/>
                <w:szCs w:val="24"/>
                <w:lang w:val="en-US"/>
              </w:rPr>
              <w:t xml:space="preserve">P &lt; </w:t>
            </w:r>
            <w:r w:rsidR="00E53DDA" w:rsidRPr="0058034D">
              <w:rPr>
                <w:rFonts w:ascii="Book Antiqua" w:hAnsi="Book Antiqua" w:cs="Times New Roman"/>
                <w:color w:val="auto"/>
                <w:sz w:val="24"/>
                <w:szCs w:val="24"/>
                <w:lang w:val="en-US"/>
              </w:rPr>
              <w:t>0.12</w:t>
            </w:r>
          </w:p>
        </w:tc>
      </w:tr>
      <w:tr w:rsidR="00E53DDA" w:rsidRPr="0058034D" w:rsidTr="009953B7">
        <w:trPr>
          <w:trHeight w:val="250"/>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VNA</w:t>
            </w:r>
          </w:p>
        </w:tc>
        <w:tc>
          <w:tcPr>
            <w:tcW w:w="2970" w:type="dxa"/>
            <w:gridSpan w:val="2"/>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60 (27.2)</w:t>
            </w:r>
          </w:p>
        </w:tc>
        <w:tc>
          <w:tcPr>
            <w:tcW w:w="316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14 (23.3)</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lang w:val="en-US"/>
              </w:rPr>
              <w:t> </w:t>
            </w:r>
          </w:p>
        </w:tc>
      </w:tr>
      <w:tr w:rsidR="00E53DDA" w:rsidRPr="0058034D" w:rsidTr="009953B7">
        <w:trPr>
          <w:trHeight w:val="250"/>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SNF/</w:t>
            </w:r>
            <w:r w:rsidR="009953B7" w:rsidRPr="0058034D">
              <w:rPr>
                <w:rFonts w:ascii="Book Antiqua" w:hAnsi="Book Antiqua" w:cs="Times New Roman"/>
                <w:color w:val="auto"/>
                <w:sz w:val="24"/>
                <w:szCs w:val="24"/>
                <w:lang w:val="en-US"/>
              </w:rPr>
              <w:t xml:space="preserve">rehab </w:t>
            </w:r>
            <w:r w:rsidRPr="0058034D">
              <w:rPr>
                <w:rFonts w:ascii="Book Antiqua" w:hAnsi="Book Antiqua" w:cs="Times New Roman"/>
                <w:color w:val="auto"/>
                <w:sz w:val="24"/>
                <w:szCs w:val="24"/>
                <w:lang w:val="en-US"/>
              </w:rPr>
              <w:t>or LTAC</w:t>
            </w:r>
          </w:p>
        </w:tc>
        <w:tc>
          <w:tcPr>
            <w:tcW w:w="2970" w:type="dxa"/>
            <w:gridSpan w:val="2"/>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30 (13.5)</w:t>
            </w:r>
          </w:p>
        </w:tc>
        <w:tc>
          <w:tcPr>
            <w:tcW w:w="316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8 (26.7)</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lang w:val="en-US"/>
              </w:rPr>
              <w:t> </w:t>
            </w:r>
          </w:p>
        </w:tc>
      </w:tr>
      <w:tr w:rsidR="00E53DDA" w:rsidRPr="0058034D" w:rsidTr="009953B7">
        <w:trPr>
          <w:trHeight w:val="250"/>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Eloped</w:t>
            </w:r>
          </w:p>
        </w:tc>
        <w:tc>
          <w:tcPr>
            <w:tcW w:w="2970" w:type="dxa"/>
            <w:gridSpan w:val="2"/>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5 (2.3)</w:t>
            </w:r>
          </w:p>
        </w:tc>
        <w:tc>
          <w:tcPr>
            <w:tcW w:w="316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lang w:val="en-US"/>
              </w:rPr>
              <w:t> </w:t>
            </w:r>
          </w:p>
        </w:tc>
      </w:tr>
      <w:tr w:rsidR="00E53DDA" w:rsidRPr="0058034D" w:rsidTr="009953B7">
        <w:trPr>
          <w:trHeight w:val="250"/>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Shelter</w:t>
            </w:r>
          </w:p>
        </w:tc>
        <w:tc>
          <w:tcPr>
            <w:tcW w:w="2970" w:type="dxa"/>
            <w:gridSpan w:val="2"/>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5 (2.3)</w:t>
            </w:r>
          </w:p>
        </w:tc>
        <w:tc>
          <w:tcPr>
            <w:tcW w:w="316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lang w:val="en-US"/>
              </w:rPr>
              <w:t> </w:t>
            </w:r>
          </w:p>
        </w:tc>
      </w:tr>
      <w:tr w:rsidR="00E53DDA" w:rsidRPr="0058034D" w:rsidTr="009953B7">
        <w:trPr>
          <w:trHeight w:val="250"/>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Mental Institute</w:t>
            </w:r>
          </w:p>
        </w:tc>
        <w:tc>
          <w:tcPr>
            <w:tcW w:w="2970" w:type="dxa"/>
            <w:gridSpan w:val="2"/>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 (0.4)</w:t>
            </w:r>
          </w:p>
        </w:tc>
        <w:tc>
          <w:tcPr>
            <w:tcW w:w="316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1(100)</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lang w:val="en-US"/>
              </w:rPr>
              <w:t> </w:t>
            </w:r>
          </w:p>
        </w:tc>
      </w:tr>
      <w:tr w:rsidR="00AF5303" w:rsidRPr="0058034D" w:rsidTr="009953B7">
        <w:trPr>
          <w:trHeight w:val="250"/>
        </w:trPr>
        <w:tc>
          <w:tcPr>
            <w:tcW w:w="10890" w:type="dxa"/>
            <w:gridSpan w:val="5"/>
            <w:tcBorders>
              <w:top w:val="nil"/>
              <w:left w:val="nil"/>
              <w:bottom w:val="nil"/>
              <w:right w:val="nil"/>
            </w:tcBorders>
            <w:shd w:val="clear" w:color="auto" w:fill="D9D9D9"/>
            <w:tcMar>
              <w:top w:w="80" w:type="dxa"/>
              <w:left w:w="80" w:type="dxa"/>
              <w:bottom w:w="80" w:type="dxa"/>
              <w:right w:w="80" w:type="dxa"/>
            </w:tcMar>
            <w:vAlign w:val="center"/>
          </w:tcPr>
          <w:p w:rsidR="00AF5303" w:rsidRPr="0058034D" w:rsidRDefault="00AF5303"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Follow-up outpatient visits</w:t>
            </w:r>
          </w:p>
        </w:tc>
      </w:tr>
      <w:tr w:rsidR="00E53DDA" w:rsidRPr="0058034D" w:rsidTr="009953B7">
        <w:trPr>
          <w:trHeight w:val="250"/>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Gastroenterologist</w:t>
            </w:r>
          </w:p>
        </w:tc>
        <w:tc>
          <w:tcPr>
            <w:tcW w:w="2970" w:type="dxa"/>
            <w:gridSpan w:val="2"/>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83 (37.4)</w:t>
            </w:r>
          </w:p>
        </w:tc>
        <w:tc>
          <w:tcPr>
            <w:tcW w:w="316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10 (12.1)</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B91696"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i/>
                <w:color w:val="auto"/>
                <w:sz w:val="24"/>
                <w:szCs w:val="24"/>
                <w:lang w:val="en-US"/>
              </w:rPr>
              <w:t xml:space="preserve">P = </w:t>
            </w:r>
            <w:r w:rsidR="00E53DDA" w:rsidRPr="0058034D">
              <w:rPr>
                <w:rFonts w:ascii="Book Antiqua" w:hAnsi="Book Antiqua" w:cs="Times New Roman"/>
                <w:color w:val="auto"/>
                <w:sz w:val="24"/>
                <w:szCs w:val="24"/>
                <w:lang w:val="en-US"/>
              </w:rPr>
              <w:t>0.9</w:t>
            </w:r>
          </w:p>
        </w:tc>
      </w:tr>
      <w:tr w:rsidR="00E53DDA" w:rsidRPr="0058034D" w:rsidTr="009953B7">
        <w:trPr>
          <w:trHeight w:val="250"/>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PCP</w:t>
            </w:r>
          </w:p>
        </w:tc>
        <w:tc>
          <w:tcPr>
            <w:tcW w:w="2970" w:type="dxa"/>
            <w:gridSpan w:val="2"/>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22 (9.9)</w:t>
            </w:r>
          </w:p>
        </w:tc>
        <w:tc>
          <w:tcPr>
            <w:tcW w:w="316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 (9.1)</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r>
      <w:tr w:rsidR="00E53DDA" w:rsidRPr="0058034D" w:rsidTr="009953B7">
        <w:trPr>
          <w:trHeight w:val="250"/>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Both</w:t>
            </w:r>
          </w:p>
        </w:tc>
        <w:tc>
          <w:tcPr>
            <w:tcW w:w="2970" w:type="dxa"/>
            <w:gridSpan w:val="2"/>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31 (14)</w:t>
            </w:r>
          </w:p>
        </w:tc>
        <w:tc>
          <w:tcPr>
            <w:tcW w:w="316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4 (12.9)</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r>
      <w:tr w:rsidR="00E53DDA" w:rsidRPr="0058034D" w:rsidTr="009953B7">
        <w:trPr>
          <w:trHeight w:val="250"/>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Readmitted before visit</w:t>
            </w:r>
          </w:p>
        </w:tc>
        <w:tc>
          <w:tcPr>
            <w:tcW w:w="2970" w:type="dxa"/>
            <w:gridSpan w:val="2"/>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29 (13.1)</w:t>
            </w:r>
          </w:p>
        </w:tc>
        <w:tc>
          <w:tcPr>
            <w:tcW w:w="316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29 (100)</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r>
      <w:tr w:rsidR="00E53DDA" w:rsidRPr="0058034D" w:rsidTr="009953B7">
        <w:trPr>
          <w:trHeight w:val="250"/>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Total</w:t>
            </w:r>
          </w:p>
        </w:tc>
        <w:tc>
          <w:tcPr>
            <w:tcW w:w="2970" w:type="dxa"/>
            <w:gridSpan w:val="2"/>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165 (74.3)</w:t>
            </w:r>
          </w:p>
        </w:tc>
        <w:tc>
          <w:tcPr>
            <w:tcW w:w="316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45 (27.3)</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r>
      <w:tr w:rsidR="00E53DDA" w:rsidRPr="0058034D" w:rsidTr="009953B7">
        <w:trPr>
          <w:trHeight w:val="250"/>
        </w:trPr>
        <w:tc>
          <w:tcPr>
            <w:tcW w:w="10890" w:type="dxa"/>
            <w:gridSpan w:val="5"/>
            <w:tcBorders>
              <w:top w:val="nil"/>
              <w:left w:val="nil"/>
              <w:bottom w:val="nil"/>
              <w:right w:val="nil"/>
            </w:tcBorders>
            <w:shd w:val="clear" w:color="auto" w:fill="D9D9D9"/>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First post-discharge outpatient follow-up (PCP and/or GI)</w:t>
            </w:r>
          </w:p>
        </w:tc>
      </w:tr>
      <w:tr w:rsidR="00E53DDA" w:rsidRPr="0058034D" w:rsidTr="009953B7">
        <w:trPr>
          <w:trHeight w:val="250"/>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eastAsiaTheme="minorEastAsia" w:hAnsi="Book Antiqua" w:cs="Times New Roman"/>
                <w:color w:val="auto"/>
                <w:sz w:val="24"/>
                <w:szCs w:val="24"/>
                <w:lang w:eastAsia="zh-CN"/>
              </w:rPr>
            </w:pPr>
            <w:r w:rsidRPr="0058034D">
              <w:rPr>
                <w:rFonts w:ascii="Book Antiqua" w:hAnsi="Book Antiqua" w:cs="Times New Roman"/>
                <w:color w:val="auto"/>
                <w:sz w:val="24"/>
                <w:szCs w:val="24"/>
                <w:lang w:val="en-US"/>
              </w:rPr>
              <w:t>&lt;</w:t>
            </w:r>
            <w:r w:rsidR="009953B7"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 xml:space="preserve">2 </w:t>
            </w:r>
            <w:r w:rsidR="009953B7" w:rsidRPr="0058034D">
              <w:rPr>
                <w:rFonts w:ascii="Book Antiqua" w:eastAsiaTheme="minorEastAsia" w:hAnsi="Book Antiqua" w:cs="Times New Roman" w:hint="eastAsia"/>
                <w:color w:val="auto"/>
                <w:sz w:val="24"/>
                <w:szCs w:val="24"/>
                <w:lang w:val="en-US" w:eastAsia="zh-CN"/>
              </w:rPr>
              <w:t>d</w:t>
            </w:r>
          </w:p>
        </w:tc>
        <w:tc>
          <w:tcPr>
            <w:tcW w:w="2853"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35 (21.2)</w:t>
            </w:r>
          </w:p>
        </w:tc>
        <w:tc>
          <w:tcPr>
            <w:tcW w:w="3277" w:type="dxa"/>
            <w:gridSpan w:val="2"/>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31 (60.0)</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B91696"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i/>
                <w:color w:val="auto"/>
                <w:sz w:val="24"/>
                <w:szCs w:val="24"/>
                <w:lang w:val="en-US"/>
              </w:rPr>
              <w:t xml:space="preserve">P = </w:t>
            </w:r>
            <w:r w:rsidR="00E53DDA" w:rsidRPr="0058034D">
              <w:rPr>
                <w:rFonts w:ascii="Book Antiqua" w:hAnsi="Book Antiqua" w:cs="Times New Roman"/>
                <w:color w:val="auto"/>
                <w:sz w:val="24"/>
                <w:szCs w:val="24"/>
                <w:lang w:val="en-US"/>
              </w:rPr>
              <w:t>0.1</w:t>
            </w:r>
          </w:p>
        </w:tc>
      </w:tr>
      <w:tr w:rsidR="00E53DDA" w:rsidRPr="0058034D" w:rsidTr="009953B7">
        <w:trPr>
          <w:trHeight w:val="250"/>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eastAsiaTheme="minorEastAsia" w:hAnsi="Book Antiqua" w:cs="Times New Roman"/>
                <w:color w:val="auto"/>
                <w:sz w:val="24"/>
                <w:szCs w:val="24"/>
                <w:lang w:eastAsia="zh-CN"/>
              </w:rPr>
            </w:pPr>
            <w:r w:rsidRPr="0058034D">
              <w:rPr>
                <w:rFonts w:ascii="Book Antiqua" w:hAnsi="Book Antiqua" w:cs="Times New Roman"/>
                <w:color w:val="auto"/>
                <w:sz w:val="24"/>
                <w:szCs w:val="24"/>
                <w:lang w:val="en-US"/>
              </w:rPr>
              <w:t xml:space="preserve">2-14 </w:t>
            </w:r>
            <w:r w:rsidR="009953B7" w:rsidRPr="0058034D">
              <w:rPr>
                <w:rFonts w:ascii="Book Antiqua" w:eastAsiaTheme="minorEastAsia" w:hAnsi="Book Antiqua" w:cs="Times New Roman" w:hint="eastAsia"/>
                <w:color w:val="auto"/>
                <w:sz w:val="24"/>
                <w:szCs w:val="24"/>
                <w:lang w:val="en-US" w:eastAsia="zh-CN"/>
              </w:rPr>
              <w:t>d</w:t>
            </w:r>
          </w:p>
        </w:tc>
        <w:tc>
          <w:tcPr>
            <w:tcW w:w="2853"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66 (40.0)</w:t>
            </w:r>
          </w:p>
        </w:tc>
        <w:tc>
          <w:tcPr>
            <w:tcW w:w="3277" w:type="dxa"/>
            <w:gridSpan w:val="2"/>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13 (19.7)</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r>
      <w:tr w:rsidR="00E53DDA" w:rsidRPr="0058034D" w:rsidTr="009953B7">
        <w:trPr>
          <w:trHeight w:val="250"/>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rPr>
                <w:rFonts w:ascii="Book Antiqua" w:eastAsiaTheme="minorEastAsia" w:hAnsi="Book Antiqua" w:cs="Times New Roman"/>
                <w:color w:val="auto"/>
                <w:sz w:val="24"/>
                <w:szCs w:val="24"/>
                <w:lang w:eastAsia="zh-CN"/>
              </w:rPr>
            </w:pPr>
            <w:r w:rsidRPr="0058034D">
              <w:rPr>
                <w:rFonts w:ascii="Book Antiqua" w:hAnsi="Book Antiqua" w:cs="Times New Roman"/>
                <w:color w:val="auto"/>
                <w:sz w:val="24"/>
                <w:szCs w:val="24"/>
                <w:lang w:val="en-US"/>
              </w:rPr>
              <w:t>&gt;</w:t>
            </w:r>
            <w:r w:rsidR="009953B7"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 xml:space="preserve">14 </w:t>
            </w:r>
            <w:r w:rsidR="009953B7" w:rsidRPr="0058034D">
              <w:rPr>
                <w:rFonts w:ascii="Book Antiqua" w:eastAsiaTheme="minorEastAsia" w:hAnsi="Book Antiqua" w:cs="Times New Roman" w:hint="eastAsia"/>
                <w:color w:val="auto"/>
                <w:sz w:val="24"/>
                <w:szCs w:val="24"/>
                <w:lang w:val="en-US" w:eastAsia="zh-CN"/>
              </w:rPr>
              <w:t>d</w:t>
            </w:r>
          </w:p>
        </w:tc>
        <w:tc>
          <w:tcPr>
            <w:tcW w:w="2853" w:type="dxa"/>
            <w:tcBorders>
              <w:top w:val="nil"/>
              <w:left w:val="nil"/>
              <w:bottom w:val="nil"/>
              <w:right w:val="nil"/>
            </w:tcBorders>
            <w:shd w:val="clear" w:color="auto" w:fill="auto"/>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64 (38.8)</w:t>
            </w:r>
          </w:p>
        </w:tc>
        <w:tc>
          <w:tcPr>
            <w:tcW w:w="3277" w:type="dxa"/>
            <w:gridSpan w:val="2"/>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3 (4.7)</w:t>
            </w:r>
          </w:p>
        </w:tc>
        <w:tc>
          <w:tcPr>
            <w:tcW w:w="990" w:type="dxa"/>
            <w:tcBorders>
              <w:top w:val="nil"/>
              <w:left w:val="nil"/>
              <w:bottom w:val="nil"/>
              <w:right w:val="nil"/>
            </w:tcBorders>
            <w:shd w:val="clear" w:color="auto" w:fill="auto"/>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r>
      <w:tr w:rsidR="00AF5303" w:rsidRPr="0058034D" w:rsidTr="009953B7">
        <w:trPr>
          <w:trHeight w:val="250"/>
        </w:trPr>
        <w:tc>
          <w:tcPr>
            <w:tcW w:w="3770" w:type="dxa"/>
            <w:tcBorders>
              <w:top w:val="nil"/>
              <w:left w:val="nil"/>
              <w:bottom w:val="nil"/>
              <w:right w:val="nil"/>
            </w:tcBorders>
            <w:shd w:val="clear" w:color="auto" w:fill="D9D9D9"/>
            <w:tcMar>
              <w:top w:w="80" w:type="dxa"/>
              <w:left w:w="80" w:type="dxa"/>
              <w:bottom w:w="80" w:type="dxa"/>
              <w:right w:w="80" w:type="dxa"/>
            </w:tcMar>
            <w:vAlign w:val="bottom"/>
          </w:tcPr>
          <w:p w:rsidR="00AF5303" w:rsidRPr="0058034D" w:rsidRDefault="00AF5303"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Time to </w:t>
            </w:r>
            <w:r w:rsidR="009953B7" w:rsidRPr="0058034D">
              <w:rPr>
                <w:rFonts w:ascii="Book Antiqua" w:eastAsiaTheme="minorEastAsia" w:hAnsi="Book Antiqua" w:cs="Times New Roman" w:hint="eastAsia"/>
                <w:color w:val="auto"/>
                <w:sz w:val="24"/>
                <w:szCs w:val="24"/>
                <w:lang w:val="en-US" w:eastAsia="zh-CN"/>
              </w:rPr>
              <w:t>v</w:t>
            </w:r>
            <w:r w:rsidRPr="0058034D">
              <w:rPr>
                <w:rFonts w:ascii="Book Antiqua" w:hAnsi="Book Antiqua" w:cs="Times New Roman"/>
                <w:color w:val="auto"/>
                <w:sz w:val="24"/>
                <w:szCs w:val="24"/>
                <w:lang w:val="en-US"/>
              </w:rPr>
              <w:t>isit (</w:t>
            </w:r>
            <w:r w:rsidR="009953B7" w:rsidRPr="0058034D">
              <w:rPr>
                <w:rFonts w:ascii="Book Antiqua" w:eastAsiaTheme="minorEastAsia" w:hAnsi="Book Antiqua" w:cs="Times New Roman" w:hint="eastAsia"/>
                <w:color w:val="auto"/>
                <w:sz w:val="24"/>
                <w:szCs w:val="24"/>
                <w:lang w:val="en-US" w:eastAsia="zh-CN"/>
              </w:rPr>
              <w:t>d</w:t>
            </w:r>
            <w:r w:rsidRPr="0058034D">
              <w:rPr>
                <w:rFonts w:ascii="Book Antiqua" w:hAnsi="Book Antiqua" w:cs="Times New Roman"/>
                <w:color w:val="auto"/>
                <w:sz w:val="24"/>
                <w:szCs w:val="24"/>
                <w:lang w:val="en-US"/>
              </w:rPr>
              <w:t>)</w:t>
            </w:r>
          </w:p>
        </w:tc>
        <w:tc>
          <w:tcPr>
            <w:tcW w:w="2853" w:type="dxa"/>
            <w:tcBorders>
              <w:top w:val="nil"/>
              <w:left w:val="nil"/>
              <w:bottom w:val="nil"/>
              <w:right w:val="nil"/>
            </w:tcBorders>
            <w:shd w:val="clear" w:color="auto" w:fill="D9D9D9"/>
            <w:tcMar>
              <w:top w:w="80" w:type="dxa"/>
              <w:left w:w="80" w:type="dxa"/>
              <w:bottom w:w="80" w:type="dxa"/>
              <w:right w:w="80" w:type="dxa"/>
            </w:tcMar>
            <w:vAlign w:val="center"/>
          </w:tcPr>
          <w:p w:rsidR="00AF5303" w:rsidRPr="0058034D" w:rsidRDefault="00AF5303"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Mean (SD)</w:t>
            </w:r>
          </w:p>
        </w:tc>
        <w:tc>
          <w:tcPr>
            <w:tcW w:w="4267" w:type="dxa"/>
            <w:gridSpan w:val="3"/>
            <w:vMerge w:val="restart"/>
            <w:tcBorders>
              <w:top w:val="nil"/>
              <w:left w:val="nil"/>
              <w:bottom w:val="nil"/>
              <w:right w:val="nil"/>
            </w:tcBorders>
            <w:shd w:val="clear" w:color="auto" w:fill="D9D9D9"/>
            <w:tcMar>
              <w:top w:w="80" w:type="dxa"/>
              <w:left w:w="80" w:type="dxa"/>
              <w:bottom w:w="80" w:type="dxa"/>
              <w:right w:w="80" w:type="dxa"/>
            </w:tcMar>
            <w:vAlign w:val="bottom"/>
          </w:tcPr>
          <w:p w:rsidR="00AF5303" w:rsidRPr="0058034D" w:rsidRDefault="00AF5303" w:rsidP="009953B7">
            <w:pPr>
              <w:pStyle w:val="Body"/>
              <w:adjustRightInd w:val="0"/>
              <w:snapToGrid w:val="0"/>
              <w:spacing w:after="0" w:line="360" w:lineRule="auto"/>
              <w:jc w:val="center"/>
              <w:rPr>
                <w:rFonts w:ascii="Book Antiqua" w:hAnsi="Book Antiqua" w:cs="Times New Roman"/>
                <w:color w:val="auto"/>
                <w:sz w:val="24"/>
                <w:szCs w:val="24"/>
              </w:rPr>
            </w:pPr>
          </w:p>
          <w:p w:rsidR="00AF5303" w:rsidRPr="0058034D" w:rsidRDefault="00AF5303" w:rsidP="009953B7">
            <w:pPr>
              <w:pStyle w:val="Body"/>
              <w:adjustRightInd w:val="0"/>
              <w:snapToGrid w:val="0"/>
              <w:spacing w:after="0" w:line="360" w:lineRule="auto"/>
              <w:jc w:val="center"/>
              <w:rPr>
                <w:rFonts w:ascii="Book Antiqua" w:hAnsi="Book Antiqua" w:cs="Times New Roman"/>
                <w:color w:val="auto"/>
                <w:sz w:val="24"/>
                <w:szCs w:val="24"/>
              </w:rPr>
            </w:pPr>
          </w:p>
        </w:tc>
      </w:tr>
      <w:tr w:rsidR="00AF5303" w:rsidRPr="0058034D" w:rsidTr="009953B7">
        <w:trPr>
          <w:trHeight w:val="166"/>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AF5303" w:rsidRPr="0058034D" w:rsidRDefault="00AF5303"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Time to first visit by GI</w:t>
            </w:r>
          </w:p>
        </w:tc>
        <w:tc>
          <w:tcPr>
            <w:tcW w:w="2853" w:type="dxa"/>
            <w:tcBorders>
              <w:top w:val="nil"/>
              <w:left w:val="nil"/>
              <w:bottom w:val="nil"/>
              <w:right w:val="nil"/>
            </w:tcBorders>
            <w:shd w:val="clear" w:color="auto" w:fill="auto"/>
            <w:tcMar>
              <w:top w:w="80" w:type="dxa"/>
              <w:left w:w="80" w:type="dxa"/>
              <w:bottom w:w="80" w:type="dxa"/>
              <w:right w:w="80" w:type="dxa"/>
            </w:tcMar>
            <w:vAlign w:val="center"/>
          </w:tcPr>
          <w:p w:rsidR="00AF5303" w:rsidRPr="0058034D" w:rsidRDefault="00AF5303"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22.6 (43.7)</w:t>
            </w:r>
          </w:p>
        </w:tc>
        <w:tc>
          <w:tcPr>
            <w:tcW w:w="4267" w:type="dxa"/>
            <w:gridSpan w:val="3"/>
            <w:vMerge/>
            <w:tcBorders>
              <w:top w:val="nil"/>
              <w:left w:val="nil"/>
              <w:bottom w:val="nil"/>
              <w:right w:val="nil"/>
            </w:tcBorders>
            <w:shd w:val="clear" w:color="auto" w:fill="F2F2F2"/>
            <w:tcMar>
              <w:top w:w="80" w:type="dxa"/>
              <w:left w:w="80" w:type="dxa"/>
              <w:bottom w:w="80" w:type="dxa"/>
              <w:right w:w="80" w:type="dxa"/>
            </w:tcMar>
            <w:vAlign w:val="bottom"/>
          </w:tcPr>
          <w:p w:rsidR="00AF5303" w:rsidRPr="0058034D" w:rsidRDefault="00AF5303" w:rsidP="001D73C6">
            <w:pPr>
              <w:pStyle w:val="Body"/>
              <w:adjustRightInd w:val="0"/>
              <w:snapToGrid w:val="0"/>
              <w:spacing w:after="0" w:line="360" w:lineRule="auto"/>
              <w:jc w:val="both"/>
              <w:rPr>
                <w:rFonts w:ascii="Book Antiqua" w:hAnsi="Book Antiqua" w:cs="Times New Roman"/>
                <w:color w:val="auto"/>
                <w:sz w:val="24"/>
                <w:szCs w:val="24"/>
              </w:rPr>
            </w:pPr>
          </w:p>
        </w:tc>
      </w:tr>
      <w:tr w:rsidR="00AF5303" w:rsidRPr="0058034D" w:rsidTr="009953B7">
        <w:trPr>
          <w:trHeight w:val="20"/>
        </w:trPr>
        <w:tc>
          <w:tcPr>
            <w:tcW w:w="3770" w:type="dxa"/>
            <w:tcBorders>
              <w:top w:val="nil"/>
              <w:left w:val="nil"/>
              <w:bottom w:val="nil"/>
              <w:right w:val="nil"/>
            </w:tcBorders>
            <w:shd w:val="clear" w:color="auto" w:fill="auto"/>
            <w:tcMar>
              <w:top w:w="80" w:type="dxa"/>
              <w:left w:w="80" w:type="dxa"/>
              <w:bottom w:w="80" w:type="dxa"/>
              <w:right w:w="80" w:type="dxa"/>
            </w:tcMar>
            <w:vAlign w:val="center"/>
          </w:tcPr>
          <w:p w:rsidR="00AF5303" w:rsidRPr="0058034D" w:rsidRDefault="00AF5303"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lang w:val="en-US"/>
              </w:rPr>
              <w:lastRenderedPageBreak/>
              <w:t>Time to first visit by PCP</w:t>
            </w:r>
          </w:p>
        </w:tc>
        <w:tc>
          <w:tcPr>
            <w:tcW w:w="2853" w:type="dxa"/>
            <w:tcBorders>
              <w:top w:val="nil"/>
              <w:left w:val="nil"/>
              <w:bottom w:val="nil"/>
              <w:right w:val="nil"/>
            </w:tcBorders>
            <w:shd w:val="clear" w:color="auto" w:fill="auto"/>
            <w:tcMar>
              <w:top w:w="80" w:type="dxa"/>
              <w:left w:w="80" w:type="dxa"/>
              <w:bottom w:w="80" w:type="dxa"/>
              <w:right w:w="80" w:type="dxa"/>
            </w:tcMar>
            <w:vAlign w:val="center"/>
          </w:tcPr>
          <w:p w:rsidR="00AF5303" w:rsidRPr="0058034D" w:rsidRDefault="00AF5303"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31.9 (35)</w:t>
            </w:r>
          </w:p>
        </w:tc>
        <w:tc>
          <w:tcPr>
            <w:tcW w:w="4267" w:type="dxa"/>
            <w:gridSpan w:val="3"/>
            <w:vMerge/>
            <w:tcBorders>
              <w:top w:val="nil"/>
              <w:left w:val="nil"/>
              <w:bottom w:val="nil"/>
              <w:right w:val="nil"/>
            </w:tcBorders>
            <w:shd w:val="clear" w:color="auto" w:fill="F2F2F2"/>
            <w:tcMar>
              <w:top w:w="80" w:type="dxa"/>
              <w:left w:w="80" w:type="dxa"/>
              <w:bottom w:w="80" w:type="dxa"/>
              <w:right w:w="80" w:type="dxa"/>
            </w:tcMar>
            <w:vAlign w:val="bottom"/>
          </w:tcPr>
          <w:p w:rsidR="00AF5303" w:rsidRPr="0058034D" w:rsidRDefault="00AF5303" w:rsidP="001D73C6">
            <w:pPr>
              <w:pStyle w:val="Body"/>
              <w:adjustRightInd w:val="0"/>
              <w:snapToGrid w:val="0"/>
              <w:spacing w:after="0" w:line="360" w:lineRule="auto"/>
              <w:jc w:val="both"/>
              <w:rPr>
                <w:rFonts w:ascii="Book Antiqua" w:hAnsi="Book Antiqua" w:cs="Times New Roman"/>
                <w:color w:val="auto"/>
                <w:sz w:val="24"/>
                <w:szCs w:val="24"/>
              </w:rPr>
            </w:pPr>
          </w:p>
        </w:tc>
      </w:tr>
      <w:tr w:rsidR="00AF5303" w:rsidRPr="0058034D" w:rsidTr="009953B7">
        <w:trPr>
          <w:trHeight w:val="175"/>
        </w:trPr>
        <w:tc>
          <w:tcPr>
            <w:tcW w:w="3770" w:type="dxa"/>
            <w:tcBorders>
              <w:top w:val="nil"/>
              <w:left w:val="nil"/>
              <w:bottom w:val="single" w:sz="4" w:space="0" w:color="auto"/>
              <w:right w:val="nil"/>
            </w:tcBorders>
            <w:shd w:val="clear" w:color="auto" w:fill="auto"/>
            <w:tcMar>
              <w:top w:w="80" w:type="dxa"/>
              <w:left w:w="80" w:type="dxa"/>
              <w:bottom w:w="80" w:type="dxa"/>
              <w:right w:w="80" w:type="dxa"/>
            </w:tcMar>
            <w:vAlign w:val="center"/>
          </w:tcPr>
          <w:p w:rsidR="00AF5303" w:rsidRPr="0058034D" w:rsidRDefault="00AF5303"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lang w:val="en-US"/>
              </w:rPr>
              <w:t>Time to first visit by PCP or GI</w:t>
            </w:r>
          </w:p>
        </w:tc>
        <w:tc>
          <w:tcPr>
            <w:tcW w:w="2853" w:type="dxa"/>
            <w:tcBorders>
              <w:top w:val="nil"/>
              <w:left w:val="nil"/>
              <w:bottom w:val="single" w:sz="4" w:space="0" w:color="auto"/>
              <w:right w:val="nil"/>
            </w:tcBorders>
            <w:shd w:val="clear" w:color="auto" w:fill="auto"/>
            <w:tcMar>
              <w:top w:w="80" w:type="dxa"/>
              <w:left w:w="80" w:type="dxa"/>
              <w:bottom w:w="80" w:type="dxa"/>
              <w:right w:w="80" w:type="dxa"/>
            </w:tcMar>
            <w:vAlign w:val="center"/>
          </w:tcPr>
          <w:p w:rsidR="00AF5303" w:rsidRPr="0058034D" w:rsidRDefault="00AF5303"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24.7 (33.8)</w:t>
            </w:r>
          </w:p>
        </w:tc>
        <w:tc>
          <w:tcPr>
            <w:tcW w:w="4267" w:type="dxa"/>
            <w:gridSpan w:val="3"/>
            <w:vMerge/>
            <w:tcBorders>
              <w:top w:val="nil"/>
              <w:left w:val="nil"/>
              <w:bottom w:val="nil"/>
              <w:right w:val="nil"/>
            </w:tcBorders>
            <w:shd w:val="clear" w:color="auto" w:fill="F2F2F2"/>
            <w:tcMar>
              <w:top w:w="80" w:type="dxa"/>
              <w:left w:w="80" w:type="dxa"/>
              <w:bottom w:w="80" w:type="dxa"/>
              <w:right w:w="80" w:type="dxa"/>
            </w:tcMar>
            <w:vAlign w:val="bottom"/>
          </w:tcPr>
          <w:p w:rsidR="00AF5303" w:rsidRPr="0058034D" w:rsidRDefault="00AF5303" w:rsidP="001D73C6">
            <w:pPr>
              <w:pStyle w:val="Body"/>
              <w:adjustRightInd w:val="0"/>
              <w:snapToGrid w:val="0"/>
              <w:spacing w:after="0" w:line="360" w:lineRule="auto"/>
              <w:jc w:val="both"/>
              <w:rPr>
                <w:rFonts w:ascii="Book Antiqua" w:hAnsi="Book Antiqua" w:cs="Times New Roman"/>
                <w:color w:val="auto"/>
                <w:sz w:val="24"/>
                <w:szCs w:val="24"/>
              </w:rPr>
            </w:pPr>
          </w:p>
        </w:tc>
      </w:tr>
    </w:tbl>
    <w:p w:rsidR="001A0975" w:rsidRPr="0058034D" w:rsidRDefault="00FB3B7B" w:rsidP="001D73C6">
      <w:pPr>
        <w:pStyle w:val="Body"/>
        <w:widowControl w:val="0"/>
        <w:adjustRightInd w:val="0"/>
        <w:snapToGrid w:val="0"/>
        <w:spacing w:after="0" w:line="360" w:lineRule="auto"/>
        <w:jc w:val="both"/>
        <w:rPr>
          <w:rFonts w:ascii="Book Antiqua" w:eastAsiaTheme="minorEastAsia" w:hAnsi="Book Antiqua" w:cs="Times New Roman"/>
          <w:color w:val="auto"/>
          <w:sz w:val="24"/>
          <w:szCs w:val="24"/>
          <w:lang w:eastAsia="zh-CN"/>
        </w:rPr>
      </w:pPr>
      <w:r w:rsidRPr="0058034D">
        <w:rPr>
          <w:rFonts w:ascii="Book Antiqua" w:eastAsiaTheme="minorEastAsia" w:hAnsi="Book Antiqua" w:cs="Times New Roman" w:hint="eastAsia"/>
          <w:color w:val="auto"/>
          <w:sz w:val="24"/>
          <w:szCs w:val="24"/>
          <w:lang w:eastAsia="zh-CN"/>
        </w:rPr>
        <w:t xml:space="preserve">PCP: </w:t>
      </w:r>
      <w:r w:rsidRPr="0058034D">
        <w:rPr>
          <w:rFonts w:ascii="Book Antiqua" w:eastAsiaTheme="minorEastAsia" w:hAnsi="Book Antiqua" w:cs="Times New Roman"/>
          <w:color w:val="auto"/>
          <w:sz w:val="24"/>
          <w:szCs w:val="24"/>
          <w:lang w:val="en-US" w:eastAsia="zh-CN"/>
        </w:rPr>
        <w:t>Primary care physician</w:t>
      </w:r>
      <w:r w:rsidRPr="0058034D">
        <w:rPr>
          <w:rFonts w:ascii="Book Antiqua" w:eastAsiaTheme="minorEastAsia" w:hAnsi="Book Antiqua" w:cs="Times New Roman" w:hint="eastAsia"/>
          <w:color w:val="auto"/>
          <w:sz w:val="24"/>
          <w:szCs w:val="24"/>
          <w:lang w:val="en-US" w:eastAsia="zh-CN"/>
        </w:rPr>
        <w:t xml:space="preserve">; GI: </w:t>
      </w:r>
      <w:r w:rsidRPr="0058034D">
        <w:rPr>
          <w:rFonts w:ascii="Book Antiqua" w:eastAsiaTheme="minorEastAsia" w:hAnsi="Book Antiqua" w:cs="Times New Roman"/>
          <w:color w:val="auto"/>
          <w:sz w:val="24"/>
          <w:szCs w:val="24"/>
          <w:lang w:val="en-US" w:eastAsia="zh-CN"/>
        </w:rPr>
        <w:t>Gastrointestinal</w:t>
      </w:r>
      <w:r w:rsidRPr="0058034D">
        <w:rPr>
          <w:rFonts w:ascii="Book Antiqua" w:eastAsiaTheme="minorEastAsia" w:hAnsi="Book Antiqua" w:cs="Times New Roman" w:hint="eastAsia"/>
          <w:color w:val="auto"/>
          <w:sz w:val="24"/>
          <w:szCs w:val="24"/>
          <w:lang w:val="en-US" w:eastAsia="zh-CN"/>
        </w:rPr>
        <w:t>.</w:t>
      </w:r>
    </w:p>
    <w:p w:rsidR="001A0975" w:rsidRPr="0058034D" w:rsidRDefault="001A0975" w:rsidP="001D73C6">
      <w:pPr>
        <w:pStyle w:val="Body"/>
        <w:widowControl w:val="0"/>
        <w:adjustRightInd w:val="0"/>
        <w:snapToGrid w:val="0"/>
        <w:spacing w:after="0" w:line="360" w:lineRule="auto"/>
        <w:jc w:val="both"/>
        <w:rPr>
          <w:rFonts w:ascii="Book Antiqua" w:hAnsi="Book Antiqua" w:cs="Times New Roman"/>
          <w:color w:val="auto"/>
          <w:sz w:val="24"/>
          <w:szCs w:val="24"/>
        </w:rPr>
      </w:pPr>
    </w:p>
    <w:p w:rsidR="001A0975" w:rsidRPr="0058034D" w:rsidRDefault="001A0975" w:rsidP="001D73C6">
      <w:pPr>
        <w:pStyle w:val="Body"/>
        <w:adjustRightInd w:val="0"/>
        <w:snapToGrid w:val="0"/>
        <w:spacing w:after="0" w:line="360" w:lineRule="auto"/>
        <w:jc w:val="both"/>
        <w:rPr>
          <w:rFonts w:ascii="Book Antiqua" w:hAnsi="Book Antiqua" w:cs="Times New Roman"/>
          <w:color w:val="auto"/>
          <w:sz w:val="24"/>
          <w:szCs w:val="24"/>
        </w:rPr>
      </w:pPr>
    </w:p>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rPr>
        <w:br w:type="page"/>
      </w:r>
    </w:p>
    <w:tbl>
      <w:tblPr>
        <w:tblpPr w:leftFromText="180" w:rightFromText="180" w:vertAnchor="text" w:horzAnchor="margin" w:tblpXSpec="center" w:tblpY="119"/>
        <w:tblW w:w="109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70"/>
        <w:gridCol w:w="2190"/>
        <w:gridCol w:w="985"/>
        <w:gridCol w:w="263"/>
        <w:gridCol w:w="2372"/>
        <w:gridCol w:w="990"/>
      </w:tblGrid>
      <w:tr w:rsidR="00E53DDA" w:rsidRPr="0058034D" w:rsidTr="009953B7">
        <w:trPr>
          <w:trHeight w:val="279"/>
        </w:trPr>
        <w:tc>
          <w:tcPr>
            <w:tcW w:w="10970" w:type="dxa"/>
            <w:gridSpan w:val="6"/>
            <w:tcBorders>
              <w:top w:val="nil"/>
              <w:left w:val="nil"/>
              <w:bottom w:val="single" w:sz="4" w:space="0" w:color="auto"/>
              <w:right w:val="nil"/>
            </w:tcBorders>
            <w:shd w:val="clear" w:color="auto" w:fill="FFFFFF"/>
            <w:tcMar>
              <w:top w:w="80" w:type="dxa"/>
              <w:left w:w="80" w:type="dxa"/>
              <w:bottom w:w="80" w:type="dxa"/>
              <w:right w:w="80" w:type="dxa"/>
            </w:tcMar>
            <w:vAlign w:val="bottom"/>
          </w:tcPr>
          <w:p w:rsidR="00E53DDA" w:rsidRPr="0058034D" w:rsidRDefault="009953B7" w:rsidP="001D73C6">
            <w:pPr>
              <w:pStyle w:val="Body"/>
              <w:adjustRightInd w:val="0"/>
              <w:snapToGrid w:val="0"/>
              <w:spacing w:after="0" w:line="360" w:lineRule="auto"/>
              <w:jc w:val="both"/>
              <w:rPr>
                <w:rFonts w:ascii="Book Antiqua" w:hAnsi="Book Antiqua" w:cs="Times New Roman"/>
                <w:b/>
                <w:color w:val="auto"/>
                <w:sz w:val="24"/>
                <w:szCs w:val="24"/>
              </w:rPr>
            </w:pPr>
            <w:r w:rsidRPr="0058034D">
              <w:rPr>
                <w:rFonts w:ascii="Book Antiqua" w:hAnsi="Book Antiqua" w:cs="Times New Roman"/>
                <w:b/>
                <w:bCs/>
                <w:color w:val="auto"/>
                <w:sz w:val="24"/>
                <w:szCs w:val="24"/>
                <w:lang w:val="en-US"/>
              </w:rPr>
              <w:lastRenderedPageBreak/>
              <w:t>Table 5</w:t>
            </w:r>
            <w:r w:rsidR="00E53DDA" w:rsidRPr="0058034D">
              <w:rPr>
                <w:rFonts w:ascii="Book Antiqua" w:hAnsi="Book Antiqua" w:cs="Times New Roman"/>
                <w:b/>
                <w:color w:val="auto"/>
                <w:sz w:val="24"/>
                <w:szCs w:val="24"/>
                <w:lang w:val="en-US"/>
              </w:rPr>
              <w:t xml:space="preserve"> Predictors of time to readmission</w:t>
            </w:r>
          </w:p>
        </w:tc>
      </w:tr>
      <w:tr w:rsidR="00432A97" w:rsidRPr="0058034D" w:rsidTr="009953B7">
        <w:trPr>
          <w:trHeight w:val="287"/>
        </w:trPr>
        <w:tc>
          <w:tcPr>
            <w:tcW w:w="4170" w:type="dxa"/>
            <w:vMerge w:val="restart"/>
            <w:tcBorders>
              <w:top w:val="single" w:sz="4" w:space="0" w:color="auto"/>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rPr>
                <w:rFonts w:ascii="Book Antiqua" w:hAnsi="Book Antiqua" w:cs="Times New Roman"/>
                <w:b/>
                <w:color w:val="auto"/>
                <w:sz w:val="24"/>
                <w:szCs w:val="24"/>
              </w:rPr>
            </w:pPr>
            <w:r w:rsidRPr="0058034D">
              <w:rPr>
                <w:rFonts w:ascii="Book Antiqua" w:hAnsi="Book Antiqua" w:cs="Times New Roman"/>
                <w:b/>
                <w:color w:val="auto"/>
                <w:sz w:val="24"/>
                <w:szCs w:val="24"/>
                <w:lang w:val="en-US"/>
              </w:rPr>
              <w:t>Variable</w:t>
            </w:r>
          </w:p>
        </w:tc>
        <w:tc>
          <w:tcPr>
            <w:tcW w:w="3175" w:type="dxa"/>
            <w:gridSpan w:val="2"/>
            <w:tcBorders>
              <w:top w:val="single" w:sz="4" w:space="0" w:color="auto"/>
              <w:left w:val="nil"/>
              <w:bottom w:val="nil"/>
              <w:right w:val="nil"/>
            </w:tcBorders>
            <w:shd w:val="pct15" w:color="auto" w:fill="FFFFFF"/>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color w:val="auto"/>
                <w:sz w:val="24"/>
                <w:szCs w:val="24"/>
                <w:lang w:val="en-US"/>
              </w:rPr>
              <w:t xml:space="preserve">Univariate </w:t>
            </w:r>
            <w:r w:rsidR="009953B7" w:rsidRPr="0058034D">
              <w:rPr>
                <w:rFonts w:ascii="Book Antiqua" w:hAnsi="Book Antiqua" w:cs="Times New Roman"/>
                <w:b/>
                <w:color w:val="auto"/>
                <w:sz w:val="24"/>
                <w:szCs w:val="24"/>
                <w:lang w:val="en-US"/>
              </w:rPr>
              <w:t>analysis</w:t>
            </w:r>
          </w:p>
        </w:tc>
        <w:tc>
          <w:tcPr>
            <w:tcW w:w="263" w:type="dxa"/>
            <w:tcBorders>
              <w:top w:val="single" w:sz="4" w:space="0" w:color="auto"/>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b/>
                <w:color w:val="auto"/>
                <w:sz w:val="24"/>
                <w:szCs w:val="24"/>
              </w:rPr>
            </w:pPr>
          </w:p>
        </w:tc>
        <w:tc>
          <w:tcPr>
            <w:tcW w:w="3362" w:type="dxa"/>
            <w:gridSpan w:val="2"/>
            <w:tcBorders>
              <w:top w:val="single" w:sz="4" w:space="0" w:color="auto"/>
              <w:left w:val="nil"/>
              <w:bottom w:val="nil"/>
              <w:right w:val="nil"/>
            </w:tcBorders>
            <w:shd w:val="pct15" w:color="auto" w:fill="FFFFFF"/>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color w:val="auto"/>
                <w:sz w:val="24"/>
                <w:szCs w:val="24"/>
                <w:lang w:val="en-US"/>
              </w:rPr>
              <w:t xml:space="preserve">Multivariate </w:t>
            </w:r>
            <w:r w:rsidR="009953B7" w:rsidRPr="0058034D">
              <w:rPr>
                <w:rFonts w:ascii="Book Antiqua" w:hAnsi="Book Antiqua" w:cs="Times New Roman"/>
                <w:b/>
                <w:color w:val="auto"/>
                <w:sz w:val="24"/>
                <w:szCs w:val="24"/>
                <w:lang w:val="en-US"/>
              </w:rPr>
              <w:t>analysis</w:t>
            </w:r>
          </w:p>
        </w:tc>
      </w:tr>
      <w:tr w:rsidR="00E53DDA" w:rsidRPr="0058034D" w:rsidTr="009953B7">
        <w:trPr>
          <w:trHeight w:val="458"/>
        </w:trPr>
        <w:tc>
          <w:tcPr>
            <w:tcW w:w="4170" w:type="dxa"/>
            <w:vMerge/>
            <w:tcBorders>
              <w:top w:val="nil"/>
              <w:left w:val="nil"/>
              <w:bottom w:val="single" w:sz="4" w:space="0" w:color="auto"/>
              <w:right w:val="nil"/>
            </w:tcBorders>
            <w:shd w:val="clear" w:color="auto" w:fill="FFFFFF"/>
          </w:tcPr>
          <w:p w:rsidR="00E53DDA" w:rsidRPr="0058034D" w:rsidRDefault="00E53DDA" w:rsidP="009953B7">
            <w:pPr>
              <w:adjustRightInd w:val="0"/>
              <w:snapToGrid w:val="0"/>
              <w:spacing w:line="360" w:lineRule="auto"/>
              <w:rPr>
                <w:rFonts w:ascii="Book Antiqua" w:hAnsi="Book Antiqua"/>
                <w:b/>
              </w:rPr>
            </w:pPr>
          </w:p>
        </w:tc>
        <w:tc>
          <w:tcPr>
            <w:tcW w:w="2190" w:type="dxa"/>
            <w:tcBorders>
              <w:top w:val="nil"/>
              <w:left w:val="nil"/>
              <w:bottom w:val="single" w:sz="4" w:space="0" w:color="auto"/>
              <w:right w:val="nil"/>
            </w:tcBorders>
            <w:shd w:val="pct15"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b/>
                <w:color w:val="auto"/>
                <w:sz w:val="24"/>
                <w:szCs w:val="24"/>
                <w:lang w:val="en-US"/>
              </w:rPr>
            </w:pPr>
            <w:r w:rsidRPr="0058034D">
              <w:rPr>
                <w:rFonts w:ascii="Book Antiqua" w:hAnsi="Book Antiqua" w:cs="Times New Roman"/>
                <w:b/>
                <w:color w:val="auto"/>
                <w:sz w:val="24"/>
                <w:szCs w:val="24"/>
                <w:lang w:val="en-US"/>
              </w:rPr>
              <w:t>Hazard ratio</w:t>
            </w:r>
          </w:p>
          <w:p w:rsidR="00E53DDA" w:rsidRPr="0058034D" w:rsidRDefault="009953B7" w:rsidP="009953B7">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color w:val="auto"/>
                <w:sz w:val="24"/>
                <w:szCs w:val="24"/>
                <w:lang w:val="en-US"/>
              </w:rPr>
              <w:t>(95%</w:t>
            </w:r>
            <w:r w:rsidR="00E53DDA" w:rsidRPr="0058034D">
              <w:rPr>
                <w:rFonts w:ascii="Book Antiqua" w:hAnsi="Book Antiqua" w:cs="Times New Roman"/>
                <w:b/>
                <w:color w:val="auto"/>
                <w:sz w:val="24"/>
                <w:szCs w:val="24"/>
                <w:lang w:val="en-US"/>
              </w:rPr>
              <w:t>CI)</w:t>
            </w:r>
          </w:p>
        </w:tc>
        <w:tc>
          <w:tcPr>
            <w:tcW w:w="985" w:type="dxa"/>
            <w:tcBorders>
              <w:top w:val="nil"/>
              <w:left w:val="nil"/>
              <w:bottom w:val="single" w:sz="4" w:space="0" w:color="auto"/>
              <w:right w:val="nil"/>
            </w:tcBorders>
            <w:shd w:val="pct15" w:color="auto" w:fill="FFFFFF"/>
            <w:tcMar>
              <w:top w:w="80" w:type="dxa"/>
              <w:left w:w="80" w:type="dxa"/>
              <w:bottom w:w="80" w:type="dxa"/>
              <w:right w:w="80" w:type="dxa"/>
            </w:tcMar>
            <w:vAlign w:val="center"/>
          </w:tcPr>
          <w:p w:rsidR="00E53DDA" w:rsidRPr="0058034D" w:rsidRDefault="00514A97" w:rsidP="009953B7">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i/>
                <w:color w:val="auto"/>
                <w:sz w:val="24"/>
                <w:szCs w:val="24"/>
                <w:lang w:val="en-US"/>
              </w:rPr>
              <w:t>P</w:t>
            </w:r>
            <w:r w:rsidR="009953B7" w:rsidRPr="0058034D">
              <w:rPr>
                <w:rFonts w:ascii="Book Antiqua" w:eastAsiaTheme="minorEastAsia" w:hAnsi="Book Antiqua" w:cs="Times New Roman" w:hint="eastAsia"/>
                <w:b/>
                <w:color w:val="auto"/>
                <w:sz w:val="24"/>
                <w:szCs w:val="24"/>
                <w:lang w:val="en-US" w:eastAsia="zh-CN"/>
              </w:rPr>
              <w:t xml:space="preserve"> </w:t>
            </w:r>
            <w:r w:rsidR="00E53DDA" w:rsidRPr="0058034D">
              <w:rPr>
                <w:rFonts w:ascii="Book Antiqua" w:hAnsi="Book Antiqua" w:cs="Times New Roman"/>
                <w:b/>
                <w:color w:val="auto"/>
                <w:sz w:val="24"/>
                <w:szCs w:val="24"/>
                <w:lang w:val="en-US"/>
              </w:rPr>
              <w:t>value</w:t>
            </w:r>
          </w:p>
        </w:tc>
        <w:tc>
          <w:tcPr>
            <w:tcW w:w="263" w:type="dxa"/>
            <w:tcBorders>
              <w:top w:val="nil"/>
              <w:left w:val="nil"/>
              <w:bottom w:val="single" w:sz="4" w:space="0" w:color="auto"/>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b/>
                <w:color w:val="auto"/>
                <w:sz w:val="24"/>
                <w:szCs w:val="24"/>
              </w:rPr>
            </w:pPr>
          </w:p>
        </w:tc>
        <w:tc>
          <w:tcPr>
            <w:tcW w:w="2372" w:type="dxa"/>
            <w:tcBorders>
              <w:top w:val="nil"/>
              <w:left w:val="nil"/>
              <w:bottom w:val="single" w:sz="4" w:space="0" w:color="auto"/>
              <w:right w:val="nil"/>
            </w:tcBorders>
            <w:shd w:val="pct15"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b/>
                <w:color w:val="auto"/>
                <w:sz w:val="24"/>
                <w:szCs w:val="24"/>
                <w:lang w:val="en-US"/>
              </w:rPr>
            </w:pPr>
            <w:r w:rsidRPr="0058034D">
              <w:rPr>
                <w:rFonts w:ascii="Book Antiqua" w:hAnsi="Book Antiqua" w:cs="Times New Roman"/>
                <w:b/>
                <w:color w:val="auto"/>
                <w:sz w:val="24"/>
                <w:szCs w:val="24"/>
                <w:lang w:val="en-US"/>
              </w:rPr>
              <w:t>Hazard ratio</w:t>
            </w:r>
          </w:p>
          <w:p w:rsidR="00E53DDA" w:rsidRPr="0058034D" w:rsidRDefault="009953B7" w:rsidP="009953B7">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color w:val="auto"/>
                <w:sz w:val="24"/>
                <w:szCs w:val="24"/>
                <w:lang w:val="en-US"/>
              </w:rPr>
              <w:t>(95%</w:t>
            </w:r>
            <w:r w:rsidR="00E53DDA" w:rsidRPr="0058034D">
              <w:rPr>
                <w:rFonts w:ascii="Book Antiqua" w:hAnsi="Book Antiqua" w:cs="Times New Roman"/>
                <w:b/>
                <w:color w:val="auto"/>
                <w:sz w:val="24"/>
                <w:szCs w:val="24"/>
                <w:lang w:val="en-US"/>
              </w:rPr>
              <w:t>CI)</w:t>
            </w:r>
          </w:p>
        </w:tc>
        <w:tc>
          <w:tcPr>
            <w:tcW w:w="990" w:type="dxa"/>
            <w:tcBorders>
              <w:top w:val="nil"/>
              <w:left w:val="nil"/>
              <w:bottom w:val="single" w:sz="4" w:space="0" w:color="auto"/>
              <w:right w:val="nil"/>
            </w:tcBorders>
            <w:shd w:val="pct15" w:color="auto" w:fill="FFFFFF"/>
            <w:tcMar>
              <w:top w:w="80" w:type="dxa"/>
              <w:left w:w="80" w:type="dxa"/>
              <w:bottom w:w="80" w:type="dxa"/>
              <w:right w:w="80" w:type="dxa"/>
            </w:tcMar>
            <w:vAlign w:val="center"/>
          </w:tcPr>
          <w:p w:rsidR="00E53DDA" w:rsidRPr="0058034D" w:rsidRDefault="00514A97" w:rsidP="009953B7">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i/>
                <w:color w:val="auto"/>
                <w:sz w:val="24"/>
                <w:szCs w:val="24"/>
                <w:lang w:val="en-US"/>
              </w:rPr>
              <w:t>P</w:t>
            </w:r>
            <w:r w:rsidR="009953B7" w:rsidRPr="0058034D">
              <w:rPr>
                <w:rFonts w:ascii="Book Antiqua" w:eastAsiaTheme="minorEastAsia" w:hAnsi="Book Antiqua" w:cs="Times New Roman" w:hint="eastAsia"/>
                <w:b/>
                <w:color w:val="auto"/>
                <w:sz w:val="24"/>
                <w:szCs w:val="24"/>
                <w:lang w:val="en-US" w:eastAsia="zh-CN"/>
              </w:rPr>
              <w:t xml:space="preserve"> </w:t>
            </w:r>
            <w:r w:rsidR="00E53DDA" w:rsidRPr="0058034D">
              <w:rPr>
                <w:rFonts w:ascii="Book Antiqua" w:hAnsi="Book Antiqua" w:cs="Times New Roman"/>
                <w:b/>
                <w:color w:val="auto"/>
                <w:sz w:val="24"/>
                <w:szCs w:val="24"/>
                <w:lang w:val="en-US"/>
              </w:rPr>
              <w:t>value</w:t>
            </w:r>
          </w:p>
        </w:tc>
      </w:tr>
      <w:tr w:rsidR="00E53DDA" w:rsidRPr="0058034D" w:rsidTr="009953B7">
        <w:trPr>
          <w:trHeight w:val="555"/>
        </w:trPr>
        <w:tc>
          <w:tcPr>
            <w:tcW w:w="4170" w:type="dxa"/>
            <w:tcBorders>
              <w:top w:val="single" w:sz="4" w:space="0" w:color="auto"/>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Education level (ref</w:t>
            </w:r>
            <w:r w:rsidR="009953B7"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w:t>
            </w:r>
            <w:r w:rsidR="009953B7"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Some college and above)</w:t>
            </w:r>
            <w:r w:rsidRPr="0058034D">
              <w:rPr>
                <w:rFonts w:ascii="Book Antiqua" w:hAnsi="Book Antiqua" w:cs="Times New Roman"/>
                <w:color w:val="auto"/>
                <w:sz w:val="24"/>
                <w:szCs w:val="24"/>
                <w:vertAlign w:val="superscript"/>
                <w:lang w:val="en-US"/>
              </w:rPr>
              <w:t>1</w:t>
            </w:r>
          </w:p>
        </w:tc>
        <w:tc>
          <w:tcPr>
            <w:tcW w:w="2190" w:type="dxa"/>
            <w:tcBorders>
              <w:top w:val="single" w:sz="4" w:space="0" w:color="auto"/>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1.00</w:t>
            </w:r>
          </w:p>
        </w:tc>
        <w:tc>
          <w:tcPr>
            <w:tcW w:w="985" w:type="dxa"/>
            <w:tcBorders>
              <w:top w:val="single" w:sz="4" w:space="0" w:color="auto"/>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0.02</w:t>
            </w:r>
          </w:p>
        </w:tc>
        <w:tc>
          <w:tcPr>
            <w:tcW w:w="263" w:type="dxa"/>
            <w:tcBorders>
              <w:top w:val="single" w:sz="4" w:space="0" w:color="auto"/>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c>
          <w:tcPr>
            <w:tcW w:w="2372" w:type="dxa"/>
            <w:tcBorders>
              <w:top w:val="single" w:sz="4" w:space="0" w:color="auto"/>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1.00</w:t>
            </w:r>
          </w:p>
        </w:tc>
        <w:tc>
          <w:tcPr>
            <w:tcW w:w="990" w:type="dxa"/>
            <w:tcBorders>
              <w:top w:val="single" w:sz="4" w:space="0" w:color="auto"/>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r>
      <w:tr w:rsidR="00E53DDA" w:rsidRPr="0058034D" w:rsidTr="009953B7">
        <w:trPr>
          <w:trHeight w:val="223"/>
        </w:trPr>
        <w:tc>
          <w:tcPr>
            <w:tcW w:w="417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9322B0"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     </w:t>
            </w:r>
            <w:r w:rsidR="00E53DDA" w:rsidRPr="0058034D">
              <w:rPr>
                <w:rFonts w:ascii="Book Antiqua" w:hAnsi="Book Antiqua" w:cs="Times New Roman"/>
                <w:color w:val="auto"/>
                <w:sz w:val="24"/>
                <w:szCs w:val="24"/>
                <w:lang w:val="en-US"/>
              </w:rPr>
              <w:t xml:space="preserve">Finished high school and less </w:t>
            </w:r>
          </w:p>
        </w:tc>
        <w:tc>
          <w:tcPr>
            <w:tcW w:w="21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1.64 (1.02-2.46)</w:t>
            </w:r>
          </w:p>
        </w:tc>
        <w:tc>
          <w:tcPr>
            <w:tcW w:w="985"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0.02</w:t>
            </w:r>
          </w:p>
        </w:tc>
        <w:tc>
          <w:tcPr>
            <w:tcW w:w="263"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c>
          <w:tcPr>
            <w:tcW w:w="2372"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1.56 (0.98-2.46)</w:t>
            </w:r>
          </w:p>
        </w:tc>
        <w:tc>
          <w:tcPr>
            <w:tcW w:w="9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0.05</w:t>
            </w:r>
          </w:p>
        </w:tc>
      </w:tr>
      <w:tr w:rsidR="00E53DDA" w:rsidRPr="0058034D" w:rsidTr="009953B7">
        <w:trPr>
          <w:trHeight w:val="133"/>
        </w:trPr>
        <w:tc>
          <w:tcPr>
            <w:tcW w:w="417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MELD category (ref</w:t>
            </w:r>
            <w:r w:rsidR="009953B7"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w:t>
            </w:r>
            <w:r w:rsidR="009953B7"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MELD &lt; 15</w:t>
            </w:r>
            <w:r w:rsidR="009322B0" w:rsidRPr="0058034D">
              <w:rPr>
                <w:rFonts w:ascii="Book Antiqua" w:hAnsi="Book Antiqua" w:cs="Times New Roman"/>
                <w:color w:val="auto"/>
                <w:sz w:val="24"/>
                <w:szCs w:val="24"/>
                <w:lang w:val="en-US"/>
              </w:rPr>
              <w:t xml:space="preserve"> </w:t>
            </w:r>
            <w:r w:rsidRPr="0058034D">
              <w:rPr>
                <w:rFonts w:ascii="Book Antiqua" w:hAnsi="Book Antiqua" w:cs="Times New Roman"/>
                <w:color w:val="auto"/>
                <w:sz w:val="24"/>
                <w:szCs w:val="24"/>
                <w:lang w:val="en-US"/>
              </w:rPr>
              <w:t>)</w:t>
            </w:r>
          </w:p>
        </w:tc>
        <w:tc>
          <w:tcPr>
            <w:tcW w:w="21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1.00</w:t>
            </w:r>
          </w:p>
        </w:tc>
        <w:tc>
          <w:tcPr>
            <w:tcW w:w="985"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0.007</w:t>
            </w:r>
          </w:p>
        </w:tc>
        <w:tc>
          <w:tcPr>
            <w:tcW w:w="263"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c>
          <w:tcPr>
            <w:tcW w:w="2372"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1.00</w:t>
            </w:r>
          </w:p>
        </w:tc>
        <w:tc>
          <w:tcPr>
            <w:tcW w:w="9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r>
      <w:tr w:rsidR="00E53DDA" w:rsidRPr="0058034D" w:rsidTr="009953B7">
        <w:trPr>
          <w:trHeight w:val="133"/>
        </w:trPr>
        <w:tc>
          <w:tcPr>
            <w:tcW w:w="417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9322B0"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     </w:t>
            </w:r>
            <w:r w:rsidR="00E53DDA" w:rsidRPr="0058034D">
              <w:rPr>
                <w:rFonts w:ascii="Book Antiqua" w:hAnsi="Book Antiqua" w:cs="Times New Roman"/>
                <w:color w:val="auto"/>
                <w:sz w:val="24"/>
                <w:szCs w:val="24"/>
                <w:lang w:val="en-US"/>
              </w:rPr>
              <w:t xml:space="preserve"> 15 ≤ MELD &lt; 25</w:t>
            </w:r>
          </w:p>
        </w:tc>
        <w:tc>
          <w:tcPr>
            <w:tcW w:w="21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1.45 (0.97-2.15)</w:t>
            </w:r>
          </w:p>
        </w:tc>
        <w:tc>
          <w:tcPr>
            <w:tcW w:w="985"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0.06</w:t>
            </w:r>
          </w:p>
        </w:tc>
        <w:tc>
          <w:tcPr>
            <w:tcW w:w="263"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adjustRightInd w:val="0"/>
              <w:snapToGrid w:val="0"/>
              <w:spacing w:line="360" w:lineRule="auto"/>
              <w:jc w:val="center"/>
              <w:rPr>
                <w:rFonts w:ascii="Book Antiqua" w:hAnsi="Book Antiqua"/>
              </w:rPr>
            </w:pPr>
          </w:p>
        </w:tc>
        <w:tc>
          <w:tcPr>
            <w:tcW w:w="2372"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1.52 (1.00-2.31)</w:t>
            </w:r>
          </w:p>
        </w:tc>
        <w:tc>
          <w:tcPr>
            <w:tcW w:w="9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0.04</w:t>
            </w:r>
          </w:p>
        </w:tc>
      </w:tr>
      <w:tr w:rsidR="00E53DDA" w:rsidRPr="0058034D" w:rsidTr="009953B7">
        <w:trPr>
          <w:trHeight w:val="214"/>
        </w:trPr>
        <w:tc>
          <w:tcPr>
            <w:tcW w:w="417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9322B0"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     </w:t>
            </w:r>
            <w:r w:rsidR="00E53DDA" w:rsidRPr="0058034D">
              <w:rPr>
                <w:rFonts w:ascii="Book Antiqua" w:hAnsi="Book Antiqua" w:cs="Times New Roman"/>
                <w:color w:val="auto"/>
                <w:sz w:val="24"/>
                <w:szCs w:val="24"/>
                <w:lang w:val="en-US"/>
              </w:rPr>
              <w:t xml:space="preserve"> MELD ≥ 25</w:t>
            </w:r>
          </w:p>
        </w:tc>
        <w:tc>
          <w:tcPr>
            <w:tcW w:w="21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2.51 (1.33-4.75)</w:t>
            </w:r>
          </w:p>
        </w:tc>
        <w:tc>
          <w:tcPr>
            <w:tcW w:w="985"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0.004</w:t>
            </w:r>
          </w:p>
        </w:tc>
        <w:tc>
          <w:tcPr>
            <w:tcW w:w="263"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adjustRightInd w:val="0"/>
              <w:snapToGrid w:val="0"/>
              <w:spacing w:line="360" w:lineRule="auto"/>
              <w:jc w:val="center"/>
              <w:rPr>
                <w:rFonts w:ascii="Book Antiqua" w:hAnsi="Book Antiqua"/>
              </w:rPr>
            </w:pPr>
          </w:p>
        </w:tc>
        <w:tc>
          <w:tcPr>
            <w:tcW w:w="2372"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2.51 (1.24-5.11)</w:t>
            </w:r>
          </w:p>
        </w:tc>
        <w:tc>
          <w:tcPr>
            <w:tcW w:w="9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0.01</w:t>
            </w:r>
          </w:p>
        </w:tc>
      </w:tr>
      <w:tr w:rsidR="00E53DDA" w:rsidRPr="0058034D" w:rsidTr="009953B7">
        <w:trPr>
          <w:trHeight w:val="17"/>
        </w:trPr>
        <w:tc>
          <w:tcPr>
            <w:tcW w:w="417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Etiology of CLD (</w:t>
            </w:r>
            <w:r w:rsidR="009953B7" w:rsidRPr="0058034D">
              <w:rPr>
                <w:rFonts w:ascii="Book Antiqua" w:eastAsiaTheme="minorEastAsia" w:hAnsi="Book Antiqua" w:cs="Times New Roman" w:hint="eastAsia"/>
                <w:color w:val="auto"/>
                <w:sz w:val="24"/>
                <w:szCs w:val="24"/>
                <w:lang w:val="en-US" w:eastAsia="zh-CN"/>
              </w:rPr>
              <w:t>r</w:t>
            </w:r>
            <w:r w:rsidRPr="0058034D">
              <w:rPr>
                <w:rFonts w:ascii="Book Antiqua" w:hAnsi="Book Antiqua" w:cs="Times New Roman"/>
                <w:color w:val="auto"/>
                <w:sz w:val="24"/>
                <w:szCs w:val="24"/>
                <w:lang w:val="en-US"/>
              </w:rPr>
              <w:t>ef</w:t>
            </w:r>
            <w:r w:rsidR="009953B7"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w:t>
            </w:r>
            <w:r w:rsidR="009953B7"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Alcohol)</w:t>
            </w:r>
          </w:p>
        </w:tc>
        <w:tc>
          <w:tcPr>
            <w:tcW w:w="21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1.00</w:t>
            </w:r>
          </w:p>
        </w:tc>
        <w:tc>
          <w:tcPr>
            <w:tcW w:w="985"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0.03</w:t>
            </w:r>
          </w:p>
        </w:tc>
        <w:tc>
          <w:tcPr>
            <w:tcW w:w="263"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c>
          <w:tcPr>
            <w:tcW w:w="2372"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1.00</w:t>
            </w:r>
          </w:p>
        </w:tc>
        <w:tc>
          <w:tcPr>
            <w:tcW w:w="9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r>
      <w:tr w:rsidR="00E53DDA" w:rsidRPr="0058034D" w:rsidTr="009953B7">
        <w:trPr>
          <w:trHeight w:val="17"/>
        </w:trPr>
        <w:tc>
          <w:tcPr>
            <w:tcW w:w="417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9322B0"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    </w:t>
            </w:r>
            <w:r w:rsidR="00E53DDA" w:rsidRPr="0058034D">
              <w:rPr>
                <w:rFonts w:ascii="Book Antiqua" w:hAnsi="Book Antiqua" w:cs="Times New Roman"/>
                <w:color w:val="auto"/>
                <w:sz w:val="24"/>
                <w:szCs w:val="24"/>
                <w:lang w:val="en-US"/>
              </w:rPr>
              <w:t xml:space="preserve"> HCV</w:t>
            </w:r>
          </w:p>
        </w:tc>
        <w:tc>
          <w:tcPr>
            <w:tcW w:w="21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1.74 (1.10-2.76)</w:t>
            </w:r>
          </w:p>
        </w:tc>
        <w:tc>
          <w:tcPr>
            <w:tcW w:w="985"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0.03</w:t>
            </w:r>
          </w:p>
        </w:tc>
        <w:tc>
          <w:tcPr>
            <w:tcW w:w="263"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c>
          <w:tcPr>
            <w:tcW w:w="2372"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1.73 (1.06-2.82)</w:t>
            </w:r>
          </w:p>
        </w:tc>
        <w:tc>
          <w:tcPr>
            <w:tcW w:w="9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0.02</w:t>
            </w:r>
          </w:p>
        </w:tc>
      </w:tr>
      <w:tr w:rsidR="00E53DDA" w:rsidRPr="0058034D" w:rsidTr="009953B7">
        <w:trPr>
          <w:trHeight w:val="17"/>
        </w:trPr>
        <w:tc>
          <w:tcPr>
            <w:tcW w:w="417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9322B0"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    </w:t>
            </w:r>
            <w:r w:rsidR="00E53DDA" w:rsidRPr="0058034D">
              <w:rPr>
                <w:rFonts w:ascii="Book Antiqua" w:hAnsi="Book Antiqua" w:cs="Times New Roman"/>
                <w:color w:val="auto"/>
                <w:sz w:val="24"/>
                <w:szCs w:val="24"/>
                <w:lang w:val="en-US"/>
              </w:rPr>
              <w:t xml:space="preserve"> NASH/Cryptogenic</w:t>
            </w:r>
          </w:p>
        </w:tc>
        <w:tc>
          <w:tcPr>
            <w:tcW w:w="21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1.25 (0.76-2.05)</w:t>
            </w:r>
          </w:p>
        </w:tc>
        <w:tc>
          <w:tcPr>
            <w:tcW w:w="985"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0.36</w:t>
            </w:r>
          </w:p>
        </w:tc>
        <w:tc>
          <w:tcPr>
            <w:tcW w:w="263"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c>
          <w:tcPr>
            <w:tcW w:w="2372"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1.81 (1.02-3.18)</w:t>
            </w:r>
          </w:p>
        </w:tc>
        <w:tc>
          <w:tcPr>
            <w:tcW w:w="9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0.04</w:t>
            </w:r>
          </w:p>
        </w:tc>
      </w:tr>
      <w:tr w:rsidR="00E53DDA" w:rsidRPr="0058034D" w:rsidTr="009953B7">
        <w:trPr>
          <w:trHeight w:val="97"/>
        </w:trPr>
        <w:tc>
          <w:tcPr>
            <w:tcW w:w="417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9322B0"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    </w:t>
            </w:r>
            <w:r w:rsidR="00E53DDA" w:rsidRPr="0058034D">
              <w:rPr>
                <w:rFonts w:ascii="Book Antiqua" w:hAnsi="Book Antiqua" w:cs="Times New Roman"/>
                <w:color w:val="auto"/>
                <w:sz w:val="24"/>
                <w:szCs w:val="24"/>
                <w:lang w:val="en-US"/>
              </w:rPr>
              <w:t xml:space="preserve"> Other/Combination of etiologies </w:t>
            </w:r>
          </w:p>
        </w:tc>
        <w:tc>
          <w:tcPr>
            <w:tcW w:w="21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1.94 (1.20-3.11)</w:t>
            </w:r>
          </w:p>
        </w:tc>
        <w:tc>
          <w:tcPr>
            <w:tcW w:w="985"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0.006</w:t>
            </w:r>
          </w:p>
        </w:tc>
        <w:tc>
          <w:tcPr>
            <w:tcW w:w="263"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c>
          <w:tcPr>
            <w:tcW w:w="2372"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2.02 (1.24-3.29)</w:t>
            </w:r>
          </w:p>
        </w:tc>
        <w:tc>
          <w:tcPr>
            <w:tcW w:w="9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0.004</w:t>
            </w:r>
          </w:p>
        </w:tc>
      </w:tr>
      <w:tr w:rsidR="00E53DDA" w:rsidRPr="0058034D" w:rsidTr="009953B7">
        <w:trPr>
          <w:trHeight w:val="88"/>
        </w:trPr>
        <w:tc>
          <w:tcPr>
            <w:tcW w:w="417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History of HCC </w:t>
            </w:r>
          </w:p>
        </w:tc>
        <w:tc>
          <w:tcPr>
            <w:tcW w:w="21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1.85 (1.10-3.08)</w:t>
            </w:r>
          </w:p>
        </w:tc>
        <w:tc>
          <w:tcPr>
            <w:tcW w:w="985"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0.01</w:t>
            </w:r>
          </w:p>
        </w:tc>
        <w:tc>
          <w:tcPr>
            <w:tcW w:w="263"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c>
          <w:tcPr>
            <w:tcW w:w="2372"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1.67 (0.95-2.93)</w:t>
            </w:r>
          </w:p>
        </w:tc>
        <w:tc>
          <w:tcPr>
            <w:tcW w:w="990" w:type="dxa"/>
            <w:tcBorders>
              <w:top w:val="nil"/>
              <w:left w:val="nil"/>
              <w:bottom w:val="nil"/>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0.07</w:t>
            </w:r>
          </w:p>
        </w:tc>
      </w:tr>
      <w:tr w:rsidR="00E53DDA" w:rsidRPr="0058034D" w:rsidTr="009953B7">
        <w:trPr>
          <w:trHeight w:val="178"/>
        </w:trPr>
        <w:tc>
          <w:tcPr>
            <w:tcW w:w="4170" w:type="dxa"/>
            <w:tcBorders>
              <w:top w:val="nil"/>
              <w:left w:val="nil"/>
              <w:bottom w:val="single" w:sz="4" w:space="0" w:color="auto"/>
              <w:right w:val="nil"/>
            </w:tcBorders>
            <w:shd w:val="clear" w:color="auto" w:fill="FFFFFF"/>
            <w:tcMar>
              <w:top w:w="80" w:type="dxa"/>
              <w:left w:w="80" w:type="dxa"/>
              <w:bottom w:w="80" w:type="dxa"/>
              <w:right w:w="80" w:type="dxa"/>
            </w:tcMar>
            <w:vAlign w:val="bottom"/>
          </w:tcPr>
          <w:p w:rsidR="00E53DDA" w:rsidRPr="0058034D" w:rsidRDefault="00E53DDA" w:rsidP="009953B7">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HE</w:t>
            </w:r>
          </w:p>
        </w:tc>
        <w:tc>
          <w:tcPr>
            <w:tcW w:w="2190" w:type="dxa"/>
            <w:tcBorders>
              <w:top w:val="nil"/>
              <w:left w:val="nil"/>
              <w:bottom w:val="single" w:sz="4" w:space="0" w:color="auto"/>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1.51 (1.04-2.16)</w:t>
            </w:r>
          </w:p>
        </w:tc>
        <w:tc>
          <w:tcPr>
            <w:tcW w:w="985" w:type="dxa"/>
            <w:tcBorders>
              <w:top w:val="nil"/>
              <w:left w:val="nil"/>
              <w:bottom w:val="single" w:sz="4" w:space="0" w:color="auto"/>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0.01</w:t>
            </w:r>
          </w:p>
        </w:tc>
        <w:tc>
          <w:tcPr>
            <w:tcW w:w="263" w:type="dxa"/>
            <w:tcBorders>
              <w:top w:val="nil"/>
              <w:left w:val="nil"/>
              <w:bottom w:val="single" w:sz="4" w:space="0" w:color="auto"/>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p>
        </w:tc>
        <w:tc>
          <w:tcPr>
            <w:tcW w:w="2372" w:type="dxa"/>
            <w:tcBorders>
              <w:top w:val="nil"/>
              <w:left w:val="nil"/>
              <w:bottom w:val="single" w:sz="4" w:space="0" w:color="auto"/>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1.61 (1.11-2.40)</w:t>
            </w:r>
          </w:p>
        </w:tc>
        <w:tc>
          <w:tcPr>
            <w:tcW w:w="990" w:type="dxa"/>
            <w:tcBorders>
              <w:top w:val="nil"/>
              <w:left w:val="nil"/>
              <w:bottom w:val="single" w:sz="4" w:space="0" w:color="auto"/>
              <w:right w:val="nil"/>
            </w:tcBorders>
            <w:shd w:val="clear" w:color="auto" w:fill="FFFFFF"/>
            <w:tcMar>
              <w:top w:w="80" w:type="dxa"/>
              <w:left w:w="80" w:type="dxa"/>
              <w:bottom w:w="80" w:type="dxa"/>
              <w:right w:w="80" w:type="dxa"/>
            </w:tcMar>
            <w:vAlign w:val="center"/>
          </w:tcPr>
          <w:p w:rsidR="00E53DDA" w:rsidRPr="0058034D" w:rsidRDefault="00E53DDA" w:rsidP="009953B7">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0.01</w:t>
            </w:r>
          </w:p>
        </w:tc>
      </w:tr>
      <w:tr w:rsidR="00E53DDA" w:rsidRPr="0058034D" w:rsidTr="009953B7">
        <w:trPr>
          <w:trHeight w:val="277"/>
        </w:trPr>
        <w:tc>
          <w:tcPr>
            <w:tcW w:w="10970" w:type="dxa"/>
            <w:gridSpan w:val="6"/>
            <w:tcBorders>
              <w:top w:val="single" w:sz="4" w:space="0" w:color="auto"/>
              <w:left w:val="nil"/>
              <w:bottom w:val="nil"/>
              <w:right w:val="nil"/>
            </w:tcBorders>
            <w:shd w:val="clear" w:color="auto" w:fill="auto"/>
            <w:tcMar>
              <w:top w:w="80" w:type="dxa"/>
              <w:left w:w="80" w:type="dxa"/>
              <w:bottom w:w="80" w:type="dxa"/>
              <w:right w:w="80" w:type="dxa"/>
            </w:tcMar>
            <w:vAlign w:val="bottom"/>
          </w:tcPr>
          <w:p w:rsidR="00FB3B7B" w:rsidRPr="0058034D" w:rsidRDefault="009953B7" w:rsidP="00FB3B7B">
            <w:pPr>
              <w:spacing w:line="360" w:lineRule="auto"/>
              <w:rPr>
                <w:rFonts w:ascii="Book Antiqua" w:hAnsi="Book Antiqua"/>
                <w:lang w:val="fr-FR" w:eastAsia="zh-CN"/>
              </w:rPr>
            </w:pPr>
            <w:r w:rsidRPr="0058034D">
              <w:rPr>
                <w:rFonts w:ascii="Book Antiqua" w:hAnsi="Book Antiqua"/>
                <w:vertAlign w:val="superscript"/>
              </w:rPr>
              <w:t>1</w:t>
            </w:r>
            <w:r w:rsidR="00E53DDA" w:rsidRPr="0058034D">
              <w:rPr>
                <w:rFonts w:ascii="Book Antiqua" w:hAnsi="Book Antiqua"/>
              </w:rPr>
              <w:t>Education variable was adjusted for unknown status</w:t>
            </w:r>
            <w:r w:rsidRPr="0058034D">
              <w:rPr>
                <w:rFonts w:ascii="Book Antiqua" w:hAnsi="Book Antiqua" w:hint="eastAsia"/>
                <w:lang w:eastAsia="zh-CN"/>
              </w:rPr>
              <w:t>.</w:t>
            </w:r>
            <w:r w:rsidR="00FB3B7B" w:rsidRPr="0058034D">
              <w:rPr>
                <w:rFonts w:ascii="Book Antiqua" w:hAnsi="Book Antiqua" w:hint="eastAsia"/>
                <w:lang w:eastAsia="zh-CN"/>
              </w:rPr>
              <w:t xml:space="preserve"> HCC:</w:t>
            </w:r>
            <w:r w:rsidR="009322B0" w:rsidRPr="0058034D">
              <w:rPr>
                <w:rFonts w:ascii="Book Antiqua" w:hAnsi="Book Antiqua" w:hint="eastAsia"/>
                <w:lang w:eastAsia="zh-CN"/>
              </w:rPr>
              <w:t xml:space="preserve"> </w:t>
            </w:r>
            <w:bookmarkStart w:id="902" w:name="OLE_LINK179"/>
            <w:bookmarkStart w:id="903" w:name="OLE_LINK180"/>
            <w:r w:rsidR="00FB3B7B" w:rsidRPr="0058034D">
              <w:rPr>
                <w:rFonts w:ascii="Book Antiqua" w:hAnsi="Book Antiqua"/>
                <w:lang w:eastAsia="zh-CN"/>
              </w:rPr>
              <w:t xml:space="preserve">Hepatocellular </w:t>
            </w:r>
            <w:bookmarkEnd w:id="902"/>
            <w:bookmarkEnd w:id="903"/>
            <w:r w:rsidR="00FB3B7B" w:rsidRPr="0058034D">
              <w:rPr>
                <w:rFonts w:ascii="Book Antiqua" w:hAnsi="Book Antiqua"/>
                <w:lang w:eastAsia="zh-CN"/>
              </w:rPr>
              <w:t>carcinoma</w:t>
            </w:r>
            <w:r w:rsidR="00FB3B7B" w:rsidRPr="0058034D">
              <w:rPr>
                <w:rFonts w:ascii="Book Antiqua" w:hAnsi="Book Antiqua" w:hint="eastAsia"/>
                <w:lang w:eastAsia="zh-CN"/>
              </w:rPr>
              <w:t xml:space="preserve">; </w:t>
            </w:r>
            <w:r w:rsidR="00FB3B7B" w:rsidRPr="0058034D">
              <w:rPr>
                <w:rFonts w:ascii="Book Antiqua" w:hAnsi="Book Antiqua" w:hint="eastAsia"/>
                <w:lang w:val="fr-FR" w:eastAsia="zh-CN"/>
              </w:rPr>
              <w:t xml:space="preserve">MELD: </w:t>
            </w:r>
            <w:r w:rsidR="00FB3B7B" w:rsidRPr="0058034D">
              <w:rPr>
                <w:rFonts w:ascii="Book Antiqua" w:hAnsi="Book Antiqua"/>
                <w:lang w:eastAsia="zh-CN"/>
              </w:rPr>
              <w:t>Model for End-Stage Liver Disease</w:t>
            </w:r>
            <w:r w:rsidR="00FB3B7B" w:rsidRPr="0058034D">
              <w:rPr>
                <w:rFonts w:ascii="Book Antiqua" w:hAnsi="Book Antiqua" w:hint="eastAsia"/>
                <w:lang w:eastAsia="zh-CN"/>
              </w:rPr>
              <w:t>; HCV:</w:t>
            </w:r>
            <w:r w:rsidR="009322B0" w:rsidRPr="0058034D">
              <w:rPr>
                <w:rFonts w:ascii="Book Antiqua" w:hAnsi="Book Antiqua" w:hint="eastAsia"/>
                <w:lang w:eastAsia="zh-CN"/>
              </w:rPr>
              <w:t xml:space="preserve"> </w:t>
            </w:r>
            <w:r w:rsidR="00FB3B7B" w:rsidRPr="0058034D">
              <w:t xml:space="preserve"> </w:t>
            </w:r>
            <w:r w:rsidR="00FB3B7B" w:rsidRPr="0058034D">
              <w:rPr>
                <w:rFonts w:ascii="Book Antiqua" w:hAnsi="Book Antiqua"/>
                <w:lang w:eastAsia="zh-CN"/>
              </w:rPr>
              <w:t>Hepatitis C virus</w:t>
            </w:r>
            <w:r w:rsidR="00FB3B7B" w:rsidRPr="0058034D">
              <w:rPr>
                <w:rFonts w:ascii="Book Antiqua" w:hAnsi="Book Antiqua" w:hint="eastAsia"/>
                <w:lang w:eastAsia="zh-CN"/>
              </w:rPr>
              <w:t>.</w:t>
            </w:r>
          </w:p>
          <w:p w:rsidR="00E53DDA" w:rsidRPr="0058034D" w:rsidRDefault="00E53DDA" w:rsidP="001D73C6">
            <w:pPr>
              <w:adjustRightInd w:val="0"/>
              <w:snapToGrid w:val="0"/>
              <w:spacing w:line="360" w:lineRule="auto"/>
              <w:jc w:val="both"/>
              <w:rPr>
                <w:rFonts w:ascii="Book Antiqua" w:hAnsi="Book Antiqua"/>
                <w:lang w:val="fr-FR" w:eastAsia="zh-CN"/>
              </w:rPr>
            </w:pPr>
          </w:p>
        </w:tc>
      </w:tr>
    </w:tbl>
    <w:p w:rsidR="001A0975" w:rsidRPr="0058034D" w:rsidRDefault="001A0975" w:rsidP="001D73C6">
      <w:pPr>
        <w:pStyle w:val="Body"/>
        <w:widowControl w:val="0"/>
        <w:adjustRightInd w:val="0"/>
        <w:snapToGrid w:val="0"/>
        <w:spacing w:after="0" w:line="360" w:lineRule="auto"/>
        <w:jc w:val="both"/>
        <w:rPr>
          <w:rFonts w:ascii="Book Antiqua" w:hAnsi="Book Antiqua" w:cs="Times New Roman"/>
          <w:color w:val="auto"/>
          <w:sz w:val="24"/>
          <w:szCs w:val="24"/>
        </w:rPr>
      </w:pPr>
    </w:p>
    <w:p w:rsidR="001A0975" w:rsidRPr="0058034D" w:rsidRDefault="001A0975" w:rsidP="001D73C6">
      <w:pPr>
        <w:pStyle w:val="Body"/>
        <w:widowControl w:val="0"/>
        <w:adjustRightInd w:val="0"/>
        <w:snapToGrid w:val="0"/>
        <w:spacing w:after="0" w:line="360" w:lineRule="auto"/>
        <w:jc w:val="both"/>
        <w:rPr>
          <w:rFonts w:ascii="Book Antiqua" w:hAnsi="Book Antiqua" w:cs="Times New Roman"/>
          <w:color w:val="auto"/>
          <w:sz w:val="24"/>
          <w:szCs w:val="24"/>
        </w:rPr>
      </w:pPr>
    </w:p>
    <w:p w:rsidR="001A0975" w:rsidRPr="0058034D" w:rsidRDefault="005B3EAE"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color w:val="auto"/>
          <w:sz w:val="24"/>
          <w:szCs w:val="24"/>
        </w:rPr>
        <w:br w:type="page"/>
      </w:r>
    </w:p>
    <w:tbl>
      <w:tblPr>
        <w:tblpPr w:leftFromText="180" w:rightFromText="180" w:vertAnchor="text" w:horzAnchor="margin" w:tblpXSpec="center" w:tblpY="1"/>
        <w:tblW w:w="105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5"/>
        <w:gridCol w:w="1990"/>
        <w:gridCol w:w="990"/>
        <w:gridCol w:w="276"/>
        <w:gridCol w:w="1980"/>
        <w:gridCol w:w="1156"/>
      </w:tblGrid>
      <w:tr w:rsidR="0058034D" w:rsidRPr="0058034D" w:rsidTr="00FB3B7B">
        <w:trPr>
          <w:trHeight w:val="280"/>
        </w:trPr>
        <w:tc>
          <w:tcPr>
            <w:tcW w:w="10547" w:type="dxa"/>
            <w:gridSpan w:val="6"/>
            <w:tcBorders>
              <w:top w:val="nil"/>
              <w:left w:val="nil"/>
              <w:bottom w:val="single" w:sz="4" w:space="0" w:color="auto"/>
              <w:right w:val="nil"/>
            </w:tcBorders>
            <w:shd w:val="clear" w:color="auto" w:fill="FFFFFF"/>
            <w:tcMar>
              <w:top w:w="80" w:type="dxa"/>
              <w:left w:w="80" w:type="dxa"/>
              <w:bottom w:w="80" w:type="dxa"/>
              <w:right w:w="80" w:type="dxa"/>
            </w:tcMar>
            <w:vAlign w:val="bottom"/>
          </w:tcPr>
          <w:p w:rsidR="00E53DDA" w:rsidRPr="0058034D" w:rsidRDefault="00FB3B7B" w:rsidP="00FB3B7B">
            <w:pPr>
              <w:pStyle w:val="Body"/>
              <w:adjustRightInd w:val="0"/>
              <w:snapToGrid w:val="0"/>
              <w:spacing w:after="0" w:line="360" w:lineRule="auto"/>
              <w:jc w:val="both"/>
              <w:rPr>
                <w:rFonts w:ascii="Book Antiqua" w:hAnsi="Book Antiqua" w:cs="Times New Roman"/>
                <w:b/>
                <w:color w:val="auto"/>
                <w:sz w:val="24"/>
                <w:szCs w:val="24"/>
              </w:rPr>
            </w:pPr>
            <w:r w:rsidRPr="0058034D">
              <w:rPr>
                <w:rFonts w:ascii="Book Antiqua" w:hAnsi="Book Antiqua" w:cs="Times New Roman"/>
                <w:b/>
                <w:bCs/>
                <w:color w:val="auto"/>
                <w:sz w:val="24"/>
                <w:szCs w:val="24"/>
                <w:lang w:val="en-US"/>
              </w:rPr>
              <w:lastRenderedPageBreak/>
              <w:t>Table 6</w:t>
            </w:r>
            <w:r w:rsidR="00E53DDA" w:rsidRPr="0058034D">
              <w:rPr>
                <w:rFonts w:ascii="Book Antiqua" w:hAnsi="Book Antiqua" w:cs="Times New Roman"/>
                <w:b/>
                <w:color w:val="auto"/>
                <w:sz w:val="24"/>
                <w:szCs w:val="24"/>
                <w:lang w:val="en-US"/>
              </w:rPr>
              <w:t xml:space="preserve"> Predictors of 30-</w:t>
            </w:r>
            <w:r w:rsidRPr="0058034D">
              <w:rPr>
                <w:rFonts w:ascii="Book Antiqua" w:eastAsiaTheme="minorEastAsia" w:hAnsi="Book Antiqua" w:cs="Times New Roman" w:hint="eastAsia"/>
                <w:b/>
                <w:color w:val="auto"/>
                <w:sz w:val="24"/>
                <w:szCs w:val="24"/>
                <w:lang w:val="en-US" w:eastAsia="zh-CN"/>
              </w:rPr>
              <w:t>d</w:t>
            </w:r>
            <w:r w:rsidR="00E53DDA" w:rsidRPr="0058034D">
              <w:rPr>
                <w:rFonts w:ascii="Book Antiqua" w:hAnsi="Book Antiqua" w:cs="Times New Roman"/>
                <w:b/>
                <w:color w:val="auto"/>
                <w:sz w:val="24"/>
                <w:szCs w:val="24"/>
                <w:lang w:val="en-US"/>
              </w:rPr>
              <w:t xml:space="preserve"> readmission</w:t>
            </w:r>
          </w:p>
        </w:tc>
      </w:tr>
      <w:tr w:rsidR="0058034D" w:rsidRPr="0058034D" w:rsidTr="00FB3B7B">
        <w:trPr>
          <w:trHeight w:val="279"/>
        </w:trPr>
        <w:tc>
          <w:tcPr>
            <w:tcW w:w="4155" w:type="dxa"/>
            <w:vMerge w:val="restart"/>
            <w:tcBorders>
              <w:top w:val="single" w:sz="4" w:space="0" w:color="auto"/>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rPr>
                <w:rFonts w:ascii="Book Antiqua" w:hAnsi="Book Antiqua" w:cs="Times New Roman"/>
                <w:b/>
                <w:color w:val="auto"/>
                <w:sz w:val="24"/>
                <w:szCs w:val="24"/>
              </w:rPr>
            </w:pPr>
            <w:r w:rsidRPr="0058034D">
              <w:rPr>
                <w:rFonts w:ascii="Book Antiqua" w:hAnsi="Book Antiqua" w:cs="Times New Roman"/>
                <w:b/>
                <w:color w:val="auto"/>
                <w:sz w:val="24"/>
                <w:szCs w:val="24"/>
                <w:lang w:val="en-US"/>
              </w:rPr>
              <w:t>Variable</w:t>
            </w:r>
          </w:p>
        </w:tc>
        <w:tc>
          <w:tcPr>
            <w:tcW w:w="2980" w:type="dxa"/>
            <w:gridSpan w:val="2"/>
            <w:tcBorders>
              <w:top w:val="single" w:sz="4" w:space="0" w:color="auto"/>
              <w:left w:val="nil"/>
              <w:bottom w:val="nil"/>
              <w:right w:val="nil"/>
            </w:tcBorders>
            <w:shd w:val="pct15"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color w:val="auto"/>
                <w:sz w:val="24"/>
                <w:szCs w:val="24"/>
                <w:lang w:val="en-US"/>
              </w:rPr>
              <w:t xml:space="preserve">Univariate </w:t>
            </w:r>
            <w:r w:rsidR="00FB3B7B" w:rsidRPr="0058034D">
              <w:rPr>
                <w:rFonts w:ascii="Book Antiqua" w:hAnsi="Book Antiqua" w:cs="Times New Roman"/>
                <w:b/>
                <w:color w:val="auto"/>
                <w:sz w:val="24"/>
                <w:szCs w:val="24"/>
                <w:lang w:val="en-US"/>
              </w:rPr>
              <w:t>analysis</w:t>
            </w:r>
          </w:p>
        </w:tc>
        <w:tc>
          <w:tcPr>
            <w:tcW w:w="276" w:type="dxa"/>
            <w:tcBorders>
              <w:top w:val="single" w:sz="4" w:space="0" w:color="auto"/>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b/>
                <w:color w:val="auto"/>
                <w:sz w:val="24"/>
                <w:szCs w:val="24"/>
              </w:rPr>
            </w:pPr>
          </w:p>
        </w:tc>
        <w:tc>
          <w:tcPr>
            <w:tcW w:w="3136" w:type="dxa"/>
            <w:gridSpan w:val="2"/>
            <w:tcBorders>
              <w:top w:val="single" w:sz="4" w:space="0" w:color="auto"/>
              <w:left w:val="nil"/>
              <w:bottom w:val="nil"/>
              <w:right w:val="nil"/>
            </w:tcBorders>
            <w:shd w:val="pct15"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color w:val="auto"/>
                <w:sz w:val="24"/>
                <w:szCs w:val="24"/>
                <w:lang w:val="en-US"/>
              </w:rPr>
              <w:t xml:space="preserve">Multivariate </w:t>
            </w:r>
            <w:r w:rsidR="00FB3B7B" w:rsidRPr="0058034D">
              <w:rPr>
                <w:rFonts w:ascii="Book Antiqua" w:hAnsi="Book Antiqua" w:cs="Times New Roman"/>
                <w:b/>
                <w:color w:val="auto"/>
                <w:sz w:val="24"/>
                <w:szCs w:val="24"/>
                <w:lang w:val="en-US"/>
              </w:rPr>
              <w:t>analysis</w:t>
            </w:r>
          </w:p>
        </w:tc>
      </w:tr>
      <w:tr w:rsidR="0058034D" w:rsidRPr="0058034D" w:rsidTr="00FB3B7B">
        <w:trPr>
          <w:trHeight w:val="459"/>
        </w:trPr>
        <w:tc>
          <w:tcPr>
            <w:tcW w:w="4155" w:type="dxa"/>
            <w:vMerge/>
            <w:tcBorders>
              <w:top w:val="nil"/>
              <w:left w:val="nil"/>
              <w:bottom w:val="single" w:sz="4" w:space="0" w:color="auto"/>
              <w:right w:val="nil"/>
            </w:tcBorders>
            <w:shd w:val="clear" w:color="auto" w:fill="FFFFFF"/>
          </w:tcPr>
          <w:p w:rsidR="00E53DDA" w:rsidRPr="0058034D" w:rsidRDefault="00E53DDA" w:rsidP="00FB3B7B">
            <w:pPr>
              <w:adjustRightInd w:val="0"/>
              <w:snapToGrid w:val="0"/>
              <w:spacing w:line="360" w:lineRule="auto"/>
              <w:rPr>
                <w:rFonts w:ascii="Book Antiqua" w:hAnsi="Book Antiqua"/>
                <w:b/>
              </w:rPr>
            </w:pPr>
          </w:p>
        </w:tc>
        <w:tc>
          <w:tcPr>
            <w:tcW w:w="1990" w:type="dxa"/>
            <w:tcBorders>
              <w:top w:val="nil"/>
              <w:left w:val="nil"/>
              <w:bottom w:val="single" w:sz="4" w:space="0" w:color="auto"/>
              <w:right w:val="nil"/>
            </w:tcBorders>
            <w:shd w:val="pct15"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b/>
                <w:color w:val="auto"/>
                <w:sz w:val="24"/>
                <w:szCs w:val="24"/>
                <w:lang w:val="en-US"/>
              </w:rPr>
            </w:pPr>
            <w:r w:rsidRPr="0058034D">
              <w:rPr>
                <w:rFonts w:ascii="Book Antiqua" w:hAnsi="Book Antiqua" w:cs="Times New Roman"/>
                <w:b/>
                <w:color w:val="auto"/>
                <w:sz w:val="24"/>
                <w:szCs w:val="24"/>
                <w:lang w:val="en-US"/>
              </w:rPr>
              <w:t>Odds ratio</w:t>
            </w:r>
          </w:p>
          <w:p w:rsidR="00E53DDA" w:rsidRPr="0058034D" w:rsidRDefault="00FB3B7B" w:rsidP="00FB3B7B">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color w:val="auto"/>
                <w:sz w:val="24"/>
                <w:szCs w:val="24"/>
                <w:lang w:val="en-US"/>
              </w:rPr>
              <w:t>(95%</w:t>
            </w:r>
            <w:r w:rsidR="00E53DDA" w:rsidRPr="0058034D">
              <w:rPr>
                <w:rFonts w:ascii="Book Antiqua" w:hAnsi="Book Antiqua" w:cs="Times New Roman"/>
                <w:b/>
                <w:color w:val="auto"/>
                <w:sz w:val="24"/>
                <w:szCs w:val="24"/>
                <w:lang w:val="en-US"/>
              </w:rPr>
              <w:t>CI)</w:t>
            </w:r>
          </w:p>
        </w:tc>
        <w:tc>
          <w:tcPr>
            <w:tcW w:w="990" w:type="dxa"/>
            <w:tcBorders>
              <w:top w:val="nil"/>
              <w:left w:val="nil"/>
              <w:bottom w:val="single" w:sz="4" w:space="0" w:color="auto"/>
              <w:right w:val="nil"/>
            </w:tcBorders>
            <w:shd w:val="pct15" w:color="auto" w:fill="FFFFFF"/>
            <w:tcMar>
              <w:top w:w="80" w:type="dxa"/>
              <w:left w:w="80" w:type="dxa"/>
              <w:bottom w:w="80" w:type="dxa"/>
              <w:right w:w="80" w:type="dxa"/>
            </w:tcMar>
            <w:vAlign w:val="bottom"/>
          </w:tcPr>
          <w:p w:rsidR="00E53DDA" w:rsidRPr="0058034D" w:rsidRDefault="00514A97" w:rsidP="00FB3B7B">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i/>
                <w:color w:val="auto"/>
                <w:sz w:val="24"/>
                <w:szCs w:val="24"/>
                <w:lang w:val="en-US"/>
              </w:rPr>
              <w:t>P</w:t>
            </w:r>
            <w:r w:rsidR="00FB3B7B" w:rsidRPr="0058034D">
              <w:rPr>
                <w:rFonts w:ascii="Book Antiqua" w:eastAsiaTheme="minorEastAsia" w:hAnsi="Book Antiqua" w:cs="Times New Roman" w:hint="eastAsia"/>
                <w:b/>
                <w:color w:val="auto"/>
                <w:sz w:val="24"/>
                <w:szCs w:val="24"/>
                <w:lang w:val="en-US" w:eastAsia="zh-CN"/>
              </w:rPr>
              <w:t xml:space="preserve"> </w:t>
            </w:r>
            <w:r w:rsidR="00E53DDA" w:rsidRPr="0058034D">
              <w:rPr>
                <w:rFonts w:ascii="Book Antiqua" w:hAnsi="Book Antiqua" w:cs="Times New Roman"/>
                <w:b/>
                <w:color w:val="auto"/>
                <w:sz w:val="24"/>
                <w:szCs w:val="24"/>
                <w:lang w:val="en-US"/>
              </w:rPr>
              <w:t>value</w:t>
            </w:r>
          </w:p>
        </w:tc>
        <w:tc>
          <w:tcPr>
            <w:tcW w:w="276" w:type="dxa"/>
            <w:tcBorders>
              <w:top w:val="nil"/>
              <w:left w:val="nil"/>
              <w:bottom w:val="single" w:sz="4" w:space="0" w:color="auto"/>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b/>
                <w:color w:val="auto"/>
                <w:sz w:val="24"/>
                <w:szCs w:val="24"/>
              </w:rPr>
            </w:pPr>
          </w:p>
        </w:tc>
        <w:tc>
          <w:tcPr>
            <w:tcW w:w="1980" w:type="dxa"/>
            <w:tcBorders>
              <w:top w:val="nil"/>
              <w:left w:val="nil"/>
              <w:bottom w:val="single" w:sz="4" w:space="0" w:color="auto"/>
              <w:right w:val="nil"/>
            </w:tcBorders>
            <w:shd w:val="pct15"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b/>
                <w:color w:val="auto"/>
                <w:sz w:val="24"/>
                <w:szCs w:val="24"/>
                <w:lang w:val="en-US"/>
              </w:rPr>
            </w:pPr>
            <w:r w:rsidRPr="0058034D">
              <w:rPr>
                <w:rFonts w:ascii="Book Antiqua" w:hAnsi="Book Antiqua" w:cs="Times New Roman"/>
                <w:b/>
                <w:color w:val="auto"/>
                <w:sz w:val="24"/>
                <w:szCs w:val="24"/>
                <w:lang w:val="en-US"/>
              </w:rPr>
              <w:t>Odds ratio</w:t>
            </w:r>
          </w:p>
          <w:p w:rsidR="00E53DDA" w:rsidRPr="0058034D" w:rsidRDefault="00FB3B7B" w:rsidP="00FB3B7B">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color w:val="auto"/>
                <w:sz w:val="24"/>
                <w:szCs w:val="24"/>
                <w:lang w:val="en-US"/>
              </w:rPr>
              <w:t>(95%</w:t>
            </w:r>
            <w:r w:rsidR="00E53DDA" w:rsidRPr="0058034D">
              <w:rPr>
                <w:rFonts w:ascii="Book Antiqua" w:hAnsi="Book Antiqua" w:cs="Times New Roman"/>
                <w:b/>
                <w:color w:val="auto"/>
                <w:sz w:val="24"/>
                <w:szCs w:val="24"/>
                <w:lang w:val="en-US"/>
              </w:rPr>
              <w:t>CI)</w:t>
            </w:r>
          </w:p>
        </w:tc>
        <w:tc>
          <w:tcPr>
            <w:tcW w:w="1156" w:type="dxa"/>
            <w:tcBorders>
              <w:top w:val="nil"/>
              <w:left w:val="nil"/>
              <w:bottom w:val="single" w:sz="4" w:space="0" w:color="auto"/>
              <w:right w:val="nil"/>
            </w:tcBorders>
            <w:shd w:val="pct15" w:color="auto" w:fill="FFFFFF"/>
            <w:tcMar>
              <w:top w:w="80" w:type="dxa"/>
              <w:left w:w="80" w:type="dxa"/>
              <w:bottom w:w="80" w:type="dxa"/>
              <w:right w:w="80" w:type="dxa"/>
            </w:tcMar>
            <w:vAlign w:val="bottom"/>
          </w:tcPr>
          <w:p w:rsidR="00E53DDA" w:rsidRPr="0058034D" w:rsidRDefault="00514A97" w:rsidP="00FB3B7B">
            <w:pPr>
              <w:pStyle w:val="Body"/>
              <w:adjustRightInd w:val="0"/>
              <w:snapToGrid w:val="0"/>
              <w:spacing w:after="0" w:line="360" w:lineRule="auto"/>
              <w:jc w:val="center"/>
              <w:rPr>
                <w:rFonts w:ascii="Book Antiqua" w:hAnsi="Book Antiqua" w:cs="Times New Roman"/>
                <w:b/>
                <w:color w:val="auto"/>
                <w:sz w:val="24"/>
                <w:szCs w:val="24"/>
              </w:rPr>
            </w:pPr>
            <w:r w:rsidRPr="0058034D">
              <w:rPr>
                <w:rFonts w:ascii="Book Antiqua" w:hAnsi="Book Antiqua" w:cs="Times New Roman"/>
                <w:b/>
                <w:i/>
                <w:color w:val="auto"/>
                <w:sz w:val="24"/>
                <w:szCs w:val="24"/>
                <w:lang w:val="en-US"/>
              </w:rPr>
              <w:t>P</w:t>
            </w:r>
            <w:r w:rsidR="00FB3B7B" w:rsidRPr="0058034D">
              <w:rPr>
                <w:rFonts w:ascii="Book Antiqua" w:eastAsiaTheme="minorEastAsia" w:hAnsi="Book Antiqua" w:cs="Times New Roman" w:hint="eastAsia"/>
                <w:b/>
                <w:color w:val="auto"/>
                <w:sz w:val="24"/>
                <w:szCs w:val="24"/>
                <w:lang w:val="en-US" w:eastAsia="zh-CN"/>
              </w:rPr>
              <w:t xml:space="preserve"> </w:t>
            </w:r>
            <w:r w:rsidR="00432A97" w:rsidRPr="0058034D">
              <w:rPr>
                <w:rFonts w:ascii="Book Antiqua" w:hAnsi="Book Antiqua" w:cs="Times New Roman"/>
                <w:b/>
                <w:color w:val="auto"/>
                <w:sz w:val="24"/>
                <w:szCs w:val="24"/>
                <w:lang w:val="en-US"/>
              </w:rPr>
              <w:t>v</w:t>
            </w:r>
            <w:r w:rsidR="00E53DDA" w:rsidRPr="0058034D">
              <w:rPr>
                <w:rFonts w:ascii="Book Antiqua" w:hAnsi="Book Antiqua" w:cs="Times New Roman"/>
                <w:b/>
                <w:color w:val="auto"/>
                <w:sz w:val="24"/>
                <w:szCs w:val="24"/>
                <w:lang w:val="en-US"/>
              </w:rPr>
              <w:t>alue</w:t>
            </w:r>
          </w:p>
        </w:tc>
      </w:tr>
      <w:tr w:rsidR="0058034D" w:rsidRPr="0058034D" w:rsidTr="00FB3B7B">
        <w:trPr>
          <w:trHeight w:val="15"/>
        </w:trPr>
        <w:tc>
          <w:tcPr>
            <w:tcW w:w="4155" w:type="dxa"/>
            <w:tcBorders>
              <w:top w:val="single" w:sz="4" w:space="0" w:color="auto"/>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Insurance (ref</w:t>
            </w:r>
            <w:r w:rsidR="00FB3B7B"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=Medicaid/No insurance)</w:t>
            </w:r>
          </w:p>
        </w:tc>
        <w:tc>
          <w:tcPr>
            <w:tcW w:w="1990" w:type="dxa"/>
            <w:tcBorders>
              <w:top w:val="single" w:sz="4" w:space="0" w:color="auto"/>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w:t>
            </w:r>
          </w:p>
        </w:tc>
        <w:tc>
          <w:tcPr>
            <w:tcW w:w="990" w:type="dxa"/>
            <w:tcBorders>
              <w:top w:val="single" w:sz="4" w:space="0" w:color="auto"/>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adjustRightInd w:val="0"/>
              <w:snapToGrid w:val="0"/>
              <w:spacing w:line="360" w:lineRule="auto"/>
              <w:jc w:val="center"/>
              <w:rPr>
                <w:rFonts w:ascii="Book Antiqua" w:hAnsi="Book Antiqua"/>
              </w:rPr>
            </w:pPr>
          </w:p>
        </w:tc>
        <w:tc>
          <w:tcPr>
            <w:tcW w:w="276" w:type="dxa"/>
            <w:tcBorders>
              <w:top w:val="single" w:sz="4" w:space="0" w:color="auto"/>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adjustRightInd w:val="0"/>
              <w:snapToGrid w:val="0"/>
              <w:spacing w:line="360" w:lineRule="auto"/>
              <w:jc w:val="center"/>
              <w:rPr>
                <w:rFonts w:ascii="Book Antiqua" w:hAnsi="Book Antiqua"/>
              </w:rPr>
            </w:pPr>
          </w:p>
        </w:tc>
        <w:tc>
          <w:tcPr>
            <w:tcW w:w="1980" w:type="dxa"/>
            <w:tcBorders>
              <w:top w:val="single" w:sz="4" w:space="0" w:color="auto"/>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w:t>
            </w:r>
          </w:p>
        </w:tc>
        <w:tc>
          <w:tcPr>
            <w:tcW w:w="1156" w:type="dxa"/>
            <w:tcBorders>
              <w:top w:val="single" w:sz="4" w:space="0" w:color="auto"/>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adjustRightInd w:val="0"/>
              <w:snapToGrid w:val="0"/>
              <w:spacing w:line="360" w:lineRule="auto"/>
              <w:jc w:val="center"/>
              <w:rPr>
                <w:rFonts w:ascii="Book Antiqua" w:hAnsi="Book Antiqua"/>
              </w:rPr>
            </w:pPr>
          </w:p>
        </w:tc>
      </w:tr>
      <w:tr w:rsidR="0058034D" w:rsidRPr="0058034D" w:rsidTr="00FB3B7B">
        <w:trPr>
          <w:trHeight w:val="100"/>
        </w:trPr>
        <w:tc>
          <w:tcPr>
            <w:tcW w:w="4155"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ind w:firstLine="480"/>
              <w:rPr>
                <w:rFonts w:ascii="Book Antiqua" w:hAnsi="Book Antiqua" w:cs="Times New Roman"/>
                <w:color w:val="auto"/>
                <w:sz w:val="24"/>
                <w:szCs w:val="24"/>
              </w:rPr>
            </w:pPr>
            <w:r w:rsidRPr="0058034D">
              <w:rPr>
                <w:rFonts w:ascii="Book Antiqua" w:hAnsi="Book Antiqua" w:cs="Times New Roman"/>
                <w:color w:val="auto"/>
                <w:sz w:val="24"/>
                <w:szCs w:val="24"/>
                <w:lang w:val="en-US"/>
              </w:rPr>
              <w:t>Medicare</w:t>
            </w:r>
            <w:r w:rsidRPr="0058034D">
              <w:rPr>
                <w:rFonts w:ascii="Book Antiqua" w:hAnsi="Book Antiqua" w:cs="Times New Roman"/>
                <w:color w:val="auto"/>
                <w:sz w:val="24"/>
                <w:szCs w:val="24"/>
                <w:vertAlign w:val="superscript"/>
                <w:lang w:val="en-US"/>
              </w:rPr>
              <w:t>1</w:t>
            </w:r>
          </w:p>
        </w:tc>
        <w:tc>
          <w:tcPr>
            <w:tcW w:w="199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1.8 (1.00 -3.94)</w:t>
            </w:r>
          </w:p>
        </w:tc>
        <w:tc>
          <w:tcPr>
            <w:tcW w:w="99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0.05</w:t>
            </w:r>
          </w:p>
        </w:tc>
        <w:tc>
          <w:tcPr>
            <w:tcW w:w="276"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adjustRightInd w:val="0"/>
              <w:snapToGrid w:val="0"/>
              <w:spacing w:line="360" w:lineRule="auto"/>
              <w:jc w:val="center"/>
              <w:rPr>
                <w:rFonts w:ascii="Book Antiqua" w:hAnsi="Book Antiqua"/>
              </w:rPr>
            </w:pPr>
          </w:p>
        </w:tc>
        <w:tc>
          <w:tcPr>
            <w:tcW w:w="198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3.42 (1.3-9.00)</w:t>
            </w:r>
          </w:p>
        </w:tc>
        <w:tc>
          <w:tcPr>
            <w:tcW w:w="1156"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0.01</w:t>
            </w:r>
          </w:p>
        </w:tc>
      </w:tr>
      <w:tr w:rsidR="0058034D" w:rsidRPr="0058034D" w:rsidTr="00FB3B7B">
        <w:trPr>
          <w:trHeight w:val="19"/>
        </w:trPr>
        <w:tc>
          <w:tcPr>
            <w:tcW w:w="4155"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Education (ref</w:t>
            </w:r>
            <w:r w:rsidR="00FB3B7B"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hAnsi="Book Antiqua" w:cs="Times New Roman"/>
                <w:color w:val="auto"/>
                <w:sz w:val="24"/>
                <w:szCs w:val="24"/>
                <w:lang w:val="en-US"/>
              </w:rPr>
              <w:t>= Some college and above)</w:t>
            </w:r>
          </w:p>
        </w:tc>
        <w:tc>
          <w:tcPr>
            <w:tcW w:w="199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1.00</w:t>
            </w:r>
          </w:p>
        </w:tc>
        <w:tc>
          <w:tcPr>
            <w:tcW w:w="99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adjustRightInd w:val="0"/>
              <w:snapToGrid w:val="0"/>
              <w:spacing w:line="360" w:lineRule="auto"/>
              <w:jc w:val="center"/>
              <w:rPr>
                <w:rFonts w:ascii="Book Antiqua" w:hAnsi="Book Antiqua"/>
              </w:rPr>
            </w:pPr>
          </w:p>
        </w:tc>
        <w:tc>
          <w:tcPr>
            <w:tcW w:w="276"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adjustRightInd w:val="0"/>
              <w:snapToGrid w:val="0"/>
              <w:spacing w:line="360" w:lineRule="auto"/>
              <w:jc w:val="center"/>
              <w:rPr>
                <w:rFonts w:ascii="Book Antiqua" w:hAnsi="Book Antiqua"/>
              </w:rPr>
            </w:pPr>
          </w:p>
        </w:tc>
        <w:tc>
          <w:tcPr>
            <w:tcW w:w="198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1</w:t>
            </w:r>
          </w:p>
        </w:tc>
        <w:tc>
          <w:tcPr>
            <w:tcW w:w="1156"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adjustRightInd w:val="0"/>
              <w:snapToGrid w:val="0"/>
              <w:spacing w:line="360" w:lineRule="auto"/>
              <w:jc w:val="center"/>
              <w:rPr>
                <w:rFonts w:ascii="Book Antiqua" w:hAnsi="Book Antiqua"/>
              </w:rPr>
            </w:pPr>
          </w:p>
        </w:tc>
      </w:tr>
      <w:tr w:rsidR="0058034D" w:rsidRPr="0058034D" w:rsidTr="00FB3B7B">
        <w:trPr>
          <w:trHeight w:val="118"/>
        </w:trPr>
        <w:tc>
          <w:tcPr>
            <w:tcW w:w="4155"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9322B0" w:rsidP="00FB3B7B">
            <w:pPr>
              <w:pStyle w:val="Body"/>
              <w:adjustRightInd w:val="0"/>
              <w:snapToGrid w:val="0"/>
              <w:spacing w:after="0" w:line="360" w:lineRule="auto"/>
              <w:ind w:firstLine="240"/>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  </w:t>
            </w:r>
            <w:r w:rsidR="00E53DDA" w:rsidRPr="0058034D">
              <w:rPr>
                <w:rFonts w:ascii="Book Antiqua" w:hAnsi="Book Antiqua" w:cs="Times New Roman"/>
                <w:color w:val="auto"/>
                <w:sz w:val="24"/>
                <w:szCs w:val="24"/>
                <w:lang w:val="en-US"/>
              </w:rPr>
              <w:t xml:space="preserve"> Finished high school and less</w:t>
            </w:r>
            <w:r w:rsidR="00E53DDA" w:rsidRPr="0058034D">
              <w:rPr>
                <w:rFonts w:ascii="Book Antiqua" w:hAnsi="Book Antiqua" w:cs="Times New Roman"/>
                <w:color w:val="auto"/>
                <w:sz w:val="24"/>
                <w:szCs w:val="24"/>
                <w:vertAlign w:val="superscript"/>
                <w:lang w:val="en-US"/>
              </w:rPr>
              <w:t>2</w:t>
            </w:r>
          </w:p>
        </w:tc>
        <w:tc>
          <w:tcPr>
            <w:tcW w:w="199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3.56 (1.40-9.00)</w:t>
            </w:r>
          </w:p>
        </w:tc>
        <w:tc>
          <w:tcPr>
            <w:tcW w:w="99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0.002</w:t>
            </w:r>
          </w:p>
        </w:tc>
        <w:tc>
          <w:tcPr>
            <w:tcW w:w="276"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adjustRightInd w:val="0"/>
              <w:snapToGrid w:val="0"/>
              <w:spacing w:line="360" w:lineRule="auto"/>
              <w:jc w:val="center"/>
              <w:rPr>
                <w:rFonts w:ascii="Book Antiqua" w:hAnsi="Book Antiqua"/>
              </w:rPr>
            </w:pPr>
          </w:p>
        </w:tc>
        <w:tc>
          <w:tcPr>
            <w:tcW w:w="198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2.62 (1.01-7.12)</w:t>
            </w:r>
          </w:p>
        </w:tc>
        <w:tc>
          <w:tcPr>
            <w:tcW w:w="1156"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0.05</w:t>
            </w:r>
          </w:p>
        </w:tc>
      </w:tr>
      <w:tr w:rsidR="0058034D" w:rsidRPr="0058034D" w:rsidTr="00FB3B7B">
        <w:trPr>
          <w:trHeight w:val="15"/>
        </w:trPr>
        <w:tc>
          <w:tcPr>
            <w:tcW w:w="4155"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ALT &gt; ULN at discharge</w:t>
            </w:r>
          </w:p>
        </w:tc>
        <w:tc>
          <w:tcPr>
            <w:tcW w:w="199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2.52 (1.29-4.89)</w:t>
            </w:r>
          </w:p>
        </w:tc>
        <w:tc>
          <w:tcPr>
            <w:tcW w:w="99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0.006</w:t>
            </w:r>
          </w:p>
        </w:tc>
        <w:tc>
          <w:tcPr>
            <w:tcW w:w="276"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adjustRightInd w:val="0"/>
              <w:snapToGrid w:val="0"/>
              <w:spacing w:line="360" w:lineRule="auto"/>
              <w:jc w:val="center"/>
              <w:rPr>
                <w:rFonts w:ascii="Book Antiqua" w:hAnsi="Book Antiqua"/>
              </w:rPr>
            </w:pPr>
          </w:p>
        </w:tc>
        <w:tc>
          <w:tcPr>
            <w:tcW w:w="1980"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2.29 (1.09-5.11)</w:t>
            </w:r>
          </w:p>
        </w:tc>
        <w:tc>
          <w:tcPr>
            <w:tcW w:w="1156" w:type="dxa"/>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0.03</w:t>
            </w:r>
          </w:p>
        </w:tc>
      </w:tr>
      <w:tr w:rsidR="0058034D" w:rsidRPr="0058034D" w:rsidTr="00FB3B7B">
        <w:trPr>
          <w:trHeight w:val="15"/>
        </w:trPr>
        <w:tc>
          <w:tcPr>
            <w:tcW w:w="4155" w:type="dxa"/>
            <w:tcBorders>
              <w:top w:val="nil"/>
              <w:left w:val="nil"/>
              <w:bottom w:val="single" w:sz="4" w:space="0" w:color="auto"/>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rPr>
                <w:rFonts w:ascii="Book Antiqua" w:hAnsi="Book Antiqua" w:cs="Times New Roman"/>
                <w:color w:val="auto"/>
                <w:sz w:val="24"/>
                <w:szCs w:val="24"/>
              </w:rPr>
            </w:pPr>
            <w:r w:rsidRPr="0058034D">
              <w:rPr>
                <w:rFonts w:ascii="Book Antiqua" w:hAnsi="Book Antiqua" w:cs="Times New Roman"/>
                <w:color w:val="auto"/>
                <w:sz w:val="24"/>
                <w:szCs w:val="24"/>
                <w:lang w:val="en-US"/>
              </w:rPr>
              <w:t xml:space="preserve">Hepatic encephalopathy </w:t>
            </w:r>
          </w:p>
        </w:tc>
        <w:tc>
          <w:tcPr>
            <w:tcW w:w="1990" w:type="dxa"/>
            <w:tcBorders>
              <w:top w:val="nil"/>
              <w:left w:val="nil"/>
              <w:bottom w:val="single" w:sz="4" w:space="0" w:color="auto"/>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2.17 (1.10-4.29)</w:t>
            </w:r>
          </w:p>
        </w:tc>
        <w:tc>
          <w:tcPr>
            <w:tcW w:w="990" w:type="dxa"/>
            <w:tcBorders>
              <w:top w:val="nil"/>
              <w:left w:val="nil"/>
              <w:bottom w:val="single" w:sz="4" w:space="0" w:color="auto"/>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0.01</w:t>
            </w:r>
          </w:p>
        </w:tc>
        <w:tc>
          <w:tcPr>
            <w:tcW w:w="276" w:type="dxa"/>
            <w:tcBorders>
              <w:top w:val="nil"/>
              <w:left w:val="nil"/>
              <w:bottom w:val="single" w:sz="4" w:space="0" w:color="auto"/>
              <w:right w:val="nil"/>
            </w:tcBorders>
            <w:shd w:val="clear" w:color="auto" w:fill="FFFFFF"/>
            <w:tcMar>
              <w:top w:w="80" w:type="dxa"/>
              <w:left w:w="80" w:type="dxa"/>
              <w:bottom w:w="80" w:type="dxa"/>
              <w:right w:w="80" w:type="dxa"/>
            </w:tcMar>
            <w:vAlign w:val="bottom"/>
          </w:tcPr>
          <w:p w:rsidR="00E53DDA" w:rsidRPr="0058034D" w:rsidRDefault="00E53DDA" w:rsidP="00FB3B7B">
            <w:pPr>
              <w:adjustRightInd w:val="0"/>
              <w:snapToGrid w:val="0"/>
              <w:spacing w:line="360" w:lineRule="auto"/>
              <w:jc w:val="center"/>
              <w:rPr>
                <w:rFonts w:ascii="Book Antiqua" w:hAnsi="Book Antiqua"/>
              </w:rPr>
            </w:pPr>
          </w:p>
        </w:tc>
        <w:tc>
          <w:tcPr>
            <w:tcW w:w="1980" w:type="dxa"/>
            <w:tcBorders>
              <w:top w:val="nil"/>
              <w:left w:val="nil"/>
              <w:bottom w:val="single" w:sz="4" w:space="0" w:color="auto"/>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2.34 (1.09-4.80)</w:t>
            </w:r>
          </w:p>
        </w:tc>
        <w:tc>
          <w:tcPr>
            <w:tcW w:w="1156" w:type="dxa"/>
            <w:tcBorders>
              <w:top w:val="nil"/>
              <w:left w:val="nil"/>
              <w:bottom w:val="single" w:sz="4" w:space="0" w:color="auto"/>
              <w:right w:val="nil"/>
            </w:tcBorders>
            <w:shd w:val="clear" w:color="auto" w:fill="FFFFFF"/>
            <w:tcMar>
              <w:top w:w="80" w:type="dxa"/>
              <w:left w:w="80" w:type="dxa"/>
              <w:bottom w:w="80" w:type="dxa"/>
              <w:right w:w="80" w:type="dxa"/>
            </w:tcMar>
            <w:vAlign w:val="bottom"/>
          </w:tcPr>
          <w:p w:rsidR="00E53DDA" w:rsidRPr="0058034D" w:rsidRDefault="00E53DDA" w:rsidP="00FB3B7B">
            <w:pPr>
              <w:pStyle w:val="Body"/>
              <w:adjustRightInd w:val="0"/>
              <w:snapToGrid w:val="0"/>
              <w:spacing w:after="0" w:line="360" w:lineRule="auto"/>
              <w:jc w:val="center"/>
              <w:rPr>
                <w:rFonts w:ascii="Book Antiqua" w:hAnsi="Book Antiqua" w:cs="Times New Roman"/>
                <w:color w:val="auto"/>
                <w:sz w:val="24"/>
                <w:szCs w:val="24"/>
              </w:rPr>
            </w:pPr>
            <w:r w:rsidRPr="0058034D">
              <w:rPr>
                <w:rFonts w:ascii="Book Antiqua" w:hAnsi="Book Antiqua" w:cs="Times New Roman"/>
                <w:color w:val="auto"/>
                <w:sz w:val="24"/>
                <w:szCs w:val="24"/>
                <w:lang w:val="en-US"/>
              </w:rPr>
              <w:t>0.03</w:t>
            </w:r>
          </w:p>
        </w:tc>
      </w:tr>
      <w:tr w:rsidR="0058034D" w:rsidRPr="0058034D" w:rsidTr="00FB3B7B">
        <w:trPr>
          <w:trHeight w:val="73"/>
        </w:trPr>
        <w:tc>
          <w:tcPr>
            <w:tcW w:w="10547" w:type="dxa"/>
            <w:gridSpan w:val="6"/>
            <w:tcBorders>
              <w:top w:val="single" w:sz="4" w:space="0" w:color="auto"/>
              <w:left w:val="nil"/>
              <w:bottom w:val="nil"/>
              <w:right w:val="nil"/>
            </w:tcBorders>
            <w:shd w:val="clear" w:color="auto" w:fill="FFFFFF"/>
            <w:tcMar>
              <w:top w:w="80" w:type="dxa"/>
              <w:left w:w="80" w:type="dxa"/>
              <w:bottom w:w="80" w:type="dxa"/>
              <w:right w:w="80" w:type="dxa"/>
            </w:tcMar>
            <w:vAlign w:val="bottom"/>
          </w:tcPr>
          <w:p w:rsidR="00E53DDA" w:rsidRPr="0058034D" w:rsidRDefault="00FB3B7B" w:rsidP="001D73C6">
            <w:pPr>
              <w:pStyle w:val="Body"/>
              <w:adjustRightInd w:val="0"/>
              <w:snapToGrid w:val="0"/>
              <w:spacing w:after="0" w:line="360" w:lineRule="auto"/>
              <w:jc w:val="both"/>
              <w:rPr>
                <w:rFonts w:ascii="Book Antiqua" w:eastAsiaTheme="minorEastAsia" w:hAnsi="Book Antiqua" w:cs="Times New Roman"/>
                <w:color w:val="auto"/>
                <w:sz w:val="24"/>
                <w:szCs w:val="24"/>
                <w:lang w:eastAsia="zh-CN"/>
              </w:rPr>
            </w:pPr>
            <w:r w:rsidRPr="0058034D">
              <w:rPr>
                <w:rFonts w:ascii="Book Antiqua" w:hAnsi="Book Antiqua" w:cs="Times New Roman"/>
                <w:color w:val="auto"/>
                <w:sz w:val="24"/>
                <w:szCs w:val="24"/>
                <w:vertAlign w:val="superscript"/>
                <w:lang w:val="en-US"/>
              </w:rPr>
              <w:t>1</w:t>
            </w:r>
            <w:r w:rsidR="00E53DDA" w:rsidRPr="0058034D">
              <w:rPr>
                <w:rFonts w:ascii="Book Antiqua" w:hAnsi="Book Antiqua" w:cs="Times New Roman"/>
                <w:color w:val="auto"/>
                <w:sz w:val="24"/>
                <w:szCs w:val="24"/>
                <w:lang w:val="en-US"/>
              </w:rPr>
              <w:t>Insurance variable was adjusted for patients with private insurance</w:t>
            </w:r>
            <w:r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eastAsiaTheme="minorEastAsia" w:hAnsi="Book Antiqua" w:cs="Times New Roman"/>
                <w:color w:val="auto"/>
                <w:sz w:val="24"/>
                <w:szCs w:val="24"/>
                <w:vertAlign w:val="superscript"/>
                <w:lang w:val="en-US" w:eastAsia="zh-CN"/>
              </w:rPr>
              <w:t>2</w:t>
            </w:r>
            <w:r w:rsidRPr="0058034D">
              <w:rPr>
                <w:rFonts w:ascii="Book Antiqua" w:eastAsiaTheme="minorEastAsia" w:hAnsi="Book Antiqua" w:cs="Times New Roman"/>
                <w:color w:val="auto"/>
                <w:sz w:val="24"/>
                <w:szCs w:val="24"/>
                <w:lang w:val="en-US" w:eastAsia="zh-CN"/>
              </w:rPr>
              <w:t>Education variable was adjusted for unknown status</w:t>
            </w:r>
            <w:r w:rsidRPr="0058034D">
              <w:rPr>
                <w:rFonts w:ascii="Book Antiqua" w:eastAsiaTheme="minorEastAsia" w:hAnsi="Book Antiqua" w:cs="Times New Roman" w:hint="eastAsia"/>
                <w:color w:val="auto"/>
                <w:sz w:val="24"/>
                <w:szCs w:val="24"/>
                <w:lang w:val="en-US" w:eastAsia="zh-CN"/>
              </w:rPr>
              <w:t>. ULN:</w:t>
            </w:r>
            <w:r w:rsidR="009322B0" w:rsidRPr="0058034D">
              <w:rPr>
                <w:rFonts w:ascii="Book Antiqua" w:eastAsiaTheme="minorEastAsia" w:hAnsi="Book Antiqua" w:cs="Times New Roman" w:hint="eastAsia"/>
                <w:color w:val="auto"/>
                <w:sz w:val="24"/>
                <w:szCs w:val="24"/>
                <w:lang w:val="en-US" w:eastAsia="zh-CN"/>
              </w:rPr>
              <w:t xml:space="preserve"> </w:t>
            </w:r>
            <w:r w:rsidRPr="0058034D">
              <w:rPr>
                <w:rFonts w:ascii="Book Antiqua" w:eastAsiaTheme="minorEastAsia" w:hAnsi="Book Antiqua" w:cs="Times New Roman"/>
                <w:color w:val="auto"/>
                <w:sz w:val="24"/>
                <w:szCs w:val="24"/>
                <w:lang w:val="en-US" w:eastAsia="zh-CN"/>
              </w:rPr>
              <w:t>Upper limit of normal</w:t>
            </w:r>
            <w:r w:rsidRPr="0058034D">
              <w:rPr>
                <w:rFonts w:ascii="Book Antiqua" w:eastAsiaTheme="minorEastAsia" w:hAnsi="Book Antiqua" w:cs="Times New Roman" w:hint="eastAsia"/>
                <w:color w:val="auto"/>
                <w:sz w:val="24"/>
                <w:szCs w:val="24"/>
                <w:lang w:val="en-US" w:eastAsia="zh-CN"/>
              </w:rPr>
              <w:t>.</w:t>
            </w:r>
          </w:p>
        </w:tc>
      </w:tr>
      <w:tr w:rsidR="00E53DDA" w:rsidRPr="0058034D" w:rsidTr="00432A97">
        <w:trPr>
          <w:trHeight w:val="190"/>
        </w:trPr>
        <w:tc>
          <w:tcPr>
            <w:tcW w:w="10547" w:type="dxa"/>
            <w:gridSpan w:val="6"/>
            <w:tcBorders>
              <w:top w:val="nil"/>
              <w:left w:val="nil"/>
              <w:bottom w:val="nil"/>
              <w:right w:val="nil"/>
            </w:tcBorders>
            <w:shd w:val="clear" w:color="auto" w:fill="FFFFFF"/>
            <w:tcMar>
              <w:top w:w="80" w:type="dxa"/>
              <w:left w:w="80" w:type="dxa"/>
              <w:bottom w:w="80" w:type="dxa"/>
              <w:right w:w="80" w:type="dxa"/>
            </w:tcMar>
            <w:vAlign w:val="bottom"/>
          </w:tcPr>
          <w:p w:rsidR="00E53DDA" w:rsidRPr="0058034D" w:rsidRDefault="00E53DDA" w:rsidP="001D73C6">
            <w:pPr>
              <w:pStyle w:val="Body"/>
              <w:adjustRightInd w:val="0"/>
              <w:snapToGrid w:val="0"/>
              <w:spacing w:after="0" w:line="360" w:lineRule="auto"/>
              <w:jc w:val="both"/>
              <w:rPr>
                <w:rFonts w:ascii="Book Antiqua" w:hAnsi="Book Antiqua" w:cs="Times New Roman"/>
                <w:color w:val="auto"/>
                <w:sz w:val="24"/>
                <w:szCs w:val="24"/>
              </w:rPr>
            </w:pPr>
          </w:p>
        </w:tc>
      </w:tr>
    </w:tbl>
    <w:p w:rsidR="001A0975" w:rsidRPr="0058034D" w:rsidRDefault="001A0975" w:rsidP="001D73C6">
      <w:pPr>
        <w:pStyle w:val="Body"/>
        <w:widowControl w:val="0"/>
        <w:adjustRightInd w:val="0"/>
        <w:snapToGrid w:val="0"/>
        <w:spacing w:after="0" w:line="360" w:lineRule="auto"/>
        <w:jc w:val="both"/>
        <w:rPr>
          <w:rFonts w:ascii="Book Antiqua" w:hAnsi="Book Antiqua" w:cs="Times New Roman"/>
          <w:color w:val="auto"/>
          <w:sz w:val="24"/>
          <w:szCs w:val="24"/>
        </w:rPr>
      </w:pPr>
    </w:p>
    <w:p w:rsidR="001A0975" w:rsidRPr="0058034D" w:rsidRDefault="001A0975" w:rsidP="001D73C6">
      <w:pPr>
        <w:pStyle w:val="Body"/>
        <w:widowControl w:val="0"/>
        <w:adjustRightInd w:val="0"/>
        <w:snapToGrid w:val="0"/>
        <w:spacing w:after="0" w:line="360" w:lineRule="auto"/>
        <w:jc w:val="both"/>
        <w:rPr>
          <w:rFonts w:ascii="Book Antiqua" w:hAnsi="Book Antiqua" w:cs="Times New Roman"/>
          <w:color w:val="auto"/>
          <w:sz w:val="24"/>
          <w:szCs w:val="24"/>
        </w:rPr>
      </w:pPr>
    </w:p>
    <w:p w:rsidR="001A0975" w:rsidRPr="0058034D" w:rsidRDefault="001A0975" w:rsidP="001D73C6">
      <w:pPr>
        <w:pStyle w:val="Body"/>
        <w:adjustRightInd w:val="0"/>
        <w:snapToGrid w:val="0"/>
        <w:spacing w:after="0" w:line="360" w:lineRule="auto"/>
        <w:jc w:val="both"/>
        <w:rPr>
          <w:rFonts w:ascii="Book Antiqua" w:hAnsi="Book Antiqua" w:cs="Times New Roman"/>
          <w:color w:val="auto"/>
          <w:sz w:val="24"/>
          <w:szCs w:val="24"/>
        </w:rPr>
      </w:pPr>
    </w:p>
    <w:p w:rsidR="001A0975" w:rsidRPr="0058034D" w:rsidRDefault="001A0975" w:rsidP="001D73C6">
      <w:pPr>
        <w:pStyle w:val="Body"/>
        <w:adjustRightInd w:val="0"/>
        <w:snapToGrid w:val="0"/>
        <w:spacing w:after="0" w:line="360" w:lineRule="auto"/>
        <w:jc w:val="both"/>
        <w:rPr>
          <w:rFonts w:ascii="Book Antiqua" w:hAnsi="Book Antiqua" w:cs="Times New Roman"/>
          <w:color w:val="auto"/>
          <w:sz w:val="24"/>
          <w:szCs w:val="24"/>
        </w:rPr>
      </w:pPr>
    </w:p>
    <w:p w:rsidR="001A0975" w:rsidRPr="0058034D" w:rsidRDefault="001A0975" w:rsidP="001D73C6">
      <w:pPr>
        <w:pStyle w:val="Body"/>
        <w:adjustRightInd w:val="0"/>
        <w:snapToGrid w:val="0"/>
        <w:spacing w:after="0" w:line="360" w:lineRule="auto"/>
        <w:jc w:val="both"/>
        <w:rPr>
          <w:rFonts w:ascii="Book Antiqua" w:hAnsi="Book Antiqua" w:cs="Times New Roman"/>
          <w:color w:val="auto"/>
          <w:sz w:val="24"/>
          <w:szCs w:val="24"/>
        </w:rPr>
      </w:pPr>
    </w:p>
    <w:p w:rsidR="001A0975" w:rsidRPr="0058034D" w:rsidRDefault="001A0975" w:rsidP="001D73C6">
      <w:pPr>
        <w:pStyle w:val="Body"/>
        <w:adjustRightInd w:val="0"/>
        <w:snapToGrid w:val="0"/>
        <w:spacing w:after="0" w:line="360" w:lineRule="auto"/>
        <w:jc w:val="both"/>
        <w:rPr>
          <w:rFonts w:ascii="Book Antiqua" w:hAnsi="Book Antiqua" w:cs="Times New Roman"/>
          <w:color w:val="auto"/>
          <w:sz w:val="24"/>
          <w:szCs w:val="24"/>
        </w:rPr>
      </w:pPr>
    </w:p>
    <w:p w:rsidR="001A0975" w:rsidRPr="0058034D" w:rsidRDefault="001A0975" w:rsidP="001D73C6">
      <w:pPr>
        <w:pStyle w:val="Body"/>
        <w:adjustRightInd w:val="0"/>
        <w:snapToGrid w:val="0"/>
        <w:spacing w:after="0" w:line="360" w:lineRule="auto"/>
        <w:jc w:val="both"/>
        <w:rPr>
          <w:rFonts w:ascii="Book Antiqua" w:hAnsi="Book Antiqua" w:cs="Times New Roman"/>
          <w:color w:val="auto"/>
          <w:sz w:val="24"/>
          <w:szCs w:val="24"/>
        </w:rPr>
      </w:pPr>
    </w:p>
    <w:p w:rsidR="0070610D" w:rsidRPr="0058034D" w:rsidRDefault="0070610D" w:rsidP="001D73C6">
      <w:pPr>
        <w:pStyle w:val="Body"/>
        <w:adjustRightInd w:val="0"/>
        <w:snapToGrid w:val="0"/>
        <w:spacing w:after="0" w:line="360" w:lineRule="auto"/>
        <w:jc w:val="both"/>
        <w:rPr>
          <w:rFonts w:ascii="Book Antiqua" w:hAnsi="Book Antiqua" w:cs="Times New Roman"/>
          <w:color w:val="auto"/>
          <w:sz w:val="24"/>
          <w:szCs w:val="24"/>
        </w:rPr>
      </w:pPr>
    </w:p>
    <w:p w:rsidR="00432A97" w:rsidRPr="0058034D" w:rsidRDefault="00432A97" w:rsidP="001D73C6">
      <w:pPr>
        <w:adjustRightInd w:val="0"/>
        <w:snapToGrid w:val="0"/>
        <w:spacing w:line="360" w:lineRule="auto"/>
        <w:jc w:val="both"/>
        <w:rPr>
          <w:rFonts w:ascii="Book Antiqua" w:eastAsia="Calibri" w:hAnsi="Book Antiqua"/>
          <w:b/>
          <w:bCs/>
          <w:u w:color="000000"/>
        </w:rPr>
      </w:pPr>
      <w:r w:rsidRPr="0058034D">
        <w:rPr>
          <w:rFonts w:ascii="Book Antiqua" w:hAnsi="Book Antiqua"/>
          <w:b/>
          <w:bCs/>
        </w:rPr>
        <w:br w:type="page"/>
      </w:r>
    </w:p>
    <w:p w:rsidR="00FB3B7B" w:rsidRPr="0058034D" w:rsidRDefault="00FB3B7B" w:rsidP="001D73C6">
      <w:pPr>
        <w:pStyle w:val="Body"/>
        <w:adjustRightInd w:val="0"/>
        <w:snapToGrid w:val="0"/>
        <w:spacing w:after="0" w:line="360" w:lineRule="auto"/>
        <w:jc w:val="both"/>
        <w:rPr>
          <w:rFonts w:ascii="Book Antiqua" w:eastAsiaTheme="minorEastAsia" w:hAnsi="Book Antiqua" w:cs="Times New Roman"/>
          <w:b/>
          <w:color w:val="auto"/>
          <w:sz w:val="24"/>
          <w:szCs w:val="24"/>
          <w:lang w:val="en-US" w:eastAsia="zh-CN"/>
        </w:rPr>
      </w:pPr>
      <w:r w:rsidRPr="0058034D">
        <w:rPr>
          <w:rFonts w:ascii="Book Antiqua" w:hAnsi="Book Antiqua"/>
          <w:noProof/>
          <w:color w:val="auto"/>
          <w:lang w:val="en-US" w:eastAsia="zh-CN"/>
        </w:rPr>
        <w:lastRenderedPageBreak/>
        <w:drawing>
          <wp:inline distT="0" distB="0" distL="0" distR="0" wp14:anchorId="41DEBD80" wp14:editId="1918C1FA">
            <wp:extent cx="5943600" cy="4204335"/>
            <wp:effectExtent l="0" t="0" r="0" b="5715"/>
            <wp:docPr id="6" name="Picture 2" descr="C:\Users\sy805\AppData\Local\Microsoft\Windows\Temporary Internet Files\Content.Outlook\SB10ZODT\siame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sy805\AppData\Local\Microsoft\Windows\Temporary Internet Files\Content.Outlook\SB10ZODT\siamek.jpeg"/>
                    <pic:cNvPicPr>
                      <a:picLocks noChangeAspect="1" noChangeArrowheads="1"/>
                    </pic:cNvPicPr>
                  </pic:nvPicPr>
                  <pic:blipFill>
                    <a:blip r:embed="rId11" cstate="print"/>
                    <a:srcRect/>
                    <a:stretch>
                      <a:fillRect/>
                    </a:stretch>
                  </pic:blipFill>
                  <pic:spPr bwMode="auto">
                    <a:xfrm>
                      <a:off x="0" y="0"/>
                      <a:ext cx="5943600" cy="4204335"/>
                    </a:xfrm>
                    <a:prstGeom prst="rect">
                      <a:avLst/>
                    </a:prstGeom>
                    <a:noFill/>
                  </pic:spPr>
                </pic:pic>
              </a:graphicData>
            </a:graphic>
          </wp:inline>
        </w:drawing>
      </w:r>
    </w:p>
    <w:p w:rsidR="0070610D" w:rsidRPr="0058034D" w:rsidRDefault="0070610D" w:rsidP="001D73C6">
      <w:pPr>
        <w:pStyle w:val="Body"/>
        <w:adjustRightInd w:val="0"/>
        <w:snapToGrid w:val="0"/>
        <w:spacing w:after="0" w:line="360" w:lineRule="auto"/>
        <w:jc w:val="both"/>
        <w:rPr>
          <w:rFonts w:ascii="Book Antiqua" w:eastAsiaTheme="minorEastAsia" w:hAnsi="Book Antiqua" w:cs="Times New Roman"/>
          <w:b/>
          <w:color w:val="auto"/>
          <w:sz w:val="24"/>
          <w:szCs w:val="24"/>
          <w:lang w:val="en-US" w:eastAsia="zh-CN"/>
        </w:rPr>
      </w:pPr>
      <w:r w:rsidRPr="0058034D">
        <w:rPr>
          <w:rFonts w:ascii="Book Antiqua" w:hAnsi="Book Antiqua" w:cs="Times New Roman"/>
          <w:b/>
          <w:color w:val="auto"/>
          <w:sz w:val="24"/>
          <w:szCs w:val="24"/>
          <w:lang w:val="en-US"/>
        </w:rPr>
        <w:t>Figure 1 Kaplan-Meier curve for time to readmission stratified by MELD score.</w:t>
      </w:r>
    </w:p>
    <w:p w:rsidR="00FB3B7B" w:rsidRPr="0058034D" w:rsidRDefault="00FB3B7B">
      <w:pPr>
        <w:rPr>
          <w:rFonts w:ascii="Book Antiqua" w:hAnsi="Book Antiqua"/>
          <w:b/>
          <w:u w:color="000000"/>
          <w:lang w:val="fr-FR" w:eastAsia="zh-CN"/>
        </w:rPr>
      </w:pPr>
      <w:r w:rsidRPr="0058034D">
        <w:rPr>
          <w:rFonts w:ascii="Book Antiqua" w:hAnsi="Book Antiqua"/>
          <w:b/>
          <w:lang w:eastAsia="zh-CN"/>
        </w:rPr>
        <w:br w:type="page"/>
      </w:r>
    </w:p>
    <w:p w:rsidR="00FB3B7B" w:rsidRPr="0058034D" w:rsidRDefault="00FB3B7B" w:rsidP="00FB3B7B">
      <w:pPr>
        <w:pStyle w:val="Body"/>
        <w:rPr>
          <w:rFonts w:ascii="Book Antiqua" w:eastAsiaTheme="minorEastAsia" w:hAnsi="Book Antiqua"/>
          <w:b/>
          <w:color w:val="auto"/>
          <w:lang w:val="en-US" w:eastAsia="zh-CN"/>
        </w:rPr>
      </w:pPr>
      <w:r w:rsidRPr="0058034D">
        <w:rPr>
          <w:rFonts w:ascii="Book Antiqua" w:eastAsiaTheme="minorEastAsia" w:hAnsi="Book Antiqua"/>
          <w:b/>
          <w:noProof/>
          <w:color w:val="auto"/>
          <w:lang w:val="en-US" w:eastAsia="zh-CN"/>
        </w:rPr>
        <w:lastRenderedPageBreak/>
        <w:drawing>
          <wp:inline distT="0" distB="0" distL="0" distR="0" wp14:anchorId="3010E5B3" wp14:editId="1348CBE3">
            <wp:extent cx="5943600" cy="4202430"/>
            <wp:effectExtent l="0" t="0" r="0" b="7620"/>
            <wp:docPr id="1028" name="Picture 4" descr="C:\Users\sy805\AppData\Local\Microsoft\Windows\Temporary Internet Files\Content.Outlook\SB10ZODT\siamek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sy805\AppData\Local\Microsoft\Windows\Temporary Internet Files\Content.Outlook\SB10ZODT\siamek2 (2).jpeg"/>
                    <pic:cNvPicPr>
                      <a:picLocks noChangeAspect="1" noChangeArrowheads="1"/>
                    </pic:cNvPicPr>
                  </pic:nvPicPr>
                  <pic:blipFill>
                    <a:blip r:embed="rId12" cstate="print"/>
                    <a:srcRect/>
                    <a:stretch>
                      <a:fillRect/>
                    </a:stretch>
                  </pic:blipFill>
                  <pic:spPr bwMode="auto">
                    <a:xfrm>
                      <a:off x="0" y="0"/>
                      <a:ext cx="5943600" cy="4202430"/>
                    </a:xfrm>
                    <a:prstGeom prst="rect">
                      <a:avLst/>
                    </a:prstGeom>
                    <a:noFill/>
                  </pic:spPr>
                </pic:pic>
              </a:graphicData>
            </a:graphic>
          </wp:inline>
        </w:drawing>
      </w:r>
    </w:p>
    <w:p w:rsidR="001A0975" w:rsidRPr="0058034D" w:rsidRDefault="0070610D" w:rsidP="001D73C6">
      <w:pPr>
        <w:pStyle w:val="Body"/>
        <w:adjustRightInd w:val="0"/>
        <w:snapToGrid w:val="0"/>
        <w:spacing w:after="0" w:line="360" w:lineRule="auto"/>
        <w:jc w:val="both"/>
        <w:rPr>
          <w:rFonts w:ascii="Book Antiqua" w:hAnsi="Book Antiqua" w:cs="Times New Roman"/>
          <w:color w:val="auto"/>
          <w:sz w:val="24"/>
          <w:szCs w:val="24"/>
        </w:rPr>
      </w:pPr>
      <w:r w:rsidRPr="0058034D">
        <w:rPr>
          <w:rFonts w:ascii="Book Antiqua" w:hAnsi="Book Antiqua" w:cs="Times New Roman"/>
          <w:b/>
          <w:color w:val="auto"/>
          <w:sz w:val="24"/>
          <w:szCs w:val="24"/>
          <w:lang w:val="en-US"/>
        </w:rPr>
        <w:t>Figure 2</w:t>
      </w:r>
      <w:r w:rsidR="00FB3B7B" w:rsidRPr="0058034D">
        <w:rPr>
          <w:rFonts w:ascii="Book Antiqua" w:eastAsiaTheme="minorEastAsia" w:hAnsi="Book Antiqua" w:cs="Times New Roman" w:hint="eastAsia"/>
          <w:b/>
          <w:color w:val="auto"/>
          <w:sz w:val="24"/>
          <w:szCs w:val="24"/>
          <w:lang w:val="en-US" w:eastAsia="zh-CN"/>
        </w:rPr>
        <w:t xml:space="preserve"> </w:t>
      </w:r>
      <w:r w:rsidRPr="0058034D">
        <w:rPr>
          <w:rFonts w:ascii="Book Antiqua" w:hAnsi="Book Antiqua" w:cs="Times New Roman"/>
          <w:b/>
          <w:color w:val="auto"/>
          <w:sz w:val="24"/>
          <w:szCs w:val="24"/>
          <w:lang w:val="en-US"/>
        </w:rPr>
        <w:t>Kaplan-Meier curve for time to readmission stratified by etiology of cirrhosis.</w:t>
      </w:r>
    </w:p>
    <w:sectPr w:rsidR="001A0975" w:rsidRPr="0058034D" w:rsidSect="00432A97">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7A" w:rsidRDefault="003B487A" w:rsidP="001A0975">
      <w:r>
        <w:separator/>
      </w:r>
    </w:p>
  </w:endnote>
  <w:endnote w:type="continuationSeparator" w:id="0">
    <w:p w:rsidR="003B487A" w:rsidRDefault="003B487A" w:rsidP="001A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B7" w:rsidRPr="001E377B" w:rsidRDefault="009953B7">
    <w:pPr>
      <w:pStyle w:val="a5"/>
      <w:tabs>
        <w:tab w:val="clear" w:pos="9360"/>
        <w:tab w:val="right" w:pos="9340"/>
      </w:tabs>
      <w:jc w:val="center"/>
      <w:rPr>
        <w:rFonts w:ascii="Book Antiqua" w:hAnsi="Book Antiqua"/>
        <w:sz w:val="24"/>
        <w:szCs w:val="24"/>
      </w:rPr>
    </w:pPr>
    <w:r w:rsidRPr="001E377B">
      <w:rPr>
        <w:rFonts w:ascii="Book Antiqua" w:hAnsi="Book Antiqua"/>
        <w:sz w:val="24"/>
        <w:szCs w:val="24"/>
      </w:rPr>
      <w:fldChar w:fldCharType="begin"/>
    </w:r>
    <w:r w:rsidRPr="001E377B">
      <w:rPr>
        <w:rFonts w:ascii="Book Antiqua" w:hAnsi="Book Antiqua"/>
        <w:sz w:val="24"/>
        <w:szCs w:val="24"/>
      </w:rPr>
      <w:instrText xml:space="preserve"> PAGE   \* MERGEFORMAT </w:instrText>
    </w:r>
    <w:r w:rsidRPr="001E377B">
      <w:rPr>
        <w:rFonts w:ascii="Book Antiqua" w:hAnsi="Book Antiqua"/>
        <w:sz w:val="24"/>
        <w:szCs w:val="24"/>
      </w:rPr>
      <w:fldChar w:fldCharType="separate"/>
    </w:r>
    <w:r w:rsidR="00A059DB">
      <w:rPr>
        <w:rFonts w:ascii="Book Antiqua" w:hAnsi="Book Antiqua"/>
        <w:noProof/>
        <w:sz w:val="24"/>
        <w:szCs w:val="24"/>
      </w:rPr>
      <w:t>17</w:t>
    </w:r>
    <w:r w:rsidRPr="001E377B">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7A" w:rsidRDefault="003B487A" w:rsidP="001A0975">
      <w:r>
        <w:separator/>
      </w:r>
    </w:p>
  </w:footnote>
  <w:footnote w:type="continuationSeparator" w:id="0">
    <w:p w:rsidR="003B487A" w:rsidRDefault="003B487A" w:rsidP="001A0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B7" w:rsidRPr="001E377B" w:rsidRDefault="009953B7">
    <w:pPr>
      <w:pStyle w:val="a4"/>
      <w:tabs>
        <w:tab w:val="clear" w:pos="9360"/>
        <w:tab w:val="right" w:pos="9340"/>
      </w:tabs>
      <w:jc w:val="right"/>
      <w:rPr>
        <w:rFonts w:ascii="Book Antiqua" w:hAnsi="Book Antiqua"/>
      </w:rPr>
    </w:pPr>
    <w:r w:rsidRPr="001E377B">
      <w:rPr>
        <w:rFonts w:ascii="Book Antiqua" w:hAnsi="Book Antiqua"/>
        <w:sz w:val="24"/>
        <w:szCs w:val="24"/>
      </w:rPr>
      <w:t>Original Article- Richter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14D5"/>
    <w:multiLevelType w:val="multilevel"/>
    <w:tmpl w:val="BCDCBF72"/>
    <w:styleLink w:val="List31"/>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
    <w:nsid w:val="13DE57A2"/>
    <w:multiLevelType w:val="multilevel"/>
    <w:tmpl w:val="7AE2B468"/>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
    <w:nsid w:val="145C312F"/>
    <w:multiLevelType w:val="multilevel"/>
    <w:tmpl w:val="6AC45D38"/>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
    <w:nsid w:val="1562146A"/>
    <w:multiLevelType w:val="multilevel"/>
    <w:tmpl w:val="CFD24AF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86F13D6"/>
    <w:multiLevelType w:val="multilevel"/>
    <w:tmpl w:val="5F081684"/>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5">
    <w:nsid w:val="199B09CD"/>
    <w:multiLevelType w:val="multilevel"/>
    <w:tmpl w:val="7EAAA26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
    <w:nsid w:val="1A5269F2"/>
    <w:multiLevelType w:val="multilevel"/>
    <w:tmpl w:val="64E86F3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1B3D3AC8"/>
    <w:multiLevelType w:val="multilevel"/>
    <w:tmpl w:val="B5760F1E"/>
    <w:lvl w:ilvl="0">
      <w:start w:val="1"/>
      <w:numFmt w:val="bullet"/>
      <w:lvlText w:val="•"/>
      <w:lvlJc w:val="left"/>
      <w:pPr>
        <w:tabs>
          <w:tab w:val="num" w:pos="1080"/>
        </w:tabs>
        <w:ind w:left="1080" w:hanging="360"/>
      </w:pPr>
      <w:rPr>
        <w:position w:val="0"/>
        <w:sz w:val="24"/>
        <w:szCs w:val="24"/>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8">
    <w:nsid w:val="1FE559C0"/>
    <w:multiLevelType w:val="hybridMultilevel"/>
    <w:tmpl w:val="D3DA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E7041"/>
    <w:multiLevelType w:val="multilevel"/>
    <w:tmpl w:val="70B0845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29A15351"/>
    <w:multiLevelType w:val="multilevel"/>
    <w:tmpl w:val="1D4A2658"/>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1">
    <w:nsid w:val="2BBD313F"/>
    <w:multiLevelType w:val="multilevel"/>
    <w:tmpl w:val="0D60742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2C40550E"/>
    <w:multiLevelType w:val="multilevel"/>
    <w:tmpl w:val="65EEB1E0"/>
    <w:styleLink w:val="List6"/>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3">
    <w:nsid w:val="31C16401"/>
    <w:multiLevelType w:val="multilevel"/>
    <w:tmpl w:val="99A0352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338F3B37"/>
    <w:multiLevelType w:val="multilevel"/>
    <w:tmpl w:val="D458D4BE"/>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5">
    <w:nsid w:val="35774DF8"/>
    <w:multiLevelType w:val="multilevel"/>
    <w:tmpl w:val="EF6E0C4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6">
    <w:nsid w:val="38E61BC5"/>
    <w:multiLevelType w:val="multilevel"/>
    <w:tmpl w:val="1AA0ADB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3B7D6F28"/>
    <w:multiLevelType w:val="multilevel"/>
    <w:tmpl w:val="4D4CC0D6"/>
    <w:styleLink w:val="List4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8">
    <w:nsid w:val="41854440"/>
    <w:multiLevelType w:val="multilevel"/>
    <w:tmpl w:val="FE66421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43682D6E"/>
    <w:multiLevelType w:val="multilevel"/>
    <w:tmpl w:val="39CE2142"/>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0">
    <w:nsid w:val="44355ADA"/>
    <w:multiLevelType w:val="hybridMultilevel"/>
    <w:tmpl w:val="6E3C8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C97ABC"/>
    <w:multiLevelType w:val="multilevel"/>
    <w:tmpl w:val="C0C01A6C"/>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2">
    <w:nsid w:val="49D07B6D"/>
    <w:multiLevelType w:val="multilevel"/>
    <w:tmpl w:val="C6AA1B4A"/>
    <w:styleLink w:val="List2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3">
    <w:nsid w:val="4A4C06CE"/>
    <w:multiLevelType w:val="multilevel"/>
    <w:tmpl w:val="6AC45D38"/>
    <w:styleLink w:val="List5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4">
    <w:nsid w:val="5092472C"/>
    <w:multiLevelType w:val="multilevel"/>
    <w:tmpl w:val="503ECD3C"/>
    <w:styleLink w:val="List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5">
    <w:nsid w:val="592360DF"/>
    <w:multiLevelType w:val="multilevel"/>
    <w:tmpl w:val="4AF40256"/>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6">
    <w:nsid w:val="5F4514B9"/>
    <w:multiLevelType w:val="multilevel"/>
    <w:tmpl w:val="86FE5EF6"/>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7">
    <w:nsid w:val="68AF4E88"/>
    <w:multiLevelType w:val="multilevel"/>
    <w:tmpl w:val="04D6F670"/>
    <w:styleLink w:val="List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8">
    <w:nsid w:val="6FFA0FA2"/>
    <w:multiLevelType w:val="multilevel"/>
    <w:tmpl w:val="FAECE18C"/>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num w:numId="1">
    <w:abstractNumId w:val="15"/>
  </w:num>
  <w:num w:numId="2">
    <w:abstractNumId w:val="11"/>
  </w:num>
  <w:num w:numId="3">
    <w:abstractNumId w:val="27"/>
  </w:num>
  <w:num w:numId="4">
    <w:abstractNumId w:val="26"/>
  </w:num>
  <w:num w:numId="5">
    <w:abstractNumId w:val="13"/>
  </w:num>
  <w:num w:numId="6">
    <w:abstractNumId w:val="24"/>
  </w:num>
  <w:num w:numId="7">
    <w:abstractNumId w:val="5"/>
  </w:num>
  <w:num w:numId="8">
    <w:abstractNumId w:val="9"/>
  </w:num>
  <w:num w:numId="9">
    <w:abstractNumId w:val="22"/>
  </w:num>
  <w:num w:numId="10">
    <w:abstractNumId w:val="7"/>
  </w:num>
  <w:num w:numId="11">
    <w:abstractNumId w:val="16"/>
  </w:num>
  <w:num w:numId="12">
    <w:abstractNumId w:val="25"/>
  </w:num>
  <w:num w:numId="13">
    <w:abstractNumId w:val="28"/>
  </w:num>
  <w:num w:numId="14">
    <w:abstractNumId w:val="10"/>
  </w:num>
  <w:num w:numId="15">
    <w:abstractNumId w:val="14"/>
  </w:num>
  <w:num w:numId="16">
    <w:abstractNumId w:val="4"/>
  </w:num>
  <w:num w:numId="17">
    <w:abstractNumId w:val="0"/>
  </w:num>
  <w:num w:numId="18">
    <w:abstractNumId w:val="1"/>
  </w:num>
  <w:num w:numId="19">
    <w:abstractNumId w:val="18"/>
  </w:num>
  <w:num w:numId="20">
    <w:abstractNumId w:val="17"/>
  </w:num>
  <w:num w:numId="21">
    <w:abstractNumId w:val="19"/>
  </w:num>
  <w:num w:numId="22">
    <w:abstractNumId w:val="6"/>
  </w:num>
  <w:num w:numId="23">
    <w:abstractNumId w:val="23"/>
  </w:num>
  <w:num w:numId="24">
    <w:abstractNumId w:val="21"/>
  </w:num>
  <w:num w:numId="25">
    <w:abstractNumId w:val="3"/>
  </w:num>
  <w:num w:numId="26">
    <w:abstractNumId w:val="12"/>
  </w:num>
  <w:num w:numId="27">
    <w:abstractNumId w:val="2"/>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75"/>
    <w:rsid w:val="00116ECF"/>
    <w:rsid w:val="00197C5C"/>
    <w:rsid w:val="001A0975"/>
    <w:rsid w:val="001D73C6"/>
    <w:rsid w:val="001E377B"/>
    <w:rsid w:val="00207763"/>
    <w:rsid w:val="00265D18"/>
    <w:rsid w:val="00270687"/>
    <w:rsid w:val="00290345"/>
    <w:rsid w:val="00344378"/>
    <w:rsid w:val="003B487A"/>
    <w:rsid w:val="003C61B3"/>
    <w:rsid w:val="00414833"/>
    <w:rsid w:val="00416E78"/>
    <w:rsid w:val="004273C2"/>
    <w:rsid w:val="00432A97"/>
    <w:rsid w:val="00472B4B"/>
    <w:rsid w:val="00475F24"/>
    <w:rsid w:val="00480596"/>
    <w:rsid w:val="004827FE"/>
    <w:rsid w:val="0049393C"/>
    <w:rsid w:val="004965A6"/>
    <w:rsid w:val="004C10B0"/>
    <w:rsid w:val="00514A97"/>
    <w:rsid w:val="00516517"/>
    <w:rsid w:val="0058034D"/>
    <w:rsid w:val="005B3EAE"/>
    <w:rsid w:val="005D1FD7"/>
    <w:rsid w:val="005D2064"/>
    <w:rsid w:val="005E101C"/>
    <w:rsid w:val="005F7EFF"/>
    <w:rsid w:val="00656D37"/>
    <w:rsid w:val="006F227B"/>
    <w:rsid w:val="0070610D"/>
    <w:rsid w:val="00750313"/>
    <w:rsid w:val="007A16DD"/>
    <w:rsid w:val="008210CC"/>
    <w:rsid w:val="008210D7"/>
    <w:rsid w:val="00830F2F"/>
    <w:rsid w:val="008915C8"/>
    <w:rsid w:val="00917B75"/>
    <w:rsid w:val="00926859"/>
    <w:rsid w:val="009322B0"/>
    <w:rsid w:val="009768AD"/>
    <w:rsid w:val="00984C54"/>
    <w:rsid w:val="009953B7"/>
    <w:rsid w:val="009F0A12"/>
    <w:rsid w:val="00A03D8F"/>
    <w:rsid w:val="00A059DB"/>
    <w:rsid w:val="00A10215"/>
    <w:rsid w:val="00A87FD4"/>
    <w:rsid w:val="00AE2022"/>
    <w:rsid w:val="00AF5303"/>
    <w:rsid w:val="00AF5621"/>
    <w:rsid w:val="00B1253C"/>
    <w:rsid w:val="00B323E8"/>
    <w:rsid w:val="00B91696"/>
    <w:rsid w:val="00BB27BD"/>
    <w:rsid w:val="00C37C8B"/>
    <w:rsid w:val="00C54C88"/>
    <w:rsid w:val="00D179B0"/>
    <w:rsid w:val="00D50BAE"/>
    <w:rsid w:val="00DB5D3C"/>
    <w:rsid w:val="00DB7B08"/>
    <w:rsid w:val="00DD6F83"/>
    <w:rsid w:val="00DE51B9"/>
    <w:rsid w:val="00E53DDA"/>
    <w:rsid w:val="00F05F87"/>
    <w:rsid w:val="00F10F79"/>
    <w:rsid w:val="00F11B06"/>
    <w:rsid w:val="00F66555"/>
    <w:rsid w:val="00FB2342"/>
    <w:rsid w:val="00FB3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09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0975"/>
    <w:rPr>
      <w:u w:val="single"/>
    </w:rPr>
  </w:style>
  <w:style w:type="paragraph" w:styleId="a4">
    <w:name w:val="header"/>
    <w:rsid w:val="001A0975"/>
    <w:pPr>
      <w:tabs>
        <w:tab w:val="center" w:pos="4680"/>
        <w:tab w:val="right" w:pos="9360"/>
      </w:tabs>
    </w:pPr>
    <w:rPr>
      <w:rFonts w:ascii="Calibri" w:eastAsia="Calibri" w:hAnsi="Calibri" w:cs="Calibri"/>
      <w:color w:val="000000"/>
      <w:sz w:val="22"/>
      <w:szCs w:val="22"/>
      <w:u w:color="000000"/>
    </w:rPr>
  </w:style>
  <w:style w:type="paragraph" w:styleId="a5">
    <w:name w:val="footer"/>
    <w:rsid w:val="001A0975"/>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1A0975"/>
    <w:pPr>
      <w:spacing w:after="200" w:line="276" w:lineRule="auto"/>
    </w:pPr>
    <w:rPr>
      <w:rFonts w:ascii="Calibri" w:eastAsia="Calibri" w:hAnsi="Calibri" w:cs="Calibri"/>
      <w:color w:val="000000"/>
      <w:sz w:val="22"/>
      <w:szCs w:val="22"/>
      <w:u w:color="000000"/>
      <w:lang w:val="fr-FR"/>
    </w:rPr>
  </w:style>
  <w:style w:type="paragraph" w:styleId="a6">
    <w:name w:val="List Paragraph"/>
    <w:uiPriority w:val="34"/>
    <w:qFormat/>
    <w:rsid w:val="001A0975"/>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1A0975"/>
    <w:pPr>
      <w:numPr>
        <w:numId w:val="3"/>
      </w:numPr>
    </w:pPr>
  </w:style>
  <w:style w:type="numbering" w:customStyle="1" w:styleId="ImportedStyle1">
    <w:name w:val="Imported Style 1"/>
    <w:rsid w:val="001A0975"/>
  </w:style>
  <w:style w:type="character" w:customStyle="1" w:styleId="Link">
    <w:name w:val="Link"/>
    <w:rsid w:val="001A0975"/>
    <w:rPr>
      <w:color w:val="0000FF"/>
      <w:u w:val="single" w:color="0000FF"/>
    </w:rPr>
  </w:style>
  <w:style w:type="character" w:customStyle="1" w:styleId="Hyperlink0">
    <w:name w:val="Hyperlink.0"/>
    <w:basedOn w:val="Link"/>
    <w:rsid w:val="001A0975"/>
    <w:rPr>
      <w:color w:val="0000FF"/>
      <w:sz w:val="24"/>
      <w:szCs w:val="24"/>
      <w:u w:val="single" w:color="0000FF"/>
    </w:rPr>
  </w:style>
  <w:style w:type="numbering" w:customStyle="1" w:styleId="List1">
    <w:name w:val="List 1"/>
    <w:basedOn w:val="ImportedStyle2"/>
    <w:rsid w:val="001A0975"/>
    <w:pPr>
      <w:numPr>
        <w:numId w:val="6"/>
      </w:numPr>
    </w:pPr>
  </w:style>
  <w:style w:type="numbering" w:customStyle="1" w:styleId="ImportedStyle2">
    <w:name w:val="Imported Style 2"/>
    <w:rsid w:val="001A0975"/>
  </w:style>
  <w:style w:type="numbering" w:customStyle="1" w:styleId="List21">
    <w:name w:val="List 21"/>
    <w:basedOn w:val="ImportedStyle3"/>
    <w:rsid w:val="001A0975"/>
    <w:pPr>
      <w:numPr>
        <w:numId w:val="9"/>
      </w:numPr>
    </w:pPr>
  </w:style>
  <w:style w:type="numbering" w:customStyle="1" w:styleId="ImportedStyle3">
    <w:name w:val="Imported Style 3"/>
    <w:rsid w:val="001A0975"/>
  </w:style>
  <w:style w:type="numbering" w:customStyle="1" w:styleId="List31">
    <w:name w:val="List 31"/>
    <w:basedOn w:val="ImportedStyle4"/>
    <w:rsid w:val="001A0975"/>
    <w:pPr>
      <w:numPr>
        <w:numId w:val="17"/>
      </w:numPr>
    </w:pPr>
  </w:style>
  <w:style w:type="numbering" w:customStyle="1" w:styleId="ImportedStyle4">
    <w:name w:val="Imported Style 4"/>
    <w:rsid w:val="001A0975"/>
  </w:style>
  <w:style w:type="numbering" w:customStyle="1" w:styleId="List41">
    <w:name w:val="List 41"/>
    <w:basedOn w:val="ImportedStyle5"/>
    <w:rsid w:val="001A0975"/>
    <w:pPr>
      <w:numPr>
        <w:numId w:val="20"/>
      </w:numPr>
    </w:pPr>
  </w:style>
  <w:style w:type="numbering" w:customStyle="1" w:styleId="ImportedStyle5">
    <w:name w:val="Imported Style 5"/>
    <w:rsid w:val="001A0975"/>
  </w:style>
  <w:style w:type="numbering" w:customStyle="1" w:styleId="List51">
    <w:name w:val="List 51"/>
    <w:basedOn w:val="ImportedStyle6"/>
    <w:rsid w:val="001A0975"/>
    <w:pPr>
      <w:numPr>
        <w:numId w:val="23"/>
      </w:numPr>
    </w:pPr>
  </w:style>
  <w:style w:type="numbering" w:customStyle="1" w:styleId="ImportedStyle6">
    <w:name w:val="Imported Style 6"/>
    <w:rsid w:val="001A0975"/>
  </w:style>
  <w:style w:type="numbering" w:customStyle="1" w:styleId="List6">
    <w:name w:val="List 6"/>
    <w:basedOn w:val="ImportedStyle7"/>
    <w:rsid w:val="001A0975"/>
    <w:pPr>
      <w:numPr>
        <w:numId w:val="26"/>
      </w:numPr>
    </w:pPr>
  </w:style>
  <w:style w:type="numbering" w:customStyle="1" w:styleId="ImportedStyle7">
    <w:name w:val="Imported Style 7"/>
    <w:rsid w:val="001A0975"/>
  </w:style>
  <w:style w:type="paragraph" w:styleId="a7">
    <w:name w:val="Balloon Text"/>
    <w:basedOn w:val="a"/>
    <w:link w:val="Char"/>
    <w:uiPriority w:val="99"/>
    <w:semiHidden/>
    <w:unhideWhenUsed/>
    <w:rsid w:val="0070610D"/>
    <w:rPr>
      <w:rFonts w:ascii="Tahoma" w:hAnsi="Tahoma" w:cs="Tahoma"/>
      <w:sz w:val="16"/>
      <w:szCs w:val="16"/>
    </w:rPr>
  </w:style>
  <w:style w:type="character" w:customStyle="1" w:styleId="Char">
    <w:name w:val="批注框文本 Char"/>
    <w:basedOn w:val="a0"/>
    <w:link w:val="a7"/>
    <w:uiPriority w:val="99"/>
    <w:semiHidden/>
    <w:rsid w:val="0070610D"/>
    <w:rPr>
      <w:rFonts w:ascii="Tahoma" w:hAnsi="Tahoma" w:cs="Tahoma"/>
      <w:sz w:val="16"/>
      <w:szCs w:val="16"/>
    </w:rPr>
  </w:style>
  <w:style w:type="character" w:customStyle="1" w:styleId="apple-converted-space">
    <w:name w:val="apple-converted-space"/>
    <w:basedOn w:val="a0"/>
    <w:rsid w:val="00270687"/>
  </w:style>
  <w:style w:type="paragraph" w:styleId="a8">
    <w:name w:val="annotation text"/>
    <w:basedOn w:val="a"/>
    <w:link w:val="Char0"/>
    <w:uiPriority w:val="99"/>
    <w:rsid w:val="005D1FD7"/>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宋体"/>
      <w:kern w:val="2"/>
      <w:sz w:val="21"/>
      <w:bdr w:val="none" w:sz="0" w:space="0" w:color="auto"/>
      <w:lang w:eastAsia="zh-CN"/>
    </w:rPr>
  </w:style>
  <w:style w:type="character" w:customStyle="1" w:styleId="Char0">
    <w:name w:val="批注文字 Char"/>
    <w:basedOn w:val="a0"/>
    <w:link w:val="a8"/>
    <w:uiPriority w:val="99"/>
    <w:rsid w:val="005D1FD7"/>
    <w:rPr>
      <w:rFonts w:eastAsia="宋体"/>
      <w:kern w:val="2"/>
      <w:sz w:val="21"/>
      <w:szCs w:val="24"/>
      <w:bdr w:val="none" w:sz="0" w:space="0" w:color="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09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0975"/>
    <w:rPr>
      <w:u w:val="single"/>
    </w:rPr>
  </w:style>
  <w:style w:type="paragraph" w:styleId="a4">
    <w:name w:val="header"/>
    <w:rsid w:val="001A0975"/>
    <w:pPr>
      <w:tabs>
        <w:tab w:val="center" w:pos="4680"/>
        <w:tab w:val="right" w:pos="9360"/>
      </w:tabs>
    </w:pPr>
    <w:rPr>
      <w:rFonts w:ascii="Calibri" w:eastAsia="Calibri" w:hAnsi="Calibri" w:cs="Calibri"/>
      <w:color w:val="000000"/>
      <w:sz w:val="22"/>
      <w:szCs w:val="22"/>
      <w:u w:color="000000"/>
    </w:rPr>
  </w:style>
  <w:style w:type="paragraph" w:styleId="a5">
    <w:name w:val="footer"/>
    <w:rsid w:val="001A0975"/>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1A0975"/>
    <w:pPr>
      <w:spacing w:after="200" w:line="276" w:lineRule="auto"/>
    </w:pPr>
    <w:rPr>
      <w:rFonts w:ascii="Calibri" w:eastAsia="Calibri" w:hAnsi="Calibri" w:cs="Calibri"/>
      <w:color w:val="000000"/>
      <w:sz w:val="22"/>
      <w:szCs w:val="22"/>
      <w:u w:color="000000"/>
      <w:lang w:val="fr-FR"/>
    </w:rPr>
  </w:style>
  <w:style w:type="paragraph" w:styleId="a6">
    <w:name w:val="List Paragraph"/>
    <w:uiPriority w:val="34"/>
    <w:qFormat/>
    <w:rsid w:val="001A0975"/>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1A0975"/>
    <w:pPr>
      <w:numPr>
        <w:numId w:val="3"/>
      </w:numPr>
    </w:pPr>
  </w:style>
  <w:style w:type="numbering" w:customStyle="1" w:styleId="ImportedStyle1">
    <w:name w:val="Imported Style 1"/>
    <w:rsid w:val="001A0975"/>
  </w:style>
  <w:style w:type="character" w:customStyle="1" w:styleId="Link">
    <w:name w:val="Link"/>
    <w:rsid w:val="001A0975"/>
    <w:rPr>
      <w:color w:val="0000FF"/>
      <w:u w:val="single" w:color="0000FF"/>
    </w:rPr>
  </w:style>
  <w:style w:type="character" w:customStyle="1" w:styleId="Hyperlink0">
    <w:name w:val="Hyperlink.0"/>
    <w:basedOn w:val="Link"/>
    <w:rsid w:val="001A0975"/>
    <w:rPr>
      <w:color w:val="0000FF"/>
      <w:sz w:val="24"/>
      <w:szCs w:val="24"/>
      <w:u w:val="single" w:color="0000FF"/>
    </w:rPr>
  </w:style>
  <w:style w:type="numbering" w:customStyle="1" w:styleId="List1">
    <w:name w:val="List 1"/>
    <w:basedOn w:val="ImportedStyle2"/>
    <w:rsid w:val="001A0975"/>
    <w:pPr>
      <w:numPr>
        <w:numId w:val="6"/>
      </w:numPr>
    </w:pPr>
  </w:style>
  <w:style w:type="numbering" w:customStyle="1" w:styleId="ImportedStyle2">
    <w:name w:val="Imported Style 2"/>
    <w:rsid w:val="001A0975"/>
  </w:style>
  <w:style w:type="numbering" w:customStyle="1" w:styleId="List21">
    <w:name w:val="List 21"/>
    <w:basedOn w:val="ImportedStyle3"/>
    <w:rsid w:val="001A0975"/>
    <w:pPr>
      <w:numPr>
        <w:numId w:val="9"/>
      </w:numPr>
    </w:pPr>
  </w:style>
  <w:style w:type="numbering" w:customStyle="1" w:styleId="ImportedStyle3">
    <w:name w:val="Imported Style 3"/>
    <w:rsid w:val="001A0975"/>
  </w:style>
  <w:style w:type="numbering" w:customStyle="1" w:styleId="List31">
    <w:name w:val="List 31"/>
    <w:basedOn w:val="ImportedStyle4"/>
    <w:rsid w:val="001A0975"/>
    <w:pPr>
      <w:numPr>
        <w:numId w:val="17"/>
      </w:numPr>
    </w:pPr>
  </w:style>
  <w:style w:type="numbering" w:customStyle="1" w:styleId="ImportedStyle4">
    <w:name w:val="Imported Style 4"/>
    <w:rsid w:val="001A0975"/>
  </w:style>
  <w:style w:type="numbering" w:customStyle="1" w:styleId="List41">
    <w:name w:val="List 41"/>
    <w:basedOn w:val="ImportedStyle5"/>
    <w:rsid w:val="001A0975"/>
    <w:pPr>
      <w:numPr>
        <w:numId w:val="20"/>
      </w:numPr>
    </w:pPr>
  </w:style>
  <w:style w:type="numbering" w:customStyle="1" w:styleId="ImportedStyle5">
    <w:name w:val="Imported Style 5"/>
    <w:rsid w:val="001A0975"/>
  </w:style>
  <w:style w:type="numbering" w:customStyle="1" w:styleId="List51">
    <w:name w:val="List 51"/>
    <w:basedOn w:val="ImportedStyle6"/>
    <w:rsid w:val="001A0975"/>
    <w:pPr>
      <w:numPr>
        <w:numId w:val="23"/>
      </w:numPr>
    </w:pPr>
  </w:style>
  <w:style w:type="numbering" w:customStyle="1" w:styleId="ImportedStyle6">
    <w:name w:val="Imported Style 6"/>
    <w:rsid w:val="001A0975"/>
  </w:style>
  <w:style w:type="numbering" w:customStyle="1" w:styleId="List6">
    <w:name w:val="List 6"/>
    <w:basedOn w:val="ImportedStyle7"/>
    <w:rsid w:val="001A0975"/>
    <w:pPr>
      <w:numPr>
        <w:numId w:val="26"/>
      </w:numPr>
    </w:pPr>
  </w:style>
  <w:style w:type="numbering" w:customStyle="1" w:styleId="ImportedStyle7">
    <w:name w:val="Imported Style 7"/>
    <w:rsid w:val="001A0975"/>
  </w:style>
  <w:style w:type="paragraph" w:styleId="a7">
    <w:name w:val="Balloon Text"/>
    <w:basedOn w:val="a"/>
    <w:link w:val="Char"/>
    <w:uiPriority w:val="99"/>
    <w:semiHidden/>
    <w:unhideWhenUsed/>
    <w:rsid w:val="0070610D"/>
    <w:rPr>
      <w:rFonts w:ascii="Tahoma" w:hAnsi="Tahoma" w:cs="Tahoma"/>
      <w:sz w:val="16"/>
      <w:szCs w:val="16"/>
    </w:rPr>
  </w:style>
  <w:style w:type="character" w:customStyle="1" w:styleId="Char">
    <w:name w:val="批注框文本 Char"/>
    <w:basedOn w:val="a0"/>
    <w:link w:val="a7"/>
    <w:uiPriority w:val="99"/>
    <w:semiHidden/>
    <w:rsid w:val="0070610D"/>
    <w:rPr>
      <w:rFonts w:ascii="Tahoma" w:hAnsi="Tahoma" w:cs="Tahoma"/>
      <w:sz w:val="16"/>
      <w:szCs w:val="16"/>
    </w:rPr>
  </w:style>
  <w:style w:type="character" w:customStyle="1" w:styleId="apple-converted-space">
    <w:name w:val="apple-converted-space"/>
    <w:basedOn w:val="a0"/>
    <w:rsid w:val="00270687"/>
  </w:style>
  <w:style w:type="paragraph" w:styleId="a8">
    <w:name w:val="annotation text"/>
    <w:basedOn w:val="a"/>
    <w:link w:val="Char0"/>
    <w:uiPriority w:val="99"/>
    <w:rsid w:val="005D1FD7"/>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宋体"/>
      <w:kern w:val="2"/>
      <w:sz w:val="21"/>
      <w:bdr w:val="none" w:sz="0" w:space="0" w:color="auto"/>
      <w:lang w:eastAsia="zh-CN"/>
    </w:rPr>
  </w:style>
  <w:style w:type="character" w:customStyle="1" w:styleId="Char0">
    <w:name w:val="批注文字 Char"/>
    <w:basedOn w:val="a0"/>
    <w:link w:val="a8"/>
    <w:uiPriority w:val="99"/>
    <w:rsid w:val="005D1FD7"/>
    <w:rPr>
      <w:rFonts w:eastAsia="宋体"/>
      <w:kern w:val="2"/>
      <w:sz w:val="21"/>
      <w:szCs w:val="24"/>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10882">
      <w:bodyDiv w:val="1"/>
      <w:marLeft w:val="0"/>
      <w:marRight w:val="0"/>
      <w:marTop w:val="0"/>
      <w:marBottom w:val="0"/>
      <w:divBdr>
        <w:top w:val="none" w:sz="0" w:space="0" w:color="auto"/>
        <w:left w:val="none" w:sz="0" w:space="0" w:color="auto"/>
        <w:bottom w:val="none" w:sz="0" w:space="0" w:color="auto"/>
        <w:right w:val="none" w:sz="0" w:space="0" w:color="auto"/>
      </w:divBdr>
    </w:div>
    <w:div w:id="646015976">
      <w:bodyDiv w:val="1"/>
      <w:marLeft w:val="0"/>
      <w:marRight w:val="0"/>
      <w:marTop w:val="0"/>
      <w:marBottom w:val="0"/>
      <w:divBdr>
        <w:top w:val="none" w:sz="0" w:space="0" w:color="auto"/>
        <w:left w:val="none" w:sz="0" w:space="0" w:color="auto"/>
        <w:bottom w:val="none" w:sz="0" w:space="0" w:color="auto"/>
        <w:right w:val="none" w:sz="0" w:space="0" w:color="auto"/>
      </w:divBdr>
    </w:div>
    <w:div w:id="994186124">
      <w:bodyDiv w:val="1"/>
      <w:marLeft w:val="0"/>
      <w:marRight w:val="0"/>
      <w:marTop w:val="0"/>
      <w:marBottom w:val="0"/>
      <w:divBdr>
        <w:top w:val="none" w:sz="0" w:space="0" w:color="auto"/>
        <w:left w:val="none" w:sz="0" w:space="0" w:color="auto"/>
        <w:bottom w:val="none" w:sz="0" w:space="0" w:color="auto"/>
        <w:right w:val="none" w:sz="0" w:space="0" w:color="auto"/>
      </w:divBdr>
    </w:div>
    <w:div w:id="1211576686">
      <w:bodyDiv w:val="1"/>
      <w:marLeft w:val="0"/>
      <w:marRight w:val="0"/>
      <w:marTop w:val="0"/>
      <w:marBottom w:val="0"/>
      <w:divBdr>
        <w:top w:val="none" w:sz="0" w:space="0" w:color="auto"/>
        <w:left w:val="none" w:sz="0" w:space="0" w:color="auto"/>
        <w:bottom w:val="none" w:sz="0" w:space="0" w:color="auto"/>
        <w:right w:val="none" w:sz="0" w:space="0" w:color="auto"/>
      </w:divBdr>
    </w:div>
    <w:div w:id="1594899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richter@mgh.harvard.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427F-B95E-445C-8744-C27E7E6C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5711</Words>
  <Characters>32555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James M.,M.D.</dc:creator>
  <cp:lastModifiedBy>Windows 用户</cp:lastModifiedBy>
  <cp:revision>5</cp:revision>
  <dcterms:created xsi:type="dcterms:W3CDTF">2017-03-29T17:10:00Z</dcterms:created>
  <dcterms:modified xsi:type="dcterms:W3CDTF">2017-03-30T03:36:00Z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1083415778</vt:i4>
  </property>
  <property fmtid="{D5CDD505-2E9C-101B-9397-08002B2CF9AE}" pid="3" name="_NewReviewCycle">
    <vt:lpwstr/>
  </property>
  <property fmtid="{D5CDD505-2E9C-101B-9397-08002B2CF9AE}" pid="4" name="_EmailSubject">
    <vt:lpwstr>the paper</vt:lpwstr>
  </property>
  <property fmtid="{D5CDD505-2E9C-101B-9397-08002B2CF9AE}" pid="5" name="_AuthorEmail">
    <vt:lpwstr>JRICHTER@mgh.harvard.edu</vt:lpwstr>
  </property>
  <property fmtid="{D5CDD505-2E9C-101B-9397-08002B2CF9AE}" pid="6" name="_AuthorEmailDisplayName">
    <vt:lpwstr>Richter, James M.,M.D.</vt:lpwstr>
  </property>
  <property fmtid="{D5CDD505-2E9C-101B-9397-08002B2CF9AE}" pid="7" name="_ReviewingToolsShownOnce">
    <vt:lpwstr/>
  </property>
</Properties>
</file>