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57F8" w:rsidRPr="004E3E19" w:rsidRDefault="002905C9" w:rsidP="00424106">
      <w:pPr>
        <w:adjustRightInd w:val="0"/>
        <w:snapToGrid w:val="0"/>
        <w:spacing w:after="0" w:line="360" w:lineRule="auto"/>
        <w:jc w:val="left"/>
        <w:rPr>
          <w:rFonts w:ascii="Book Antiqua" w:eastAsia="Book Antiqua" w:hAnsi="Book Antiqua" w:cs="Book Antiqua"/>
          <w:b/>
          <w:sz w:val="24"/>
          <w:lang w:val="en-GB"/>
        </w:rPr>
      </w:pPr>
      <w:r w:rsidRPr="004E3E19">
        <w:rPr>
          <w:rFonts w:ascii="Book Antiqua" w:eastAsia="Book Antiqua" w:hAnsi="Book Antiqua" w:cs="Book Antiqua"/>
          <w:b/>
          <w:bCs/>
          <w:sz w:val="24"/>
          <w:lang w:val="en-GB"/>
        </w:rPr>
        <w:t xml:space="preserve">Name of Journal: </w:t>
      </w:r>
      <w:r w:rsidRPr="004E3E19">
        <w:rPr>
          <w:rFonts w:ascii="Book Antiqua" w:eastAsia="Book Antiqua" w:hAnsi="Book Antiqua" w:cs="Book Antiqua"/>
          <w:b/>
          <w:sz w:val="24"/>
          <w:lang w:val="en-GB"/>
        </w:rPr>
        <w:t>World Journal of Gastroenterology</w:t>
      </w:r>
    </w:p>
    <w:p w:rsidR="00D757F8" w:rsidRPr="004E3E19" w:rsidRDefault="002905C9" w:rsidP="00424106">
      <w:pPr>
        <w:adjustRightInd w:val="0"/>
        <w:snapToGrid w:val="0"/>
        <w:spacing w:after="0" w:line="360" w:lineRule="auto"/>
        <w:jc w:val="left"/>
        <w:rPr>
          <w:rFonts w:ascii="Book Antiqua" w:eastAsia="Book Antiqua" w:hAnsi="Book Antiqua" w:cs="Book Antiqua"/>
          <w:b/>
          <w:sz w:val="24"/>
          <w:lang w:val="en-GB"/>
        </w:rPr>
      </w:pPr>
      <w:r w:rsidRPr="004E3E19">
        <w:rPr>
          <w:rFonts w:ascii="Book Antiqua" w:eastAsia="Book Antiqua" w:hAnsi="Book Antiqua" w:cs="Book Antiqua"/>
          <w:b/>
          <w:bCs/>
          <w:sz w:val="24"/>
          <w:lang w:val="en-GB"/>
        </w:rPr>
        <w:t xml:space="preserve">ESPS Manuscript NO: </w:t>
      </w:r>
      <w:r w:rsidRPr="004E3E19">
        <w:rPr>
          <w:rFonts w:ascii="Book Antiqua" w:hAnsi="Book Antiqua" w:cs="Book Antiqua"/>
          <w:b/>
          <w:sz w:val="24"/>
          <w:lang w:val="en-GB"/>
        </w:rPr>
        <w:t>31775</w:t>
      </w:r>
    </w:p>
    <w:p w:rsidR="00D757F8" w:rsidRPr="004E3E19" w:rsidRDefault="002905C9" w:rsidP="00424106">
      <w:pPr>
        <w:adjustRightInd w:val="0"/>
        <w:snapToGrid w:val="0"/>
        <w:spacing w:after="0" w:line="360" w:lineRule="auto"/>
        <w:rPr>
          <w:rFonts w:ascii="Book Antiqua" w:eastAsiaTheme="minorEastAsia" w:hAnsi="Book Antiqua" w:cs="Book Antiqua"/>
          <w:b/>
          <w:sz w:val="24"/>
          <w:lang w:val="en-GB"/>
        </w:rPr>
      </w:pPr>
      <w:r w:rsidRPr="004E3E19">
        <w:rPr>
          <w:rFonts w:ascii="Book Antiqua" w:eastAsia="Book Antiqua" w:hAnsi="Book Antiqua" w:cs="Book Antiqua"/>
          <w:b/>
          <w:bCs/>
          <w:sz w:val="24"/>
          <w:lang w:val="en-GB"/>
        </w:rPr>
        <w:t xml:space="preserve">Manuscript Type: </w:t>
      </w:r>
      <w:r w:rsidRPr="004E3E19">
        <w:rPr>
          <w:rFonts w:ascii="Book Antiqua" w:eastAsia="Book Antiqua" w:hAnsi="Book Antiqua" w:cs="Book Antiqua"/>
          <w:b/>
          <w:sz w:val="24"/>
          <w:lang w:val="en-GB"/>
        </w:rPr>
        <w:t>META-ANALYSIS</w:t>
      </w:r>
    </w:p>
    <w:p w:rsidR="002905C9" w:rsidRPr="004E3E19" w:rsidRDefault="002905C9" w:rsidP="00424106">
      <w:pPr>
        <w:adjustRightInd w:val="0"/>
        <w:snapToGrid w:val="0"/>
        <w:spacing w:after="0" w:line="360" w:lineRule="auto"/>
        <w:rPr>
          <w:rFonts w:ascii="Book Antiqua" w:eastAsiaTheme="minorEastAsia" w:hAnsi="Book Antiqua" w:cs="Book Antiqua"/>
          <w:b/>
          <w:sz w:val="24"/>
          <w:lang w:val="en-GB"/>
        </w:rPr>
      </w:pPr>
    </w:p>
    <w:p w:rsidR="00D757F8" w:rsidRPr="004E3E19" w:rsidRDefault="002905C9" w:rsidP="00424106">
      <w:pPr>
        <w:adjustRightInd w:val="0"/>
        <w:snapToGrid w:val="0"/>
        <w:spacing w:after="0" w:line="360" w:lineRule="auto"/>
        <w:rPr>
          <w:rFonts w:ascii="Book Antiqua" w:hAnsi="Book Antiqua" w:cs="Book Antiqua"/>
          <w:b/>
          <w:sz w:val="24"/>
          <w:lang w:val="en-GB"/>
        </w:rPr>
      </w:pPr>
      <w:bookmarkStart w:id="0" w:name="OLE_LINK19"/>
      <w:r w:rsidRPr="004E3E19">
        <w:rPr>
          <w:rFonts w:ascii="Book Antiqua" w:hAnsi="Book Antiqua" w:cs="Book Antiqua"/>
          <w:b/>
          <w:sz w:val="24"/>
          <w:lang w:val="en-GB"/>
        </w:rPr>
        <w:t xml:space="preserve">Association between </w:t>
      </w:r>
      <w:bookmarkStart w:id="1" w:name="OLE_LINK31"/>
      <w:r w:rsidRPr="004E3E19">
        <w:rPr>
          <w:rFonts w:ascii="Book Antiqua" w:hAnsi="Book Antiqua" w:cs="Book Antiqua"/>
          <w:b/>
          <w:sz w:val="24"/>
          <w:lang w:val="en-GB"/>
        </w:rPr>
        <w:t>COX-2 -1195G&gt;A polymorphism and gastrointestinal cancer</w:t>
      </w:r>
      <w:bookmarkEnd w:id="1"/>
      <w:r w:rsidRPr="004E3E19">
        <w:rPr>
          <w:rFonts w:ascii="Book Antiqua" w:hAnsi="Book Antiqua" w:cs="Book Antiqua"/>
          <w:b/>
          <w:sz w:val="24"/>
          <w:lang w:val="en-GB"/>
        </w:rPr>
        <w:t xml:space="preserve"> risk: A meta-analysis</w:t>
      </w:r>
    </w:p>
    <w:p w:rsidR="002905C9" w:rsidRPr="004E3E19" w:rsidRDefault="002905C9" w:rsidP="00424106">
      <w:pPr>
        <w:adjustRightInd w:val="0"/>
        <w:snapToGrid w:val="0"/>
        <w:spacing w:after="0" w:line="360" w:lineRule="auto"/>
        <w:rPr>
          <w:rFonts w:ascii="Book Antiqua" w:hAnsi="Book Antiqua" w:cs="Book Antiqua"/>
          <w:b/>
          <w:sz w:val="24"/>
          <w:lang w:val="en-GB"/>
        </w:rPr>
      </w:pPr>
    </w:p>
    <w:p w:rsidR="00D757F8" w:rsidRPr="004E3E19" w:rsidRDefault="002905C9" w:rsidP="00424106">
      <w:pPr>
        <w:adjustRightInd w:val="0"/>
        <w:snapToGrid w:val="0"/>
        <w:spacing w:after="0" w:line="360" w:lineRule="auto"/>
        <w:rPr>
          <w:rFonts w:ascii="Book Antiqua" w:hAnsi="Book Antiqua" w:cs="Book Antiqua"/>
          <w:sz w:val="24"/>
          <w:lang w:val="en-GB"/>
        </w:rPr>
      </w:pPr>
      <w:r w:rsidRPr="004E3E19">
        <w:rPr>
          <w:rFonts w:ascii="Book Antiqua" w:hAnsi="Book Antiqua" w:cs="Book Antiqua"/>
          <w:sz w:val="24"/>
          <w:lang w:val="en-GB"/>
        </w:rPr>
        <w:t>Zhang XW</w:t>
      </w:r>
      <w:r w:rsidRPr="004E3E19">
        <w:rPr>
          <w:rFonts w:ascii="Book Antiqua" w:eastAsia="Book Antiqua" w:hAnsi="Book Antiqua"/>
          <w:sz w:val="24"/>
          <w:lang w:val="en-GB"/>
        </w:rPr>
        <w:t xml:space="preserve"> </w:t>
      </w:r>
      <w:r w:rsidR="004578D3" w:rsidRPr="004578D3">
        <w:rPr>
          <w:rFonts w:ascii="Book Antiqua" w:eastAsia="Book Antiqua" w:hAnsi="Book Antiqua"/>
          <w:i/>
          <w:sz w:val="24"/>
          <w:lang w:val="en-GB"/>
        </w:rPr>
        <w:t>et al</w:t>
      </w:r>
      <w:r w:rsidRPr="004E3E19">
        <w:rPr>
          <w:rFonts w:ascii="Book Antiqua" w:eastAsia="Book Antiqua" w:hAnsi="Book Antiqua"/>
          <w:i/>
          <w:sz w:val="24"/>
          <w:lang w:val="en-GB"/>
        </w:rPr>
        <w:t>.</w:t>
      </w:r>
      <w:r w:rsidRPr="004E3E19">
        <w:rPr>
          <w:rFonts w:ascii="Book Antiqua" w:hAnsi="Book Antiqua"/>
          <w:i/>
          <w:sz w:val="24"/>
          <w:lang w:val="en-GB"/>
        </w:rPr>
        <w:t xml:space="preserve"> </w:t>
      </w:r>
      <w:r w:rsidRPr="004E3E19">
        <w:rPr>
          <w:rFonts w:ascii="Book Antiqua" w:hAnsi="Book Antiqua" w:cs="Book Antiqua"/>
          <w:sz w:val="24"/>
          <w:lang w:val="en-GB"/>
        </w:rPr>
        <w:t>COX-2 -1195G&gt;A polymorphism and gastrointestinal cancer</w:t>
      </w:r>
    </w:p>
    <w:p w:rsidR="002905C9" w:rsidRPr="004E3E19" w:rsidRDefault="002905C9" w:rsidP="00424106">
      <w:pPr>
        <w:adjustRightInd w:val="0"/>
        <w:snapToGrid w:val="0"/>
        <w:spacing w:after="0" w:line="360" w:lineRule="auto"/>
        <w:rPr>
          <w:rFonts w:ascii="Book Antiqua" w:hAnsi="Book Antiqua" w:cs="Book Antiqua"/>
          <w:sz w:val="24"/>
          <w:lang w:val="en-GB"/>
        </w:rPr>
      </w:pPr>
    </w:p>
    <w:p w:rsidR="00D757F8" w:rsidRPr="004E3E19" w:rsidRDefault="002905C9" w:rsidP="00424106">
      <w:pPr>
        <w:adjustRightInd w:val="0"/>
        <w:snapToGrid w:val="0"/>
        <w:spacing w:after="0" w:line="360" w:lineRule="auto"/>
        <w:jc w:val="left"/>
        <w:rPr>
          <w:rFonts w:ascii="Book Antiqua" w:hAnsi="Book Antiqua" w:cs="Book Antiqua"/>
          <w:bCs/>
          <w:sz w:val="24"/>
          <w:lang w:val="en-GB"/>
        </w:rPr>
      </w:pPr>
      <w:bookmarkStart w:id="2" w:name="OLE_LINK8"/>
      <w:bookmarkEnd w:id="0"/>
      <w:r w:rsidRPr="004E3E19">
        <w:rPr>
          <w:rFonts w:ascii="Book Antiqua" w:hAnsi="Book Antiqua" w:cs="Book Antiqua"/>
          <w:bCs/>
          <w:sz w:val="24"/>
          <w:lang w:val="en-GB"/>
        </w:rPr>
        <w:t xml:space="preserve">Xiao-Wei Zhang, Jun Li, </w:t>
      </w:r>
      <w:bookmarkStart w:id="3" w:name="OLE_LINK7"/>
      <w:r w:rsidRPr="004E3E19">
        <w:rPr>
          <w:rFonts w:ascii="Book Antiqua" w:hAnsi="Book Antiqua" w:cs="Book Antiqua"/>
          <w:bCs/>
          <w:sz w:val="24"/>
          <w:lang w:val="en-GB"/>
        </w:rPr>
        <w:t xml:space="preserve">Yu-Xing Jiang, </w:t>
      </w:r>
      <w:bookmarkEnd w:id="3"/>
      <w:r w:rsidRPr="004E3E19">
        <w:rPr>
          <w:rFonts w:ascii="Book Antiqua" w:hAnsi="Book Antiqua" w:cs="Book Antiqua"/>
          <w:bCs/>
          <w:sz w:val="24"/>
          <w:lang w:val="en-GB"/>
        </w:rPr>
        <w:t>Yu-Xiang Chen</w:t>
      </w:r>
      <w:bookmarkEnd w:id="2"/>
    </w:p>
    <w:p w:rsidR="002905C9" w:rsidRPr="004E3E19" w:rsidRDefault="002905C9" w:rsidP="00424106">
      <w:pPr>
        <w:adjustRightInd w:val="0"/>
        <w:snapToGrid w:val="0"/>
        <w:spacing w:after="0" w:line="360" w:lineRule="auto"/>
        <w:jc w:val="left"/>
        <w:rPr>
          <w:rFonts w:ascii="Book Antiqua" w:hAnsi="Book Antiqua" w:cs="Book Antiqua"/>
          <w:sz w:val="24"/>
          <w:lang w:val="en-GB"/>
        </w:rPr>
      </w:pPr>
    </w:p>
    <w:p w:rsidR="00D757F8" w:rsidRPr="004E3E19" w:rsidRDefault="002905C9" w:rsidP="00424106">
      <w:pPr>
        <w:autoSpaceDE w:val="0"/>
        <w:autoSpaceDN w:val="0"/>
        <w:adjustRightInd w:val="0"/>
        <w:snapToGrid w:val="0"/>
        <w:spacing w:after="0" w:line="360" w:lineRule="auto"/>
        <w:rPr>
          <w:rFonts w:ascii="Book Antiqua" w:hAnsi="Book Antiqua" w:cs="Book Antiqua"/>
          <w:kern w:val="0"/>
          <w:sz w:val="24"/>
          <w:lang w:val="en-GB"/>
        </w:rPr>
      </w:pPr>
      <w:r w:rsidRPr="004E3E19">
        <w:rPr>
          <w:rFonts w:ascii="Book Antiqua" w:hAnsi="Book Antiqua" w:cs="Book Antiqua"/>
          <w:b/>
          <w:bCs/>
          <w:sz w:val="24"/>
          <w:lang w:val="en-GB"/>
        </w:rPr>
        <w:t>Xiao-Wei Zhang, Jun Li, Yu-Xiang Chen</w:t>
      </w:r>
      <w:r w:rsidRPr="004E3E19">
        <w:rPr>
          <w:rFonts w:ascii="Book Antiqua" w:hAnsi="Book Antiqua" w:cs="Book Antiqua"/>
          <w:b/>
          <w:bCs/>
          <w:kern w:val="0"/>
          <w:sz w:val="24"/>
          <w:lang w:val="en-GB"/>
        </w:rPr>
        <w:t xml:space="preserve">, </w:t>
      </w:r>
      <w:r w:rsidRPr="004E3E19">
        <w:rPr>
          <w:rFonts w:ascii="Book Antiqua" w:hAnsi="Book Antiqua" w:cs="Book Antiqua"/>
          <w:kern w:val="0"/>
          <w:sz w:val="24"/>
          <w:lang w:val="en-GB"/>
        </w:rPr>
        <w:t>Department of Gastrointestinal and Blood Vessels Surgery, Deyang People’s Hospital, Deyang 618099, Sichuan Province, China</w:t>
      </w:r>
    </w:p>
    <w:p w:rsidR="002905C9" w:rsidRPr="004E3E19" w:rsidRDefault="002905C9" w:rsidP="00424106">
      <w:pPr>
        <w:autoSpaceDE w:val="0"/>
        <w:autoSpaceDN w:val="0"/>
        <w:adjustRightInd w:val="0"/>
        <w:snapToGrid w:val="0"/>
        <w:spacing w:after="0" w:line="360" w:lineRule="auto"/>
        <w:rPr>
          <w:rFonts w:ascii="Book Antiqua" w:hAnsi="Book Antiqua" w:cs="Book Antiqua"/>
          <w:kern w:val="0"/>
          <w:sz w:val="24"/>
          <w:lang w:val="en-GB"/>
        </w:rPr>
      </w:pPr>
    </w:p>
    <w:p w:rsidR="00D757F8" w:rsidRPr="004E3E19" w:rsidRDefault="002905C9" w:rsidP="00424106">
      <w:pPr>
        <w:autoSpaceDE w:val="0"/>
        <w:autoSpaceDN w:val="0"/>
        <w:adjustRightInd w:val="0"/>
        <w:snapToGrid w:val="0"/>
        <w:spacing w:after="0" w:line="360" w:lineRule="auto"/>
        <w:rPr>
          <w:rFonts w:ascii="Book Antiqua" w:hAnsi="Book Antiqua" w:cs="Book Antiqua"/>
          <w:kern w:val="0"/>
          <w:sz w:val="24"/>
          <w:lang w:val="en-GB"/>
        </w:rPr>
      </w:pPr>
      <w:r w:rsidRPr="004E3E19">
        <w:rPr>
          <w:rFonts w:ascii="Book Antiqua" w:hAnsi="Book Antiqua" w:cs="Book Antiqua"/>
          <w:b/>
          <w:bCs/>
          <w:sz w:val="24"/>
          <w:lang w:val="en-GB"/>
        </w:rPr>
        <w:t xml:space="preserve">Yu-Xing Jiang, </w:t>
      </w:r>
      <w:r w:rsidRPr="004E3E19">
        <w:rPr>
          <w:rFonts w:ascii="Book Antiqua" w:hAnsi="Book Antiqua" w:cs="Book Antiqua"/>
          <w:kern w:val="0"/>
          <w:sz w:val="24"/>
          <w:lang w:val="en-GB"/>
        </w:rPr>
        <w:t xml:space="preserve">Department of General Surgery and Center of Minimal Invasive </w:t>
      </w:r>
      <w:bookmarkStart w:id="4" w:name="OLE_LINK1"/>
      <w:r w:rsidRPr="004E3E19">
        <w:rPr>
          <w:rFonts w:ascii="Book Antiqua" w:hAnsi="Book Antiqua" w:cs="Book Antiqua"/>
          <w:kern w:val="0"/>
          <w:sz w:val="24"/>
          <w:lang w:val="en-GB"/>
        </w:rPr>
        <w:t>Gastrointestinal</w:t>
      </w:r>
      <w:bookmarkEnd w:id="4"/>
      <w:r w:rsidRPr="004E3E19">
        <w:rPr>
          <w:rFonts w:ascii="Book Antiqua" w:hAnsi="Book Antiqua" w:cs="Book Antiqua"/>
          <w:kern w:val="0"/>
          <w:sz w:val="24"/>
          <w:lang w:val="en-GB"/>
        </w:rPr>
        <w:t xml:space="preserve"> Surgery, Southwest Hospital, Third Military Medical University, Chongqing 400038, China</w:t>
      </w:r>
    </w:p>
    <w:p w:rsidR="002905C9" w:rsidRPr="004E3E19" w:rsidRDefault="002905C9" w:rsidP="00424106">
      <w:pPr>
        <w:autoSpaceDE w:val="0"/>
        <w:autoSpaceDN w:val="0"/>
        <w:adjustRightInd w:val="0"/>
        <w:snapToGrid w:val="0"/>
        <w:spacing w:after="0" w:line="360" w:lineRule="auto"/>
        <w:rPr>
          <w:rFonts w:ascii="Book Antiqua" w:hAnsi="Book Antiqua" w:cs="Book Antiqua"/>
          <w:kern w:val="0"/>
          <w:sz w:val="24"/>
          <w:lang w:val="en-GB"/>
        </w:rPr>
      </w:pPr>
    </w:p>
    <w:p w:rsidR="00D757F8" w:rsidRPr="004E3E19" w:rsidRDefault="002905C9" w:rsidP="00424106">
      <w:pPr>
        <w:autoSpaceDE w:val="0"/>
        <w:autoSpaceDN w:val="0"/>
        <w:adjustRightInd w:val="0"/>
        <w:snapToGrid w:val="0"/>
        <w:spacing w:after="0" w:line="360" w:lineRule="auto"/>
        <w:rPr>
          <w:rFonts w:ascii="Book Antiqua" w:hAnsi="Book Antiqua" w:cs="Book Antiqua"/>
          <w:sz w:val="24"/>
          <w:lang w:val="en-GB"/>
        </w:rPr>
      </w:pPr>
      <w:r w:rsidRPr="004E3E19">
        <w:rPr>
          <w:rFonts w:ascii="Book Antiqua" w:eastAsia="Book Antiqua" w:hAnsi="Book Antiqua" w:cs="Book Antiqua"/>
          <w:b/>
          <w:bCs/>
          <w:sz w:val="24"/>
          <w:lang w:val="en-GB"/>
        </w:rPr>
        <w:t>Author contributions:</w:t>
      </w:r>
      <w:r w:rsidRPr="004E3E19">
        <w:rPr>
          <w:rFonts w:ascii="Book Antiqua" w:hAnsi="Book Antiqua" w:cs="Book Antiqua"/>
          <w:b/>
          <w:bCs/>
          <w:sz w:val="24"/>
          <w:lang w:val="en-GB"/>
        </w:rPr>
        <w:t xml:space="preserve"> </w:t>
      </w:r>
      <w:r w:rsidRPr="004E3E19">
        <w:rPr>
          <w:rFonts w:ascii="Book Antiqua" w:hAnsi="Book Antiqua" w:cs="Book Antiqua"/>
          <w:sz w:val="24"/>
          <w:lang w:val="en-GB"/>
        </w:rPr>
        <w:t>Chen YX and Zhang XW c</w:t>
      </w:r>
      <w:r w:rsidRPr="004E3E19">
        <w:rPr>
          <w:rFonts w:ascii="Book Antiqua" w:eastAsia="Book Antiqua" w:hAnsi="Book Antiqua" w:cs="Book Antiqua"/>
          <w:sz w:val="24"/>
          <w:lang w:val="en-GB"/>
        </w:rPr>
        <w:t xml:space="preserve">onceived and designed the </w:t>
      </w:r>
      <w:r w:rsidRPr="004E3E19">
        <w:rPr>
          <w:rFonts w:ascii="Book Antiqua" w:hAnsi="Book Antiqua" w:cs="Book Antiqua"/>
          <w:sz w:val="24"/>
          <w:lang w:val="en-GB"/>
        </w:rPr>
        <w:t>study;</w:t>
      </w:r>
      <w:r w:rsidRPr="004E3E19">
        <w:rPr>
          <w:rFonts w:ascii="Book Antiqua" w:eastAsia="Book Antiqua" w:hAnsi="Book Antiqua" w:cs="Book Antiqua"/>
          <w:sz w:val="24"/>
          <w:lang w:val="en-GB"/>
        </w:rPr>
        <w:t xml:space="preserve"> </w:t>
      </w:r>
      <w:r w:rsidRPr="004E3E19">
        <w:rPr>
          <w:rFonts w:ascii="Book Antiqua" w:hAnsi="Book Antiqua" w:cs="Book Antiqua"/>
          <w:sz w:val="24"/>
          <w:lang w:val="en-GB"/>
        </w:rPr>
        <w:t xml:space="preserve">Li J and Jiang YX </w:t>
      </w:r>
      <w:r w:rsidRPr="004E3E19">
        <w:rPr>
          <w:rFonts w:ascii="Book Antiqua" w:eastAsia="Book Antiqua" w:hAnsi="Book Antiqua" w:cs="Book Antiqua"/>
          <w:sz w:val="24"/>
          <w:lang w:val="en-GB"/>
        </w:rPr>
        <w:t>designed the data extraction tool and conducted the literature searches</w:t>
      </w:r>
      <w:r w:rsidRPr="004E3E19">
        <w:rPr>
          <w:rFonts w:ascii="Book Antiqua" w:hAnsi="Book Antiqua" w:cs="Book Antiqua"/>
          <w:sz w:val="24"/>
          <w:lang w:val="en-GB"/>
        </w:rPr>
        <w:t xml:space="preserve">; Zhang XW and Li J </w:t>
      </w:r>
      <w:r w:rsidRPr="004E3E19">
        <w:rPr>
          <w:rFonts w:ascii="Book Antiqua" w:eastAsia="Book Antiqua" w:hAnsi="Book Antiqua" w:cs="Book Antiqua"/>
          <w:sz w:val="24"/>
          <w:lang w:val="en-GB"/>
        </w:rPr>
        <w:t>interpreted and extracted the data</w:t>
      </w:r>
      <w:r w:rsidRPr="004E3E19">
        <w:rPr>
          <w:rFonts w:ascii="Book Antiqua" w:hAnsi="Book Antiqua" w:cs="Book Antiqua"/>
          <w:sz w:val="24"/>
          <w:lang w:val="en-GB"/>
        </w:rPr>
        <w:t>; Zhang XW, Li J and Jiang YX performed the statistical analysis; Zhang XW and Li J wrote the first draft of the manuscript; Chen YX and Jiang YX contributed to the revising of the manuscript.</w:t>
      </w:r>
    </w:p>
    <w:p w:rsidR="002905C9" w:rsidRPr="004E3E19" w:rsidRDefault="002905C9" w:rsidP="00424106">
      <w:pPr>
        <w:autoSpaceDE w:val="0"/>
        <w:autoSpaceDN w:val="0"/>
        <w:adjustRightInd w:val="0"/>
        <w:snapToGrid w:val="0"/>
        <w:spacing w:after="0" w:line="360" w:lineRule="auto"/>
        <w:rPr>
          <w:rFonts w:ascii="Book Antiqua" w:eastAsia="Book Antiqua" w:hAnsi="Book Antiqua" w:cs="Book Antiqua"/>
          <w:sz w:val="24"/>
          <w:lang w:val="en-GB"/>
        </w:rPr>
      </w:pPr>
    </w:p>
    <w:p w:rsidR="00D757F8" w:rsidRPr="004E3E19" w:rsidRDefault="002905C9" w:rsidP="00424106">
      <w:pPr>
        <w:adjustRightInd w:val="0"/>
        <w:snapToGrid w:val="0"/>
        <w:spacing w:after="0" w:line="360" w:lineRule="auto"/>
        <w:jc w:val="left"/>
        <w:rPr>
          <w:rFonts w:ascii="Book Antiqua" w:eastAsiaTheme="minorEastAsia" w:hAnsi="Book Antiqua" w:cs="Book Antiqua"/>
          <w:sz w:val="24"/>
          <w:lang w:val="en-GB"/>
        </w:rPr>
      </w:pPr>
      <w:r w:rsidRPr="004E3E19">
        <w:rPr>
          <w:rFonts w:ascii="Book Antiqua" w:eastAsia="Book Antiqua" w:hAnsi="Book Antiqua" w:cs="Book Antiqua"/>
          <w:b/>
          <w:bCs/>
          <w:sz w:val="24"/>
          <w:lang w:val="en-GB"/>
        </w:rPr>
        <w:t xml:space="preserve">Conflict-of-interest statement: </w:t>
      </w:r>
      <w:r w:rsidRPr="004E3E19">
        <w:rPr>
          <w:rFonts w:ascii="Book Antiqua" w:eastAsia="Book Antiqua" w:hAnsi="Book Antiqua" w:cs="Book Antiqua"/>
          <w:sz w:val="24"/>
          <w:lang w:val="en-GB"/>
        </w:rPr>
        <w:t>The authors declare no conflict</w:t>
      </w:r>
      <w:r w:rsidRPr="004E3E19">
        <w:rPr>
          <w:rFonts w:ascii="Book Antiqua" w:hAnsi="Book Antiqua" w:cs="Book Antiqua"/>
          <w:sz w:val="24"/>
          <w:lang w:val="en-GB"/>
        </w:rPr>
        <w:t>s</w:t>
      </w:r>
      <w:r w:rsidRPr="004E3E19">
        <w:rPr>
          <w:rFonts w:ascii="Book Antiqua" w:eastAsia="Book Antiqua" w:hAnsi="Book Antiqua" w:cs="Book Antiqua"/>
          <w:sz w:val="24"/>
          <w:lang w:val="en-GB"/>
        </w:rPr>
        <w:t xml:space="preserve"> of interest.</w:t>
      </w:r>
    </w:p>
    <w:p w:rsidR="002905C9" w:rsidRPr="004E3E19" w:rsidRDefault="002905C9" w:rsidP="00424106">
      <w:pPr>
        <w:adjustRightInd w:val="0"/>
        <w:snapToGrid w:val="0"/>
        <w:spacing w:after="0" w:line="360" w:lineRule="auto"/>
        <w:jc w:val="left"/>
        <w:rPr>
          <w:rFonts w:ascii="Book Antiqua" w:eastAsiaTheme="minorEastAsia" w:hAnsi="Book Antiqua" w:cs="Book Antiqua"/>
          <w:sz w:val="24"/>
          <w:lang w:val="en-GB"/>
        </w:rPr>
      </w:pPr>
    </w:p>
    <w:p w:rsidR="00D757F8" w:rsidRPr="004E3E19" w:rsidRDefault="002905C9" w:rsidP="00424106">
      <w:pPr>
        <w:autoSpaceDE w:val="0"/>
        <w:autoSpaceDN w:val="0"/>
        <w:adjustRightInd w:val="0"/>
        <w:snapToGrid w:val="0"/>
        <w:spacing w:after="0" w:line="360" w:lineRule="auto"/>
        <w:rPr>
          <w:rFonts w:ascii="Book Antiqua" w:eastAsiaTheme="minorEastAsia" w:hAnsi="Book Antiqua" w:cs="Book Antiqua"/>
          <w:sz w:val="24"/>
          <w:lang w:val="en-GB"/>
        </w:rPr>
      </w:pPr>
      <w:r w:rsidRPr="004E3E19">
        <w:rPr>
          <w:rFonts w:ascii="Book Antiqua" w:eastAsia="Book Antiqua" w:hAnsi="Book Antiqua" w:cs="Book Antiqua"/>
          <w:b/>
          <w:bCs/>
          <w:sz w:val="24"/>
          <w:lang w:val="en-GB"/>
        </w:rPr>
        <w:t xml:space="preserve">Data sharing statement: </w:t>
      </w:r>
      <w:r w:rsidRPr="004E3E19">
        <w:rPr>
          <w:rFonts w:ascii="Book Antiqua" w:eastAsia="Book Antiqua" w:hAnsi="Book Antiqua" w:cs="Book Antiqua"/>
          <w:sz w:val="24"/>
          <w:lang w:val="en-GB"/>
        </w:rPr>
        <w:t>No additional data are available.</w:t>
      </w:r>
    </w:p>
    <w:p w:rsidR="00094F25" w:rsidRPr="004E3E19" w:rsidRDefault="00094F25" w:rsidP="00424106">
      <w:pPr>
        <w:autoSpaceDE w:val="0"/>
        <w:autoSpaceDN w:val="0"/>
        <w:adjustRightInd w:val="0"/>
        <w:snapToGrid w:val="0"/>
        <w:spacing w:after="0" w:line="360" w:lineRule="auto"/>
        <w:rPr>
          <w:rFonts w:ascii="Book Antiqua" w:eastAsiaTheme="minorEastAsia" w:hAnsi="Book Antiqua" w:cs="Book Antiqua"/>
          <w:sz w:val="24"/>
          <w:lang w:val="en-GB"/>
        </w:rPr>
      </w:pPr>
    </w:p>
    <w:p w:rsidR="00D757F8" w:rsidRPr="004E3E19" w:rsidRDefault="002905C9" w:rsidP="00424106">
      <w:pPr>
        <w:autoSpaceDE w:val="0"/>
        <w:autoSpaceDN w:val="0"/>
        <w:adjustRightInd w:val="0"/>
        <w:snapToGrid w:val="0"/>
        <w:spacing w:after="0" w:line="360" w:lineRule="auto"/>
        <w:rPr>
          <w:rStyle w:val="aa"/>
          <w:rFonts w:ascii="Book Antiqua" w:eastAsiaTheme="minorEastAsia" w:hAnsi="Book Antiqua" w:cs="Book Antiqua"/>
          <w:sz w:val="24"/>
          <w:lang w:val="en-GB"/>
        </w:rPr>
      </w:pPr>
      <w:r w:rsidRPr="004E3E19">
        <w:rPr>
          <w:rFonts w:ascii="Book Antiqua" w:eastAsia="Book Antiqua" w:hAnsi="Book Antiqua" w:cs="Book Antiqua"/>
          <w:b/>
          <w:bCs/>
          <w:sz w:val="24"/>
          <w:lang w:val="en-GB"/>
        </w:rPr>
        <w:t xml:space="preserve">Open-Access: </w:t>
      </w:r>
      <w:r w:rsidRPr="004E3E19">
        <w:rPr>
          <w:rFonts w:ascii="Book Antiqua" w:eastAsia="Book Antiqua" w:hAnsi="Book Antiqua" w:cs="Book Antiqua"/>
          <w:sz w:val="24"/>
          <w:lang w:val="en-GB"/>
        </w:rPr>
        <w:t xml:space="preserve">This article is an open-access article that was selected by an </w:t>
      </w:r>
      <w:r w:rsidRPr="004E3E19">
        <w:rPr>
          <w:rFonts w:ascii="Book Antiqua" w:eastAsia="Book Antiqua" w:hAnsi="Book Antiqua" w:cs="Book Antiqua"/>
          <w:sz w:val="24"/>
          <w:lang w:val="en-GB"/>
        </w:rPr>
        <w:lastRenderedPageBreak/>
        <w:t>in-house editor</w:t>
      </w:r>
      <w:r w:rsidRPr="004E3E19">
        <w:rPr>
          <w:rFonts w:ascii="Book Antiqua" w:hAnsi="Book Antiqua" w:cs="Book Antiqua"/>
          <w:sz w:val="24"/>
          <w:lang w:val="en-GB"/>
        </w:rPr>
        <w:t xml:space="preserve"> </w:t>
      </w:r>
      <w:r w:rsidRPr="004E3E19">
        <w:rPr>
          <w:rFonts w:ascii="Book Antiqua" w:eastAsia="Book Antiqua" w:hAnsi="Book Antiqua" w:cs="Book Antiqua"/>
          <w:sz w:val="24"/>
          <w:lang w:val="en-GB"/>
        </w:rPr>
        <w:t>and fully peer-reviewed by external reviewers. It is distributed in accordance with the</w:t>
      </w:r>
      <w:r w:rsidRPr="004E3E19">
        <w:rPr>
          <w:rFonts w:ascii="Book Antiqua" w:hAnsi="Book Antiqua" w:cs="Book Antiqua"/>
          <w:sz w:val="24"/>
          <w:lang w:val="en-GB"/>
        </w:rPr>
        <w:t xml:space="preserve"> </w:t>
      </w:r>
      <w:r w:rsidRPr="004E3E19">
        <w:rPr>
          <w:rFonts w:ascii="Book Antiqua" w:eastAsia="Book Antiqua" w:hAnsi="Book Antiqua" w:cs="Book Antiqua"/>
          <w:sz w:val="24"/>
          <w:lang w:val="en-GB"/>
        </w:rPr>
        <w:t>Creative Commons Attribution Non-Commercial (CC BY-NC 4.0) license, which permits</w:t>
      </w:r>
      <w:r w:rsidRPr="004E3E19">
        <w:rPr>
          <w:rFonts w:ascii="Book Antiqua" w:hAnsi="Book Antiqua" w:cs="Book Antiqua"/>
          <w:sz w:val="24"/>
          <w:lang w:val="en-GB"/>
        </w:rPr>
        <w:t xml:space="preserve"> </w:t>
      </w:r>
      <w:r w:rsidRPr="004E3E19">
        <w:rPr>
          <w:rFonts w:ascii="Book Antiqua" w:eastAsia="Book Antiqua" w:hAnsi="Book Antiqua" w:cs="Book Antiqua"/>
          <w:sz w:val="24"/>
          <w:lang w:val="en-GB"/>
        </w:rPr>
        <w:t>others to distribute, remix, adapt, build upon this work non-commercially, and license their</w:t>
      </w:r>
      <w:r w:rsidRPr="004E3E19">
        <w:rPr>
          <w:rFonts w:ascii="Book Antiqua" w:hAnsi="Book Antiqua" w:cs="Book Antiqua"/>
          <w:sz w:val="24"/>
          <w:lang w:val="en-GB"/>
        </w:rPr>
        <w:t xml:space="preserve"> </w:t>
      </w:r>
      <w:r w:rsidRPr="004E3E19">
        <w:rPr>
          <w:rFonts w:ascii="Book Antiqua" w:eastAsia="Book Antiqua" w:hAnsi="Book Antiqua" w:cs="Book Antiqua"/>
          <w:sz w:val="24"/>
          <w:lang w:val="en-GB"/>
        </w:rPr>
        <w:t>derivative works on different terms, provided the original work is properly cited and the use</w:t>
      </w:r>
      <w:r w:rsidRPr="004E3E19">
        <w:rPr>
          <w:rFonts w:ascii="Book Antiqua" w:hAnsi="Book Antiqua" w:cs="Book Antiqua"/>
          <w:sz w:val="24"/>
          <w:lang w:val="en-GB"/>
        </w:rPr>
        <w:t xml:space="preserve"> </w:t>
      </w:r>
      <w:r w:rsidRPr="004E3E19">
        <w:rPr>
          <w:rFonts w:ascii="Book Antiqua" w:eastAsia="Book Antiqua" w:hAnsi="Book Antiqua" w:cs="Book Antiqua"/>
          <w:sz w:val="24"/>
          <w:lang w:val="en-GB"/>
        </w:rPr>
        <w:t xml:space="preserve">is non-commercial. See: </w:t>
      </w:r>
      <w:hyperlink r:id="rId8" w:history="1">
        <w:r w:rsidRPr="004E3E19">
          <w:rPr>
            <w:rStyle w:val="aa"/>
            <w:rFonts w:ascii="Book Antiqua" w:eastAsia="Book Antiqua" w:hAnsi="Book Antiqua" w:cs="Book Antiqua"/>
            <w:sz w:val="24"/>
            <w:lang w:val="en-GB"/>
          </w:rPr>
          <w:t>http://creativecommons.org/licenses/by-nc/4.0/</w:t>
        </w:r>
      </w:hyperlink>
    </w:p>
    <w:p w:rsidR="002905C9" w:rsidRDefault="002905C9" w:rsidP="00424106">
      <w:pPr>
        <w:autoSpaceDE w:val="0"/>
        <w:autoSpaceDN w:val="0"/>
        <w:adjustRightInd w:val="0"/>
        <w:snapToGrid w:val="0"/>
        <w:spacing w:after="0" w:line="360" w:lineRule="auto"/>
        <w:rPr>
          <w:rFonts w:ascii="Book Antiqua" w:eastAsiaTheme="minorEastAsia" w:hAnsi="Book Antiqua" w:cs="Book Antiqua"/>
          <w:sz w:val="24"/>
          <w:lang w:val="en-GB"/>
        </w:rPr>
      </w:pPr>
    </w:p>
    <w:p w:rsidR="00E94633" w:rsidRDefault="00E94633" w:rsidP="00424106">
      <w:pPr>
        <w:autoSpaceDE w:val="0"/>
        <w:autoSpaceDN w:val="0"/>
        <w:adjustRightInd w:val="0"/>
        <w:snapToGrid w:val="0"/>
        <w:spacing w:after="0" w:line="360" w:lineRule="auto"/>
        <w:rPr>
          <w:rFonts w:ascii="Book Antiqua" w:hAnsi="Book Antiqua"/>
          <w:sz w:val="24"/>
        </w:rPr>
      </w:pPr>
      <w:r w:rsidRPr="00B757B8">
        <w:rPr>
          <w:rFonts w:ascii="Book Antiqua" w:hAnsi="Book Antiqua"/>
          <w:b/>
          <w:sz w:val="24"/>
        </w:rPr>
        <w:t xml:space="preserve">Manuscript source: </w:t>
      </w:r>
      <w:r w:rsidRPr="00B757B8">
        <w:rPr>
          <w:rFonts w:ascii="Book Antiqua" w:hAnsi="Book Antiqua"/>
          <w:sz w:val="24"/>
        </w:rPr>
        <w:t>Unsolicited manuscript</w:t>
      </w:r>
    </w:p>
    <w:p w:rsidR="00E94633" w:rsidRPr="004E3E19" w:rsidRDefault="00E94633" w:rsidP="00424106">
      <w:pPr>
        <w:autoSpaceDE w:val="0"/>
        <w:autoSpaceDN w:val="0"/>
        <w:adjustRightInd w:val="0"/>
        <w:snapToGrid w:val="0"/>
        <w:spacing w:after="0" w:line="360" w:lineRule="auto"/>
        <w:rPr>
          <w:rFonts w:ascii="Book Antiqua" w:eastAsiaTheme="minorEastAsia" w:hAnsi="Book Antiqua" w:cs="Book Antiqua"/>
          <w:sz w:val="24"/>
          <w:lang w:val="en-GB"/>
        </w:rPr>
      </w:pPr>
    </w:p>
    <w:p w:rsidR="00D757F8" w:rsidRPr="004E3E19" w:rsidRDefault="002905C9" w:rsidP="00424106">
      <w:pPr>
        <w:autoSpaceDE w:val="0"/>
        <w:autoSpaceDN w:val="0"/>
        <w:adjustRightInd w:val="0"/>
        <w:snapToGrid w:val="0"/>
        <w:spacing w:after="0" w:line="360" w:lineRule="auto"/>
        <w:rPr>
          <w:rFonts w:ascii="Book Antiqua" w:hAnsi="Book Antiqua" w:cs="Book Antiqua"/>
          <w:sz w:val="24"/>
          <w:lang w:val="en-GB"/>
        </w:rPr>
      </w:pPr>
      <w:r w:rsidRPr="004E3E19">
        <w:rPr>
          <w:rFonts w:ascii="Book Antiqua" w:eastAsia="Book Antiqua" w:hAnsi="Book Antiqua" w:cs="Book Antiqua"/>
          <w:b/>
          <w:bCs/>
          <w:sz w:val="24"/>
          <w:lang w:val="en-GB"/>
        </w:rPr>
        <w:t>Correspondence to:</w:t>
      </w:r>
      <w:r w:rsidRPr="004E3E19">
        <w:rPr>
          <w:rFonts w:ascii="Book Antiqua" w:hAnsi="Book Antiqua" w:cs="Book Antiqua"/>
          <w:b/>
          <w:bCs/>
          <w:sz w:val="24"/>
          <w:lang w:val="en-GB"/>
        </w:rPr>
        <w:t xml:space="preserve"> Yu-Xiang Chen,</w:t>
      </w:r>
      <w:r w:rsidRPr="004E3E19">
        <w:rPr>
          <w:rFonts w:ascii="Book Antiqua" w:hAnsi="Book Antiqua" w:cs="Book Antiqua"/>
          <w:b/>
          <w:bCs/>
          <w:color w:val="FFFF00"/>
          <w:sz w:val="24"/>
          <w:lang w:val="en-GB"/>
        </w:rPr>
        <w:t xml:space="preserve"> </w:t>
      </w:r>
      <w:r w:rsidRPr="004E3E19">
        <w:rPr>
          <w:rFonts w:ascii="Book Antiqua" w:hAnsi="Book Antiqua" w:cs="Book Antiqua"/>
          <w:b/>
          <w:bCs/>
          <w:color w:val="000000" w:themeColor="text1"/>
          <w:sz w:val="24"/>
          <w:lang w:val="en-GB"/>
        </w:rPr>
        <w:t>Chief physician,</w:t>
      </w:r>
      <w:r w:rsidRPr="004E3E19">
        <w:rPr>
          <w:rFonts w:ascii="Book Antiqua" w:hAnsi="Book Antiqua" w:cs="Book Antiqua"/>
          <w:sz w:val="24"/>
          <w:lang w:val="en-GB"/>
        </w:rPr>
        <w:t xml:space="preserve"> Department of Gastrointestinal and Blood Vessels Surgery, Deyang People’s Hospital, Deyang 618099, </w:t>
      </w:r>
      <w:r w:rsidR="00D93997" w:rsidRPr="004E3E19">
        <w:rPr>
          <w:rFonts w:ascii="Book Antiqua" w:hAnsi="Book Antiqua" w:cs="Book Antiqua"/>
          <w:kern w:val="0"/>
          <w:sz w:val="24"/>
          <w:lang w:val="en-GB"/>
        </w:rPr>
        <w:t xml:space="preserve">Sichuan Province, </w:t>
      </w:r>
      <w:r w:rsidRPr="004E3E19">
        <w:rPr>
          <w:rFonts w:ascii="Book Antiqua" w:hAnsi="Book Antiqua" w:cs="Book Antiqua"/>
          <w:sz w:val="24"/>
          <w:lang w:val="en-GB"/>
        </w:rPr>
        <w:t>China. 773854798@qq.com</w:t>
      </w:r>
    </w:p>
    <w:p w:rsidR="00D757F8" w:rsidRPr="004E3E19" w:rsidRDefault="002905C9" w:rsidP="00424106">
      <w:pPr>
        <w:autoSpaceDE w:val="0"/>
        <w:autoSpaceDN w:val="0"/>
        <w:adjustRightInd w:val="0"/>
        <w:snapToGrid w:val="0"/>
        <w:spacing w:after="0" w:line="360" w:lineRule="auto"/>
        <w:rPr>
          <w:rFonts w:ascii="Book Antiqua" w:hAnsi="Book Antiqua" w:cs="Book Antiqua"/>
          <w:sz w:val="24"/>
          <w:lang w:val="en-GB"/>
        </w:rPr>
      </w:pPr>
      <w:r w:rsidRPr="004E3E19">
        <w:rPr>
          <w:rFonts w:ascii="Book Antiqua" w:hAnsi="Book Antiqua" w:cs="Book Antiqua"/>
          <w:b/>
          <w:bCs/>
          <w:sz w:val="24"/>
          <w:lang w:val="en-GB"/>
        </w:rPr>
        <w:t xml:space="preserve">Telephone: </w:t>
      </w:r>
      <w:r w:rsidRPr="004E3E19">
        <w:rPr>
          <w:rFonts w:ascii="Book Antiqua" w:hAnsi="Book Antiqua" w:cs="Book Antiqua"/>
          <w:sz w:val="24"/>
          <w:lang w:val="en-GB"/>
        </w:rPr>
        <w:t>+86-838-2418116</w:t>
      </w:r>
    </w:p>
    <w:p w:rsidR="00D757F8" w:rsidRPr="004E3E19" w:rsidRDefault="002905C9" w:rsidP="00424106">
      <w:pPr>
        <w:autoSpaceDE w:val="0"/>
        <w:autoSpaceDN w:val="0"/>
        <w:adjustRightInd w:val="0"/>
        <w:snapToGrid w:val="0"/>
        <w:spacing w:after="0" w:line="360" w:lineRule="auto"/>
        <w:rPr>
          <w:rFonts w:ascii="Book Antiqua" w:hAnsi="Book Antiqua" w:cs="Book Antiqua"/>
          <w:sz w:val="24"/>
          <w:lang w:val="en-GB"/>
        </w:rPr>
      </w:pPr>
      <w:r w:rsidRPr="004E3E19">
        <w:rPr>
          <w:rFonts w:ascii="Book Antiqua" w:hAnsi="Book Antiqua" w:cs="Book Antiqua"/>
          <w:b/>
          <w:bCs/>
          <w:sz w:val="24"/>
          <w:lang w:val="en-GB"/>
        </w:rPr>
        <w:t xml:space="preserve">Fax: </w:t>
      </w:r>
      <w:r w:rsidRPr="004E3E19">
        <w:rPr>
          <w:rFonts w:ascii="Book Antiqua" w:hAnsi="Book Antiqua" w:cs="Book Antiqua"/>
          <w:sz w:val="24"/>
          <w:lang w:val="en-GB"/>
        </w:rPr>
        <w:t>+86-838-2418116</w:t>
      </w:r>
    </w:p>
    <w:p w:rsidR="002905C9" w:rsidRPr="004E3E19" w:rsidRDefault="002905C9" w:rsidP="00424106">
      <w:pPr>
        <w:autoSpaceDE w:val="0"/>
        <w:autoSpaceDN w:val="0"/>
        <w:adjustRightInd w:val="0"/>
        <w:snapToGrid w:val="0"/>
        <w:spacing w:after="0" w:line="360" w:lineRule="auto"/>
        <w:rPr>
          <w:rFonts w:ascii="Book Antiqua" w:hAnsi="Book Antiqua" w:cs="Book Antiqua"/>
          <w:sz w:val="24"/>
          <w:lang w:val="en-GB"/>
        </w:rPr>
      </w:pPr>
    </w:p>
    <w:p w:rsidR="00D757F8" w:rsidRPr="004E3E19" w:rsidRDefault="002905C9" w:rsidP="00424106">
      <w:pPr>
        <w:autoSpaceDE w:val="0"/>
        <w:autoSpaceDN w:val="0"/>
        <w:adjustRightInd w:val="0"/>
        <w:snapToGrid w:val="0"/>
        <w:spacing w:after="0" w:line="360" w:lineRule="auto"/>
        <w:rPr>
          <w:rFonts w:ascii="Book Antiqua" w:hAnsi="Book Antiqua" w:cs="Book Antiqua"/>
          <w:sz w:val="24"/>
          <w:lang w:val="en-GB"/>
        </w:rPr>
      </w:pPr>
      <w:r w:rsidRPr="004E3E19">
        <w:rPr>
          <w:rFonts w:ascii="Book Antiqua" w:hAnsi="Book Antiqua" w:cs="Book Antiqua"/>
          <w:b/>
          <w:bCs/>
          <w:sz w:val="24"/>
          <w:lang w:val="en-GB"/>
        </w:rPr>
        <w:t xml:space="preserve">Received: </w:t>
      </w:r>
      <w:r w:rsidR="00094F25" w:rsidRPr="004E3E19">
        <w:rPr>
          <w:rFonts w:ascii="Book Antiqua" w:hAnsi="Book Antiqua" w:cs="Book Antiqua"/>
          <w:sz w:val="24"/>
          <w:lang w:val="en-GB"/>
        </w:rPr>
        <w:t xml:space="preserve">December </w:t>
      </w:r>
      <w:r w:rsidR="00D57671">
        <w:rPr>
          <w:rFonts w:ascii="Book Antiqua" w:hAnsi="Book Antiqua" w:cs="Book Antiqua" w:hint="eastAsia"/>
          <w:sz w:val="24"/>
          <w:lang w:val="en-GB"/>
        </w:rPr>
        <w:t>6</w:t>
      </w:r>
      <w:r w:rsidRPr="004E3E19">
        <w:rPr>
          <w:rFonts w:ascii="Book Antiqua" w:hAnsi="Book Antiqua" w:cs="Book Antiqua"/>
          <w:sz w:val="24"/>
          <w:lang w:val="en-GB"/>
        </w:rPr>
        <w:t>, 2016</w:t>
      </w:r>
    </w:p>
    <w:p w:rsidR="00D757F8" w:rsidRPr="004E3E19" w:rsidRDefault="002905C9" w:rsidP="00424106">
      <w:pPr>
        <w:autoSpaceDE w:val="0"/>
        <w:autoSpaceDN w:val="0"/>
        <w:adjustRightInd w:val="0"/>
        <w:snapToGrid w:val="0"/>
        <w:spacing w:after="0" w:line="360" w:lineRule="auto"/>
        <w:rPr>
          <w:rFonts w:ascii="Book Antiqua" w:hAnsi="Book Antiqua" w:cs="Book Antiqua"/>
          <w:sz w:val="24"/>
          <w:lang w:val="en-GB"/>
        </w:rPr>
      </w:pPr>
      <w:r w:rsidRPr="004E3E19">
        <w:rPr>
          <w:rFonts w:ascii="Book Antiqua" w:hAnsi="Book Antiqua" w:cs="Book Antiqua"/>
          <w:b/>
          <w:bCs/>
          <w:sz w:val="24"/>
          <w:lang w:val="en-GB"/>
        </w:rPr>
        <w:t xml:space="preserve">Peer-review started: </w:t>
      </w:r>
      <w:r w:rsidR="00094F25" w:rsidRPr="004E3E19">
        <w:rPr>
          <w:rFonts w:ascii="Book Antiqua" w:hAnsi="Book Antiqua" w:cs="Book Antiqua"/>
          <w:sz w:val="24"/>
          <w:lang w:val="en-GB"/>
        </w:rPr>
        <w:t xml:space="preserve">December </w:t>
      </w:r>
      <w:r w:rsidRPr="004E3E19">
        <w:rPr>
          <w:rFonts w:ascii="Book Antiqua" w:hAnsi="Book Antiqua" w:cs="Book Antiqua"/>
          <w:sz w:val="24"/>
          <w:lang w:val="en-GB"/>
        </w:rPr>
        <w:t>8, 2016</w:t>
      </w:r>
    </w:p>
    <w:p w:rsidR="00D757F8" w:rsidRPr="004E3E19" w:rsidRDefault="002905C9" w:rsidP="00424106">
      <w:pPr>
        <w:autoSpaceDE w:val="0"/>
        <w:autoSpaceDN w:val="0"/>
        <w:adjustRightInd w:val="0"/>
        <w:snapToGrid w:val="0"/>
        <w:spacing w:after="0" w:line="360" w:lineRule="auto"/>
        <w:rPr>
          <w:rFonts w:ascii="Book Antiqua" w:hAnsi="Book Antiqua" w:cs="Book Antiqua"/>
          <w:sz w:val="24"/>
          <w:lang w:val="en-GB"/>
        </w:rPr>
      </w:pPr>
      <w:r w:rsidRPr="004E3E19">
        <w:rPr>
          <w:rFonts w:ascii="Book Antiqua" w:hAnsi="Book Antiqua" w:cs="Book Antiqua"/>
          <w:b/>
          <w:bCs/>
          <w:sz w:val="24"/>
          <w:lang w:val="en-GB"/>
        </w:rPr>
        <w:t xml:space="preserve">First decision: </w:t>
      </w:r>
      <w:bookmarkStart w:id="5" w:name="OLE_LINK12"/>
      <w:r w:rsidR="00D74F24">
        <w:rPr>
          <w:rFonts w:ascii="Book Antiqua" w:hAnsi="Book Antiqua" w:cs="Book Antiqua"/>
          <w:sz w:val="24"/>
          <w:lang w:val="en-GB"/>
        </w:rPr>
        <w:t xml:space="preserve">February </w:t>
      </w:r>
      <w:r w:rsidRPr="004E3E19">
        <w:rPr>
          <w:rFonts w:ascii="Book Antiqua" w:hAnsi="Book Antiqua" w:cs="Book Antiqua"/>
          <w:sz w:val="24"/>
          <w:lang w:val="en-GB"/>
        </w:rPr>
        <w:t>9, 2017</w:t>
      </w:r>
      <w:bookmarkEnd w:id="5"/>
    </w:p>
    <w:p w:rsidR="00D757F8" w:rsidRPr="004E3E19" w:rsidRDefault="002905C9" w:rsidP="00424106">
      <w:pPr>
        <w:autoSpaceDE w:val="0"/>
        <w:autoSpaceDN w:val="0"/>
        <w:adjustRightInd w:val="0"/>
        <w:snapToGrid w:val="0"/>
        <w:spacing w:after="0" w:line="360" w:lineRule="auto"/>
        <w:rPr>
          <w:rFonts w:ascii="Book Antiqua" w:hAnsi="Book Antiqua" w:cs="Book Antiqua"/>
          <w:sz w:val="24"/>
          <w:lang w:val="en-GB"/>
        </w:rPr>
      </w:pPr>
      <w:r w:rsidRPr="004E3E19">
        <w:rPr>
          <w:rFonts w:ascii="Book Antiqua" w:hAnsi="Book Antiqua" w:cs="Book Antiqua"/>
          <w:b/>
          <w:bCs/>
          <w:sz w:val="24"/>
          <w:lang w:val="en-GB"/>
        </w:rPr>
        <w:t xml:space="preserve">Revised: </w:t>
      </w:r>
      <w:r w:rsidRPr="004E3E19">
        <w:rPr>
          <w:rFonts w:ascii="Book Antiqua" w:hAnsi="Book Antiqua" w:cs="Book Antiqua"/>
          <w:sz w:val="24"/>
          <w:lang w:val="en-GB"/>
        </w:rPr>
        <w:t xml:space="preserve">February </w:t>
      </w:r>
      <w:r w:rsidR="00D74F24">
        <w:rPr>
          <w:rFonts w:ascii="Book Antiqua" w:hAnsi="Book Antiqua" w:cs="Book Antiqua" w:hint="eastAsia"/>
          <w:sz w:val="24"/>
          <w:lang w:val="en-GB"/>
        </w:rPr>
        <w:t>26</w:t>
      </w:r>
      <w:r w:rsidRPr="004E3E19">
        <w:rPr>
          <w:rFonts w:ascii="Book Antiqua" w:hAnsi="Book Antiqua" w:cs="Book Antiqua"/>
          <w:sz w:val="24"/>
          <w:lang w:val="en-GB"/>
        </w:rPr>
        <w:t>, 2017</w:t>
      </w:r>
    </w:p>
    <w:p w:rsidR="00D757F8" w:rsidRPr="00A52615" w:rsidRDefault="002905C9" w:rsidP="00A52615">
      <w:pPr>
        <w:spacing w:line="360" w:lineRule="auto"/>
        <w:rPr>
          <w:rFonts w:ascii="Book Antiqua" w:hAnsi="Book Antiqua"/>
          <w:color w:val="000000"/>
          <w:sz w:val="24"/>
        </w:rPr>
      </w:pPr>
      <w:r w:rsidRPr="004E3E19">
        <w:rPr>
          <w:rFonts w:ascii="Book Antiqua" w:hAnsi="Book Antiqua" w:cs="Book Antiqua"/>
          <w:b/>
          <w:bCs/>
          <w:sz w:val="24"/>
          <w:lang w:val="en-GB"/>
        </w:rPr>
        <w:t>Accepted:</w:t>
      </w:r>
      <w:bookmarkStart w:id="6" w:name="OLE_LINK116"/>
      <w:bookmarkStart w:id="7" w:name="OLE_LINK117"/>
      <w:bookmarkStart w:id="8" w:name="OLE_LINK118"/>
      <w:r w:rsidR="00A52615" w:rsidRPr="00A52615">
        <w:rPr>
          <w:rFonts w:ascii="Book Antiqua" w:hAnsi="Book Antiqua"/>
          <w:color w:val="000000"/>
          <w:sz w:val="24"/>
        </w:rPr>
        <w:t xml:space="preserve"> </w:t>
      </w:r>
      <w:r w:rsidR="00A52615">
        <w:rPr>
          <w:rFonts w:ascii="Book Antiqua" w:hAnsi="Book Antiqua"/>
          <w:color w:val="000000"/>
          <w:sz w:val="24"/>
        </w:rPr>
        <w:t>March 4, 2017</w:t>
      </w:r>
      <w:bookmarkEnd w:id="6"/>
      <w:bookmarkEnd w:id="7"/>
      <w:bookmarkEnd w:id="8"/>
    </w:p>
    <w:p w:rsidR="00D757F8" w:rsidRPr="004E3E19" w:rsidRDefault="002905C9" w:rsidP="00424106">
      <w:pPr>
        <w:autoSpaceDE w:val="0"/>
        <w:autoSpaceDN w:val="0"/>
        <w:adjustRightInd w:val="0"/>
        <w:snapToGrid w:val="0"/>
        <w:spacing w:after="0" w:line="360" w:lineRule="auto"/>
        <w:rPr>
          <w:rFonts w:ascii="Book Antiqua" w:hAnsi="Book Antiqua" w:cs="Book Antiqua"/>
          <w:b/>
          <w:bCs/>
          <w:sz w:val="24"/>
          <w:lang w:val="en-GB"/>
        </w:rPr>
      </w:pPr>
      <w:r w:rsidRPr="004E3E19">
        <w:rPr>
          <w:rFonts w:ascii="Book Antiqua" w:hAnsi="Book Antiqua" w:cs="Book Antiqua"/>
          <w:b/>
          <w:bCs/>
          <w:sz w:val="24"/>
          <w:lang w:val="en-GB"/>
        </w:rPr>
        <w:t>Article in press:</w:t>
      </w:r>
    </w:p>
    <w:p w:rsidR="00D757F8" w:rsidRPr="004E3E19" w:rsidRDefault="002905C9" w:rsidP="00424106">
      <w:pPr>
        <w:autoSpaceDE w:val="0"/>
        <w:autoSpaceDN w:val="0"/>
        <w:adjustRightInd w:val="0"/>
        <w:snapToGrid w:val="0"/>
        <w:spacing w:after="0" w:line="360" w:lineRule="auto"/>
        <w:rPr>
          <w:rFonts w:ascii="Book Antiqua" w:hAnsi="Book Antiqua" w:cs="Book Antiqua"/>
          <w:b/>
          <w:bCs/>
          <w:sz w:val="24"/>
          <w:lang w:val="en-GB"/>
        </w:rPr>
      </w:pPr>
      <w:r w:rsidRPr="004E3E19">
        <w:rPr>
          <w:rFonts w:ascii="Book Antiqua" w:hAnsi="Book Antiqua" w:cs="Book Antiqua"/>
          <w:b/>
          <w:bCs/>
          <w:sz w:val="24"/>
          <w:lang w:val="en-GB"/>
        </w:rPr>
        <w:t>Published online:</w:t>
      </w:r>
    </w:p>
    <w:p w:rsidR="00D757F8" w:rsidRPr="004E3E19" w:rsidRDefault="002905C9" w:rsidP="00424106">
      <w:pPr>
        <w:autoSpaceDE w:val="0"/>
        <w:autoSpaceDN w:val="0"/>
        <w:adjustRightInd w:val="0"/>
        <w:snapToGrid w:val="0"/>
        <w:spacing w:after="0" w:line="360" w:lineRule="auto"/>
        <w:rPr>
          <w:rFonts w:ascii="Book Antiqua" w:hAnsi="Book Antiqua" w:cs="Book Antiqua"/>
          <w:sz w:val="24"/>
          <w:lang w:val="en-GB"/>
        </w:rPr>
      </w:pPr>
      <w:r w:rsidRPr="004E3E19">
        <w:rPr>
          <w:rFonts w:ascii="Book Antiqua" w:hAnsi="Book Antiqua" w:cs="Book Antiqua"/>
          <w:sz w:val="24"/>
          <w:lang w:val="en-GB"/>
        </w:rPr>
        <w:br w:type="page"/>
      </w:r>
    </w:p>
    <w:p w:rsidR="00D757F8" w:rsidRPr="004E3E19" w:rsidRDefault="002905C9" w:rsidP="00424106">
      <w:pPr>
        <w:adjustRightInd w:val="0"/>
        <w:snapToGrid w:val="0"/>
        <w:spacing w:after="0" w:line="360" w:lineRule="auto"/>
        <w:rPr>
          <w:rFonts w:ascii="Book Antiqua" w:hAnsi="Book Antiqua" w:cs="Book Antiqua"/>
          <w:b/>
          <w:sz w:val="24"/>
          <w:lang w:val="en-GB"/>
        </w:rPr>
      </w:pPr>
      <w:r w:rsidRPr="004E3E19">
        <w:rPr>
          <w:rFonts w:ascii="Book Antiqua" w:hAnsi="Book Antiqua" w:cs="Book Antiqua"/>
          <w:b/>
          <w:sz w:val="24"/>
          <w:lang w:val="en-GB"/>
        </w:rPr>
        <w:lastRenderedPageBreak/>
        <w:t>Abstract</w:t>
      </w:r>
    </w:p>
    <w:p w:rsidR="00D033BE" w:rsidRPr="004E3E19" w:rsidRDefault="002905C9" w:rsidP="00424106">
      <w:pPr>
        <w:adjustRightInd w:val="0"/>
        <w:snapToGrid w:val="0"/>
        <w:spacing w:after="0" w:line="360" w:lineRule="auto"/>
        <w:rPr>
          <w:rFonts w:ascii="Book Antiqua" w:eastAsiaTheme="majorEastAsia" w:hAnsi="Book Antiqua" w:cs="Book Antiqua"/>
          <w:b/>
          <w:i/>
          <w:sz w:val="24"/>
          <w:lang w:val="en-GB"/>
        </w:rPr>
      </w:pPr>
      <w:r w:rsidRPr="004E3E19">
        <w:rPr>
          <w:rFonts w:ascii="Book Antiqua" w:eastAsiaTheme="majorEastAsia" w:hAnsi="Book Antiqua" w:cs="Book Antiqua"/>
          <w:b/>
          <w:i/>
          <w:sz w:val="24"/>
          <w:lang w:val="en-GB"/>
        </w:rPr>
        <w:t>AIM</w:t>
      </w:r>
    </w:p>
    <w:p w:rsidR="00D757F8" w:rsidRPr="004E3E19" w:rsidRDefault="002905C9" w:rsidP="00424106">
      <w:pPr>
        <w:adjustRightInd w:val="0"/>
        <w:snapToGrid w:val="0"/>
        <w:spacing w:after="0" w:line="360" w:lineRule="auto"/>
        <w:rPr>
          <w:rFonts w:ascii="Book Antiqua" w:eastAsiaTheme="majorEastAsia" w:hAnsi="Book Antiqua" w:cs="Book Antiqua"/>
          <w:sz w:val="24"/>
          <w:lang w:val="en-GB"/>
        </w:rPr>
      </w:pPr>
      <w:r w:rsidRPr="004E3E19">
        <w:rPr>
          <w:rFonts w:ascii="Book Antiqua" w:eastAsiaTheme="majorEastAsia" w:hAnsi="Book Antiqua" w:cs="Book Antiqua"/>
          <w:sz w:val="24"/>
          <w:lang w:val="en-GB"/>
        </w:rPr>
        <w:t xml:space="preserve">To perform a meta-analysis to investigate the association between Cyclooxygenase-2 (COX-2) gene polymorphisms and malignant gastrointestinal cancer. </w:t>
      </w:r>
    </w:p>
    <w:p w:rsidR="00D033BE" w:rsidRPr="004E3E19" w:rsidRDefault="00D033BE" w:rsidP="00424106">
      <w:pPr>
        <w:adjustRightInd w:val="0"/>
        <w:snapToGrid w:val="0"/>
        <w:spacing w:after="0" w:line="360" w:lineRule="auto"/>
        <w:rPr>
          <w:rFonts w:ascii="Book Antiqua" w:eastAsiaTheme="majorEastAsia" w:hAnsi="Book Antiqua" w:cs="Book Antiqua"/>
          <w:sz w:val="24"/>
          <w:lang w:val="en-GB"/>
        </w:rPr>
      </w:pPr>
    </w:p>
    <w:p w:rsidR="00D033BE" w:rsidRPr="004E3E19" w:rsidRDefault="002905C9" w:rsidP="00424106">
      <w:pPr>
        <w:adjustRightInd w:val="0"/>
        <w:snapToGrid w:val="0"/>
        <w:spacing w:after="0" w:line="360" w:lineRule="auto"/>
        <w:rPr>
          <w:rFonts w:ascii="Book Antiqua" w:eastAsiaTheme="majorEastAsia" w:hAnsi="Book Antiqua" w:cs="Book Antiqua"/>
          <w:b/>
          <w:i/>
          <w:sz w:val="24"/>
          <w:lang w:val="en-GB"/>
        </w:rPr>
      </w:pPr>
      <w:r w:rsidRPr="004E3E19">
        <w:rPr>
          <w:rFonts w:ascii="Book Antiqua" w:eastAsiaTheme="majorEastAsia" w:hAnsi="Book Antiqua" w:cs="Book Antiqua"/>
          <w:b/>
          <w:i/>
          <w:sz w:val="24"/>
          <w:lang w:val="en-GB"/>
        </w:rPr>
        <w:t>METHODS</w:t>
      </w:r>
    </w:p>
    <w:p w:rsidR="00D757F8" w:rsidRPr="004E3E19" w:rsidRDefault="002905C9" w:rsidP="00424106">
      <w:pPr>
        <w:adjustRightInd w:val="0"/>
        <w:snapToGrid w:val="0"/>
        <w:spacing w:after="0" w:line="360" w:lineRule="auto"/>
        <w:rPr>
          <w:rFonts w:ascii="Book Antiqua" w:eastAsiaTheme="majorEastAsia" w:hAnsi="Book Antiqua" w:cs="Book Antiqua"/>
          <w:sz w:val="24"/>
          <w:lang w:val="en-GB"/>
        </w:rPr>
      </w:pPr>
      <w:r w:rsidRPr="004E3E19">
        <w:rPr>
          <w:rFonts w:ascii="Book Antiqua" w:eastAsiaTheme="majorEastAsia" w:hAnsi="Book Antiqua" w:cs="Book Antiqua"/>
          <w:sz w:val="24"/>
          <w:lang w:val="en-GB"/>
        </w:rPr>
        <w:t xml:space="preserve">Publications related to the COX-2 -1195G&gt;A gene polymorphism and malignant gastrointestinal cancer published before July 2016 were retrieved from PubMed, EMBASE, Web of Science, China Biological Medicine Database (CBM), China National Knowledge Infrastructure (CNKI), and CQVIP Database. The meta-analysis was performed using Stata11.0 software. The strength of the association was evaluated by calculating the combined odds ratios (ORs) and the corresponding 95% confidence intervals (CIs). The retrieved publications were excluded or included one by one for sensitivity analysis. In addition, the funnel plot, Begg’s rank correlation test, and Egger’s linear regression method were applied to analyse whether the included publications had publication bias. </w:t>
      </w:r>
    </w:p>
    <w:p w:rsidR="00D033BE" w:rsidRPr="004E3E19" w:rsidRDefault="00D033BE" w:rsidP="00424106">
      <w:pPr>
        <w:adjustRightInd w:val="0"/>
        <w:snapToGrid w:val="0"/>
        <w:spacing w:after="0" w:line="360" w:lineRule="auto"/>
        <w:rPr>
          <w:rFonts w:ascii="Book Antiqua" w:eastAsiaTheme="majorEastAsia" w:hAnsi="Book Antiqua" w:cs="Book Antiqua"/>
          <w:sz w:val="24"/>
          <w:lang w:val="en-GB"/>
        </w:rPr>
      </w:pPr>
    </w:p>
    <w:p w:rsidR="00D033BE" w:rsidRPr="004E3E19" w:rsidRDefault="002905C9" w:rsidP="00424106">
      <w:pPr>
        <w:adjustRightInd w:val="0"/>
        <w:snapToGrid w:val="0"/>
        <w:spacing w:after="0" w:line="360" w:lineRule="auto"/>
        <w:rPr>
          <w:rFonts w:ascii="Book Antiqua" w:eastAsiaTheme="majorEastAsia" w:hAnsi="Book Antiqua" w:cs="Book Antiqua"/>
          <w:b/>
          <w:i/>
          <w:color w:val="000000"/>
          <w:kern w:val="0"/>
          <w:sz w:val="24"/>
          <w:lang w:val="en-GB"/>
        </w:rPr>
      </w:pPr>
      <w:r w:rsidRPr="004E3E19">
        <w:rPr>
          <w:rFonts w:ascii="Book Antiqua" w:eastAsiaTheme="majorEastAsia" w:hAnsi="Book Antiqua" w:cs="Book Antiqua"/>
          <w:b/>
          <w:i/>
          <w:color w:val="000000"/>
          <w:kern w:val="0"/>
          <w:sz w:val="24"/>
          <w:lang w:val="en-GB"/>
        </w:rPr>
        <w:t>RESULTS</w:t>
      </w:r>
    </w:p>
    <w:p w:rsidR="00D757F8" w:rsidRPr="004E3E19" w:rsidRDefault="002905C9" w:rsidP="00424106">
      <w:pPr>
        <w:adjustRightInd w:val="0"/>
        <w:snapToGrid w:val="0"/>
        <w:spacing w:after="0" w:line="360" w:lineRule="auto"/>
        <w:rPr>
          <w:rFonts w:ascii="Book Antiqua" w:eastAsiaTheme="majorEastAsia" w:hAnsi="Book Antiqua" w:cs="Book Antiqua"/>
          <w:sz w:val="24"/>
          <w:lang w:val="en-GB"/>
        </w:rPr>
      </w:pPr>
      <w:r w:rsidRPr="004E3E19">
        <w:rPr>
          <w:rFonts w:ascii="Book Antiqua" w:eastAsiaTheme="majorEastAsia" w:hAnsi="Book Antiqua" w:cs="Book Antiqua"/>
          <w:color w:val="000000"/>
          <w:kern w:val="0"/>
          <w:sz w:val="24"/>
          <w:lang w:val="en-GB"/>
        </w:rPr>
        <w:t xml:space="preserve">A total of 24 publications related to the </w:t>
      </w:r>
      <w:r w:rsidRPr="004E3E19">
        <w:rPr>
          <w:rFonts w:ascii="Book Antiqua" w:eastAsiaTheme="majorEastAsia" w:hAnsi="Book Antiqua" w:cs="Book Antiqua"/>
          <w:sz w:val="24"/>
          <w:lang w:val="en-GB"/>
        </w:rPr>
        <w:t xml:space="preserve">COX-2 -1195G&gt;A gene polymorphisms were included, including 28 studies, 11,043 cases, and 18,008 controls. The meta-analysis results showed that the COX-2 -1195G&gt;A gene polymorphism significantly correlated with an increased risk of gastrointestinal cancer, particularly gastric cancer </w:t>
      </w:r>
      <w:r w:rsidRPr="004E3E19">
        <w:rPr>
          <w:rFonts w:ascii="Book Antiqua" w:hAnsi="Book Antiqua" w:cs="Book Antiqua"/>
          <w:kern w:val="0"/>
          <w:sz w:val="24"/>
          <w:lang w:val="en-GB"/>
        </w:rPr>
        <w:t xml:space="preserve">(A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1.35; AA/AG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1.54; AA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GG/AG: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1.43; AA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1.80; AG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1.35)</w:t>
      </w:r>
      <w:r w:rsidRPr="004E3E19">
        <w:rPr>
          <w:rFonts w:ascii="Book Antiqua" w:eastAsiaTheme="majorEastAsia" w:hAnsi="Book Antiqua" w:cs="Book Antiqua"/>
          <w:sz w:val="24"/>
          <w:lang w:val="en-GB"/>
        </w:rPr>
        <w:t xml:space="preserve">. In addition, compared to the Caucasian population in America and Europe, the COX-2 -1195G&gt;A gene polymorphism in the Asian population </w:t>
      </w:r>
      <w:r w:rsidRPr="004E3E19">
        <w:rPr>
          <w:rFonts w:ascii="Book Antiqua" w:hAnsi="Book Antiqua" w:cs="Book Antiqua"/>
          <w:kern w:val="0"/>
          <w:sz w:val="24"/>
          <w:lang w:val="en-GB"/>
        </w:rPr>
        <w:t xml:space="preserve">(A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1.30; AA/AG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1.50; AA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GG/AG: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1.35; AA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1.71; AG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1.37)</w:t>
      </w:r>
      <w:r w:rsidRPr="004E3E19">
        <w:rPr>
          <w:rFonts w:ascii="Book Antiqua" w:eastAsiaTheme="majorEastAsia" w:hAnsi="Book Antiqua" w:cs="Book Antiqua"/>
          <w:sz w:val="24"/>
          <w:lang w:val="en-GB"/>
        </w:rPr>
        <w:t xml:space="preserve"> significantly increased gastrointestinal cancer risk. In addition, the sensitivity analysis (</w:t>
      </w:r>
      <w:r w:rsidR="00670816" w:rsidRPr="004E3E19">
        <w:rPr>
          <w:rFonts w:ascii="Book Antiqua" w:eastAsiaTheme="majorEastAsia" w:hAnsi="Book Antiqua" w:cs="Book Antiqua"/>
          <w:i/>
          <w:sz w:val="24"/>
          <w:lang w:val="en-GB"/>
        </w:rPr>
        <w:t xml:space="preserve">P &lt; </w:t>
      </w:r>
      <w:r w:rsidRPr="004E3E19">
        <w:rPr>
          <w:rFonts w:ascii="Book Antiqua" w:eastAsiaTheme="majorEastAsia" w:hAnsi="Book Antiqua" w:cs="Book Antiqua"/>
          <w:sz w:val="24"/>
          <w:lang w:val="en-GB"/>
        </w:rPr>
        <w:t xml:space="preserve">0.05) and </w:t>
      </w:r>
      <w:r w:rsidRPr="004E3E19">
        <w:rPr>
          <w:rFonts w:ascii="Book Antiqua" w:eastAsiaTheme="majorEastAsia" w:hAnsi="Book Antiqua" w:cs="Book Antiqua"/>
          <w:sz w:val="24"/>
          <w:lang w:val="en-GB"/>
        </w:rPr>
        <w:lastRenderedPageBreak/>
        <w:t>the false positive report probability (</w:t>
      </w:r>
      <w:r w:rsidR="00670816" w:rsidRPr="004E3E19">
        <w:rPr>
          <w:rFonts w:ascii="Book Antiqua" w:eastAsiaTheme="majorEastAsia" w:hAnsi="Book Antiqua" w:cs="Book Antiqua"/>
          <w:i/>
          <w:sz w:val="24"/>
          <w:lang w:val="en-GB"/>
        </w:rPr>
        <w:t xml:space="preserve">P &lt; </w:t>
      </w:r>
      <w:r w:rsidRPr="004E3E19">
        <w:rPr>
          <w:rFonts w:ascii="Book Antiqua" w:eastAsiaTheme="majorEastAsia" w:hAnsi="Book Antiqua" w:cs="Book Antiqua"/>
          <w:sz w:val="24"/>
          <w:lang w:val="en-GB"/>
        </w:rPr>
        <w:t xml:space="preserve">0.2) confirmed the reliability of the results. </w:t>
      </w:r>
    </w:p>
    <w:p w:rsidR="00D757F8" w:rsidRPr="004E3E19" w:rsidRDefault="002905C9" w:rsidP="00424106">
      <w:pPr>
        <w:adjustRightInd w:val="0"/>
        <w:snapToGrid w:val="0"/>
        <w:spacing w:after="0" w:line="360" w:lineRule="auto"/>
        <w:rPr>
          <w:rFonts w:ascii="Book Antiqua" w:eastAsiaTheme="majorEastAsia" w:hAnsi="Book Antiqua" w:cs="Book Antiqua"/>
          <w:sz w:val="24"/>
          <w:lang w:val="en-GB"/>
        </w:rPr>
      </w:pPr>
      <w:r w:rsidRPr="004E3E19">
        <w:rPr>
          <w:rFonts w:ascii="Book Antiqua" w:eastAsiaTheme="majorEastAsia" w:hAnsi="Book Antiqua" w:cs="Book Antiqua"/>
          <w:b/>
          <w:sz w:val="24"/>
          <w:lang w:val="en-GB"/>
        </w:rPr>
        <w:t>CONCLUSION:</w:t>
      </w:r>
      <w:r w:rsidRPr="004E3E19">
        <w:rPr>
          <w:rFonts w:ascii="Book Antiqua" w:eastAsiaTheme="majorEastAsia" w:hAnsi="Book Antiqua" w:cs="Book Antiqua"/>
          <w:sz w:val="24"/>
          <w:lang w:val="en-GB"/>
        </w:rPr>
        <w:t xml:space="preserve"> The results showed that the COX-2 -1195G&gt;A gene polymorphism might be a potential risk factor for gastrointestinal cancer. Further validation in a large homogeneous study is warranted.</w:t>
      </w:r>
    </w:p>
    <w:p w:rsidR="00D033BE" w:rsidRPr="004E3E19" w:rsidRDefault="00D033BE" w:rsidP="00424106">
      <w:pPr>
        <w:adjustRightInd w:val="0"/>
        <w:snapToGrid w:val="0"/>
        <w:spacing w:after="0" w:line="360" w:lineRule="auto"/>
        <w:rPr>
          <w:rFonts w:ascii="Book Antiqua" w:eastAsiaTheme="majorEastAsia" w:hAnsi="Book Antiqua" w:cs="Book Antiqua"/>
          <w:sz w:val="24"/>
          <w:lang w:val="en-GB"/>
        </w:rPr>
      </w:pPr>
    </w:p>
    <w:p w:rsidR="00D757F8" w:rsidRPr="004E3E19" w:rsidRDefault="002905C9" w:rsidP="00424106">
      <w:pPr>
        <w:adjustRightInd w:val="0"/>
        <w:snapToGrid w:val="0"/>
        <w:spacing w:after="0" w:line="360" w:lineRule="auto"/>
        <w:rPr>
          <w:rFonts w:ascii="Book Antiqua" w:hAnsi="Book Antiqua" w:cs="Book Antiqua"/>
          <w:sz w:val="24"/>
          <w:lang w:val="en-GB"/>
        </w:rPr>
      </w:pPr>
      <w:r w:rsidRPr="004E3E19">
        <w:rPr>
          <w:rFonts w:ascii="Book Antiqua" w:hAnsi="Book Antiqua" w:cs="Book Antiqua"/>
          <w:b/>
          <w:bCs/>
          <w:sz w:val="24"/>
          <w:lang w:val="en-GB"/>
        </w:rPr>
        <w:t>Key words:</w:t>
      </w:r>
      <w:r w:rsidRPr="004E3E19">
        <w:rPr>
          <w:rFonts w:ascii="Book Antiqua" w:hAnsi="Book Antiqua" w:cs="Book Antiqua"/>
          <w:sz w:val="24"/>
          <w:lang w:val="en-GB"/>
        </w:rPr>
        <w:t xml:space="preserve"> COX-2; -1195G&gt;A</w:t>
      </w:r>
      <w:bookmarkStart w:id="9" w:name="OLE_LINK3"/>
      <w:r w:rsidRPr="004E3E19">
        <w:rPr>
          <w:rFonts w:ascii="Book Antiqua" w:hAnsi="Book Antiqua" w:cs="Book Antiqua"/>
          <w:sz w:val="24"/>
          <w:lang w:val="en-GB"/>
        </w:rPr>
        <w:t xml:space="preserve">; </w:t>
      </w:r>
      <w:bookmarkStart w:id="10" w:name="OLE_LINK11"/>
      <w:bookmarkStart w:id="11" w:name="OLE_LINK9"/>
      <w:bookmarkEnd w:id="9"/>
      <w:r w:rsidRPr="004E3E19">
        <w:rPr>
          <w:rFonts w:ascii="Book Antiqua" w:hAnsi="Book Antiqua" w:cs="Book Antiqua"/>
          <w:sz w:val="24"/>
          <w:lang w:val="en-GB"/>
        </w:rPr>
        <w:t>Polymorphism; Gastrointestinal cancer; Meta-</w:t>
      </w:r>
      <w:bookmarkStart w:id="12" w:name="OLE_LINK2"/>
      <w:r w:rsidRPr="004E3E19">
        <w:rPr>
          <w:rFonts w:ascii="Book Antiqua" w:hAnsi="Book Antiqua" w:cs="Book Antiqua"/>
          <w:sz w:val="24"/>
          <w:lang w:val="en-GB"/>
        </w:rPr>
        <w:t>ana</w:t>
      </w:r>
      <w:bookmarkEnd w:id="12"/>
      <w:r w:rsidRPr="004E3E19">
        <w:rPr>
          <w:rFonts w:ascii="Book Antiqua" w:hAnsi="Book Antiqua" w:cs="Book Antiqua"/>
          <w:sz w:val="24"/>
          <w:lang w:val="en-GB"/>
        </w:rPr>
        <w:t>lysis</w:t>
      </w:r>
    </w:p>
    <w:p w:rsidR="00D033BE" w:rsidRPr="004E3E19" w:rsidRDefault="00D033BE" w:rsidP="00424106">
      <w:pPr>
        <w:adjustRightInd w:val="0"/>
        <w:snapToGrid w:val="0"/>
        <w:spacing w:after="0" w:line="360" w:lineRule="auto"/>
        <w:rPr>
          <w:rFonts w:ascii="Book Antiqua" w:hAnsi="Book Antiqua" w:cs="Book Antiqua"/>
          <w:sz w:val="24"/>
          <w:lang w:val="en-GB"/>
        </w:rPr>
      </w:pPr>
    </w:p>
    <w:bookmarkEnd w:id="10"/>
    <w:bookmarkEnd w:id="11"/>
    <w:p w:rsidR="00D757F8" w:rsidRPr="004E3E19" w:rsidRDefault="002905C9" w:rsidP="00424106">
      <w:pPr>
        <w:adjustRightInd w:val="0"/>
        <w:snapToGrid w:val="0"/>
        <w:spacing w:after="0" w:line="360" w:lineRule="auto"/>
        <w:rPr>
          <w:rFonts w:ascii="Book Antiqua" w:hAnsi="Book Antiqua" w:cs="Book Antiqua"/>
          <w:sz w:val="24"/>
          <w:lang w:val="en-GB"/>
        </w:rPr>
      </w:pPr>
      <w:r w:rsidRPr="004E3E19">
        <w:rPr>
          <w:rFonts w:ascii="Book Antiqua" w:hAnsi="Book Antiqua" w:cs="Book Antiqua"/>
          <w:b/>
          <w:bCs/>
          <w:sz w:val="24"/>
          <w:lang w:val="en-GB"/>
        </w:rPr>
        <w:t xml:space="preserve">© The Author(s) </w:t>
      </w:r>
      <w:bookmarkStart w:id="13" w:name="OLE_LINK32"/>
      <w:r w:rsidRPr="004E3E19">
        <w:rPr>
          <w:rFonts w:ascii="Book Antiqua" w:hAnsi="Book Antiqua" w:cs="Book Antiqua"/>
          <w:b/>
          <w:bCs/>
          <w:sz w:val="24"/>
          <w:lang w:val="en-GB"/>
        </w:rPr>
        <w:t>201</w:t>
      </w:r>
      <w:bookmarkEnd w:id="13"/>
      <w:r w:rsidRPr="004E3E19">
        <w:rPr>
          <w:rFonts w:ascii="Book Antiqua" w:hAnsi="Book Antiqua" w:cs="Book Antiqua"/>
          <w:b/>
          <w:bCs/>
          <w:sz w:val="24"/>
          <w:lang w:val="en-GB"/>
        </w:rPr>
        <w:t>7.</w:t>
      </w:r>
      <w:r w:rsidRPr="004E3E19">
        <w:rPr>
          <w:rFonts w:ascii="Book Antiqua" w:hAnsi="Book Antiqua" w:cs="Book Antiqua"/>
          <w:sz w:val="24"/>
          <w:lang w:val="en-GB"/>
        </w:rPr>
        <w:t xml:space="preserve"> Published by Baishideng Publishing Group Inc. All rights reserved.</w:t>
      </w:r>
    </w:p>
    <w:p w:rsidR="00D033BE" w:rsidRPr="004E3E19" w:rsidRDefault="00D033BE" w:rsidP="00424106">
      <w:pPr>
        <w:adjustRightInd w:val="0"/>
        <w:snapToGrid w:val="0"/>
        <w:spacing w:after="0" w:line="360" w:lineRule="auto"/>
        <w:rPr>
          <w:rFonts w:ascii="Book Antiqua" w:hAnsi="Book Antiqua" w:cs="Book Antiqua"/>
          <w:sz w:val="24"/>
          <w:lang w:val="en-GB"/>
        </w:rPr>
      </w:pPr>
    </w:p>
    <w:p w:rsidR="00D757F8" w:rsidRPr="004E3E19" w:rsidRDefault="002905C9" w:rsidP="00424106">
      <w:pPr>
        <w:adjustRightInd w:val="0"/>
        <w:snapToGrid w:val="0"/>
        <w:spacing w:after="0" w:line="360" w:lineRule="auto"/>
        <w:rPr>
          <w:rFonts w:ascii="Book Antiqua" w:eastAsiaTheme="minorEastAsia" w:hAnsi="Book Antiqua" w:cs="Book Antiqua"/>
          <w:sz w:val="24"/>
          <w:lang w:val="en-GB"/>
        </w:rPr>
      </w:pPr>
      <w:r w:rsidRPr="004E3E19">
        <w:rPr>
          <w:rFonts w:ascii="Book Antiqua" w:eastAsia="Book Antiqua" w:hAnsi="Book Antiqua" w:cs="Book Antiqua"/>
          <w:b/>
          <w:bCs/>
          <w:sz w:val="24"/>
          <w:lang w:val="en-GB"/>
        </w:rPr>
        <w:t>Core tip:</w:t>
      </w:r>
      <w:r w:rsidRPr="004E3E19">
        <w:rPr>
          <w:rFonts w:ascii="Book Antiqua" w:hAnsi="Book Antiqua" w:cs="Book Antiqua"/>
          <w:b/>
          <w:bCs/>
          <w:sz w:val="24"/>
          <w:lang w:val="en-GB"/>
        </w:rPr>
        <w:t xml:space="preserve"> </w:t>
      </w:r>
      <w:r w:rsidRPr="004E3E19">
        <w:rPr>
          <w:rFonts w:ascii="Book Antiqua" w:eastAsia="Book Antiqua" w:hAnsi="Book Antiqua" w:cs="Book Antiqua"/>
          <w:sz w:val="24"/>
          <w:lang w:val="en-GB"/>
        </w:rPr>
        <w:t>To explore the associations of the COX-2 (-1195G&gt;A) polymorphism and gastrointestinal cancer, we conducted this retrospective study. According to this meta-analysis, we discovered that the COX-2 (-1195G&gt;A) polymorphism may be a risk factor for gastrointestinal cancer and may increase the risk of gastrointestinal cancer in the Asian population. Furthermore, we applied a false-positive report probability to make the results more credible. Our findings indicated that focusing on the COX-2 (-1195G&gt;A) polymorphism to prevent gastrointestinal cancer may be viable.</w:t>
      </w:r>
    </w:p>
    <w:p w:rsidR="00D033BE" w:rsidRPr="004E3E19" w:rsidRDefault="00D033BE" w:rsidP="00424106">
      <w:pPr>
        <w:adjustRightInd w:val="0"/>
        <w:snapToGrid w:val="0"/>
        <w:spacing w:after="0" w:line="360" w:lineRule="auto"/>
        <w:rPr>
          <w:rFonts w:ascii="Book Antiqua" w:eastAsiaTheme="minorEastAsia" w:hAnsi="Book Antiqua" w:cs="Book Antiqua"/>
          <w:sz w:val="24"/>
          <w:lang w:val="en-GB"/>
        </w:rPr>
      </w:pPr>
    </w:p>
    <w:p w:rsidR="00D757F8" w:rsidRPr="00876272" w:rsidRDefault="002905C9" w:rsidP="00424106">
      <w:pPr>
        <w:adjustRightInd w:val="0"/>
        <w:snapToGrid w:val="0"/>
        <w:spacing w:after="0" w:line="360" w:lineRule="auto"/>
        <w:jc w:val="left"/>
        <w:rPr>
          <w:rFonts w:ascii="Book Antiqua" w:eastAsiaTheme="minorEastAsia" w:hAnsi="Book Antiqua" w:cs="Book Antiqua" w:hint="eastAsia"/>
          <w:b/>
          <w:bCs/>
          <w:sz w:val="24"/>
          <w:lang w:val="en-GB"/>
        </w:rPr>
      </w:pPr>
      <w:r w:rsidRPr="004E3E19">
        <w:rPr>
          <w:rFonts w:ascii="Book Antiqua" w:hAnsi="Book Antiqua" w:cs="Book Antiqua"/>
          <w:sz w:val="24"/>
          <w:lang w:val="en-GB"/>
        </w:rPr>
        <w:t xml:space="preserve">Zhang XW, Li J, Jiang YX, Chen YX. Association between COX-2 -1195G&gt;A polymorphism and gastrointestinal cancer risk: A meta-analysis. </w:t>
      </w:r>
      <w:r w:rsidRPr="004E3E19">
        <w:rPr>
          <w:rFonts w:ascii="Book Antiqua" w:eastAsia="Book Antiqua" w:hAnsi="Book Antiqua" w:cs="Book Antiqua"/>
          <w:i/>
          <w:sz w:val="24"/>
          <w:lang w:val="en-GB"/>
        </w:rPr>
        <w:t xml:space="preserve">World J Gastroenterol </w:t>
      </w:r>
      <w:r w:rsidRPr="004E3E19">
        <w:rPr>
          <w:rFonts w:ascii="Book Antiqua" w:eastAsia="Book Antiqua" w:hAnsi="Book Antiqua" w:cs="Book Antiqua"/>
          <w:sz w:val="24"/>
          <w:lang w:val="en-GB"/>
        </w:rPr>
        <w:t>201</w:t>
      </w:r>
      <w:r w:rsidRPr="004E3E19">
        <w:rPr>
          <w:rFonts w:ascii="Book Antiqua" w:hAnsi="Book Antiqua" w:cs="Book Antiqua"/>
          <w:sz w:val="24"/>
          <w:lang w:val="en-GB"/>
        </w:rPr>
        <w:t>7</w:t>
      </w:r>
      <w:r w:rsidR="00876272">
        <w:rPr>
          <w:rFonts w:ascii="Book Antiqua" w:eastAsia="Book Antiqua" w:hAnsi="Book Antiqua" w:cs="Book Antiqua"/>
          <w:sz w:val="24"/>
          <w:lang w:val="en-GB"/>
        </w:rPr>
        <w:t>; In press</w:t>
      </w:r>
      <w:bookmarkStart w:id="14" w:name="_GoBack"/>
      <w:bookmarkEnd w:id="14"/>
    </w:p>
    <w:p w:rsidR="00D757F8" w:rsidRPr="004E3E19" w:rsidRDefault="002905C9" w:rsidP="00424106">
      <w:pPr>
        <w:adjustRightInd w:val="0"/>
        <w:snapToGrid w:val="0"/>
        <w:spacing w:after="0" w:line="360" w:lineRule="auto"/>
        <w:rPr>
          <w:rFonts w:ascii="Book Antiqua" w:hAnsi="Book Antiqua" w:cs="Book Antiqua"/>
          <w:b/>
          <w:sz w:val="24"/>
          <w:lang w:val="en-GB"/>
        </w:rPr>
      </w:pPr>
      <w:r w:rsidRPr="004E3E19">
        <w:rPr>
          <w:rFonts w:ascii="Book Antiqua" w:hAnsi="Book Antiqua" w:cs="Book Antiqua"/>
          <w:b/>
          <w:sz w:val="24"/>
          <w:lang w:val="en-GB"/>
        </w:rPr>
        <w:br w:type="page"/>
      </w:r>
    </w:p>
    <w:p w:rsidR="00D757F8" w:rsidRPr="004E3E19" w:rsidRDefault="002905C9" w:rsidP="00424106">
      <w:pPr>
        <w:adjustRightInd w:val="0"/>
        <w:snapToGrid w:val="0"/>
        <w:spacing w:after="0" w:line="360" w:lineRule="auto"/>
        <w:rPr>
          <w:rFonts w:ascii="Book Antiqua" w:hAnsi="Book Antiqua" w:cs="Book Antiqua"/>
          <w:b/>
          <w:sz w:val="24"/>
          <w:lang w:val="en-GB"/>
        </w:rPr>
      </w:pPr>
      <w:r w:rsidRPr="004E3E19">
        <w:rPr>
          <w:rFonts w:ascii="Book Antiqua" w:hAnsi="Book Antiqua" w:cs="Book Antiqua"/>
          <w:b/>
          <w:sz w:val="24"/>
          <w:lang w:val="en-GB"/>
        </w:rPr>
        <w:lastRenderedPageBreak/>
        <w:t>INTRODUCTION</w:t>
      </w:r>
    </w:p>
    <w:p w:rsidR="00D757F8" w:rsidRPr="004E3E19" w:rsidRDefault="002905C9" w:rsidP="00424106">
      <w:pPr>
        <w:autoSpaceDE w:val="0"/>
        <w:autoSpaceDN w:val="0"/>
        <w:adjustRightInd w:val="0"/>
        <w:snapToGrid w:val="0"/>
        <w:spacing w:after="0" w:line="360" w:lineRule="auto"/>
        <w:rPr>
          <w:rFonts w:ascii="Book Antiqua" w:hAnsi="Book Antiqua" w:cs="Book Antiqua"/>
          <w:kern w:val="0"/>
          <w:sz w:val="24"/>
          <w:lang w:val="en-GB"/>
        </w:rPr>
      </w:pPr>
      <w:r w:rsidRPr="004E3E19">
        <w:rPr>
          <w:rFonts w:ascii="Book Antiqua" w:hAnsi="Book Antiqua" w:cs="Book Antiqua"/>
          <w:kern w:val="0"/>
          <w:sz w:val="24"/>
          <w:lang w:val="en-GB"/>
        </w:rPr>
        <w:t>Malignant gastrointestinal cancers have high morbidity and mortality worldwide; most cases are gastric cancer and colorectal cancer</w:t>
      </w:r>
      <w:r w:rsidR="00B65FCD" w:rsidRPr="004E3E19">
        <w:rPr>
          <w:rFonts w:ascii="Book Antiqua" w:hAnsi="Book Antiqua" w:cs="Book Antiqua"/>
          <w:kern w:val="0"/>
          <w:sz w:val="24"/>
          <w:vertAlign w:val="superscript"/>
          <w:lang w:val="en-GB"/>
        </w:rPr>
        <w:t>[</w:t>
      </w:r>
      <w:r w:rsidR="006F0F85" w:rsidRPr="004E3E19">
        <w:rPr>
          <w:rFonts w:ascii="Book Antiqua" w:hAnsi="Book Antiqua" w:cs="Book Antiqua"/>
          <w:kern w:val="0"/>
          <w:sz w:val="24"/>
          <w:vertAlign w:val="superscript"/>
          <w:lang w:val="en-GB"/>
        </w:rPr>
        <w:t>1,</w:t>
      </w:r>
      <w:r w:rsidRPr="004E3E19">
        <w:rPr>
          <w:rFonts w:ascii="Book Antiqua" w:hAnsi="Book Antiqua" w:cs="Book Antiqua"/>
          <w:kern w:val="0"/>
          <w:sz w:val="24"/>
          <w:vertAlign w:val="superscript"/>
          <w:lang w:val="en-GB"/>
        </w:rPr>
        <w:t>2]</w:t>
      </w:r>
      <w:r w:rsidRPr="004E3E19">
        <w:rPr>
          <w:rFonts w:ascii="Book Antiqua" w:hAnsi="Book Antiqua" w:cs="Book Antiqua"/>
          <w:kern w:val="0"/>
          <w:sz w:val="24"/>
          <w:lang w:val="en-GB"/>
        </w:rPr>
        <w:t>. Because currently there is still no effective early diagnosis method, patients are diagnosed at middle and late stages; even after treatment, their quality of life and survival time are still significantly affected</w:t>
      </w:r>
      <w:r w:rsidR="00B65FCD" w:rsidRPr="004E3E19">
        <w:rPr>
          <w:rFonts w:ascii="Book Antiqua" w:hAnsi="Book Antiqua" w:cs="Book Antiqua"/>
          <w:kern w:val="0"/>
          <w:sz w:val="24"/>
          <w:vertAlign w:val="superscript"/>
          <w:lang w:val="en-GB"/>
        </w:rPr>
        <w:t>[</w:t>
      </w:r>
      <w:r w:rsidRPr="004E3E19">
        <w:rPr>
          <w:rFonts w:ascii="Book Antiqua" w:hAnsi="Book Antiqua" w:cs="Book Antiqua"/>
          <w:kern w:val="0"/>
          <w:sz w:val="24"/>
          <w:vertAlign w:val="superscript"/>
          <w:lang w:val="en-GB"/>
        </w:rPr>
        <w:t>3]</w:t>
      </w:r>
      <w:r w:rsidRPr="004E3E19">
        <w:rPr>
          <w:rFonts w:ascii="Book Antiqua" w:hAnsi="Book Antiqua" w:cs="Book Antiqua"/>
          <w:kern w:val="0"/>
          <w:sz w:val="24"/>
          <w:lang w:val="en-GB"/>
        </w:rPr>
        <w:t>. Improving the early diagnosis and treatment of gastric cancer and colorectal cancer has important significance in the prognosis of patients</w:t>
      </w:r>
      <w:r w:rsidR="00B65FCD" w:rsidRPr="004E3E19">
        <w:rPr>
          <w:rFonts w:ascii="Book Antiqua" w:hAnsi="Book Antiqua" w:cs="Book Antiqua"/>
          <w:kern w:val="0"/>
          <w:sz w:val="24"/>
          <w:vertAlign w:val="superscript"/>
          <w:lang w:val="en-GB"/>
        </w:rPr>
        <w:t>[</w:t>
      </w:r>
      <w:r w:rsidR="006F0F85" w:rsidRPr="004E3E19">
        <w:rPr>
          <w:rFonts w:ascii="Book Antiqua" w:hAnsi="Book Antiqua" w:cs="Book Antiqua"/>
          <w:kern w:val="0"/>
          <w:sz w:val="24"/>
          <w:vertAlign w:val="superscript"/>
          <w:lang w:val="en-GB"/>
        </w:rPr>
        <w:t>4,</w:t>
      </w:r>
      <w:r w:rsidRPr="004E3E19">
        <w:rPr>
          <w:rFonts w:ascii="Book Antiqua" w:hAnsi="Book Antiqua" w:cs="Book Antiqua"/>
          <w:kern w:val="0"/>
          <w:sz w:val="24"/>
          <w:vertAlign w:val="superscript"/>
          <w:lang w:val="en-GB"/>
        </w:rPr>
        <w:t>5]</w:t>
      </w:r>
      <w:r w:rsidRPr="004E3E19">
        <w:rPr>
          <w:rFonts w:ascii="Book Antiqua" w:hAnsi="Book Antiqua" w:cs="Book Antiqua"/>
          <w:kern w:val="0"/>
          <w:sz w:val="24"/>
          <w:lang w:val="en-GB"/>
        </w:rPr>
        <w:t xml:space="preserve">. </w:t>
      </w:r>
      <w:bookmarkStart w:id="15" w:name="OLE_LINK25"/>
      <w:r w:rsidRPr="004E3E19">
        <w:rPr>
          <w:rFonts w:ascii="Book Antiqua" w:hAnsi="Book Antiqua" w:cs="Book Antiqua"/>
          <w:kern w:val="0"/>
          <w:sz w:val="24"/>
          <w:lang w:val="en-GB"/>
        </w:rPr>
        <w:t xml:space="preserve">Therefore, studying pathogenic mechanisms of tumours, clarifying the molecular mechanism, discovering “key” molecular markers of tumours, and predicting cancer risks in a timely fashion are the keys for prevention, diagnosis, and molecular targeted therapy of gastric cancer and colorectal cancer. </w:t>
      </w:r>
    </w:p>
    <w:p w:rsidR="00D757F8" w:rsidRPr="004E3E19" w:rsidRDefault="002905C9" w:rsidP="00424106">
      <w:pPr>
        <w:autoSpaceDE w:val="0"/>
        <w:autoSpaceDN w:val="0"/>
        <w:adjustRightInd w:val="0"/>
        <w:snapToGrid w:val="0"/>
        <w:spacing w:after="0" w:line="360" w:lineRule="auto"/>
        <w:ind w:firstLine="420"/>
        <w:rPr>
          <w:rFonts w:ascii="Book Antiqua" w:hAnsi="Book Antiqua" w:cs="Book Antiqua"/>
          <w:kern w:val="0"/>
          <w:sz w:val="24"/>
          <w:lang w:val="en-GB"/>
        </w:rPr>
      </w:pPr>
      <w:bookmarkStart w:id="16" w:name="OLE_LINK22"/>
      <w:bookmarkEnd w:id="15"/>
      <w:r w:rsidRPr="004E3E19">
        <w:rPr>
          <w:rFonts w:ascii="Book Antiqua" w:hAnsi="Book Antiqua" w:cs="Book Antiqua"/>
          <w:kern w:val="0"/>
          <w:sz w:val="24"/>
          <w:lang w:val="en-GB"/>
        </w:rPr>
        <w:t>Previous studies have shown that cyclooxygenase-2 (COX-2) is a rate-limiting enzyme of prostaglandin synthesis</w:t>
      </w:r>
      <w:r w:rsidR="00B65FCD" w:rsidRPr="004E3E19">
        <w:rPr>
          <w:rFonts w:ascii="Book Antiqua" w:hAnsi="Book Antiqua" w:cs="Book Antiqua"/>
          <w:kern w:val="0"/>
          <w:sz w:val="24"/>
          <w:vertAlign w:val="superscript"/>
          <w:lang w:val="en-GB"/>
        </w:rPr>
        <w:t>[</w:t>
      </w:r>
      <w:r w:rsidRPr="004E3E19">
        <w:rPr>
          <w:rFonts w:ascii="Book Antiqua" w:hAnsi="Book Antiqua" w:cs="Book Antiqua"/>
          <w:kern w:val="0"/>
          <w:sz w:val="24"/>
          <w:vertAlign w:val="superscript"/>
          <w:lang w:val="en-GB"/>
        </w:rPr>
        <w:t>6]</w:t>
      </w:r>
      <w:r w:rsidRPr="004E3E19">
        <w:rPr>
          <w:rFonts w:ascii="Book Antiqua" w:hAnsi="Book Antiqua" w:cs="Book Antiqua"/>
          <w:sz w:val="24"/>
          <w:lang w:val="en-GB"/>
        </w:rPr>
        <w:t xml:space="preserve"> and is closely associated with the development of malignant tumours</w:t>
      </w:r>
      <w:r w:rsidR="00B65FCD" w:rsidRPr="004E3E19">
        <w:rPr>
          <w:rFonts w:ascii="Book Antiqua" w:hAnsi="Book Antiqua" w:cs="Book Antiqua"/>
          <w:sz w:val="24"/>
          <w:vertAlign w:val="superscript"/>
          <w:lang w:val="en-GB"/>
        </w:rPr>
        <w:t>[</w:t>
      </w:r>
      <w:r w:rsidRPr="004E3E19">
        <w:rPr>
          <w:rFonts w:ascii="Book Antiqua" w:hAnsi="Book Antiqua" w:cs="Book Antiqua"/>
          <w:kern w:val="0"/>
          <w:sz w:val="24"/>
          <w:vertAlign w:val="superscript"/>
          <w:lang w:val="en-GB"/>
        </w:rPr>
        <w:t>7]</w:t>
      </w:r>
      <w:r w:rsidRPr="004E3E19">
        <w:rPr>
          <w:rFonts w:ascii="Book Antiqua" w:hAnsi="Book Antiqua" w:cs="Book Antiqua"/>
          <w:sz w:val="24"/>
          <w:lang w:val="en-GB"/>
        </w:rPr>
        <w:t>.</w:t>
      </w:r>
      <w:bookmarkEnd w:id="16"/>
      <w:r w:rsidRPr="004E3E19">
        <w:rPr>
          <w:rFonts w:ascii="Book Antiqua" w:hAnsi="Book Antiqua" w:cs="Book Antiqua"/>
          <w:sz w:val="24"/>
          <w:lang w:val="en-GB"/>
        </w:rPr>
        <w:t xml:space="preserve"> COX-2 is localized in the nuclear membrane under physiological conditions and can be expressed in the cytoplasm and nucleus of corresponding tissues after inflammatory stimulation to participate in inflammatory reactions and promote the formation of a tumour inflammatory microenvironment</w:t>
      </w:r>
      <w:r w:rsidR="00B65FCD" w:rsidRPr="004E3E19">
        <w:rPr>
          <w:rFonts w:ascii="Book Antiqua" w:hAnsi="Book Antiqua" w:cs="Book Antiqua"/>
          <w:sz w:val="24"/>
          <w:vertAlign w:val="superscript"/>
          <w:lang w:val="en-GB"/>
        </w:rPr>
        <w:t>[</w:t>
      </w:r>
      <w:r w:rsidRPr="004E3E19">
        <w:rPr>
          <w:rFonts w:ascii="Book Antiqua" w:hAnsi="Book Antiqua" w:cs="Book Antiqua"/>
          <w:sz w:val="24"/>
          <w:vertAlign w:val="superscript"/>
          <w:lang w:val="en-GB"/>
        </w:rPr>
        <w:t>8]</w:t>
      </w:r>
      <w:r w:rsidRPr="004E3E19">
        <w:rPr>
          <w:rFonts w:ascii="Book Antiqua" w:hAnsi="Book Antiqua" w:cs="Book Antiqua"/>
          <w:sz w:val="24"/>
          <w:lang w:val="en-GB"/>
        </w:rPr>
        <w:t>. A larger amount of literature confirmed that a high COX-2 expression level was present in many malignant tumours, including breast cancer, lung cancer, liver cancer, and nasopharyngeal carcinoma. The high COX-2 expression level was not only an early event of the development of malignant tumours but was also directly correlated with the infiltration degree, lymph node metastasis, TNM staging, and a patient’s prognosis</w:t>
      </w:r>
      <w:r w:rsidR="00B65FCD" w:rsidRPr="004E3E19">
        <w:rPr>
          <w:rFonts w:ascii="Book Antiqua" w:hAnsi="Book Antiqua" w:cs="Book Antiqua"/>
          <w:sz w:val="24"/>
          <w:vertAlign w:val="superscript"/>
          <w:lang w:val="en-GB"/>
        </w:rPr>
        <w:t>[</w:t>
      </w:r>
      <w:r w:rsidRPr="004E3E19">
        <w:rPr>
          <w:rFonts w:ascii="Book Antiqua" w:hAnsi="Book Antiqua" w:cs="Book Antiqua"/>
          <w:sz w:val="24"/>
          <w:vertAlign w:val="superscript"/>
          <w:lang w:val="en-GB"/>
        </w:rPr>
        <w:t>9-11]</w:t>
      </w:r>
      <w:r w:rsidRPr="004E3E19">
        <w:rPr>
          <w:rFonts w:ascii="Book Antiqua" w:hAnsi="Book Antiqua" w:cs="Book Antiqua"/>
          <w:kern w:val="0"/>
          <w:sz w:val="24"/>
          <w:lang w:val="en-GB"/>
        </w:rPr>
        <w:t>. Further studies indicated that the intracellular localizations of COX-2 in tumour cells of different tissues types were different</w:t>
      </w:r>
      <w:r w:rsidR="00B65FCD" w:rsidRPr="004E3E19">
        <w:rPr>
          <w:rFonts w:ascii="Book Antiqua" w:hAnsi="Book Antiqua" w:cs="Book Antiqua"/>
          <w:kern w:val="0"/>
          <w:sz w:val="24"/>
          <w:vertAlign w:val="superscript"/>
          <w:lang w:val="en-GB"/>
        </w:rPr>
        <w:t>[</w:t>
      </w:r>
      <w:r w:rsidRPr="004E3E19">
        <w:rPr>
          <w:rFonts w:ascii="Book Antiqua" w:hAnsi="Book Antiqua" w:cs="Book Antiqua"/>
          <w:kern w:val="0"/>
          <w:sz w:val="24"/>
          <w:vertAlign w:val="superscript"/>
          <w:lang w:val="en-GB"/>
        </w:rPr>
        <w:t>12]</w:t>
      </w:r>
      <w:r w:rsidRPr="004E3E19">
        <w:rPr>
          <w:rFonts w:ascii="Book Antiqua" w:hAnsi="Book Antiqua" w:cs="Book Antiqua"/>
          <w:kern w:val="0"/>
          <w:sz w:val="24"/>
          <w:lang w:val="en-GB"/>
        </w:rPr>
        <w:t xml:space="preserve">. </w:t>
      </w:r>
      <w:bookmarkStart w:id="17" w:name="OLE_LINK23"/>
      <w:r w:rsidRPr="004E3E19">
        <w:rPr>
          <w:rFonts w:ascii="Book Antiqua" w:hAnsi="Book Antiqua" w:cs="Book Antiqua"/>
          <w:kern w:val="0"/>
          <w:sz w:val="24"/>
          <w:lang w:val="en-GB"/>
        </w:rPr>
        <w:t>COX-2 was highly expressed in gastric cancer and colorectal cancer cells</w:t>
      </w:r>
      <w:bookmarkEnd w:id="17"/>
      <w:r w:rsidRPr="004E3E19">
        <w:rPr>
          <w:rFonts w:ascii="Book Antiqua" w:hAnsi="Book Antiqua" w:cs="Book Antiqua"/>
          <w:kern w:val="0"/>
          <w:sz w:val="24"/>
          <w:lang w:val="en-GB"/>
        </w:rPr>
        <w:t>; in addition, COX-2 was expressed in macrophages and fibroblasts in tumour tissues</w:t>
      </w:r>
      <w:r w:rsidR="00B65FCD" w:rsidRPr="004E3E19">
        <w:rPr>
          <w:rFonts w:ascii="Book Antiqua" w:hAnsi="Book Antiqua" w:cs="Book Antiqua"/>
          <w:kern w:val="0"/>
          <w:sz w:val="24"/>
          <w:vertAlign w:val="superscript"/>
          <w:lang w:val="en-GB"/>
        </w:rPr>
        <w:t>[</w:t>
      </w:r>
      <w:r w:rsidRPr="004E3E19">
        <w:rPr>
          <w:rFonts w:ascii="Book Antiqua" w:hAnsi="Book Antiqua" w:cs="Book Antiqua"/>
          <w:kern w:val="0"/>
          <w:sz w:val="24"/>
          <w:vertAlign w:val="superscript"/>
          <w:lang w:val="en-GB"/>
        </w:rPr>
        <w:t>13]</w:t>
      </w:r>
      <w:r w:rsidRPr="004E3E19">
        <w:rPr>
          <w:rFonts w:ascii="Book Antiqua" w:hAnsi="Book Antiqua" w:cs="Book Antiqua"/>
          <w:kern w:val="0"/>
          <w:sz w:val="24"/>
          <w:lang w:val="en-GB"/>
        </w:rPr>
        <w:t xml:space="preserve">. These results indicated that COX-2 expression gradually increased during the process of malignant transformation of precancerous lesions into malignant tumours, suggesting that COX-2 was </w:t>
      </w:r>
      <w:r w:rsidRPr="004E3E19">
        <w:rPr>
          <w:rFonts w:ascii="Book Antiqua" w:hAnsi="Book Antiqua" w:cs="Book Antiqua"/>
          <w:kern w:val="0"/>
          <w:sz w:val="24"/>
          <w:lang w:val="en-GB"/>
        </w:rPr>
        <w:lastRenderedPageBreak/>
        <w:t xml:space="preserve">involved in the developmental process of gastric cancer and colorectal cancer; however, the specific mechanism is still not clear. </w:t>
      </w:r>
    </w:p>
    <w:p w:rsidR="00D757F8" w:rsidRPr="004E3E19" w:rsidRDefault="002905C9" w:rsidP="00424106">
      <w:pPr>
        <w:autoSpaceDE w:val="0"/>
        <w:autoSpaceDN w:val="0"/>
        <w:adjustRightInd w:val="0"/>
        <w:snapToGrid w:val="0"/>
        <w:spacing w:after="0" w:line="360" w:lineRule="auto"/>
        <w:ind w:firstLine="480"/>
        <w:rPr>
          <w:rFonts w:ascii="Book Antiqua" w:hAnsi="Book Antiqua" w:cs="Book Antiqua"/>
          <w:sz w:val="24"/>
          <w:lang w:val="en-GB"/>
        </w:rPr>
      </w:pPr>
      <w:r w:rsidRPr="004E3E19">
        <w:rPr>
          <w:rFonts w:ascii="Book Antiqua" w:hAnsi="Book Antiqua" w:cs="Book Antiqua"/>
          <w:sz w:val="24"/>
          <w:lang w:val="en-GB"/>
        </w:rPr>
        <w:t>The COX</w:t>
      </w:r>
      <w:bookmarkStart w:id="18" w:name="OLE_LINK14"/>
      <w:bookmarkStart w:id="19" w:name="OLE_LINK13"/>
      <w:r w:rsidRPr="004E3E19">
        <w:rPr>
          <w:rFonts w:ascii="Book Antiqua" w:hAnsi="Book Antiqua" w:cs="Book Antiqua"/>
          <w:sz w:val="24"/>
          <w:lang w:val="en-GB"/>
        </w:rPr>
        <w:t>-2 gene is localized at q25.2-25.3 of chromosome 1 and contains 10 exons and 9 introns with a total length of approximately 8.3 kb. COX-2 belongs to rapid-response genes and various factors, such as inflammatory factors, tumourigenic factors, injury, and growth factors, all of which can induce its rapid expression</w:t>
      </w:r>
      <w:bookmarkEnd w:id="18"/>
      <w:bookmarkEnd w:id="19"/>
      <w:r w:rsidR="00B65FCD" w:rsidRPr="004E3E19">
        <w:rPr>
          <w:rFonts w:ascii="Book Antiqua" w:hAnsi="Book Antiqua" w:cs="Book Antiqua"/>
          <w:sz w:val="24"/>
          <w:vertAlign w:val="superscript"/>
          <w:lang w:val="en-GB"/>
        </w:rPr>
        <w:t>[</w:t>
      </w:r>
      <w:r w:rsidR="006F0F85" w:rsidRPr="004E3E19">
        <w:rPr>
          <w:rFonts w:ascii="Book Antiqua" w:hAnsi="Book Antiqua" w:cs="Book Antiqua"/>
          <w:sz w:val="24"/>
          <w:vertAlign w:val="superscript"/>
          <w:lang w:val="en-GB"/>
        </w:rPr>
        <w:t>14,</w:t>
      </w:r>
      <w:r w:rsidRPr="004E3E19">
        <w:rPr>
          <w:rFonts w:ascii="Book Antiqua" w:hAnsi="Book Antiqua" w:cs="Book Antiqua"/>
          <w:sz w:val="24"/>
          <w:vertAlign w:val="superscript"/>
          <w:lang w:val="en-GB"/>
        </w:rPr>
        <w:t>15]</w:t>
      </w:r>
      <w:r w:rsidRPr="004E3E19">
        <w:rPr>
          <w:rFonts w:ascii="Book Antiqua" w:hAnsi="Book Antiqua" w:cs="Book Antiqua"/>
          <w:kern w:val="0"/>
          <w:sz w:val="24"/>
          <w:lang w:val="en-GB"/>
        </w:rPr>
        <w:t>. There are already many published studies on the association between COX-2 gene polymorphisms and susceptibility to malignant gastrointestinal cancers. It is generally considered that COX-2 -765G&gt;C and COX-2 -8473T&gt;C gene mutations are closely associated with the development of malignant gastrointestinal cancers</w:t>
      </w:r>
      <w:r w:rsidR="00B65FCD" w:rsidRPr="004E3E19">
        <w:rPr>
          <w:rFonts w:ascii="Book Antiqua" w:hAnsi="Book Antiqua" w:cs="Book Antiqua"/>
          <w:kern w:val="0"/>
          <w:sz w:val="24"/>
          <w:vertAlign w:val="superscript"/>
          <w:lang w:val="en-GB"/>
        </w:rPr>
        <w:t>[</w:t>
      </w:r>
      <w:r w:rsidR="006F0F85" w:rsidRPr="004E3E19">
        <w:rPr>
          <w:rFonts w:ascii="Book Antiqua" w:hAnsi="Book Antiqua" w:cs="Book Antiqua"/>
          <w:kern w:val="0"/>
          <w:sz w:val="24"/>
          <w:vertAlign w:val="superscript"/>
          <w:lang w:val="en-GB"/>
        </w:rPr>
        <w:t>16,</w:t>
      </w:r>
      <w:r w:rsidRPr="004E3E19">
        <w:rPr>
          <w:rFonts w:ascii="Book Antiqua" w:hAnsi="Book Antiqua" w:cs="Book Antiqua"/>
          <w:kern w:val="0"/>
          <w:sz w:val="24"/>
          <w:vertAlign w:val="superscript"/>
          <w:lang w:val="en-GB"/>
        </w:rPr>
        <w:t>17]</w:t>
      </w:r>
      <w:hyperlink w:anchor="_ENREF_16" w:tooltip="Lu, 2015 #949" w:history="1"/>
      <w:hyperlink w:anchor="_ENREF_16" w:tooltip=", !!! INVALID CITATION !!!" w:history="1"/>
      <w:r w:rsidRPr="004E3E19">
        <w:rPr>
          <w:rFonts w:ascii="Book Antiqua" w:hAnsi="Book Antiqua" w:cs="Book Antiqua"/>
          <w:sz w:val="24"/>
          <w:lang w:val="en-GB"/>
        </w:rPr>
        <w:t xml:space="preserve">. However, the association between COX-2 -1195G&gt;A and gastric and colorectal cancers is still unclear. Because the COX-2 gene has larger distribution differences in populations of different ethnicities and different regions and the sample size in a single study is limited, this association cannot be entirely explained. Given the current controversial study results, we aimed to perform a meta-analysis to confirm the association between the COX-2 -1195G&gt;A polymorphism and susceptibility to gastric and colorectal cancers. </w:t>
      </w:r>
    </w:p>
    <w:p w:rsidR="00D033BE" w:rsidRPr="004E3E19" w:rsidRDefault="00D033BE" w:rsidP="00424106">
      <w:pPr>
        <w:autoSpaceDE w:val="0"/>
        <w:autoSpaceDN w:val="0"/>
        <w:adjustRightInd w:val="0"/>
        <w:snapToGrid w:val="0"/>
        <w:spacing w:after="0" w:line="360" w:lineRule="auto"/>
        <w:ind w:firstLine="480"/>
        <w:rPr>
          <w:rFonts w:ascii="Book Antiqua" w:hAnsi="Book Antiqua" w:cs="Book Antiqua"/>
          <w:b/>
          <w:sz w:val="24"/>
          <w:lang w:val="en-GB"/>
        </w:rPr>
      </w:pPr>
    </w:p>
    <w:p w:rsidR="00D757F8" w:rsidRPr="004E3E19" w:rsidRDefault="002905C9" w:rsidP="00424106">
      <w:pPr>
        <w:adjustRightInd w:val="0"/>
        <w:snapToGrid w:val="0"/>
        <w:spacing w:after="0" w:line="360" w:lineRule="auto"/>
        <w:rPr>
          <w:rFonts w:ascii="Book Antiqua" w:hAnsi="Book Antiqua" w:cs="Book Antiqua"/>
          <w:b/>
          <w:sz w:val="24"/>
          <w:lang w:val="en-GB"/>
        </w:rPr>
      </w:pPr>
      <w:r w:rsidRPr="004E3E19">
        <w:rPr>
          <w:rFonts w:ascii="Book Antiqua" w:hAnsi="Book Antiqua" w:cs="Book Antiqua"/>
          <w:b/>
          <w:sz w:val="24"/>
          <w:lang w:val="en-GB"/>
        </w:rPr>
        <w:t>MATERIALS AND METHODS</w:t>
      </w:r>
    </w:p>
    <w:p w:rsidR="00D757F8" w:rsidRPr="004E3E19" w:rsidRDefault="002905C9" w:rsidP="00424106">
      <w:pPr>
        <w:adjustRightInd w:val="0"/>
        <w:snapToGrid w:val="0"/>
        <w:spacing w:after="0" w:line="360" w:lineRule="auto"/>
        <w:rPr>
          <w:rFonts w:ascii="Book Antiqua" w:hAnsi="Book Antiqua" w:cs="Book Antiqua"/>
          <w:b/>
          <w:i/>
          <w:iCs/>
          <w:sz w:val="24"/>
          <w:lang w:val="en-GB"/>
        </w:rPr>
      </w:pPr>
      <w:r w:rsidRPr="004E3E19">
        <w:rPr>
          <w:rFonts w:ascii="Book Antiqua" w:hAnsi="Book Antiqua" w:cs="Book Antiqua"/>
          <w:b/>
          <w:i/>
          <w:iCs/>
          <w:sz w:val="24"/>
          <w:lang w:val="en-GB"/>
        </w:rPr>
        <w:t xml:space="preserve">Retrieval strategy </w:t>
      </w:r>
    </w:p>
    <w:p w:rsidR="00D757F8" w:rsidRPr="004E3E19" w:rsidRDefault="002905C9" w:rsidP="00424106">
      <w:pPr>
        <w:adjustRightInd w:val="0"/>
        <w:snapToGrid w:val="0"/>
        <w:spacing w:after="0" w:line="360" w:lineRule="auto"/>
        <w:rPr>
          <w:rFonts w:ascii="Book Antiqua" w:hAnsi="Book Antiqua" w:cs="Book Antiqua"/>
          <w:sz w:val="24"/>
          <w:lang w:val="en-GB"/>
        </w:rPr>
      </w:pPr>
      <w:r w:rsidRPr="004E3E19">
        <w:rPr>
          <w:rFonts w:ascii="Book Antiqua" w:hAnsi="Book Antiqua" w:cs="Book Antiqua"/>
          <w:sz w:val="24"/>
          <w:lang w:val="en-GB"/>
        </w:rPr>
        <w:t xml:space="preserve">We performed retrieval using the MeSH terms of (COX-2 -1195G&gt;A or COX-2 -1195G&gt;A) and (gastrointestinal or colorectal or colon or rectal or stomach or gastric) and (cancer or tumour or carcinoma) and (polymorphism or SNP or variant or mutation) in the following databases: PubMed, EMBASE, Web of Science, China Biological Medicine Database (CBM), China National Knowledge Infrastructure (CNKI), and CQVIP Database. The relevant studies in China and other countries were retrieved. The retrieval period was between the establishment of the databases and July 2016. Relevant conference papers were manually retrieved from the journal database of the Third Military Medical University library.  </w:t>
      </w:r>
    </w:p>
    <w:p w:rsidR="00D033BE" w:rsidRPr="004E3E19" w:rsidRDefault="00D033BE" w:rsidP="00424106">
      <w:pPr>
        <w:adjustRightInd w:val="0"/>
        <w:snapToGrid w:val="0"/>
        <w:spacing w:after="0" w:line="360" w:lineRule="auto"/>
        <w:rPr>
          <w:rFonts w:ascii="Book Antiqua" w:hAnsi="Book Antiqua" w:cs="Book Antiqua"/>
          <w:sz w:val="24"/>
          <w:lang w:val="en-GB"/>
        </w:rPr>
      </w:pPr>
    </w:p>
    <w:p w:rsidR="00D757F8" w:rsidRPr="004E3E19" w:rsidRDefault="00D033BE" w:rsidP="00424106">
      <w:pPr>
        <w:adjustRightInd w:val="0"/>
        <w:snapToGrid w:val="0"/>
        <w:spacing w:after="0" w:line="360" w:lineRule="auto"/>
        <w:rPr>
          <w:rFonts w:ascii="Book Antiqua" w:hAnsi="Book Antiqua" w:cs="Book Antiqua"/>
          <w:b/>
          <w:bCs/>
          <w:i/>
          <w:iCs/>
          <w:sz w:val="24"/>
          <w:lang w:val="en-GB"/>
        </w:rPr>
      </w:pPr>
      <w:r w:rsidRPr="004E3E19">
        <w:rPr>
          <w:rFonts w:ascii="Book Antiqua" w:hAnsi="Book Antiqua" w:cs="Book Antiqua"/>
          <w:b/>
          <w:bCs/>
          <w:i/>
          <w:iCs/>
          <w:sz w:val="24"/>
          <w:lang w:val="en-GB"/>
        </w:rPr>
        <w:t>Inclusion criteria</w:t>
      </w:r>
    </w:p>
    <w:p w:rsidR="00D033BE" w:rsidRPr="004E3E19" w:rsidRDefault="002905C9" w:rsidP="00424106">
      <w:pPr>
        <w:adjustRightInd w:val="0"/>
        <w:snapToGrid w:val="0"/>
        <w:spacing w:after="0" w:line="360" w:lineRule="auto"/>
        <w:rPr>
          <w:rFonts w:ascii="Book Antiqua" w:hAnsi="Book Antiqua" w:cs="Book Antiqua"/>
          <w:sz w:val="24"/>
          <w:lang w:val="en-GB"/>
        </w:rPr>
      </w:pPr>
      <w:r w:rsidRPr="004E3E19">
        <w:rPr>
          <w:rFonts w:ascii="Book Antiqua" w:hAnsi="Book Antiqua" w:cs="Book Antiqua"/>
          <w:sz w:val="24"/>
          <w:lang w:val="en-GB"/>
        </w:rPr>
        <w:t xml:space="preserve">The included literature in this study met the following criteria: </w:t>
      </w:r>
      <w:r w:rsidR="006F0F85" w:rsidRPr="004E3E19">
        <w:rPr>
          <w:rFonts w:ascii="Book Antiqua" w:hAnsi="Book Antiqua" w:cs="Book Antiqua"/>
          <w:sz w:val="24"/>
          <w:lang w:val="en-GB"/>
        </w:rPr>
        <w:t>(1)</w:t>
      </w:r>
      <w:r w:rsidRPr="004E3E19">
        <w:rPr>
          <w:rFonts w:ascii="Book Antiqua" w:hAnsi="Book Antiqua" w:cs="Book Antiqua"/>
          <w:sz w:val="24"/>
          <w:lang w:val="en-GB"/>
        </w:rPr>
        <w:t>studies are about the COX-2 -1195G&gt;A gene polymorphism and susceptibility to gastrointestinal cancers</w:t>
      </w:r>
      <w:r w:rsidR="006F0F85" w:rsidRPr="004E3E19">
        <w:rPr>
          <w:rFonts w:ascii="Book Antiqua" w:hAnsi="Book Antiqua" w:cs="Book Antiqua"/>
          <w:sz w:val="24"/>
          <w:lang w:val="en-GB"/>
        </w:rPr>
        <w:t>;</w:t>
      </w:r>
      <w:r w:rsidRPr="004E3E19">
        <w:rPr>
          <w:rFonts w:ascii="Book Antiqua" w:hAnsi="Book Antiqua" w:cs="Book Antiqua"/>
          <w:sz w:val="24"/>
          <w:lang w:val="en-GB"/>
        </w:rPr>
        <w:t xml:space="preserve"> </w:t>
      </w:r>
      <w:r w:rsidR="006F0F85" w:rsidRPr="004E3E19">
        <w:rPr>
          <w:rFonts w:ascii="Book Antiqua" w:hAnsi="Book Antiqua" w:cs="Book Antiqua"/>
          <w:sz w:val="24"/>
          <w:lang w:val="en-GB"/>
        </w:rPr>
        <w:t>(2)</w:t>
      </w:r>
      <w:r w:rsidRPr="004E3E19">
        <w:rPr>
          <w:rFonts w:ascii="Book Antiqua" w:hAnsi="Book Antiqua" w:cs="Book Antiqua"/>
          <w:sz w:val="24"/>
          <w:lang w:val="en-GB"/>
        </w:rPr>
        <w:t>the study types were case controlled or cohort studies</w:t>
      </w:r>
      <w:r w:rsidR="006F0F85" w:rsidRPr="004E3E19">
        <w:rPr>
          <w:rFonts w:ascii="Book Antiqua" w:hAnsi="Book Antiqua" w:cs="Book Antiqua"/>
          <w:sz w:val="24"/>
          <w:lang w:val="en-GB"/>
        </w:rPr>
        <w:t>;</w:t>
      </w:r>
      <w:r w:rsidRPr="004E3E19">
        <w:rPr>
          <w:rFonts w:ascii="Book Antiqua" w:hAnsi="Book Antiqua" w:cs="Book Antiqua"/>
          <w:sz w:val="24"/>
          <w:lang w:val="en-GB"/>
        </w:rPr>
        <w:t xml:space="preserve"> </w:t>
      </w:r>
      <w:r w:rsidR="006F0F85" w:rsidRPr="004E3E19">
        <w:rPr>
          <w:rFonts w:ascii="Book Antiqua" w:hAnsi="Book Antiqua" w:cs="Book Antiqua"/>
          <w:sz w:val="24"/>
          <w:lang w:val="en-GB"/>
        </w:rPr>
        <w:t>(3)</w:t>
      </w:r>
      <w:r w:rsidRPr="004E3E19">
        <w:rPr>
          <w:rFonts w:ascii="Book Antiqua" w:hAnsi="Book Antiqua" w:cs="Book Antiqua"/>
          <w:sz w:val="24"/>
          <w:lang w:val="en-GB"/>
        </w:rPr>
        <w:t>the case group was gastrointestinal cancer patients</w:t>
      </w:r>
      <w:r w:rsidR="006F0F85" w:rsidRPr="004E3E19">
        <w:rPr>
          <w:rFonts w:ascii="Book Antiqua" w:hAnsi="Book Antiqua" w:cs="Book Antiqua"/>
          <w:sz w:val="24"/>
          <w:lang w:val="en-GB"/>
        </w:rPr>
        <w:t>;</w:t>
      </w:r>
      <w:r w:rsidRPr="004E3E19">
        <w:rPr>
          <w:rFonts w:ascii="Book Antiqua" w:hAnsi="Book Antiqua" w:cs="Book Antiqua"/>
          <w:sz w:val="24"/>
          <w:lang w:val="en-GB"/>
        </w:rPr>
        <w:t xml:space="preserve"> and </w:t>
      </w:r>
      <w:r w:rsidR="006F0F85" w:rsidRPr="004E3E19">
        <w:rPr>
          <w:rFonts w:ascii="Book Antiqua" w:hAnsi="Book Antiqua" w:cs="Book Antiqua"/>
          <w:sz w:val="24"/>
          <w:lang w:val="en-GB"/>
        </w:rPr>
        <w:t>(4)</w:t>
      </w:r>
      <w:r w:rsidRPr="004E3E19">
        <w:rPr>
          <w:rFonts w:ascii="Book Antiqua" w:hAnsi="Book Antiqua" w:cs="Book Antiqua"/>
          <w:sz w:val="24"/>
          <w:lang w:val="en-GB"/>
        </w:rPr>
        <w:t xml:space="preserve">there were enough genotype data to calculate odds ratios (ORs) and corresponding 95% confidence internals (CIs). </w:t>
      </w:r>
    </w:p>
    <w:p w:rsidR="00D033BE" w:rsidRPr="004E3E19" w:rsidRDefault="00D033BE" w:rsidP="00424106">
      <w:pPr>
        <w:adjustRightInd w:val="0"/>
        <w:snapToGrid w:val="0"/>
        <w:spacing w:after="0" w:line="360" w:lineRule="auto"/>
        <w:rPr>
          <w:rFonts w:ascii="Book Antiqua" w:hAnsi="Book Antiqua" w:cs="Book Antiqua"/>
          <w:sz w:val="24"/>
          <w:lang w:val="en-GB"/>
        </w:rPr>
      </w:pPr>
    </w:p>
    <w:p w:rsidR="00D757F8" w:rsidRPr="004E3E19" w:rsidRDefault="002905C9" w:rsidP="00424106">
      <w:pPr>
        <w:adjustRightInd w:val="0"/>
        <w:snapToGrid w:val="0"/>
        <w:spacing w:after="0" w:line="360" w:lineRule="auto"/>
        <w:rPr>
          <w:rFonts w:ascii="Book Antiqua" w:hAnsi="Book Antiqua" w:cs="Book Antiqua"/>
          <w:sz w:val="24"/>
          <w:lang w:val="en-GB"/>
        </w:rPr>
      </w:pPr>
      <w:r w:rsidRPr="004E3E19">
        <w:rPr>
          <w:rFonts w:ascii="Book Antiqua" w:hAnsi="Book Antiqua" w:cs="Book Antiqua"/>
          <w:b/>
          <w:bCs/>
          <w:i/>
          <w:iCs/>
          <w:sz w:val="24"/>
          <w:lang w:val="en-GB"/>
        </w:rPr>
        <w:t>Exclusion criteria</w:t>
      </w:r>
    </w:p>
    <w:p w:rsidR="00D757F8" w:rsidRPr="004E3E19" w:rsidRDefault="002905C9" w:rsidP="00424106">
      <w:pPr>
        <w:adjustRightInd w:val="0"/>
        <w:snapToGrid w:val="0"/>
        <w:spacing w:after="0" w:line="360" w:lineRule="auto"/>
        <w:rPr>
          <w:rFonts w:ascii="Book Antiqua" w:hAnsi="Book Antiqua" w:cs="Book Antiqua"/>
          <w:sz w:val="24"/>
          <w:lang w:val="en-GB"/>
        </w:rPr>
      </w:pPr>
      <w:r w:rsidRPr="004E3E19">
        <w:rPr>
          <w:rFonts w:ascii="Book Antiqua" w:hAnsi="Book Antiqua" w:cs="Book Antiqua"/>
          <w:sz w:val="24"/>
          <w:lang w:val="en-GB"/>
        </w:rPr>
        <w:t xml:space="preserve">The exclusion criteria were as follows: </w:t>
      </w:r>
      <w:r w:rsidR="006F0F85" w:rsidRPr="004E3E19">
        <w:rPr>
          <w:rFonts w:ascii="Book Antiqua" w:hAnsi="Book Antiqua" w:cs="Book Antiqua"/>
          <w:sz w:val="24"/>
          <w:lang w:val="en-GB"/>
        </w:rPr>
        <w:t>(1)</w:t>
      </w:r>
      <w:r w:rsidRPr="004E3E19">
        <w:rPr>
          <w:rFonts w:ascii="Book Antiqua" w:hAnsi="Book Antiqua" w:cs="Book Antiqua"/>
          <w:sz w:val="24"/>
          <w:lang w:val="en-GB"/>
        </w:rPr>
        <w:t xml:space="preserve">the study topic of the article was not about the COX-2 -1195G&gt;A gene polymorphism and susceptibility to gastrointestinal cancers; </w:t>
      </w:r>
      <w:r w:rsidR="006F0F85" w:rsidRPr="004E3E19">
        <w:rPr>
          <w:rFonts w:ascii="Book Antiqua" w:hAnsi="Book Antiqua" w:cs="Book Antiqua"/>
          <w:sz w:val="24"/>
          <w:lang w:val="en-GB"/>
        </w:rPr>
        <w:t>(2)</w:t>
      </w:r>
      <w:r w:rsidRPr="004E3E19">
        <w:rPr>
          <w:rFonts w:ascii="Book Antiqua" w:hAnsi="Book Antiqua" w:cs="Book Antiqua"/>
          <w:sz w:val="24"/>
          <w:lang w:val="en-GB"/>
        </w:rPr>
        <w:t xml:space="preserve">the studies were not case controlled or cohort studies; </w:t>
      </w:r>
      <w:r w:rsidR="006F0F85" w:rsidRPr="004E3E19">
        <w:rPr>
          <w:rFonts w:ascii="Book Antiqua" w:hAnsi="Book Antiqua" w:cs="Book Antiqua"/>
          <w:sz w:val="24"/>
          <w:lang w:val="en-GB"/>
        </w:rPr>
        <w:t>(3)</w:t>
      </w:r>
      <w:r w:rsidRPr="004E3E19">
        <w:rPr>
          <w:rFonts w:ascii="Book Antiqua" w:hAnsi="Book Antiqua" w:cs="Book Antiqua"/>
          <w:sz w:val="24"/>
          <w:lang w:val="en-GB"/>
        </w:rPr>
        <w:t xml:space="preserve">the studies were not abstracts, reviews, case reports, or repetitively published articles; and </w:t>
      </w:r>
      <w:r w:rsidR="006F0F85" w:rsidRPr="004E3E19">
        <w:rPr>
          <w:rFonts w:ascii="Book Antiqua" w:hAnsi="Book Antiqua" w:cs="Book Antiqua"/>
          <w:sz w:val="24"/>
          <w:lang w:val="en-GB"/>
        </w:rPr>
        <w:t>(4)</w:t>
      </w:r>
      <w:r w:rsidRPr="004E3E19">
        <w:rPr>
          <w:rFonts w:ascii="Book Antiqua" w:hAnsi="Book Antiqua" w:cs="Book Antiqua"/>
          <w:sz w:val="24"/>
          <w:lang w:val="en-GB"/>
        </w:rPr>
        <w:t>the study data were not complete or the r</w:t>
      </w:r>
      <w:r w:rsidR="006F0F85" w:rsidRPr="004E3E19">
        <w:rPr>
          <w:rFonts w:ascii="Book Antiqua" w:hAnsi="Book Antiqua" w:cs="Book Antiqua"/>
          <w:sz w:val="24"/>
          <w:lang w:val="en-GB"/>
        </w:rPr>
        <w:t>aw data could not to obtained.</w:t>
      </w:r>
    </w:p>
    <w:p w:rsidR="00D033BE" w:rsidRPr="004E3E19" w:rsidRDefault="00D033BE" w:rsidP="00424106">
      <w:pPr>
        <w:adjustRightInd w:val="0"/>
        <w:snapToGrid w:val="0"/>
        <w:spacing w:after="0" w:line="360" w:lineRule="auto"/>
        <w:rPr>
          <w:rFonts w:ascii="Book Antiqua" w:hAnsi="Book Antiqua" w:cs="Book Antiqua"/>
          <w:sz w:val="24"/>
          <w:lang w:val="en-GB"/>
        </w:rPr>
      </w:pPr>
    </w:p>
    <w:p w:rsidR="00D757F8" w:rsidRPr="004E3E19" w:rsidRDefault="002905C9" w:rsidP="00424106">
      <w:pPr>
        <w:adjustRightInd w:val="0"/>
        <w:snapToGrid w:val="0"/>
        <w:spacing w:after="0" w:line="360" w:lineRule="auto"/>
        <w:rPr>
          <w:rFonts w:ascii="Book Antiqua" w:hAnsi="Book Antiqua" w:cs="Book Antiqua"/>
          <w:b/>
          <w:bCs/>
          <w:i/>
          <w:iCs/>
          <w:sz w:val="24"/>
          <w:lang w:val="en-GB"/>
        </w:rPr>
      </w:pPr>
      <w:r w:rsidRPr="004E3E19">
        <w:rPr>
          <w:rFonts w:ascii="Book Antiqua" w:hAnsi="Book Antiqua" w:cs="Book Antiqua"/>
          <w:b/>
          <w:bCs/>
          <w:i/>
          <w:iCs/>
          <w:sz w:val="24"/>
          <w:lang w:val="en-GB"/>
        </w:rPr>
        <w:t xml:space="preserve">Data extraction and quality evaluation </w:t>
      </w:r>
    </w:p>
    <w:p w:rsidR="00D757F8" w:rsidRPr="004E3E19" w:rsidRDefault="002905C9" w:rsidP="00424106">
      <w:pPr>
        <w:adjustRightInd w:val="0"/>
        <w:snapToGrid w:val="0"/>
        <w:spacing w:after="0" w:line="360" w:lineRule="auto"/>
        <w:rPr>
          <w:rFonts w:ascii="Book Antiqua" w:hAnsi="Book Antiqua" w:cs="Book Antiqua"/>
          <w:sz w:val="24"/>
          <w:lang w:val="en-GB"/>
        </w:rPr>
      </w:pPr>
      <w:r w:rsidRPr="004E3E19">
        <w:rPr>
          <w:rFonts w:ascii="Book Antiqua" w:hAnsi="Book Antiqua" w:cs="Book Antiqua"/>
          <w:sz w:val="24"/>
          <w:lang w:val="en-GB"/>
        </w:rPr>
        <w:t xml:space="preserve">The data were independently extracted by 2 researchers (Xiao-wei Zhang, Jun Li) using the unified data table. The major extracted data included the following information: first author, publication year, country, tumour type, sources of the control group, matching criteria, genotyping method, genotype distribution in the case group and the control group and the Hardy–Weinberg equilibrium (HWE) examination result of the control group. If the data extraction results were inconsistent, a third party was consulted to reach a consensus. </w:t>
      </w:r>
    </w:p>
    <w:p w:rsidR="00D757F8" w:rsidRPr="004E3E19" w:rsidRDefault="002905C9" w:rsidP="00424106">
      <w:pPr>
        <w:adjustRightInd w:val="0"/>
        <w:snapToGrid w:val="0"/>
        <w:spacing w:after="0" w:line="360" w:lineRule="auto"/>
        <w:ind w:firstLine="420"/>
        <w:rPr>
          <w:rFonts w:ascii="Book Antiqua" w:hAnsi="Book Antiqua" w:cs="Book Antiqua"/>
          <w:sz w:val="24"/>
          <w:lang w:val="en-GB"/>
        </w:rPr>
      </w:pPr>
      <w:r w:rsidRPr="004E3E19">
        <w:rPr>
          <w:rFonts w:ascii="Book Antiqua" w:hAnsi="Book Antiqua" w:cs="Book Antiqua"/>
          <w:sz w:val="24"/>
          <w:lang w:val="en-GB"/>
        </w:rPr>
        <w:t>The included publications were scored using the predetermined criteria</w:t>
      </w:r>
      <w:r w:rsidR="00B65FCD" w:rsidRPr="004E3E19">
        <w:rPr>
          <w:rFonts w:ascii="Book Antiqua" w:hAnsi="Book Antiqua" w:cs="Book Antiqua"/>
          <w:kern w:val="0"/>
          <w:sz w:val="24"/>
          <w:vertAlign w:val="superscript"/>
          <w:lang w:val="en-GB"/>
        </w:rPr>
        <w:t>[</w:t>
      </w:r>
      <w:r w:rsidR="00670816" w:rsidRPr="004E3E19">
        <w:rPr>
          <w:rFonts w:ascii="Book Antiqua" w:hAnsi="Book Antiqua" w:cs="Book Antiqua"/>
          <w:kern w:val="0"/>
          <w:sz w:val="24"/>
          <w:vertAlign w:val="superscript"/>
          <w:lang w:val="en-GB"/>
        </w:rPr>
        <w:t>18,</w:t>
      </w:r>
      <w:r w:rsidRPr="004E3E19">
        <w:rPr>
          <w:rFonts w:ascii="Book Antiqua" w:hAnsi="Book Antiqua" w:cs="Book Antiqua"/>
          <w:kern w:val="0"/>
          <w:sz w:val="24"/>
          <w:vertAlign w:val="superscript"/>
          <w:lang w:val="en-GB"/>
        </w:rPr>
        <w:t>19]</w:t>
      </w:r>
      <w:r w:rsidRPr="004E3E19">
        <w:rPr>
          <w:rFonts w:ascii="Book Antiqua" w:hAnsi="Book Antiqua" w:cs="Book Antiqua"/>
          <w:sz w:val="24"/>
          <w:lang w:val="en-GB"/>
        </w:rPr>
        <w:t xml:space="preserve">. These criteria were extracted and modified from previous studies (Table 1). All questions in the scoring were traditional epidemiological factors and cancer genes. The scale was used to evaluate the included studies from 6 aspects: representativeness of cases, source of controls, case-control match, </w:t>
      </w:r>
      <w:r w:rsidRPr="004E3E19">
        <w:rPr>
          <w:rFonts w:ascii="Book Antiqua" w:hAnsi="Book Antiqua" w:cs="Book Antiqua"/>
          <w:sz w:val="24"/>
          <w:lang w:val="en-GB"/>
        </w:rPr>
        <w:lastRenderedPageBreak/>
        <w:t>specimens used for determining genotypes, HWE, and total sample size. The scores ranged from the lowest, 0 points, to the highest, 18 points. Publications with scores &lt;</w:t>
      </w:r>
      <w:r w:rsidR="00670816" w:rsidRPr="004E3E19">
        <w:rPr>
          <w:rFonts w:ascii="Book Antiqua" w:hAnsi="Book Antiqua" w:cs="Book Antiqua"/>
          <w:sz w:val="24"/>
          <w:lang w:val="en-GB"/>
        </w:rPr>
        <w:t xml:space="preserve"> </w:t>
      </w:r>
      <w:r w:rsidRPr="004E3E19">
        <w:rPr>
          <w:rFonts w:ascii="Book Antiqua" w:hAnsi="Book Antiqua" w:cs="Book Antiqua"/>
          <w:sz w:val="24"/>
          <w:lang w:val="en-GB"/>
        </w:rPr>
        <w:t>12 were classified as “low quality” and publications with scores ≥</w:t>
      </w:r>
      <w:r w:rsidR="00670816" w:rsidRPr="004E3E19">
        <w:rPr>
          <w:rFonts w:ascii="Book Antiqua" w:hAnsi="Book Antiqua" w:cs="Book Antiqua"/>
          <w:sz w:val="24"/>
          <w:lang w:val="en-GB"/>
        </w:rPr>
        <w:t xml:space="preserve"> </w:t>
      </w:r>
      <w:r w:rsidRPr="004E3E19">
        <w:rPr>
          <w:rFonts w:ascii="Book Antiqua" w:hAnsi="Book Antiqua" w:cs="Book Antiqua"/>
          <w:sz w:val="24"/>
          <w:lang w:val="en-GB"/>
        </w:rPr>
        <w:t>12 were classified as “high quality.”</w:t>
      </w:r>
    </w:p>
    <w:p w:rsidR="00D033BE" w:rsidRPr="004E3E19" w:rsidRDefault="00D033BE" w:rsidP="00424106">
      <w:pPr>
        <w:adjustRightInd w:val="0"/>
        <w:snapToGrid w:val="0"/>
        <w:spacing w:after="0" w:line="360" w:lineRule="auto"/>
        <w:ind w:firstLine="420"/>
        <w:rPr>
          <w:rFonts w:ascii="Book Antiqua" w:hAnsi="Book Antiqua" w:cs="Book Antiqua"/>
          <w:sz w:val="24"/>
          <w:lang w:val="en-GB"/>
        </w:rPr>
      </w:pPr>
    </w:p>
    <w:p w:rsidR="00D757F8" w:rsidRPr="004E3E19" w:rsidRDefault="002905C9" w:rsidP="00424106">
      <w:pPr>
        <w:adjustRightInd w:val="0"/>
        <w:snapToGrid w:val="0"/>
        <w:spacing w:after="0" w:line="360" w:lineRule="auto"/>
        <w:rPr>
          <w:rFonts w:ascii="Book Antiqua" w:hAnsi="Book Antiqua" w:cs="Book Antiqua"/>
          <w:b/>
          <w:bCs/>
          <w:i/>
          <w:iCs/>
          <w:sz w:val="24"/>
          <w:lang w:val="en-GB"/>
        </w:rPr>
      </w:pPr>
      <w:r w:rsidRPr="004E3E19">
        <w:rPr>
          <w:rFonts w:ascii="Book Antiqua" w:hAnsi="Book Antiqua" w:cs="Book Antiqua"/>
          <w:b/>
          <w:bCs/>
          <w:i/>
          <w:iCs/>
          <w:sz w:val="24"/>
          <w:lang w:val="en-GB"/>
        </w:rPr>
        <w:t xml:space="preserve">Statistical </w:t>
      </w:r>
      <w:r w:rsidR="00670816" w:rsidRPr="004E3E19">
        <w:rPr>
          <w:rFonts w:ascii="Book Antiqua" w:hAnsi="Book Antiqua" w:cs="Book Antiqua"/>
          <w:b/>
          <w:bCs/>
          <w:i/>
          <w:iCs/>
          <w:sz w:val="24"/>
          <w:lang w:val="en-GB"/>
        </w:rPr>
        <w:t>analysis</w:t>
      </w:r>
    </w:p>
    <w:p w:rsidR="00D757F8" w:rsidRPr="004E3E19" w:rsidRDefault="002905C9" w:rsidP="00424106">
      <w:pPr>
        <w:adjustRightInd w:val="0"/>
        <w:snapToGrid w:val="0"/>
        <w:spacing w:after="0" w:line="360" w:lineRule="auto"/>
        <w:rPr>
          <w:rFonts w:ascii="Book Antiqua" w:hAnsi="Book Antiqua" w:cs="Book Antiqua"/>
          <w:sz w:val="24"/>
          <w:lang w:val="en-GB"/>
        </w:rPr>
      </w:pPr>
      <w:r w:rsidRPr="004E3E19">
        <w:rPr>
          <w:rFonts w:ascii="Book Antiqua" w:hAnsi="Book Antiqua" w:cs="Book Antiqua"/>
          <w:sz w:val="24"/>
          <w:lang w:val="en-GB"/>
        </w:rPr>
        <w:t xml:space="preserve">The OR and 95% CI were used as the effective index of the study. </w:t>
      </w:r>
      <w:r w:rsidR="00670816" w:rsidRPr="004E3E19">
        <w:rPr>
          <w:rFonts w:ascii="Book Antiqua" w:hAnsi="Book Antiqua" w:cs="Book Antiqua"/>
          <w:i/>
          <w:sz w:val="24"/>
          <w:lang w:val="en-GB"/>
        </w:rPr>
        <w:t xml:space="preserve">P &lt; </w:t>
      </w:r>
      <w:r w:rsidRPr="004E3E19">
        <w:rPr>
          <w:rFonts w:ascii="Book Antiqua" w:hAnsi="Book Antiqua" w:cs="Book Antiqua"/>
          <w:sz w:val="24"/>
          <w:lang w:val="en-GB"/>
        </w:rPr>
        <w:t xml:space="preserve">0.05 indicated that the difference was statistically significant. The 5 genetic models, allele model (A </w:t>
      </w:r>
      <w:r w:rsidR="00670816" w:rsidRPr="004E3E19">
        <w:rPr>
          <w:rFonts w:ascii="Book Antiqua" w:hAnsi="Book Antiqua" w:cs="Book Antiqua"/>
          <w:i/>
          <w:sz w:val="24"/>
          <w:lang w:val="en-GB"/>
        </w:rPr>
        <w:t>vs</w:t>
      </w:r>
      <w:r w:rsidRPr="004E3E19">
        <w:rPr>
          <w:rFonts w:ascii="Book Antiqua" w:hAnsi="Book Antiqua" w:cs="Book Antiqua"/>
          <w:sz w:val="24"/>
          <w:lang w:val="en-GB"/>
        </w:rPr>
        <w:t xml:space="preserve"> G), dominant model (AA/AG </w:t>
      </w:r>
      <w:r w:rsidR="00670816" w:rsidRPr="004E3E19">
        <w:rPr>
          <w:rFonts w:ascii="Book Antiqua" w:hAnsi="Book Antiqua" w:cs="Book Antiqua"/>
          <w:i/>
          <w:sz w:val="24"/>
          <w:lang w:val="en-GB"/>
        </w:rPr>
        <w:t>vs</w:t>
      </w:r>
      <w:r w:rsidRPr="004E3E19">
        <w:rPr>
          <w:rFonts w:ascii="Book Antiqua" w:hAnsi="Book Antiqua" w:cs="Book Antiqua"/>
          <w:sz w:val="24"/>
          <w:lang w:val="en-GB"/>
        </w:rPr>
        <w:t xml:space="preserve"> GG), recessive model (AA </w:t>
      </w:r>
      <w:r w:rsidR="00670816" w:rsidRPr="004E3E19">
        <w:rPr>
          <w:rFonts w:ascii="Book Antiqua" w:hAnsi="Book Antiqua" w:cs="Book Antiqua"/>
          <w:i/>
          <w:sz w:val="24"/>
          <w:lang w:val="en-GB"/>
        </w:rPr>
        <w:t>vs</w:t>
      </w:r>
      <w:r w:rsidRPr="004E3E19">
        <w:rPr>
          <w:rFonts w:ascii="Book Antiqua" w:hAnsi="Book Antiqua" w:cs="Book Antiqua"/>
          <w:sz w:val="24"/>
          <w:lang w:val="en-GB"/>
        </w:rPr>
        <w:t xml:space="preserve"> GG/AG), homozygous model (AA </w:t>
      </w:r>
      <w:r w:rsidR="00670816" w:rsidRPr="004E3E19">
        <w:rPr>
          <w:rFonts w:ascii="Book Antiqua" w:hAnsi="Book Antiqua" w:cs="Book Antiqua"/>
          <w:i/>
          <w:sz w:val="24"/>
          <w:lang w:val="en-GB"/>
        </w:rPr>
        <w:t>vs</w:t>
      </w:r>
      <w:r w:rsidRPr="004E3E19">
        <w:rPr>
          <w:rFonts w:ascii="Book Antiqua" w:hAnsi="Book Antiqua" w:cs="Book Antiqua"/>
          <w:sz w:val="24"/>
          <w:lang w:val="en-GB"/>
        </w:rPr>
        <w:t xml:space="preserve"> GG), and heterozygous model (AG </w:t>
      </w:r>
      <w:r w:rsidR="00670816" w:rsidRPr="004E3E19">
        <w:rPr>
          <w:rFonts w:ascii="Book Antiqua" w:hAnsi="Book Antiqua" w:cs="Book Antiqua"/>
          <w:i/>
          <w:sz w:val="24"/>
          <w:lang w:val="en-GB"/>
        </w:rPr>
        <w:t>vs</w:t>
      </w:r>
      <w:r w:rsidRPr="004E3E19">
        <w:rPr>
          <w:rFonts w:ascii="Book Antiqua" w:hAnsi="Book Antiqua" w:cs="Book Antiqua"/>
          <w:sz w:val="24"/>
          <w:lang w:val="en-GB"/>
        </w:rPr>
        <w:t xml:space="preserve"> GG), were compared. The statistical significance of combined OR values were examined using the Z test, and the significance level used bilateral 0.05. The </w:t>
      </w:r>
      <w:r w:rsidRPr="00D74F24">
        <w:rPr>
          <w:rFonts w:ascii="Book Antiqua" w:hAnsi="Book Antiqua" w:cs="Book Antiqua"/>
          <w:i/>
          <w:sz w:val="24"/>
          <w:lang w:val="en-GB"/>
        </w:rPr>
        <w:t>χ</w:t>
      </w:r>
      <w:r w:rsidRPr="004E3E19">
        <w:rPr>
          <w:rFonts w:ascii="Book Antiqua" w:hAnsi="Book Antiqua" w:cs="Book Antiqua"/>
          <w:sz w:val="24"/>
          <w:vertAlign w:val="superscript"/>
          <w:lang w:val="en-GB"/>
        </w:rPr>
        <w:t>2</w:t>
      </w:r>
      <w:r w:rsidRPr="004E3E19">
        <w:rPr>
          <w:rFonts w:ascii="Book Antiqua" w:hAnsi="Book Antiqua" w:cs="Book Antiqua"/>
          <w:sz w:val="24"/>
          <w:lang w:val="en-GB"/>
        </w:rPr>
        <w:t xml:space="preserve"> test was used to evaluate whether the genotypes in the control group conformed to HWE. The Cochrane </w:t>
      </w:r>
      <w:r w:rsidRPr="00D74F24">
        <w:rPr>
          <w:rFonts w:ascii="Book Antiqua" w:hAnsi="Book Antiqua" w:cs="Book Antiqua"/>
          <w:i/>
          <w:sz w:val="24"/>
          <w:lang w:val="en-GB"/>
        </w:rPr>
        <w:t>Q</w:t>
      </w:r>
      <w:r w:rsidRPr="004E3E19">
        <w:rPr>
          <w:rFonts w:ascii="Book Antiqua" w:hAnsi="Book Antiqua" w:cs="Book Antiqua"/>
          <w:sz w:val="24"/>
          <w:lang w:val="en-GB"/>
        </w:rPr>
        <w:t xml:space="preserve"> test was performed to analyse the heterogeneity among studies</w:t>
      </w:r>
      <w:r w:rsidR="00B65FCD" w:rsidRPr="004E3E19">
        <w:rPr>
          <w:rFonts w:ascii="Book Antiqua" w:hAnsi="Book Antiqua" w:cs="Book Antiqua"/>
          <w:kern w:val="0"/>
          <w:sz w:val="24"/>
          <w:vertAlign w:val="superscript"/>
          <w:lang w:val="en-GB"/>
        </w:rPr>
        <w:t>[</w:t>
      </w:r>
      <w:r w:rsidRPr="004E3E19">
        <w:rPr>
          <w:rFonts w:ascii="Book Antiqua" w:hAnsi="Book Antiqua" w:cs="Book Antiqua"/>
          <w:kern w:val="0"/>
          <w:sz w:val="24"/>
          <w:vertAlign w:val="superscript"/>
          <w:lang w:val="en-GB"/>
        </w:rPr>
        <w:t>20]</w:t>
      </w:r>
      <w:r w:rsidRPr="004E3E19">
        <w:rPr>
          <w:rFonts w:ascii="Book Antiqua" w:hAnsi="Book Antiqua" w:cs="Book Antiqua"/>
          <w:sz w:val="24"/>
          <w:lang w:val="en-GB"/>
        </w:rPr>
        <w:t xml:space="preserve">. </w:t>
      </w:r>
      <w:r w:rsidR="00670816" w:rsidRPr="004E3E19">
        <w:rPr>
          <w:rFonts w:ascii="Book Antiqua" w:hAnsi="Book Antiqua" w:cs="Book Antiqua"/>
          <w:i/>
          <w:sz w:val="24"/>
          <w:lang w:val="en-GB"/>
        </w:rPr>
        <w:t xml:space="preserve">P &lt; </w:t>
      </w:r>
      <w:r w:rsidRPr="004E3E19">
        <w:rPr>
          <w:rFonts w:ascii="Book Antiqua" w:hAnsi="Book Antiqua" w:cs="Book Antiqua"/>
          <w:sz w:val="24"/>
          <w:lang w:val="en-GB"/>
        </w:rPr>
        <w:t xml:space="preserve">0.10 was considered significantly different. In addition, the </w:t>
      </w:r>
      <w:r w:rsidRPr="00D74F24">
        <w:rPr>
          <w:rFonts w:ascii="Book Antiqua" w:hAnsi="Book Antiqua" w:cs="Book Antiqua"/>
          <w:i/>
          <w:sz w:val="24"/>
          <w:lang w:val="en-GB"/>
        </w:rPr>
        <w:t>I</w:t>
      </w:r>
      <w:r w:rsidRPr="004E3E19">
        <w:rPr>
          <w:rFonts w:ascii="Book Antiqua" w:hAnsi="Book Antiqua" w:cs="Book Antiqua"/>
          <w:sz w:val="24"/>
          <w:vertAlign w:val="superscript"/>
          <w:lang w:val="en-GB"/>
        </w:rPr>
        <w:t>2</w:t>
      </w:r>
      <w:r w:rsidRPr="004E3E19">
        <w:rPr>
          <w:rFonts w:ascii="Book Antiqua" w:hAnsi="Book Antiqua" w:cs="Book Antiqua"/>
          <w:sz w:val="24"/>
          <w:lang w:val="en-GB"/>
        </w:rPr>
        <w:t xml:space="preserve"> value was combined to quantitatively evaluate the level of heterogeneity. The </w:t>
      </w:r>
      <w:r w:rsidRPr="00D74F24">
        <w:rPr>
          <w:rFonts w:ascii="Book Antiqua" w:hAnsi="Book Antiqua" w:cs="Book Antiqua"/>
          <w:i/>
          <w:sz w:val="24"/>
          <w:lang w:val="en-GB"/>
        </w:rPr>
        <w:t>I</w:t>
      </w:r>
      <w:r w:rsidRPr="004E3E19">
        <w:rPr>
          <w:rFonts w:ascii="Book Antiqua" w:hAnsi="Book Antiqua" w:cs="Book Antiqua"/>
          <w:sz w:val="24"/>
          <w:vertAlign w:val="superscript"/>
          <w:lang w:val="en-GB"/>
        </w:rPr>
        <w:t>2</w:t>
      </w:r>
      <w:r w:rsidRPr="004E3E19">
        <w:rPr>
          <w:rFonts w:ascii="Book Antiqua" w:hAnsi="Book Antiqua" w:cs="Book Antiqua"/>
          <w:sz w:val="24"/>
          <w:lang w:val="en-GB"/>
        </w:rPr>
        <w:t xml:space="preserve"> values were between 0% and 100%; when the value was larger, the heterogeneity was higher. When the heterogeneity examination result showed </w:t>
      </w:r>
      <w:r w:rsidR="00670816" w:rsidRPr="004E3E19">
        <w:rPr>
          <w:rFonts w:ascii="Book Antiqua" w:hAnsi="Book Antiqua" w:cs="Book Antiqua"/>
          <w:i/>
          <w:sz w:val="24"/>
          <w:lang w:val="en-GB"/>
        </w:rPr>
        <w:t xml:space="preserve">P &lt; </w:t>
      </w:r>
      <w:r w:rsidRPr="004E3E19">
        <w:rPr>
          <w:rFonts w:ascii="Book Antiqua" w:hAnsi="Book Antiqua" w:cs="Book Antiqua"/>
          <w:sz w:val="24"/>
          <w:lang w:val="en-GB"/>
        </w:rPr>
        <w:t xml:space="preserve">0.10 or </w:t>
      </w:r>
      <w:r w:rsidRPr="004E3E19">
        <w:rPr>
          <w:rFonts w:ascii="Book Antiqua" w:hAnsi="Book Antiqua" w:cs="Book Antiqua"/>
          <w:i/>
          <w:sz w:val="24"/>
          <w:lang w:val="en-GB"/>
        </w:rPr>
        <w:t>I</w:t>
      </w:r>
      <w:r w:rsidRPr="004E3E19">
        <w:rPr>
          <w:rFonts w:ascii="Book Antiqua" w:hAnsi="Book Antiqua" w:cs="Book Antiqua"/>
          <w:sz w:val="24"/>
          <w:vertAlign w:val="superscript"/>
          <w:lang w:val="en-GB"/>
        </w:rPr>
        <w:t>2</w:t>
      </w:r>
      <w:r w:rsidR="00670816" w:rsidRPr="004E3E19">
        <w:rPr>
          <w:rFonts w:ascii="Book Antiqua" w:hAnsi="Book Antiqua" w:cs="Book Antiqua"/>
          <w:sz w:val="24"/>
          <w:vertAlign w:val="superscript"/>
          <w:lang w:val="en-GB"/>
        </w:rPr>
        <w:t xml:space="preserve"> </w:t>
      </w:r>
      <w:r w:rsidRPr="004E3E19">
        <w:rPr>
          <w:rFonts w:ascii="Book Antiqua" w:hAnsi="Book Antiqua" w:cs="Book Antiqua"/>
          <w:sz w:val="24"/>
          <w:lang w:val="en-GB"/>
        </w:rPr>
        <w:t>&gt;</w:t>
      </w:r>
      <w:r w:rsidR="00670816" w:rsidRPr="004E3E19">
        <w:rPr>
          <w:rFonts w:ascii="Book Antiqua" w:hAnsi="Book Antiqua" w:cs="Book Antiqua"/>
          <w:sz w:val="24"/>
          <w:lang w:val="en-GB"/>
        </w:rPr>
        <w:t xml:space="preserve"> </w:t>
      </w:r>
      <w:r w:rsidRPr="004E3E19">
        <w:rPr>
          <w:rFonts w:ascii="Book Antiqua" w:hAnsi="Book Antiqua" w:cs="Book Antiqua"/>
          <w:sz w:val="24"/>
          <w:lang w:val="en-GB"/>
        </w:rPr>
        <w:t>50%, the random effects model (DerSimonian-Laird method)</w:t>
      </w:r>
      <w:r w:rsidR="00B65FCD" w:rsidRPr="004E3E19">
        <w:rPr>
          <w:rFonts w:ascii="Book Antiqua" w:hAnsi="Book Antiqua" w:cs="Book Antiqua"/>
          <w:kern w:val="0"/>
          <w:sz w:val="24"/>
          <w:vertAlign w:val="superscript"/>
          <w:lang w:val="en-GB"/>
        </w:rPr>
        <w:t>[</w:t>
      </w:r>
      <w:r w:rsidRPr="004E3E19">
        <w:rPr>
          <w:rFonts w:ascii="Book Antiqua" w:hAnsi="Book Antiqua" w:cs="Book Antiqua"/>
          <w:kern w:val="0"/>
          <w:sz w:val="24"/>
          <w:vertAlign w:val="superscript"/>
          <w:lang w:val="en-GB"/>
        </w:rPr>
        <w:t>21]</w:t>
      </w:r>
      <w:r w:rsidRPr="004E3E19">
        <w:rPr>
          <w:rFonts w:ascii="Book Antiqua" w:hAnsi="Book Antiqua" w:cs="Book Antiqua"/>
          <w:sz w:val="24"/>
          <w:lang w:val="en-GB"/>
        </w:rPr>
        <w:t xml:space="preserve"> was used to perform the analysis; otherwise, the fixed effects model (Mantel-Haenszel method)</w:t>
      </w:r>
      <w:r w:rsidR="00B65FCD" w:rsidRPr="004E3E19">
        <w:rPr>
          <w:rFonts w:ascii="Book Antiqua" w:hAnsi="Book Antiqua" w:cs="Book Antiqua"/>
          <w:kern w:val="0"/>
          <w:sz w:val="24"/>
          <w:vertAlign w:val="superscript"/>
          <w:lang w:val="en-GB"/>
        </w:rPr>
        <w:t>[</w:t>
      </w:r>
      <w:r w:rsidRPr="004E3E19">
        <w:rPr>
          <w:rFonts w:ascii="Book Antiqua" w:hAnsi="Book Antiqua" w:cs="Book Antiqua"/>
          <w:kern w:val="0"/>
          <w:sz w:val="24"/>
          <w:vertAlign w:val="superscript"/>
          <w:lang w:val="en-GB"/>
        </w:rPr>
        <w:t>22]</w:t>
      </w:r>
      <w:r w:rsidRPr="004E3E19">
        <w:rPr>
          <w:rFonts w:ascii="Book Antiqua" w:hAnsi="Book Antiqua" w:cs="Book Antiqua"/>
          <w:sz w:val="24"/>
          <w:lang w:val="en-GB"/>
        </w:rPr>
        <w:t xml:space="preserve"> was used. The included studies were deleted one by one to perform sensitivity analysis to examine the effect of a single study on the total combined effect size. Whether the included literature had publication bias was analysed through the funnel plot</w:t>
      </w:r>
      <w:r w:rsidR="00B65FCD" w:rsidRPr="004E3E19">
        <w:rPr>
          <w:rFonts w:ascii="Book Antiqua" w:hAnsi="Book Antiqua" w:cs="Book Antiqua"/>
          <w:kern w:val="0"/>
          <w:sz w:val="24"/>
          <w:vertAlign w:val="superscript"/>
          <w:lang w:val="en-GB"/>
        </w:rPr>
        <w:t>[</w:t>
      </w:r>
      <w:r w:rsidRPr="004E3E19">
        <w:rPr>
          <w:rFonts w:ascii="Book Antiqua" w:hAnsi="Book Antiqua" w:cs="Book Antiqua"/>
          <w:kern w:val="0"/>
          <w:sz w:val="24"/>
          <w:vertAlign w:val="superscript"/>
          <w:lang w:val="en-GB"/>
        </w:rPr>
        <w:t>23]</w:t>
      </w:r>
      <w:r w:rsidRPr="004E3E19">
        <w:rPr>
          <w:rFonts w:ascii="Book Antiqua" w:hAnsi="Book Antiqua" w:cs="Book Antiqua"/>
          <w:sz w:val="24"/>
          <w:lang w:val="en-GB"/>
        </w:rPr>
        <w:t>, Egger’s linear regression method</w:t>
      </w:r>
      <w:r w:rsidR="00B65FCD" w:rsidRPr="004E3E19">
        <w:rPr>
          <w:rFonts w:ascii="Book Antiqua" w:hAnsi="Book Antiqua" w:cs="Book Antiqua"/>
          <w:kern w:val="0"/>
          <w:sz w:val="24"/>
          <w:vertAlign w:val="superscript"/>
          <w:lang w:val="en-GB"/>
        </w:rPr>
        <w:t>[</w:t>
      </w:r>
      <w:r w:rsidRPr="004E3E19">
        <w:rPr>
          <w:rFonts w:ascii="Book Antiqua" w:hAnsi="Book Antiqua" w:cs="Book Antiqua"/>
          <w:kern w:val="0"/>
          <w:sz w:val="24"/>
          <w:vertAlign w:val="superscript"/>
          <w:lang w:val="en-GB"/>
        </w:rPr>
        <w:t>24]</w:t>
      </w:r>
      <w:r w:rsidRPr="004E3E19">
        <w:rPr>
          <w:rFonts w:ascii="Book Antiqua" w:hAnsi="Book Antiqua" w:cs="Book Antiqua"/>
          <w:sz w:val="24"/>
          <w:lang w:val="en-GB"/>
        </w:rPr>
        <w:t>, and Begg’s rank correlation test</w:t>
      </w:r>
      <w:r w:rsidR="00B65FCD" w:rsidRPr="004E3E19">
        <w:rPr>
          <w:rFonts w:ascii="Book Antiqua" w:hAnsi="Book Antiqua" w:cs="Book Antiqua"/>
          <w:kern w:val="0"/>
          <w:sz w:val="24"/>
          <w:vertAlign w:val="superscript"/>
          <w:lang w:val="en-GB"/>
        </w:rPr>
        <w:t>[</w:t>
      </w:r>
      <w:r w:rsidRPr="004E3E19">
        <w:rPr>
          <w:rFonts w:ascii="Book Antiqua" w:hAnsi="Book Antiqua" w:cs="Book Antiqua"/>
          <w:kern w:val="0"/>
          <w:sz w:val="24"/>
          <w:vertAlign w:val="superscript"/>
          <w:lang w:val="en-GB"/>
        </w:rPr>
        <w:t>25]</w:t>
      </w:r>
      <w:r w:rsidRPr="004E3E19">
        <w:rPr>
          <w:rFonts w:ascii="Book Antiqua" w:hAnsi="Book Antiqua" w:cs="Book Antiqua"/>
          <w:sz w:val="24"/>
          <w:lang w:val="en-GB"/>
        </w:rPr>
        <w:t xml:space="preserve">. The meta-analysis was performed using Stata11.0 software. </w:t>
      </w:r>
    </w:p>
    <w:p w:rsidR="00D757F8" w:rsidRPr="004E3E19" w:rsidRDefault="002905C9" w:rsidP="00424106">
      <w:pPr>
        <w:adjustRightInd w:val="0"/>
        <w:snapToGrid w:val="0"/>
        <w:spacing w:after="0" w:line="360" w:lineRule="auto"/>
        <w:ind w:firstLine="420"/>
        <w:rPr>
          <w:rFonts w:ascii="Book Antiqua" w:hAnsi="Book Antiqua" w:cs="Book Antiqua"/>
          <w:sz w:val="24"/>
          <w:lang w:val="en-GB"/>
        </w:rPr>
      </w:pPr>
      <w:r w:rsidRPr="004E3E19">
        <w:rPr>
          <w:rFonts w:ascii="Book Antiqua" w:hAnsi="Book Antiqua" w:cs="Book Antiqua"/>
          <w:sz w:val="24"/>
          <w:lang w:val="en-GB"/>
        </w:rPr>
        <w:t>The met</w:t>
      </w:r>
      <w:r w:rsidR="00670816" w:rsidRPr="004E3E19">
        <w:rPr>
          <w:rFonts w:ascii="Book Antiqua" w:hAnsi="Book Antiqua" w:cs="Book Antiqua"/>
          <w:sz w:val="24"/>
          <w:lang w:val="en-GB"/>
        </w:rPr>
        <w:t xml:space="preserve">hod reported by Wacholder </w:t>
      </w:r>
      <w:r w:rsidR="004578D3" w:rsidRPr="004578D3">
        <w:rPr>
          <w:rFonts w:ascii="Book Antiqua" w:hAnsi="Book Antiqua" w:cs="Book Antiqua"/>
          <w:i/>
          <w:sz w:val="24"/>
          <w:lang w:val="en-GB"/>
        </w:rPr>
        <w:t>et al</w:t>
      </w:r>
      <w:r w:rsidR="00B65FCD" w:rsidRPr="004E3E19">
        <w:rPr>
          <w:rFonts w:ascii="Book Antiqua" w:hAnsi="Book Antiqua" w:cs="Book Antiqua"/>
          <w:kern w:val="0"/>
          <w:sz w:val="24"/>
          <w:vertAlign w:val="superscript"/>
          <w:lang w:val="en-GB"/>
        </w:rPr>
        <w:t>[</w:t>
      </w:r>
      <w:r w:rsidRPr="004E3E19">
        <w:rPr>
          <w:rFonts w:ascii="Book Antiqua" w:hAnsi="Book Antiqua" w:cs="Book Antiqua"/>
          <w:kern w:val="0"/>
          <w:sz w:val="24"/>
          <w:vertAlign w:val="superscript"/>
          <w:lang w:val="en-GB"/>
        </w:rPr>
        <w:t>26]</w:t>
      </w:r>
      <w:r w:rsidRPr="004E3E19">
        <w:rPr>
          <w:rFonts w:ascii="Book Antiqua" w:hAnsi="Book Antiqua" w:cs="Book Antiqua"/>
          <w:sz w:val="24"/>
          <w:lang w:val="en-GB"/>
        </w:rPr>
        <w:t xml:space="preserve"> was used to analyse the false positive report probability (FPRP) of each significant correlation. A prior probability of 0.001 was set to detect an OR of 1.5. When the FPRP value was lower than 0.2, the correlation was noteworthy. The statistical power and FPRP value were calculated using the Excel spreadsheet provided by </w:t>
      </w:r>
      <w:r w:rsidRPr="004E3E19">
        <w:rPr>
          <w:rFonts w:ascii="Book Antiqua" w:hAnsi="Book Antiqua" w:cs="Book Antiqua"/>
          <w:sz w:val="24"/>
          <w:lang w:val="en-GB"/>
        </w:rPr>
        <w:lastRenderedPageBreak/>
        <w:t xml:space="preserve">Wacholder </w:t>
      </w:r>
      <w:r w:rsidR="004578D3" w:rsidRPr="004578D3">
        <w:rPr>
          <w:rFonts w:ascii="Book Antiqua" w:hAnsi="Book Antiqua" w:cs="Book Antiqua"/>
          <w:i/>
          <w:sz w:val="24"/>
          <w:lang w:val="en-GB"/>
        </w:rPr>
        <w:t>et al</w:t>
      </w:r>
      <w:r w:rsidR="00B65FCD" w:rsidRPr="004E3E19">
        <w:rPr>
          <w:rFonts w:ascii="Book Antiqua" w:hAnsi="Book Antiqua" w:cs="Book Antiqua"/>
          <w:kern w:val="0"/>
          <w:sz w:val="24"/>
          <w:vertAlign w:val="superscript"/>
          <w:lang w:val="en-GB"/>
        </w:rPr>
        <w:t>[</w:t>
      </w:r>
      <w:r w:rsidRPr="004E3E19">
        <w:rPr>
          <w:rFonts w:ascii="Book Antiqua" w:hAnsi="Book Antiqua" w:cs="Book Antiqua"/>
          <w:kern w:val="0"/>
          <w:sz w:val="24"/>
          <w:vertAlign w:val="superscript"/>
          <w:lang w:val="en-GB"/>
        </w:rPr>
        <w:t>26]</w:t>
      </w:r>
      <w:r w:rsidRPr="004E3E19">
        <w:rPr>
          <w:rFonts w:ascii="Book Antiqua" w:hAnsi="Book Antiqua" w:cs="Book Antiqua"/>
          <w:sz w:val="24"/>
          <w:lang w:val="en-GB"/>
        </w:rPr>
        <w:t>.</w:t>
      </w:r>
    </w:p>
    <w:p w:rsidR="00D033BE" w:rsidRPr="004E3E19" w:rsidRDefault="00D033BE" w:rsidP="00424106">
      <w:pPr>
        <w:adjustRightInd w:val="0"/>
        <w:snapToGrid w:val="0"/>
        <w:spacing w:after="0" w:line="360" w:lineRule="auto"/>
        <w:ind w:firstLine="420"/>
        <w:rPr>
          <w:rFonts w:ascii="Book Antiqua" w:hAnsi="Book Antiqua" w:cs="Book Antiqua"/>
          <w:sz w:val="24"/>
          <w:lang w:val="en-GB"/>
        </w:rPr>
      </w:pPr>
    </w:p>
    <w:p w:rsidR="00D757F8" w:rsidRPr="004E3E19" w:rsidRDefault="002905C9" w:rsidP="00424106">
      <w:pPr>
        <w:adjustRightInd w:val="0"/>
        <w:snapToGrid w:val="0"/>
        <w:spacing w:after="0" w:line="360" w:lineRule="auto"/>
        <w:rPr>
          <w:rFonts w:ascii="Book Antiqua" w:hAnsi="Book Antiqua" w:cs="Book Antiqua"/>
          <w:b/>
          <w:sz w:val="24"/>
          <w:lang w:val="en-GB"/>
        </w:rPr>
      </w:pPr>
      <w:r w:rsidRPr="004E3E19">
        <w:rPr>
          <w:rFonts w:ascii="Book Antiqua" w:hAnsi="Book Antiqua" w:cs="Book Antiqua"/>
          <w:b/>
          <w:sz w:val="24"/>
          <w:lang w:val="en-GB"/>
        </w:rPr>
        <w:t>RESULTS</w:t>
      </w:r>
    </w:p>
    <w:p w:rsidR="00D757F8" w:rsidRPr="004E3E19" w:rsidRDefault="002905C9" w:rsidP="00424106">
      <w:pPr>
        <w:adjustRightInd w:val="0"/>
        <w:snapToGrid w:val="0"/>
        <w:spacing w:after="0" w:line="360" w:lineRule="auto"/>
        <w:rPr>
          <w:rFonts w:ascii="Book Antiqua" w:hAnsi="Book Antiqua" w:cs="Book Antiqua"/>
          <w:b/>
          <w:bCs/>
          <w:i/>
          <w:iCs/>
          <w:sz w:val="24"/>
          <w:lang w:val="en-GB"/>
        </w:rPr>
      </w:pPr>
      <w:r w:rsidRPr="004E3E19">
        <w:rPr>
          <w:rFonts w:ascii="Book Antiqua" w:hAnsi="Book Antiqua" w:cs="Book Antiqua"/>
          <w:b/>
          <w:bCs/>
          <w:i/>
          <w:iCs/>
          <w:sz w:val="24"/>
          <w:lang w:val="en-GB"/>
        </w:rPr>
        <w:t>Literature retrieval results</w:t>
      </w:r>
    </w:p>
    <w:p w:rsidR="00D757F8" w:rsidRPr="004E3E19" w:rsidRDefault="002905C9" w:rsidP="00424106">
      <w:pPr>
        <w:adjustRightInd w:val="0"/>
        <w:snapToGrid w:val="0"/>
        <w:spacing w:after="0" w:line="360" w:lineRule="auto"/>
        <w:rPr>
          <w:rFonts w:ascii="Book Antiqua" w:hAnsi="Book Antiqua" w:cs="Book Antiqua"/>
          <w:sz w:val="24"/>
          <w:lang w:val="en-GB"/>
        </w:rPr>
      </w:pPr>
      <w:r w:rsidRPr="004E3E19">
        <w:rPr>
          <w:rFonts w:ascii="Book Antiqua" w:hAnsi="Book Antiqua" w:cs="Book Antiqua"/>
          <w:sz w:val="24"/>
          <w:lang w:val="en-GB"/>
        </w:rPr>
        <w:t>A total of 378 relevant publications were retrieved. After repetitive publications were excluded, there were 302 publications. Literature screening was performed according to the inclusion and exclusion criteria. Based on titles and abstracts, 216 publications that were irrelevant to the study topic were excluded. After abstracts and the full texts were further carefully read, 64 publications were excluded (27 publications of non-case controlled and cohort studies, 22 publications irrelevant to gastrointestinal cancers, 14 publications of abstracts and reviews, and 1 repeatedly published article). Based on the references of the included literature, 2 more publications were obtained. A total of 24 publications were finally included, including 11,043 cases of patients and 18,008 cases of controls (</w:t>
      </w:r>
      <w:r w:rsidR="00D033BE" w:rsidRPr="004E3E19">
        <w:rPr>
          <w:rFonts w:ascii="Book Antiqua" w:hAnsi="Book Antiqua" w:cs="Book Antiqua"/>
          <w:sz w:val="24"/>
          <w:lang w:val="en-GB"/>
        </w:rPr>
        <w:t>Figure</w:t>
      </w:r>
      <w:r w:rsidRPr="004E3E19">
        <w:rPr>
          <w:rFonts w:ascii="Book Antiqua" w:hAnsi="Book Antiqua" w:cs="Book Antiqua"/>
          <w:sz w:val="24"/>
          <w:lang w:val="en-GB"/>
        </w:rPr>
        <w:t xml:space="preserve"> 1). </w:t>
      </w:r>
    </w:p>
    <w:p w:rsidR="00D033BE" w:rsidRPr="004E3E19" w:rsidRDefault="00D033BE" w:rsidP="00424106">
      <w:pPr>
        <w:adjustRightInd w:val="0"/>
        <w:snapToGrid w:val="0"/>
        <w:spacing w:after="0" w:line="360" w:lineRule="auto"/>
        <w:rPr>
          <w:rFonts w:ascii="Book Antiqua" w:hAnsi="Book Antiqua" w:cs="Book Antiqua"/>
          <w:sz w:val="24"/>
          <w:lang w:val="en-GB"/>
        </w:rPr>
      </w:pPr>
    </w:p>
    <w:p w:rsidR="00D757F8" w:rsidRPr="004E3E19" w:rsidRDefault="002905C9" w:rsidP="00424106">
      <w:pPr>
        <w:adjustRightInd w:val="0"/>
        <w:snapToGrid w:val="0"/>
        <w:spacing w:after="0" w:line="360" w:lineRule="auto"/>
        <w:rPr>
          <w:rFonts w:ascii="Book Antiqua" w:hAnsi="Book Antiqua" w:cs="Book Antiqua"/>
          <w:b/>
          <w:bCs/>
          <w:i/>
          <w:iCs/>
          <w:sz w:val="24"/>
          <w:lang w:val="en-GB"/>
        </w:rPr>
      </w:pPr>
      <w:r w:rsidRPr="004E3E19">
        <w:rPr>
          <w:rFonts w:ascii="Book Antiqua" w:hAnsi="Book Antiqua" w:cs="Book Antiqua"/>
          <w:b/>
          <w:bCs/>
          <w:i/>
          <w:iCs/>
          <w:sz w:val="24"/>
          <w:lang w:val="en-GB"/>
        </w:rPr>
        <w:t>Characteristics of included studies</w:t>
      </w:r>
    </w:p>
    <w:p w:rsidR="00D757F8" w:rsidRPr="004E3E19" w:rsidRDefault="002905C9" w:rsidP="00424106">
      <w:pPr>
        <w:adjustRightInd w:val="0"/>
        <w:snapToGrid w:val="0"/>
        <w:spacing w:after="0" w:line="360" w:lineRule="auto"/>
        <w:rPr>
          <w:rFonts w:ascii="Book Antiqua" w:hAnsi="Book Antiqua" w:cs="Book Antiqua"/>
          <w:sz w:val="24"/>
          <w:lang w:val="en-GB"/>
        </w:rPr>
      </w:pPr>
      <w:r w:rsidRPr="004E3E19">
        <w:rPr>
          <w:rFonts w:ascii="Book Antiqua" w:hAnsi="Book Antiqua" w:cs="Book Antiqua"/>
          <w:sz w:val="24"/>
          <w:lang w:val="en-GB"/>
        </w:rPr>
        <w:t>Among the 24 included publications (Table 2), 11 publications were reports on gastric cancer and 13 publications were reports on colorectal cancer; 14 publications were studies in Asian populations, 8 publications were studies in Caucasian populations, and 2 publications were studies in mixed populations. The HWE examination results of the distribution of genotypes in the control group are shown in Table 2. Among the 24 publications, the distribution of genotypes in the control groups of 19 publications conformed to HWE. The quality score of a single study ranged from 7 to 18. There were 19 publications of high quality studies (≥</w:t>
      </w:r>
      <w:r w:rsidR="00670816" w:rsidRPr="004E3E19">
        <w:rPr>
          <w:rFonts w:ascii="Book Antiqua" w:hAnsi="Book Antiqua" w:cs="Book Antiqua"/>
          <w:sz w:val="24"/>
          <w:lang w:val="en-GB"/>
        </w:rPr>
        <w:t xml:space="preserve"> </w:t>
      </w:r>
      <w:r w:rsidRPr="004E3E19">
        <w:rPr>
          <w:rFonts w:ascii="Book Antiqua" w:hAnsi="Book Antiqua" w:cs="Book Antiqua"/>
          <w:sz w:val="24"/>
          <w:lang w:val="en-GB"/>
        </w:rPr>
        <w:t>12).</w:t>
      </w:r>
    </w:p>
    <w:p w:rsidR="00D033BE" w:rsidRPr="004E3E19" w:rsidRDefault="00D033BE" w:rsidP="00424106">
      <w:pPr>
        <w:adjustRightInd w:val="0"/>
        <w:snapToGrid w:val="0"/>
        <w:spacing w:after="0" w:line="360" w:lineRule="auto"/>
        <w:rPr>
          <w:rFonts w:ascii="Book Antiqua" w:hAnsi="Book Antiqua" w:cs="Book Antiqua"/>
          <w:sz w:val="24"/>
          <w:lang w:val="en-GB"/>
        </w:rPr>
      </w:pPr>
    </w:p>
    <w:p w:rsidR="00D757F8" w:rsidRPr="004E3E19" w:rsidRDefault="002905C9" w:rsidP="00424106">
      <w:pPr>
        <w:adjustRightInd w:val="0"/>
        <w:snapToGrid w:val="0"/>
        <w:spacing w:after="0" w:line="360" w:lineRule="auto"/>
        <w:rPr>
          <w:rFonts w:ascii="Book Antiqua" w:hAnsi="Book Antiqua" w:cs="Book Antiqua"/>
          <w:b/>
          <w:bCs/>
          <w:i/>
          <w:iCs/>
          <w:sz w:val="24"/>
          <w:lang w:val="en-GB"/>
        </w:rPr>
      </w:pPr>
      <w:r w:rsidRPr="004E3E19">
        <w:rPr>
          <w:rFonts w:ascii="Book Antiqua" w:hAnsi="Book Antiqua" w:cs="Book Antiqua"/>
          <w:b/>
          <w:bCs/>
          <w:i/>
          <w:iCs/>
          <w:sz w:val="24"/>
          <w:lang w:val="en-GB"/>
        </w:rPr>
        <w:t>Meta-analysis results</w:t>
      </w:r>
    </w:p>
    <w:p w:rsidR="00D757F8" w:rsidRPr="004E3E19" w:rsidRDefault="002905C9" w:rsidP="00424106">
      <w:pPr>
        <w:adjustRightInd w:val="0"/>
        <w:snapToGrid w:val="0"/>
        <w:spacing w:after="0" w:line="360" w:lineRule="auto"/>
        <w:rPr>
          <w:rFonts w:ascii="Book Antiqua" w:hAnsi="Book Antiqua" w:cs="Book Antiqua"/>
          <w:sz w:val="24"/>
          <w:lang w:val="en-GB"/>
        </w:rPr>
      </w:pPr>
      <w:r w:rsidRPr="004E3E19">
        <w:rPr>
          <w:rFonts w:ascii="Book Antiqua" w:hAnsi="Book Antiqua" w:cs="Book Antiqua"/>
          <w:sz w:val="24"/>
          <w:lang w:val="en-GB"/>
        </w:rPr>
        <w:t>The ORs of different comparisons and the heterogeneity examination results are shown in Table 3. The results showed that all of the genetic models (</w:t>
      </w:r>
      <w:r w:rsidRPr="004E3E19">
        <w:rPr>
          <w:rFonts w:ascii="Book Antiqua" w:hAnsi="Book Antiqua" w:cs="Book Antiqua"/>
          <w:kern w:val="0"/>
          <w:sz w:val="24"/>
          <w:lang w:val="en-GB"/>
        </w:rPr>
        <w:t xml:space="preserve">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1.54; AA/AG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1.24; AA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GG/AG: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1.16; AA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lastRenderedPageBreak/>
        <w:t xml:space="preserve">OR = </w:t>
      </w:r>
      <w:r w:rsidRPr="004E3E19">
        <w:rPr>
          <w:rFonts w:ascii="Book Antiqua" w:hAnsi="Book Antiqua" w:cs="Book Antiqua"/>
          <w:kern w:val="0"/>
          <w:sz w:val="24"/>
          <w:lang w:val="en-GB"/>
        </w:rPr>
        <w:t xml:space="preserve">1.31; AG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1.18</w:t>
      </w:r>
      <w:r w:rsidRPr="004E3E19">
        <w:rPr>
          <w:rFonts w:ascii="Book Antiqua" w:hAnsi="Book Antiqua" w:cs="Book Antiqua"/>
          <w:sz w:val="24"/>
          <w:lang w:val="en-GB"/>
        </w:rPr>
        <w:t xml:space="preserve">) had significant correlation with susceptibility to gastrointestinal cancers. However, when the pre-determined prior probability was below 0.001, all of the FPRP values were higher than 0.2. This result indicated that the association was not noteworthy.  </w:t>
      </w:r>
    </w:p>
    <w:p w:rsidR="00D757F8" w:rsidRPr="004E3E19" w:rsidRDefault="002905C9" w:rsidP="00424106">
      <w:pPr>
        <w:adjustRightInd w:val="0"/>
        <w:snapToGrid w:val="0"/>
        <w:spacing w:after="0" w:line="360" w:lineRule="auto"/>
        <w:ind w:firstLine="420"/>
        <w:rPr>
          <w:rFonts w:ascii="Book Antiqua" w:hAnsi="Book Antiqua" w:cs="Book Antiqua"/>
          <w:sz w:val="24"/>
          <w:lang w:val="en-GB"/>
        </w:rPr>
      </w:pPr>
      <w:r w:rsidRPr="004E3E19">
        <w:rPr>
          <w:rFonts w:ascii="Book Antiqua" w:hAnsi="Book Antiqua" w:cs="Book Antiqua"/>
          <w:kern w:val="0"/>
          <w:sz w:val="24"/>
          <w:lang w:val="en-GB"/>
        </w:rPr>
        <w:t>The subgroup analysis was performed based on tumour types (</w:t>
      </w:r>
      <w:r w:rsidR="00D033BE" w:rsidRPr="004E3E19">
        <w:rPr>
          <w:rFonts w:ascii="Book Antiqua" w:hAnsi="Book Antiqua" w:cs="Book Antiqua"/>
          <w:kern w:val="0"/>
          <w:sz w:val="24"/>
          <w:lang w:val="en-GB"/>
        </w:rPr>
        <w:t>Figure</w:t>
      </w:r>
      <w:r w:rsidRPr="004E3E19">
        <w:rPr>
          <w:rFonts w:ascii="Book Antiqua" w:hAnsi="Book Antiqua" w:cs="Book Antiqua"/>
          <w:kern w:val="0"/>
          <w:sz w:val="24"/>
          <w:lang w:val="en-GB"/>
        </w:rPr>
        <w:t xml:space="preserve"> 2). In the gastric cancer group (A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1.35; AA/AG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1.54; AA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GG/AG: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1.43; AA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1.80; AG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1.35), the results showed that the COX-2 -1195G&gt;A gene polymorphism was significantly correlated with cancer susceptibility. Analysis of FPRP in the gastric group showed that the value in the AA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GG/AG model (FPR</w:t>
      </w:r>
      <w:r w:rsidR="00670816" w:rsidRPr="004E3E19">
        <w:rPr>
          <w:rFonts w:ascii="Book Antiqua" w:hAnsi="Book Antiqua" w:cs="Book Antiqua"/>
          <w:i/>
          <w:kern w:val="0"/>
          <w:sz w:val="24"/>
          <w:lang w:val="en-GB"/>
        </w:rPr>
        <w:t xml:space="preserve">P = </w:t>
      </w:r>
      <w:r w:rsidRPr="004E3E19">
        <w:rPr>
          <w:rFonts w:ascii="Book Antiqua" w:hAnsi="Book Antiqua" w:cs="Book Antiqua"/>
          <w:kern w:val="0"/>
          <w:sz w:val="24"/>
          <w:lang w:val="en-GB"/>
        </w:rPr>
        <w:t xml:space="preserve">0.174) was lower than 0.2, indicating that the result was noteworthy. However, the COX-2 -1195G&gt;A gene polymorphism was not significantly correlated with colorectal cancers. </w:t>
      </w:r>
    </w:p>
    <w:p w:rsidR="00D757F8" w:rsidRPr="004E3E19" w:rsidRDefault="002905C9" w:rsidP="00424106">
      <w:pPr>
        <w:adjustRightInd w:val="0"/>
        <w:snapToGrid w:val="0"/>
        <w:spacing w:after="0" w:line="360" w:lineRule="auto"/>
        <w:ind w:firstLine="420"/>
        <w:rPr>
          <w:rFonts w:ascii="Book Antiqua" w:hAnsi="Book Antiqua" w:cs="Book Antiqua"/>
          <w:kern w:val="0"/>
          <w:sz w:val="24"/>
          <w:lang w:val="en-GB"/>
        </w:rPr>
      </w:pPr>
      <w:r w:rsidRPr="004E3E19">
        <w:rPr>
          <w:rFonts w:ascii="Book Antiqua" w:hAnsi="Book Antiqua" w:cs="Book Antiqua"/>
          <w:kern w:val="0"/>
          <w:sz w:val="24"/>
          <w:lang w:val="en-GB"/>
        </w:rPr>
        <w:t>When subgrouping based on ethnicity (</w:t>
      </w:r>
      <w:r w:rsidR="00D033BE" w:rsidRPr="004E3E19">
        <w:rPr>
          <w:rFonts w:ascii="Book Antiqua" w:hAnsi="Book Antiqua" w:cs="Book Antiqua"/>
          <w:kern w:val="0"/>
          <w:sz w:val="24"/>
          <w:lang w:val="en-GB"/>
        </w:rPr>
        <w:t>Figure</w:t>
      </w:r>
      <w:r w:rsidRPr="004E3E19">
        <w:rPr>
          <w:rFonts w:ascii="Book Antiqua" w:hAnsi="Book Antiqua" w:cs="Book Antiqua"/>
          <w:kern w:val="0"/>
          <w:sz w:val="24"/>
          <w:lang w:val="en-GB"/>
        </w:rPr>
        <w:t xml:space="preserve"> 3), in the Asian population </w:t>
      </w:r>
      <w:bookmarkStart w:id="20" w:name="OLE_LINK29"/>
      <w:r w:rsidRPr="004E3E19">
        <w:rPr>
          <w:rFonts w:ascii="Book Antiqua" w:hAnsi="Book Antiqua" w:cs="Book Antiqua"/>
          <w:kern w:val="0"/>
          <w:sz w:val="24"/>
          <w:lang w:val="en-GB"/>
        </w:rPr>
        <w:t xml:space="preserve">(A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1.30; AA/AG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1.50; AA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GG/AG: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1.35; AA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1.71; AG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1.37)</w:t>
      </w:r>
      <w:bookmarkEnd w:id="20"/>
      <w:r w:rsidRPr="004E3E19">
        <w:rPr>
          <w:rFonts w:ascii="Book Antiqua" w:hAnsi="Book Antiqua" w:cs="Book Antiqua"/>
          <w:kern w:val="0"/>
          <w:sz w:val="24"/>
          <w:lang w:val="en-GB"/>
        </w:rPr>
        <w:t xml:space="preserve">, COX-2 -1195G&gt;A could significantly increase the risk of developing gastrointestinal cancers. In addition, in the 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 model (FPR</w:t>
      </w:r>
      <w:r w:rsidR="00670816" w:rsidRPr="004E3E19">
        <w:rPr>
          <w:rFonts w:ascii="Book Antiqua" w:hAnsi="Book Antiqua" w:cs="Book Antiqua"/>
          <w:i/>
          <w:kern w:val="0"/>
          <w:sz w:val="24"/>
          <w:lang w:val="en-GB"/>
        </w:rPr>
        <w:t xml:space="preserve">P = </w:t>
      </w:r>
      <w:r w:rsidRPr="004E3E19">
        <w:rPr>
          <w:rFonts w:ascii="Book Antiqua" w:hAnsi="Book Antiqua" w:cs="Book Antiqua"/>
          <w:kern w:val="0"/>
          <w:sz w:val="24"/>
          <w:lang w:val="en-GB"/>
        </w:rPr>
        <w:t xml:space="preserve">0.069), AA/AG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model (FPRP</w:t>
      </w:r>
      <w:r w:rsidR="00670816" w:rsidRPr="004E3E19">
        <w:rPr>
          <w:rFonts w:ascii="Book Antiqua" w:hAnsi="Book Antiqua" w:cs="Book Antiqua"/>
          <w:kern w:val="0"/>
          <w:sz w:val="24"/>
          <w:lang w:val="en-GB"/>
        </w:rPr>
        <w:t xml:space="preserve"> </w:t>
      </w:r>
      <w:r w:rsidRPr="004E3E19">
        <w:rPr>
          <w:rFonts w:ascii="Book Antiqua" w:hAnsi="Book Antiqua" w:cs="Book Antiqua"/>
          <w:kern w:val="0"/>
          <w:sz w:val="24"/>
          <w:lang w:val="en-GB"/>
        </w:rPr>
        <w:t>=</w:t>
      </w:r>
      <w:r w:rsidR="00670816" w:rsidRPr="004E3E19">
        <w:rPr>
          <w:rFonts w:ascii="Book Antiqua" w:hAnsi="Book Antiqua" w:cs="Book Antiqua"/>
          <w:kern w:val="0"/>
          <w:sz w:val="24"/>
          <w:lang w:val="en-GB"/>
        </w:rPr>
        <w:t xml:space="preserve"> </w:t>
      </w:r>
      <w:r w:rsidRPr="004E3E19">
        <w:rPr>
          <w:rFonts w:ascii="Book Antiqua" w:hAnsi="Book Antiqua" w:cs="Book Antiqua"/>
          <w:kern w:val="0"/>
          <w:sz w:val="24"/>
          <w:lang w:val="en-GB"/>
        </w:rPr>
        <w:t xml:space="preserve">0.167) and AA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model (FPR</w:t>
      </w:r>
      <w:r w:rsidR="00670816" w:rsidRPr="004E3E19">
        <w:rPr>
          <w:rFonts w:ascii="Book Antiqua" w:hAnsi="Book Antiqua" w:cs="Book Antiqua"/>
          <w:i/>
          <w:kern w:val="0"/>
          <w:sz w:val="24"/>
          <w:lang w:val="en-GB"/>
        </w:rPr>
        <w:t xml:space="preserve">P = </w:t>
      </w:r>
      <w:r w:rsidRPr="004E3E19">
        <w:rPr>
          <w:rFonts w:ascii="Book Antiqua" w:hAnsi="Book Antiqua" w:cs="Book Antiqua"/>
          <w:kern w:val="0"/>
          <w:sz w:val="24"/>
          <w:lang w:val="en-GB"/>
        </w:rPr>
        <w:t xml:space="preserve">0.093), the FPRP values were lower than 0.2, indicating that the analytic results were stable and reliable. The results did not show significant correlation between the COX-2 -1195G&gt;A gene polymorphism and gastrointestinal cancer susceptibility in the Caucasian and mixed populations. </w:t>
      </w:r>
    </w:p>
    <w:p w:rsidR="00D757F8" w:rsidRPr="004E3E19" w:rsidRDefault="002905C9" w:rsidP="00424106">
      <w:pPr>
        <w:adjustRightInd w:val="0"/>
        <w:snapToGrid w:val="0"/>
        <w:spacing w:after="0" w:line="360" w:lineRule="auto"/>
        <w:ind w:firstLineChars="200" w:firstLine="480"/>
        <w:rPr>
          <w:rFonts w:ascii="Book Antiqua" w:hAnsi="Book Antiqua" w:cs="Book Antiqua"/>
          <w:kern w:val="0"/>
          <w:sz w:val="24"/>
          <w:lang w:val="en-GB"/>
        </w:rPr>
      </w:pPr>
      <w:r w:rsidRPr="004E3E19">
        <w:rPr>
          <w:rFonts w:ascii="Book Antiqua" w:hAnsi="Book Antiqua" w:cs="Book Antiqua"/>
          <w:kern w:val="0"/>
          <w:sz w:val="24"/>
          <w:lang w:val="en-GB"/>
        </w:rPr>
        <w:t xml:space="preserve">The subgroup analysis based on the sources of the control group showed that, in the studies based on populations from communities (A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1.16; AA/AG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1.26; AA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GG/AG: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1.19; AA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1.35; AG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1.19), the COX-2 -1195G&gt;A gene polymorphism significantly correlated with gastrointestinal susceptibility. The FPRP value in the 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 model was lower than 0.2, indicating that the correlation was noteworthy. For studies based on populations from hospitals, none of the genetic models showed a correlation with intestinal cancers. </w:t>
      </w:r>
    </w:p>
    <w:p w:rsidR="00D757F8" w:rsidRPr="004E3E19" w:rsidRDefault="002905C9" w:rsidP="00424106">
      <w:pPr>
        <w:adjustRightInd w:val="0"/>
        <w:snapToGrid w:val="0"/>
        <w:spacing w:after="0" w:line="360" w:lineRule="auto"/>
        <w:ind w:firstLineChars="200" w:firstLine="480"/>
        <w:rPr>
          <w:rFonts w:ascii="Book Antiqua" w:hAnsi="Book Antiqua" w:cs="Book Antiqua"/>
          <w:kern w:val="0"/>
          <w:sz w:val="24"/>
          <w:lang w:val="en-GB"/>
        </w:rPr>
      </w:pPr>
      <w:r w:rsidRPr="004E3E19">
        <w:rPr>
          <w:rFonts w:ascii="Book Antiqua" w:hAnsi="Book Antiqua" w:cs="Book Antiqua"/>
          <w:kern w:val="0"/>
          <w:sz w:val="24"/>
          <w:lang w:val="en-GB"/>
        </w:rPr>
        <w:t xml:space="preserve">The subgroup analysis using the quality evaluation scores showed that, </w:t>
      </w:r>
      <w:r w:rsidRPr="004E3E19">
        <w:rPr>
          <w:rFonts w:ascii="Book Antiqua" w:hAnsi="Book Antiqua" w:cs="Book Antiqua"/>
          <w:kern w:val="0"/>
          <w:sz w:val="24"/>
          <w:lang w:val="en-GB"/>
        </w:rPr>
        <w:lastRenderedPageBreak/>
        <w:t xml:space="preserve">in the high quality studies (A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1.15; AA/AG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1.25; AA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GG/AG: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1.19; AA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1.34; AG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1.19), the COX-2 -1195G&gt;A gene polymorphism correlated with susceptibility to the development of gastrointestinal cancers. However, the FPRP analytic values were all higher than 0.2, indicating that the analytic results were not stable. In low quality studies, the COX-2 -1195G&gt;A gene polymorphism did not have a significant correlation with gastrointestinal cancers. </w:t>
      </w:r>
    </w:p>
    <w:p w:rsidR="00D757F8" w:rsidRPr="004E3E19" w:rsidRDefault="002905C9" w:rsidP="00424106">
      <w:pPr>
        <w:adjustRightInd w:val="0"/>
        <w:snapToGrid w:val="0"/>
        <w:spacing w:after="0" w:line="360" w:lineRule="auto"/>
        <w:ind w:firstLineChars="200" w:firstLine="480"/>
        <w:rPr>
          <w:rFonts w:ascii="Book Antiqua" w:hAnsi="Book Antiqua" w:cs="Book Antiqua"/>
          <w:kern w:val="0"/>
          <w:sz w:val="24"/>
          <w:lang w:val="en-GB"/>
        </w:rPr>
      </w:pPr>
      <w:r w:rsidRPr="004E3E19">
        <w:rPr>
          <w:rFonts w:ascii="Book Antiqua" w:hAnsi="Book Antiqua" w:cs="Book Antiqua"/>
          <w:kern w:val="0"/>
          <w:sz w:val="24"/>
          <w:lang w:val="en-GB"/>
        </w:rPr>
        <w:t xml:space="preserve">Furthermore, the subgroup analysis based on different genotyping methods showed that, in the studies using the Restriction Fragment Length Polymorphism Analysis of PCR-Amplified Fragments (PCR-RFLP) genotyping method (A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1.23; AA/AG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1.46; AA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GG/AG: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1.24; AA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1.58; AG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1.35), the COX-2 -1195G&gt;A gene polymorphism significantly correlated with gastrointestinal cancer susceptibility. However, the FPRP analysis showed that the evidence of the real correlation of positive results was not sufficient. For genotyping using Taqman and other technologies, none of the genetic models were significantly correlated with intestinal cancers. </w:t>
      </w:r>
    </w:p>
    <w:p w:rsidR="00D033BE" w:rsidRPr="004E3E19" w:rsidRDefault="00D033BE" w:rsidP="00424106">
      <w:pPr>
        <w:adjustRightInd w:val="0"/>
        <w:snapToGrid w:val="0"/>
        <w:spacing w:after="0" w:line="360" w:lineRule="auto"/>
        <w:rPr>
          <w:rFonts w:ascii="Book Antiqua" w:hAnsi="Book Antiqua" w:cs="Book Antiqua"/>
          <w:b/>
          <w:bCs/>
          <w:i/>
          <w:iCs/>
          <w:sz w:val="24"/>
          <w:lang w:val="en-GB"/>
        </w:rPr>
      </w:pPr>
    </w:p>
    <w:p w:rsidR="00D757F8" w:rsidRPr="004E3E19" w:rsidRDefault="002905C9" w:rsidP="00424106">
      <w:pPr>
        <w:adjustRightInd w:val="0"/>
        <w:snapToGrid w:val="0"/>
        <w:spacing w:after="0" w:line="360" w:lineRule="auto"/>
        <w:rPr>
          <w:rFonts w:ascii="Book Antiqua" w:hAnsi="Book Antiqua" w:cs="Book Antiqua"/>
          <w:b/>
          <w:bCs/>
          <w:i/>
          <w:iCs/>
          <w:sz w:val="24"/>
          <w:lang w:val="en-GB"/>
        </w:rPr>
      </w:pPr>
      <w:r w:rsidRPr="004E3E19">
        <w:rPr>
          <w:rFonts w:ascii="Book Antiqua" w:hAnsi="Book Antiqua" w:cs="Book Antiqua"/>
          <w:b/>
          <w:bCs/>
          <w:i/>
          <w:iCs/>
          <w:sz w:val="24"/>
          <w:lang w:val="en-GB"/>
        </w:rPr>
        <w:t xml:space="preserve">Sensitivity analysis and cumulative analysis </w:t>
      </w:r>
    </w:p>
    <w:p w:rsidR="00D757F8" w:rsidRPr="004E3E19" w:rsidRDefault="002905C9" w:rsidP="00424106">
      <w:pPr>
        <w:adjustRightInd w:val="0"/>
        <w:snapToGrid w:val="0"/>
        <w:spacing w:after="0" w:line="360" w:lineRule="auto"/>
        <w:rPr>
          <w:rFonts w:ascii="Book Antiqua" w:hAnsi="Book Antiqua" w:cs="Book Antiqua"/>
          <w:kern w:val="0"/>
          <w:sz w:val="24"/>
          <w:lang w:val="en-GB"/>
        </w:rPr>
      </w:pPr>
      <w:r w:rsidRPr="004E3E19">
        <w:rPr>
          <w:rFonts w:ascii="Book Antiqua" w:hAnsi="Book Antiqua" w:cs="Book Antiqua"/>
          <w:kern w:val="0"/>
          <w:sz w:val="24"/>
          <w:lang w:val="en-GB"/>
        </w:rPr>
        <w:t>The present study performed sensitivity analysis through gradual deletion of the included studies one by one. The OR value of the combined effect did not have a significant change, indicating that the analytic results were stable and reliable (</w:t>
      </w:r>
      <w:r w:rsidR="00D033BE" w:rsidRPr="004E3E19">
        <w:rPr>
          <w:rFonts w:ascii="Book Antiqua" w:hAnsi="Book Antiqua" w:cs="Book Antiqua"/>
          <w:kern w:val="0"/>
          <w:sz w:val="24"/>
          <w:lang w:val="en-GB"/>
        </w:rPr>
        <w:t>Figure</w:t>
      </w:r>
      <w:r w:rsidRPr="004E3E19">
        <w:rPr>
          <w:rFonts w:ascii="Book Antiqua" w:hAnsi="Book Antiqua" w:cs="Book Antiqua"/>
          <w:kern w:val="0"/>
          <w:sz w:val="24"/>
          <w:lang w:val="en-GB"/>
        </w:rPr>
        <w:t xml:space="preserve"> 4). A cumulative analysis based on the chronological order showed that the OR point estimate value and the corresponding CI trended to become stable and showed a good changing trend (</w:t>
      </w:r>
      <w:r w:rsidR="00D033BE" w:rsidRPr="004E3E19">
        <w:rPr>
          <w:rFonts w:ascii="Book Antiqua" w:hAnsi="Book Antiqua" w:cs="Book Antiqua"/>
          <w:kern w:val="0"/>
          <w:sz w:val="24"/>
          <w:lang w:val="en-GB"/>
        </w:rPr>
        <w:t>Figure</w:t>
      </w:r>
      <w:r w:rsidRPr="004E3E19">
        <w:rPr>
          <w:rFonts w:ascii="Book Antiqua" w:hAnsi="Book Antiqua" w:cs="Book Antiqua"/>
          <w:kern w:val="0"/>
          <w:sz w:val="24"/>
          <w:lang w:val="en-GB"/>
        </w:rPr>
        <w:t xml:space="preserve"> 5).</w:t>
      </w:r>
    </w:p>
    <w:p w:rsidR="00D033BE" w:rsidRPr="004E3E19" w:rsidRDefault="00D033BE" w:rsidP="00424106">
      <w:pPr>
        <w:adjustRightInd w:val="0"/>
        <w:snapToGrid w:val="0"/>
        <w:spacing w:after="0" w:line="360" w:lineRule="auto"/>
        <w:rPr>
          <w:rFonts w:ascii="Book Antiqua" w:hAnsi="Book Antiqua" w:cs="Book Antiqua"/>
          <w:b/>
          <w:bCs/>
          <w:i/>
          <w:iCs/>
          <w:sz w:val="24"/>
          <w:lang w:val="en-GB"/>
        </w:rPr>
      </w:pPr>
    </w:p>
    <w:p w:rsidR="00D757F8" w:rsidRPr="004E3E19" w:rsidRDefault="002905C9" w:rsidP="00424106">
      <w:pPr>
        <w:adjustRightInd w:val="0"/>
        <w:snapToGrid w:val="0"/>
        <w:spacing w:after="0" w:line="360" w:lineRule="auto"/>
        <w:rPr>
          <w:rFonts w:ascii="Book Antiqua" w:hAnsi="Book Antiqua" w:cs="Book Antiqua"/>
          <w:b/>
          <w:bCs/>
          <w:i/>
          <w:iCs/>
          <w:sz w:val="24"/>
          <w:lang w:val="en-GB"/>
        </w:rPr>
      </w:pPr>
      <w:r w:rsidRPr="004E3E19">
        <w:rPr>
          <w:rFonts w:ascii="Book Antiqua" w:hAnsi="Book Antiqua" w:cs="Book Antiqua"/>
          <w:b/>
          <w:bCs/>
          <w:i/>
          <w:iCs/>
          <w:sz w:val="24"/>
          <w:lang w:val="en-GB"/>
        </w:rPr>
        <w:t>Publication bias</w:t>
      </w:r>
    </w:p>
    <w:p w:rsidR="00D757F8" w:rsidRPr="004E3E19" w:rsidRDefault="002905C9" w:rsidP="00424106">
      <w:pPr>
        <w:adjustRightInd w:val="0"/>
        <w:snapToGrid w:val="0"/>
        <w:spacing w:after="0" w:line="360" w:lineRule="auto"/>
        <w:rPr>
          <w:rFonts w:ascii="Book Antiqua" w:hAnsi="Book Antiqua" w:cs="Book Antiqua"/>
          <w:sz w:val="24"/>
          <w:lang w:val="en-GB"/>
        </w:rPr>
      </w:pPr>
      <w:r w:rsidRPr="004E3E19">
        <w:rPr>
          <w:rFonts w:ascii="Book Antiqua" w:hAnsi="Book Antiqua" w:cs="Book Antiqua"/>
          <w:kern w:val="0"/>
          <w:sz w:val="24"/>
          <w:lang w:val="en-GB"/>
        </w:rPr>
        <w:t xml:space="preserve">The funnel plot, </w:t>
      </w:r>
      <w:r w:rsidRPr="004E3E19">
        <w:rPr>
          <w:rFonts w:ascii="Book Antiqua" w:hAnsi="Book Antiqua" w:cs="Book Antiqua"/>
          <w:sz w:val="24"/>
          <w:lang w:val="en-GB"/>
        </w:rPr>
        <w:t xml:space="preserve">Begg’s rank correlation test, and Egger’s linear correlation were used to evaluate publication bias. The funnel plots of all of the models with a correlation between the COX-2 -1195G&gt;A gene polymorphism and gastrointestinal cancers did not have significant asymmetry. In the AA/AG </w:t>
      </w:r>
      <w:r w:rsidR="00670816" w:rsidRPr="004E3E19">
        <w:rPr>
          <w:rFonts w:ascii="Book Antiqua" w:hAnsi="Book Antiqua" w:cs="Book Antiqua"/>
          <w:i/>
          <w:sz w:val="24"/>
          <w:lang w:val="en-GB"/>
        </w:rPr>
        <w:t>vs</w:t>
      </w:r>
      <w:r w:rsidRPr="004E3E19">
        <w:rPr>
          <w:rFonts w:ascii="Book Antiqua" w:hAnsi="Book Antiqua" w:cs="Book Antiqua"/>
          <w:sz w:val="24"/>
          <w:lang w:val="en-GB"/>
        </w:rPr>
        <w:t xml:space="preserve"> </w:t>
      </w:r>
      <w:r w:rsidRPr="004E3E19">
        <w:rPr>
          <w:rFonts w:ascii="Book Antiqua" w:hAnsi="Book Antiqua" w:cs="Book Antiqua"/>
          <w:sz w:val="24"/>
          <w:lang w:val="en-GB"/>
        </w:rPr>
        <w:lastRenderedPageBreak/>
        <w:t xml:space="preserve">GG model, the Begg’s rank correlation test showed </w:t>
      </w:r>
      <w:r w:rsidR="00670816" w:rsidRPr="004E3E19">
        <w:rPr>
          <w:rFonts w:ascii="Book Antiqua" w:hAnsi="Book Antiqua" w:cs="Book Antiqua"/>
          <w:i/>
          <w:sz w:val="24"/>
          <w:lang w:val="en-GB"/>
        </w:rPr>
        <w:t xml:space="preserve">P = </w:t>
      </w:r>
      <w:r w:rsidRPr="004E3E19">
        <w:rPr>
          <w:rFonts w:ascii="Book Antiqua" w:hAnsi="Book Antiqua" w:cs="Book Antiqua"/>
          <w:sz w:val="24"/>
          <w:lang w:val="en-GB"/>
        </w:rPr>
        <w:t xml:space="preserve">0.489 and the Egger’s linear correlation methods showed </w:t>
      </w:r>
      <w:r w:rsidR="00670816" w:rsidRPr="004E3E19">
        <w:rPr>
          <w:rFonts w:ascii="Book Antiqua" w:hAnsi="Book Antiqua" w:cs="Book Antiqua"/>
          <w:i/>
          <w:sz w:val="24"/>
          <w:lang w:val="en-GB"/>
        </w:rPr>
        <w:t xml:space="preserve">P = </w:t>
      </w:r>
      <w:r w:rsidRPr="004E3E19">
        <w:rPr>
          <w:rFonts w:ascii="Book Antiqua" w:hAnsi="Book Antiqua" w:cs="Book Antiqua"/>
          <w:sz w:val="24"/>
          <w:lang w:val="en-GB"/>
        </w:rPr>
        <w:t>0.690; they both suggested that there was no significant publication bias (</w:t>
      </w:r>
      <w:r w:rsidR="00D033BE" w:rsidRPr="004E3E19">
        <w:rPr>
          <w:rFonts w:ascii="Book Antiqua" w:hAnsi="Book Antiqua" w:cs="Book Antiqua"/>
          <w:sz w:val="24"/>
          <w:lang w:val="en-GB"/>
        </w:rPr>
        <w:t>Figure</w:t>
      </w:r>
      <w:r w:rsidRPr="004E3E19">
        <w:rPr>
          <w:rFonts w:ascii="Book Antiqua" w:hAnsi="Book Antiqua" w:cs="Book Antiqua"/>
          <w:sz w:val="24"/>
          <w:lang w:val="en-GB"/>
        </w:rPr>
        <w:t xml:space="preserve"> 6).</w:t>
      </w:r>
    </w:p>
    <w:p w:rsidR="00D033BE" w:rsidRPr="004E3E19" w:rsidRDefault="00D033BE" w:rsidP="00424106">
      <w:pPr>
        <w:adjustRightInd w:val="0"/>
        <w:snapToGrid w:val="0"/>
        <w:spacing w:after="0" w:line="360" w:lineRule="auto"/>
        <w:rPr>
          <w:rFonts w:ascii="Book Antiqua" w:hAnsi="Book Antiqua" w:cs="Book Antiqua"/>
          <w:b/>
          <w:sz w:val="24"/>
          <w:lang w:val="en-GB"/>
        </w:rPr>
      </w:pPr>
    </w:p>
    <w:p w:rsidR="00D757F8" w:rsidRPr="004E3E19" w:rsidRDefault="002905C9" w:rsidP="00424106">
      <w:pPr>
        <w:adjustRightInd w:val="0"/>
        <w:snapToGrid w:val="0"/>
        <w:spacing w:after="0" w:line="360" w:lineRule="auto"/>
        <w:rPr>
          <w:rFonts w:ascii="Book Antiqua" w:hAnsi="Book Antiqua" w:cs="Book Antiqua"/>
          <w:b/>
          <w:sz w:val="24"/>
          <w:lang w:val="en-GB"/>
        </w:rPr>
      </w:pPr>
      <w:r w:rsidRPr="004E3E19">
        <w:rPr>
          <w:rFonts w:ascii="Book Antiqua" w:hAnsi="Book Antiqua" w:cs="Book Antiqua"/>
          <w:b/>
          <w:sz w:val="24"/>
          <w:lang w:val="en-GB"/>
        </w:rPr>
        <w:t>DISCUSSION</w:t>
      </w:r>
    </w:p>
    <w:p w:rsidR="00D757F8" w:rsidRPr="004E3E19" w:rsidRDefault="002905C9" w:rsidP="00424106">
      <w:pPr>
        <w:autoSpaceDE w:val="0"/>
        <w:autoSpaceDN w:val="0"/>
        <w:adjustRightInd w:val="0"/>
        <w:snapToGrid w:val="0"/>
        <w:spacing w:after="0" w:line="360" w:lineRule="auto"/>
        <w:rPr>
          <w:rFonts w:ascii="Book Antiqua" w:hAnsi="Book Antiqua" w:cs="Book Antiqua"/>
          <w:kern w:val="0"/>
          <w:sz w:val="24"/>
          <w:lang w:val="en-GB"/>
        </w:rPr>
      </w:pPr>
      <w:r w:rsidRPr="004E3E19">
        <w:rPr>
          <w:rFonts w:ascii="Book Antiqua" w:hAnsi="Book Antiqua" w:cs="Book Antiqua"/>
          <w:kern w:val="0"/>
          <w:sz w:val="24"/>
          <w:lang w:val="en-GB"/>
        </w:rPr>
        <w:t>In addition to environmental factors, the risk of cancer is also closely associated with the genetic susceptibility of an individual. Previous genetic studies indicated that gene mutations of some inducible enzymes were closely associated with various diseases, including malignant tumours and congenital malformations. These inducible enzymes change the gene expression levels and interfere with signal transduction pathways to inhibit protein synthesis and cause exon mRNA instability, thus achieving the purpose of changing the encoded proteins and inducing the presence of disease events. Currently, the influences of genes and genetics on the occurrence and development of gastrointestinal cancers are similar to other important factors, such as smoking, drinking, eating habits and geographical environment. Genes and genetics have gradually become the hotspots of studies on the pathogenic mechanism of gastrointestinal cancers</w:t>
      </w:r>
      <w:r w:rsidR="00B65FCD" w:rsidRPr="004E3E19">
        <w:rPr>
          <w:rFonts w:ascii="Book Antiqua" w:hAnsi="Book Antiqua" w:cs="Book Antiqua"/>
          <w:kern w:val="0"/>
          <w:sz w:val="24"/>
          <w:vertAlign w:val="superscript"/>
          <w:lang w:val="en-GB"/>
        </w:rPr>
        <w:t>[</w:t>
      </w:r>
      <w:r w:rsidR="00670816" w:rsidRPr="004E3E19">
        <w:rPr>
          <w:rFonts w:ascii="Book Antiqua" w:hAnsi="Book Antiqua" w:cs="Book Antiqua"/>
          <w:kern w:val="0"/>
          <w:sz w:val="24"/>
          <w:vertAlign w:val="superscript"/>
          <w:lang w:val="en-GB"/>
        </w:rPr>
        <w:t>50,</w:t>
      </w:r>
      <w:r w:rsidRPr="004E3E19">
        <w:rPr>
          <w:rFonts w:ascii="Book Antiqua" w:hAnsi="Book Antiqua" w:cs="Book Antiqua"/>
          <w:kern w:val="0"/>
          <w:sz w:val="24"/>
          <w:vertAlign w:val="superscript"/>
          <w:lang w:val="en-GB"/>
        </w:rPr>
        <w:t>51]</w:t>
      </w:r>
      <w:r w:rsidR="00670816" w:rsidRPr="004E3E19">
        <w:rPr>
          <w:rFonts w:ascii="Book Antiqua" w:hAnsi="Book Antiqua" w:cs="Book Antiqua"/>
          <w:kern w:val="0"/>
          <w:sz w:val="24"/>
          <w:lang w:val="en-GB"/>
        </w:rPr>
        <w:t>.</w:t>
      </w:r>
    </w:p>
    <w:p w:rsidR="00D757F8" w:rsidRPr="004E3E19" w:rsidRDefault="002905C9" w:rsidP="00424106">
      <w:pPr>
        <w:autoSpaceDE w:val="0"/>
        <w:autoSpaceDN w:val="0"/>
        <w:adjustRightInd w:val="0"/>
        <w:snapToGrid w:val="0"/>
        <w:spacing w:after="0" w:line="360" w:lineRule="auto"/>
        <w:ind w:firstLineChars="200" w:firstLine="480"/>
        <w:rPr>
          <w:rFonts w:ascii="Book Antiqua" w:hAnsi="Book Antiqua" w:cs="Book Antiqua"/>
          <w:kern w:val="0"/>
          <w:sz w:val="24"/>
          <w:lang w:val="en-GB"/>
        </w:rPr>
      </w:pPr>
      <w:r w:rsidRPr="004E3E19">
        <w:rPr>
          <w:rFonts w:ascii="Book Antiqua" w:hAnsi="Book Antiqua" w:cs="Book Antiqua"/>
          <w:kern w:val="0"/>
          <w:sz w:val="24"/>
          <w:lang w:val="en-GB"/>
        </w:rPr>
        <w:t>COX-2 over-expression can influence the tumourigenic gene features of tumour cells, including induction of anti-apoptosis, regulation of extracellular matrix adhesion, promotion of angiogenesis, increase of metastatic potential, and influence of anti-tumour effects</w:t>
      </w:r>
      <w:bookmarkStart w:id="21" w:name="OLE_LINK17"/>
      <w:bookmarkStart w:id="22" w:name="OLE_LINK15"/>
      <w:bookmarkStart w:id="23" w:name="OLE_LINK16"/>
      <w:r w:rsidR="00B65FCD" w:rsidRPr="004E3E19">
        <w:rPr>
          <w:rFonts w:ascii="Book Antiqua" w:hAnsi="Book Antiqua" w:cs="Book Antiqua"/>
          <w:kern w:val="0"/>
          <w:sz w:val="24"/>
          <w:vertAlign w:val="superscript"/>
          <w:lang w:val="en-GB"/>
        </w:rPr>
        <w:t>[</w:t>
      </w:r>
      <w:r w:rsidRPr="004E3E19">
        <w:rPr>
          <w:rFonts w:ascii="Book Antiqua" w:hAnsi="Book Antiqua" w:cs="Book Antiqua"/>
          <w:kern w:val="0"/>
          <w:sz w:val="24"/>
          <w:vertAlign w:val="superscript"/>
          <w:lang w:val="en-GB"/>
        </w:rPr>
        <w:t>52-54]</w:t>
      </w:r>
      <w:r w:rsidRPr="004E3E19">
        <w:rPr>
          <w:rFonts w:ascii="Book Antiqua" w:hAnsi="Book Antiqua" w:cs="Book Antiqua"/>
          <w:kern w:val="0"/>
          <w:sz w:val="24"/>
          <w:lang w:val="en-GB"/>
        </w:rPr>
        <w:t>. Recent studies showed that the COX-2 -1195G&gt;A gene polymorphism generated a c-MYB binding site, thus increasing the transcription activity of the COX-2 gene. c-MYB is an active transcription factor in the haematopoietic system and gastrointestinal tract. c-MYB functions on many genes to regulate the exquisite balance between cell division, differentiation and survival</w:t>
      </w:r>
      <w:bookmarkEnd w:id="21"/>
      <w:bookmarkEnd w:id="22"/>
      <w:bookmarkEnd w:id="23"/>
      <w:r w:rsidR="00B65FCD" w:rsidRPr="004E3E19">
        <w:rPr>
          <w:rFonts w:ascii="Book Antiqua" w:hAnsi="Book Antiqua" w:cs="Book Antiqua"/>
          <w:kern w:val="0"/>
          <w:sz w:val="24"/>
          <w:vertAlign w:val="superscript"/>
          <w:lang w:val="en-GB"/>
        </w:rPr>
        <w:t>[</w:t>
      </w:r>
      <w:r w:rsidRPr="004E3E19">
        <w:rPr>
          <w:rFonts w:ascii="Book Antiqua" w:hAnsi="Book Antiqua" w:cs="Book Antiqua"/>
          <w:kern w:val="0"/>
          <w:sz w:val="24"/>
          <w:vertAlign w:val="superscript"/>
          <w:lang w:val="en-GB"/>
        </w:rPr>
        <w:t>55]</w:t>
      </w:r>
      <w:r w:rsidRPr="004E3E19">
        <w:rPr>
          <w:rFonts w:ascii="Book Antiqua" w:hAnsi="Book Antiqua" w:cs="Book Antiqua"/>
          <w:kern w:val="0"/>
          <w:sz w:val="24"/>
          <w:lang w:val="en-GB"/>
        </w:rPr>
        <w:t>, which further confirmed that the COX-2 -1195G&gt;A polymorphism might increase susceptibility of individuals to gastrointestinal cancers. However, there were also reports showing that this polymorphism could reduce the risks of the development of gastric cancer and colorectal cancer</w:t>
      </w:r>
      <w:r w:rsidR="00B65FCD" w:rsidRPr="004E3E19">
        <w:rPr>
          <w:rFonts w:ascii="Book Antiqua" w:hAnsi="Book Antiqua" w:cs="Book Antiqua"/>
          <w:kern w:val="0"/>
          <w:sz w:val="24"/>
          <w:vertAlign w:val="superscript"/>
          <w:lang w:val="en-GB"/>
        </w:rPr>
        <w:t>[</w:t>
      </w:r>
      <w:r w:rsidRPr="004E3E19">
        <w:rPr>
          <w:rFonts w:ascii="Book Antiqua" w:hAnsi="Book Antiqua" w:cs="Book Antiqua"/>
          <w:kern w:val="0"/>
          <w:sz w:val="24"/>
          <w:vertAlign w:val="superscript"/>
          <w:lang w:val="en-GB"/>
        </w:rPr>
        <w:t>32]</w:t>
      </w:r>
      <w:r w:rsidRPr="004E3E19">
        <w:rPr>
          <w:rFonts w:ascii="Book Antiqua" w:hAnsi="Book Antiqua" w:cs="Book Antiqua"/>
          <w:kern w:val="0"/>
          <w:sz w:val="24"/>
          <w:lang w:val="en-GB"/>
        </w:rPr>
        <w:t xml:space="preserve">. To clarify this association, we included all </w:t>
      </w:r>
      <w:r w:rsidRPr="004E3E19">
        <w:rPr>
          <w:rFonts w:ascii="Book Antiqua" w:hAnsi="Book Antiqua" w:cs="Book Antiqua"/>
          <w:kern w:val="0"/>
          <w:sz w:val="24"/>
          <w:lang w:val="en-GB"/>
        </w:rPr>
        <w:lastRenderedPageBreak/>
        <w:t xml:space="preserve">case controlled or cohort studies that met the inclusion criteria to evaluate the correlation using a meta-analysis. </w:t>
      </w:r>
    </w:p>
    <w:p w:rsidR="00D757F8" w:rsidRPr="004E3E19" w:rsidRDefault="002905C9" w:rsidP="00424106">
      <w:pPr>
        <w:autoSpaceDE w:val="0"/>
        <w:autoSpaceDN w:val="0"/>
        <w:adjustRightInd w:val="0"/>
        <w:snapToGrid w:val="0"/>
        <w:spacing w:after="0" w:line="360" w:lineRule="auto"/>
        <w:ind w:firstLineChars="200" w:firstLine="480"/>
        <w:rPr>
          <w:rFonts w:ascii="Book Antiqua" w:hAnsi="Book Antiqua" w:cs="Book Antiqua"/>
          <w:kern w:val="0"/>
          <w:sz w:val="24"/>
          <w:lang w:val="en-GB"/>
        </w:rPr>
      </w:pPr>
      <w:r w:rsidRPr="004E3E19">
        <w:rPr>
          <w:rFonts w:ascii="Book Antiqua" w:hAnsi="Book Antiqua" w:cs="Book Antiqua"/>
          <w:kern w:val="0"/>
          <w:sz w:val="24"/>
          <w:lang w:val="en-GB"/>
        </w:rPr>
        <w:t>Our study included 24 publications, including 11 gastric cancer publications and 13 colorectal cancer publications. A total of 11,043</w:t>
      </w:r>
      <w:r w:rsidR="00425A29" w:rsidRPr="004E3E19">
        <w:rPr>
          <w:rFonts w:ascii="Book Antiqua" w:hAnsi="Book Antiqua" w:cs="Book Antiqua"/>
          <w:kern w:val="0"/>
          <w:sz w:val="24"/>
          <w:lang w:val="en-GB"/>
        </w:rPr>
        <w:t xml:space="preserve"> cases in the case group and 18</w:t>
      </w:r>
      <w:r w:rsidRPr="004E3E19">
        <w:rPr>
          <w:rFonts w:ascii="Book Antiqua" w:hAnsi="Book Antiqua" w:cs="Book Antiqua"/>
          <w:kern w:val="0"/>
          <w:sz w:val="24"/>
          <w:lang w:val="en-GB"/>
        </w:rPr>
        <w:t xml:space="preserve">008 cases in the control group were included. The overall meta-analysis results showed that, among the comparison of the 5 genetic models of the COX-2 -1195G&gt;A gene, all of the genetic models (A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1.54, </w:t>
      </w:r>
      <w:r w:rsidR="00425A29" w:rsidRPr="004E3E19">
        <w:rPr>
          <w:rFonts w:ascii="Book Antiqua" w:hAnsi="Book Antiqua" w:cs="Book Antiqua"/>
          <w:kern w:val="0"/>
          <w:sz w:val="24"/>
          <w:lang w:val="en-GB"/>
        </w:rPr>
        <w:t xml:space="preserve">95%CI: </w:t>
      </w:r>
      <w:r w:rsidRPr="004E3E19">
        <w:rPr>
          <w:rFonts w:ascii="Book Antiqua" w:hAnsi="Book Antiqua" w:cs="Book Antiqua"/>
          <w:kern w:val="0"/>
          <w:sz w:val="24"/>
          <w:lang w:val="en-GB"/>
        </w:rPr>
        <w:t xml:space="preserve">1.04-1.26, </w:t>
      </w:r>
      <w:r w:rsidR="00670816" w:rsidRPr="004E3E19">
        <w:rPr>
          <w:rFonts w:ascii="Book Antiqua" w:hAnsi="Book Antiqua" w:cs="Book Antiqua"/>
          <w:i/>
          <w:kern w:val="0"/>
          <w:sz w:val="24"/>
          <w:lang w:val="en-GB"/>
        </w:rPr>
        <w:t xml:space="preserve">P &lt; </w:t>
      </w:r>
      <w:r w:rsidRPr="004E3E19">
        <w:rPr>
          <w:rFonts w:ascii="Book Antiqua" w:hAnsi="Book Antiqua" w:cs="Book Antiqua"/>
          <w:kern w:val="0"/>
          <w:sz w:val="24"/>
          <w:lang w:val="en-GB"/>
        </w:rPr>
        <w:t xml:space="preserve">0.001; AA/AG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1.24, </w:t>
      </w:r>
      <w:r w:rsidR="00425A29" w:rsidRPr="004E3E19">
        <w:rPr>
          <w:rFonts w:ascii="Book Antiqua" w:hAnsi="Book Antiqua" w:cs="Book Antiqua"/>
          <w:kern w:val="0"/>
          <w:sz w:val="24"/>
          <w:lang w:val="en-GB"/>
        </w:rPr>
        <w:t xml:space="preserve">95%CI: </w:t>
      </w:r>
      <w:r w:rsidRPr="004E3E19">
        <w:rPr>
          <w:rFonts w:ascii="Book Antiqua" w:hAnsi="Book Antiqua" w:cs="Book Antiqua"/>
          <w:kern w:val="0"/>
          <w:sz w:val="24"/>
          <w:lang w:val="en-GB"/>
        </w:rPr>
        <w:t xml:space="preserve">1.06-1.45, </w:t>
      </w:r>
      <w:r w:rsidR="00670816" w:rsidRPr="004E3E19">
        <w:rPr>
          <w:rFonts w:ascii="Book Antiqua" w:hAnsi="Book Antiqua" w:cs="Book Antiqua"/>
          <w:i/>
          <w:kern w:val="0"/>
          <w:sz w:val="24"/>
          <w:lang w:val="en-GB"/>
        </w:rPr>
        <w:t xml:space="preserve">P &lt; </w:t>
      </w:r>
      <w:r w:rsidRPr="004E3E19">
        <w:rPr>
          <w:rFonts w:ascii="Book Antiqua" w:hAnsi="Book Antiqua" w:cs="Book Antiqua"/>
          <w:kern w:val="0"/>
          <w:sz w:val="24"/>
          <w:lang w:val="en-GB"/>
        </w:rPr>
        <w:t xml:space="preserve">0.001; AA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GG/AG: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1.16, </w:t>
      </w:r>
      <w:r w:rsidR="00425A29" w:rsidRPr="004E3E19">
        <w:rPr>
          <w:rFonts w:ascii="Book Antiqua" w:hAnsi="Book Antiqua" w:cs="Book Antiqua"/>
          <w:kern w:val="0"/>
          <w:sz w:val="24"/>
          <w:lang w:val="en-GB"/>
        </w:rPr>
        <w:t xml:space="preserve">95%CI: </w:t>
      </w:r>
      <w:r w:rsidRPr="004E3E19">
        <w:rPr>
          <w:rFonts w:ascii="Book Antiqua" w:hAnsi="Book Antiqua" w:cs="Book Antiqua"/>
          <w:kern w:val="0"/>
          <w:sz w:val="24"/>
          <w:lang w:val="en-GB"/>
        </w:rPr>
        <w:t xml:space="preserve">1.04-1.30, </w:t>
      </w:r>
      <w:r w:rsidR="00670816" w:rsidRPr="004E3E19">
        <w:rPr>
          <w:rFonts w:ascii="Book Antiqua" w:hAnsi="Book Antiqua" w:cs="Book Antiqua"/>
          <w:i/>
          <w:kern w:val="0"/>
          <w:sz w:val="24"/>
          <w:lang w:val="en-GB"/>
        </w:rPr>
        <w:t xml:space="preserve">P &lt; </w:t>
      </w:r>
      <w:r w:rsidRPr="004E3E19">
        <w:rPr>
          <w:rFonts w:ascii="Book Antiqua" w:hAnsi="Book Antiqua" w:cs="Book Antiqua"/>
          <w:kern w:val="0"/>
          <w:sz w:val="24"/>
          <w:lang w:val="en-GB"/>
        </w:rPr>
        <w:t xml:space="preserve">0.001; AA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1.31, </w:t>
      </w:r>
      <w:r w:rsidR="00425A29" w:rsidRPr="004E3E19">
        <w:rPr>
          <w:rFonts w:ascii="Book Antiqua" w:hAnsi="Book Antiqua" w:cs="Book Antiqua"/>
          <w:kern w:val="0"/>
          <w:sz w:val="24"/>
          <w:lang w:val="en-GB"/>
        </w:rPr>
        <w:t xml:space="preserve">95%CI: </w:t>
      </w:r>
      <w:r w:rsidRPr="004E3E19">
        <w:rPr>
          <w:rFonts w:ascii="Book Antiqua" w:hAnsi="Book Antiqua" w:cs="Book Antiqua"/>
          <w:kern w:val="0"/>
          <w:sz w:val="24"/>
          <w:lang w:val="en-GB"/>
        </w:rPr>
        <w:t xml:space="preserve">1.08-1.59, </w:t>
      </w:r>
      <w:r w:rsidR="00670816" w:rsidRPr="004E3E19">
        <w:rPr>
          <w:rFonts w:ascii="Book Antiqua" w:hAnsi="Book Antiqua" w:cs="Book Antiqua"/>
          <w:i/>
          <w:kern w:val="0"/>
          <w:sz w:val="24"/>
          <w:lang w:val="en-GB"/>
        </w:rPr>
        <w:t xml:space="preserve">P &lt; </w:t>
      </w:r>
      <w:r w:rsidRPr="004E3E19">
        <w:rPr>
          <w:rFonts w:ascii="Book Antiqua" w:hAnsi="Book Antiqua" w:cs="Book Antiqua"/>
          <w:kern w:val="0"/>
          <w:sz w:val="24"/>
          <w:lang w:val="en-GB"/>
        </w:rPr>
        <w:t xml:space="preserve">0.001; AG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w:t>
      </w:r>
      <w:r w:rsidR="00670816" w:rsidRPr="004E3E19">
        <w:rPr>
          <w:rFonts w:ascii="Book Antiqua" w:hAnsi="Book Antiqua" w:cs="Book Antiqua"/>
          <w:kern w:val="0"/>
          <w:sz w:val="24"/>
          <w:lang w:val="en-GB"/>
        </w:rPr>
        <w:t xml:space="preserve">OR = </w:t>
      </w:r>
      <w:r w:rsidRPr="004E3E19">
        <w:rPr>
          <w:rFonts w:ascii="Book Antiqua" w:hAnsi="Book Antiqua" w:cs="Book Antiqua"/>
          <w:kern w:val="0"/>
          <w:sz w:val="24"/>
          <w:lang w:val="en-GB"/>
        </w:rPr>
        <w:t xml:space="preserve">1.18, </w:t>
      </w:r>
      <w:r w:rsidR="00425A29" w:rsidRPr="004E3E19">
        <w:rPr>
          <w:rFonts w:ascii="Book Antiqua" w:hAnsi="Book Antiqua" w:cs="Book Antiqua"/>
          <w:kern w:val="0"/>
          <w:sz w:val="24"/>
          <w:lang w:val="en-GB"/>
        </w:rPr>
        <w:t xml:space="preserve">95%CI: </w:t>
      </w:r>
      <w:r w:rsidRPr="004E3E19">
        <w:rPr>
          <w:rFonts w:ascii="Book Antiqua" w:hAnsi="Book Antiqua" w:cs="Book Antiqua"/>
          <w:kern w:val="0"/>
          <w:sz w:val="24"/>
          <w:lang w:val="en-GB"/>
        </w:rPr>
        <w:t xml:space="preserve">1.04-1.34, </w:t>
      </w:r>
      <w:r w:rsidR="00670816" w:rsidRPr="004E3E19">
        <w:rPr>
          <w:rFonts w:ascii="Book Antiqua" w:hAnsi="Book Antiqua" w:cs="Book Antiqua"/>
          <w:i/>
          <w:kern w:val="0"/>
          <w:sz w:val="24"/>
          <w:lang w:val="en-GB"/>
        </w:rPr>
        <w:t xml:space="preserve">P = </w:t>
      </w:r>
      <w:r w:rsidRPr="004E3E19">
        <w:rPr>
          <w:rFonts w:ascii="Book Antiqua" w:hAnsi="Book Antiqua" w:cs="Book Antiqua"/>
          <w:kern w:val="0"/>
          <w:sz w:val="24"/>
          <w:lang w:val="en-GB"/>
        </w:rPr>
        <w:t>0.007) were associated with a high risk of the development of gastrointestinal cancers. The results of the publication bias and sensitivity analysis also increased the reliability of the association.</w:t>
      </w:r>
    </w:p>
    <w:p w:rsidR="00D757F8" w:rsidRPr="004E3E19" w:rsidRDefault="002905C9" w:rsidP="00424106">
      <w:pPr>
        <w:autoSpaceDE w:val="0"/>
        <w:autoSpaceDN w:val="0"/>
        <w:adjustRightInd w:val="0"/>
        <w:snapToGrid w:val="0"/>
        <w:spacing w:after="0" w:line="360" w:lineRule="auto"/>
        <w:ind w:firstLine="435"/>
        <w:rPr>
          <w:rFonts w:ascii="Book Antiqua" w:hAnsi="Book Antiqua" w:cs="Book Antiqua"/>
          <w:kern w:val="0"/>
          <w:sz w:val="24"/>
          <w:lang w:val="en-GB"/>
        </w:rPr>
      </w:pPr>
      <w:r w:rsidRPr="004E3E19">
        <w:rPr>
          <w:rFonts w:ascii="Book Antiqua" w:hAnsi="Book Antiqua" w:cs="Book Antiqua"/>
          <w:kern w:val="0"/>
          <w:sz w:val="24"/>
          <w:lang w:val="en-GB"/>
        </w:rPr>
        <w:t xml:space="preserve">The differences in ethnicity, sources of the control population, environmental factors, and the tumour types can all change the risk of the development of gastrointestinal diseases through the gene-environment interaction. Therefore, the present study performed subgroup analysis based on the different specific conditions of all of the studies. In the classification of tumour types, the results showed that the COX-2 -1195G&gt;A gene in the AA/AG </w:t>
      </w:r>
      <w:r w:rsidR="00670816" w:rsidRPr="004E3E19">
        <w:rPr>
          <w:rFonts w:ascii="Book Antiqua" w:hAnsi="Book Antiqua" w:cs="Book Antiqua"/>
          <w:i/>
          <w:kern w:val="0"/>
          <w:sz w:val="24"/>
          <w:lang w:val="en-GB"/>
        </w:rPr>
        <w:t>vs</w:t>
      </w:r>
      <w:r w:rsidRPr="004E3E19">
        <w:rPr>
          <w:rFonts w:ascii="Book Antiqua" w:hAnsi="Book Antiqua" w:cs="Book Antiqua"/>
          <w:kern w:val="0"/>
          <w:sz w:val="24"/>
          <w:lang w:val="en-GB"/>
        </w:rPr>
        <w:t xml:space="preserve"> GG model had a clear correlation with the gastric cancer susceptibility but did not have a significant correlation with colorectal cancer, suggesting that this genotype might be a very important predisposing factor of gastric cancer. This result was also similar to the reported results in some literature. In addition, the subgroup analysis based on the ethnicity of the study population showed that the mutation frequency of this polymorphism in the Asian gastrointestinal cancer population was higher than in the Caucasian population in America and Europe, suggesting</w:t>
      </w:r>
      <w:r w:rsidR="00425A29" w:rsidRPr="004E3E19">
        <w:rPr>
          <w:rFonts w:ascii="Book Antiqua" w:hAnsi="Book Antiqua" w:cs="Book Antiqua"/>
          <w:kern w:val="0"/>
          <w:sz w:val="24"/>
          <w:lang w:val="en-GB"/>
        </w:rPr>
        <w:t xml:space="preserve"> that the presence of the COX-2 </w:t>
      </w:r>
      <w:r w:rsidRPr="004E3E19">
        <w:rPr>
          <w:rFonts w:ascii="Book Antiqua" w:hAnsi="Book Antiqua" w:cs="Book Antiqua"/>
          <w:kern w:val="0"/>
          <w:sz w:val="24"/>
          <w:lang w:val="en-GB"/>
        </w:rPr>
        <w:t xml:space="preserve">-1195G&gt;A gene polymorphism might greatly increase susceptibility of the Asian population, as represented by Chinese and Korean populations, to gastrointestinal cancers. For the mixed population from America, there were only 2 reports on its association with gastrointestinal </w:t>
      </w:r>
      <w:r w:rsidRPr="004E3E19">
        <w:rPr>
          <w:rFonts w:ascii="Book Antiqua" w:hAnsi="Book Antiqua" w:cs="Book Antiqua"/>
          <w:kern w:val="0"/>
          <w:sz w:val="24"/>
          <w:lang w:val="en-GB"/>
        </w:rPr>
        <w:lastRenderedPageBreak/>
        <w:t>cancers. This result was not sufficient to explain the issue, and studies with a larger sample size are needed to confirm its reliability. The subgroup analysis based on the sources of the control population showed that an increase in the risk of developing gastrointestinal cancers in the population from communities had statist</w:t>
      </w:r>
      <w:r w:rsidR="00425A29" w:rsidRPr="004E3E19">
        <w:rPr>
          <w:rFonts w:ascii="Book Antiqua" w:hAnsi="Book Antiqua" w:cs="Book Antiqua"/>
          <w:kern w:val="0"/>
          <w:sz w:val="24"/>
          <w:lang w:val="en-GB"/>
        </w:rPr>
        <w:t xml:space="preserve">ical correlation with the COX-2 </w:t>
      </w:r>
      <w:r w:rsidRPr="004E3E19">
        <w:rPr>
          <w:rFonts w:ascii="Book Antiqua" w:hAnsi="Book Antiqua" w:cs="Book Antiqua"/>
          <w:kern w:val="0"/>
          <w:sz w:val="24"/>
          <w:lang w:val="en-GB"/>
        </w:rPr>
        <w:t>-1195G&gt;A polymorphism; however, this correlation in the population from hospitals was not statistically significant. These results suggested that, in the selection of the sources of controls, the hospital population was restricted by their diseases and medications; therefore, the genotyping results might be affected. Thus, samples from the community population were more representative than those from hospitals and relevant studies should try to select from the community population as a control group. Furthermore, we also performed subgroup analysis on genotyping methods and found that the statistical results among subgroups had clear differences. The differences might be because the different detection methods had different theoretical bases. To make the positive rate of our analytic results more real and reliable, we performed FPRP and found th</w:t>
      </w:r>
      <w:r w:rsidR="00425A29" w:rsidRPr="004E3E19">
        <w:rPr>
          <w:rFonts w:ascii="Book Antiqua" w:hAnsi="Book Antiqua" w:cs="Book Antiqua"/>
          <w:kern w:val="0"/>
          <w:sz w:val="24"/>
          <w:lang w:val="en-GB"/>
        </w:rPr>
        <w:t xml:space="preserve">at the correlation of the COX-2 </w:t>
      </w:r>
      <w:r w:rsidRPr="004E3E19">
        <w:rPr>
          <w:rFonts w:ascii="Book Antiqua" w:hAnsi="Book Antiqua" w:cs="Book Antiqua"/>
          <w:kern w:val="0"/>
          <w:sz w:val="24"/>
          <w:lang w:val="en-GB"/>
        </w:rPr>
        <w:t>-1195G&gt;A polymorphism in the gastric cancer recessive model (FPR</w:t>
      </w:r>
      <w:r w:rsidR="00670816" w:rsidRPr="004E3E19">
        <w:rPr>
          <w:rFonts w:ascii="Book Antiqua" w:hAnsi="Book Antiqua" w:cs="Book Antiqua"/>
          <w:i/>
          <w:kern w:val="0"/>
          <w:sz w:val="24"/>
          <w:lang w:val="en-GB"/>
        </w:rPr>
        <w:t xml:space="preserve">P = </w:t>
      </w:r>
      <w:r w:rsidRPr="004E3E19">
        <w:rPr>
          <w:rFonts w:ascii="Book Antiqua" w:hAnsi="Book Antiqua" w:cs="Book Antiqua"/>
          <w:kern w:val="0"/>
          <w:sz w:val="24"/>
          <w:lang w:val="en-GB"/>
        </w:rPr>
        <w:t>0.174), the allele model of the Asian population (FPR</w:t>
      </w:r>
      <w:r w:rsidR="00670816" w:rsidRPr="004E3E19">
        <w:rPr>
          <w:rFonts w:ascii="Book Antiqua" w:hAnsi="Book Antiqua" w:cs="Book Antiqua"/>
          <w:i/>
          <w:kern w:val="0"/>
          <w:sz w:val="24"/>
          <w:lang w:val="en-GB"/>
        </w:rPr>
        <w:t xml:space="preserve">P = </w:t>
      </w:r>
      <w:r w:rsidRPr="004E3E19">
        <w:rPr>
          <w:rFonts w:ascii="Book Antiqua" w:hAnsi="Book Antiqua" w:cs="Book Antiqua"/>
          <w:kern w:val="0"/>
          <w:sz w:val="24"/>
          <w:lang w:val="en-GB"/>
        </w:rPr>
        <w:t>0.069) and the linear model (FPRP) all passed the FPRP test. These results suggested that the correlation of these 2 aspects had very strong reliability and the authenticity was further confirmed.</w:t>
      </w:r>
    </w:p>
    <w:p w:rsidR="00D757F8" w:rsidRPr="004E3E19" w:rsidRDefault="002905C9" w:rsidP="00424106">
      <w:pPr>
        <w:autoSpaceDE w:val="0"/>
        <w:autoSpaceDN w:val="0"/>
        <w:adjustRightInd w:val="0"/>
        <w:snapToGrid w:val="0"/>
        <w:spacing w:after="0" w:line="360" w:lineRule="auto"/>
        <w:ind w:firstLineChars="200" w:firstLine="480"/>
        <w:rPr>
          <w:rFonts w:ascii="Book Antiqua" w:hAnsi="Book Antiqua" w:cs="Book Antiqua"/>
          <w:kern w:val="0"/>
          <w:sz w:val="24"/>
          <w:lang w:val="en-GB"/>
        </w:rPr>
      </w:pPr>
      <w:r w:rsidRPr="004E3E19">
        <w:rPr>
          <w:rFonts w:ascii="Book Antiqua" w:hAnsi="Book Antiqua" w:cs="Book Antiqua"/>
          <w:kern w:val="0"/>
          <w:sz w:val="24"/>
          <w:lang w:val="en-GB"/>
        </w:rPr>
        <w:t xml:space="preserve">The present study also had some limitations. First, during overall and subgroup analyses, we found that there was moderate heterogeneity among samples. Although we tried to resolve this issue and used FPRP to increase the reliability of the study results, the exact source of the heterogeneity still could not be completely explained. The present study also revealed that the heterogeneity was not from a single study. The differences in the distribution of the gene polymorphism frequency among ethnic groups and other unknown factors might be the real sources of the heterogeneity. Because gastrointestinal cancers are influenced by many factors, comprehensive study and analysis should be performed in the future by combining these factors, </w:t>
      </w:r>
      <w:r w:rsidRPr="004E3E19">
        <w:rPr>
          <w:rFonts w:ascii="Book Antiqua" w:hAnsi="Book Antiqua" w:cs="Book Antiqua"/>
          <w:kern w:val="0"/>
          <w:sz w:val="24"/>
          <w:lang w:val="en-GB"/>
        </w:rPr>
        <w:lastRenderedPageBreak/>
        <w:t>such as diet, living habits, and environmental exposure. Next, due to the restriction of the sample size and disease types in the included literature, we did not retrieve similar literature reports on other malignant gastrointestinal cancers other than gastric cancer and colorectal cancer, and t</w:t>
      </w:r>
      <w:r w:rsidR="00425A29" w:rsidRPr="004E3E19">
        <w:rPr>
          <w:rFonts w:ascii="Book Antiqua" w:hAnsi="Book Antiqua" w:cs="Book Antiqua"/>
          <w:kern w:val="0"/>
          <w:sz w:val="24"/>
          <w:lang w:val="en-GB"/>
        </w:rPr>
        <w:t xml:space="preserve">heir association with the COX-2 </w:t>
      </w:r>
      <w:r w:rsidRPr="004E3E19">
        <w:rPr>
          <w:rFonts w:ascii="Book Antiqua" w:hAnsi="Book Antiqua" w:cs="Book Antiqua"/>
          <w:kern w:val="0"/>
          <w:sz w:val="24"/>
          <w:lang w:val="en-GB"/>
        </w:rPr>
        <w:t xml:space="preserve">-1195G&gt;A gene polymorphism could not be clarified. Third, the present study is a meta-analysis based on the raw data of included literature. The unreasonable data in the original studies could not be corrected and possible potential confounding factors, such as age, gender, ethnicity, specific living habits, and smoking and drinking habits, might be present. Fourth, all of the included literature was published in Chinese or English; relevant studies written in other languages may have been missed. Only including Chinese and English literature was also a reason that the sample size was not large enough, which might result in the presence of false negative results. In addition, this meta-analysis only included published literature, and there are some relevant, important unpublished studies, which might cause a potential publication bias.     </w:t>
      </w:r>
    </w:p>
    <w:p w:rsidR="00D033BE" w:rsidRPr="004E3E19" w:rsidRDefault="002905C9" w:rsidP="00424106">
      <w:pPr>
        <w:autoSpaceDE w:val="0"/>
        <w:autoSpaceDN w:val="0"/>
        <w:adjustRightInd w:val="0"/>
        <w:snapToGrid w:val="0"/>
        <w:spacing w:after="0" w:line="360" w:lineRule="auto"/>
        <w:ind w:firstLine="435"/>
        <w:rPr>
          <w:rFonts w:ascii="Book Antiqua" w:hAnsi="Book Antiqua" w:cs="Book Antiqua"/>
          <w:kern w:val="0"/>
          <w:sz w:val="24"/>
          <w:lang w:val="en-GB"/>
        </w:rPr>
      </w:pPr>
      <w:r w:rsidRPr="004E3E19">
        <w:rPr>
          <w:rFonts w:ascii="Book Antiqua" w:hAnsi="Book Antiqua" w:cs="Book Antiqua"/>
          <w:kern w:val="0"/>
          <w:sz w:val="24"/>
          <w:lang w:val="en-GB"/>
        </w:rPr>
        <w:t>In summary, we speculated that</w:t>
      </w:r>
      <w:r w:rsidRPr="004E3E19">
        <w:rPr>
          <w:rFonts w:ascii="Book Antiqua" w:hAnsi="Book Antiqua" w:cs="Book Antiqua"/>
          <w:sz w:val="24"/>
          <w:lang w:val="en-GB"/>
        </w:rPr>
        <w:t xml:space="preserve"> </w:t>
      </w:r>
      <w:r w:rsidRPr="004E3E19">
        <w:rPr>
          <w:rFonts w:ascii="Book Antiqua" w:hAnsi="Book Antiqua" w:cs="Book Antiqua"/>
          <w:kern w:val="0"/>
          <w:sz w:val="24"/>
          <w:lang w:val="en-GB"/>
        </w:rPr>
        <w:t xml:space="preserve">the AA genotype in the COX-2 -1195G&gt;A gene polymorphism might be an important predisposing factor of gastrointestinal cancers compared to the AG or GG phenotypes, especially for gastric cancer. In addition, compared to the included studies on American and European Caucasian populations, COX-2 -1195G&gt;A increased susceptibility of the Asian population to gastrointestinal cancer. In the future, studies with larger sample sizes, more rational design, and more disease types should be performed to validate our conclusion, which can more clearly clarify the association between the COX-2 -1195G&gt;A gene polymorphism and gastrointestinal cancers.   </w:t>
      </w:r>
    </w:p>
    <w:p w:rsidR="00425A29" w:rsidRPr="004E3E19" w:rsidRDefault="00425A29" w:rsidP="00424106">
      <w:pPr>
        <w:autoSpaceDE w:val="0"/>
        <w:autoSpaceDN w:val="0"/>
        <w:adjustRightInd w:val="0"/>
        <w:snapToGrid w:val="0"/>
        <w:spacing w:after="0" w:line="360" w:lineRule="auto"/>
        <w:rPr>
          <w:rFonts w:ascii="Book Antiqua" w:hAnsi="Book Antiqua" w:cs="Book Antiqua"/>
          <w:kern w:val="0"/>
          <w:sz w:val="24"/>
          <w:lang w:val="en-GB"/>
        </w:rPr>
      </w:pPr>
    </w:p>
    <w:p w:rsidR="00D757F8" w:rsidRPr="004E3E19" w:rsidRDefault="002905C9" w:rsidP="00424106">
      <w:pPr>
        <w:adjustRightInd w:val="0"/>
        <w:snapToGrid w:val="0"/>
        <w:spacing w:after="0" w:line="360" w:lineRule="auto"/>
        <w:jc w:val="left"/>
        <w:rPr>
          <w:rFonts w:ascii="Book Antiqua" w:eastAsia="Book Antiqua" w:hAnsi="Book Antiqua" w:cs="Book Antiqua"/>
          <w:b/>
          <w:bCs/>
          <w:sz w:val="24"/>
          <w:lang w:val="en-GB"/>
        </w:rPr>
      </w:pPr>
      <w:bookmarkStart w:id="24" w:name="OLE_LINK21"/>
      <w:r w:rsidRPr="004E3E19">
        <w:rPr>
          <w:rFonts w:ascii="Book Antiqua" w:eastAsia="Book Antiqua" w:hAnsi="Book Antiqua" w:cs="Book Antiqua"/>
          <w:b/>
          <w:bCs/>
          <w:sz w:val="24"/>
          <w:lang w:val="en-GB"/>
        </w:rPr>
        <w:t>COMMENTS</w:t>
      </w:r>
    </w:p>
    <w:p w:rsidR="00D757F8" w:rsidRPr="004E3E19" w:rsidRDefault="002905C9" w:rsidP="00424106">
      <w:pPr>
        <w:autoSpaceDE w:val="0"/>
        <w:autoSpaceDN w:val="0"/>
        <w:adjustRightInd w:val="0"/>
        <w:snapToGrid w:val="0"/>
        <w:spacing w:after="0" w:line="360" w:lineRule="auto"/>
        <w:rPr>
          <w:rFonts w:ascii="Book Antiqua" w:eastAsia="Book Antiqua" w:hAnsi="Book Antiqua" w:cs="Book Antiqua"/>
          <w:b/>
          <w:bCs/>
          <w:i/>
          <w:sz w:val="24"/>
          <w:lang w:val="en-GB"/>
        </w:rPr>
      </w:pPr>
      <w:r w:rsidRPr="004E3E19">
        <w:rPr>
          <w:rFonts w:ascii="Book Antiqua" w:eastAsia="Book Antiqua" w:hAnsi="Book Antiqua" w:cs="Book Antiqua"/>
          <w:b/>
          <w:bCs/>
          <w:i/>
          <w:sz w:val="24"/>
          <w:lang w:val="en-GB"/>
        </w:rPr>
        <w:t>Background</w:t>
      </w:r>
    </w:p>
    <w:p w:rsidR="00D757F8" w:rsidRPr="004E3E19" w:rsidRDefault="002905C9" w:rsidP="00424106">
      <w:pPr>
        <w:autoSpaceDE w:val="0"/>
        <w:autoSpaceDN w:val="0"/>
        <w:adjustRightInd w:val="0"/>
        <w:snapToGrid w:val="0"/>
        <w:spacing w:after="0" w:line="360" w:lineRule="auto"/>
        <w:rPr>
          <w:rFonts w:ascii="Book Antiqua" w:eastAsiaTheme="majorEastAsia" w:hAnsi="Book Antiqua" w:cs="Book Antiqua"/>
          <w:sz w:val="24"/>
          <w:lang w:val="en-GB"/>
        </w:rPr>
      </w:pPr>
      <w:bookmarkStart w:id="25" w:name="OLE_LINK26"/>
      <w:r w:rsidRPr="004E3E19">
        <w:rPr>
          <w:rFonts w:ascii="Book Antiqua" w:eastAsiaTheme="majorEastAsia" w:hAnsi="Book Antiqua" w:cs="Book Antiqua"/>
          <w:sz w:val="24"/>
          <w:lang w:val="en-GB"/>
        </w:rPr>
        <w:t>Cyclooxygenase-2 (COX-2)</w:t>
      </w:r>
      <w:bookmarkEnd w:id="25"/>
      <w:r w:rsidRPr="004E3E19">
        <w:rPr>
          <w:rFonts w:ascii="Book Antiqua" w:eastAsiaTheme="majorEastAsia" w:hAnsi="Book Antiqua" w:cs="Book Antiqua"/>
          <w:sz w:val="24"/>
          <w:lang w:val="en-GB"/>
        </w:rPr>
        <w:t xml:space="preserve"> is closely associated with the development of malignant tumours and is highly expressed in gastric cancer and colorectal </w:t>
      </w:r>
      <w:r w:rsidRPr="004E3E19">
        <w:rPr>
          <w:rFonts w:ascii="Book Antiqua" w:eastAsiaTheme="majorEastAsia" w:hAnsi="Book Antiqua" w:cs="Book Antiqua"/>
          <w:sz w:val="24"/>
          <w:lang w:val="en-GB"/>
        </w:rPr>
        <w:lastRenderedPageBreak/>
        <w:t xml:space="preserve">cancer cells. Many studies have investigated the association between the COX-2 -1195G&gt;A gene polymorphism and malignant gastrointestinal </w:t>
      </w:r>
      <w:bookmarkStart w:id="26" w:name="OLE_LINK24"/>
      <w:r w:rsidRPr="004E3E19">
        <w:rPr>
          <w:rFonts w:ascii="Book Antiqua" w:eastAsiaTheme="majorEastAsia" w:hAnsi="Book Antiqua" w:cs="Book Antiqua"/>
          <w:sz w:val="24"/>
          <w:lang w:val="en-GB"/>
        </w:rPr>
        <w:t>cancer</w:t>
      </w:r>
      <w:bookmarkEnd w:id="26"/>
      <w:r w:rsidRPr="004E3E19">
        <w:rPr>
          <w:rFonts w:ascii="Book Antiqua" w:eastAsiaTheme="majorEastAsia" w:hAnsi="Book Antiqua" w:cs="Book Antiqua"/>
          <w:sz w:val="24"/>
          <w:lang w:val="en-GB"/>
        </w:rPr>
        <w:t>; however, the results are inconsistent.</w:t>
      </w:r>
    </w:p>
    <w:p w:rsidR="00D033BE" w:rsidRPr="004E3E19" w:rsidRDefault="00D033BE" w:rsidP="00424106">
      <w:pPr>
        <w:autoSpaceDE w:val="0"/>
        <w:autoSpaceDN w:val="0"/>
        <w:adjustRightInd w:val="0"/>
        <w:snapToGrid w:val="0"/>
        <w:spacing w:after="0" w:line="360" w:lineRule="auto"/>
        <w:rPr>
          <w:rFonts w:ascii="Book Antiqua" w:eastAsia="Book Antiqua" w:hAnsi="Book Antiqua" w:cs="Book Antiqua"/>
          <w:b/>
          <w:bCs/>
          <w:i/>
          <w:sz w:val="24"/>
          <w:lang w:val="en-GB"/>
        </w:rPr>
      </w:pPr>
    </w:p>
    <w:p w:rsidR="00D757F8" w:rsidRPr="004E3E19" w:rsidRDefault="002905C9" w:rsidP="00424106">
      <w:pPr>
        <w:autoSpaceDE w:val="0"/>
        <w:autoSpaceDN w:val="0"/>
        <w:adjustRightInd w:val="0"/>
        <w:snapToGrid w:val="0"/>
        <w:spacing w:after="0" w:line="360" w:lineRule="auto"/>
        <w:rPr>
          <w:rFonts w:ascii="Book Antiqua" w:eastAsia="Book Antiqua" w:hAnsi="Book Antiqua" w:cs="Book Antiqua"/>
          <w:b/>
          <w:bCs/>
          <w:i/>
          <w:sz w:val="24"/>
          <w:lang w:val="en-GB"/>
        </w:rPr>
      </w:pPr>
      <w:r w:rsidRPr="004E3E19">
        <w:rPr>
          <w:rFonts w:ascii="Book Antiqua" w:eastAsia="Book Antiqua" w:hAnsi="Book Antiqua" w:cs="Book Antiqua"/>
          <w:b/>
          <w:bCs/>
          <w:i/>
          <w:sz w:val="24"/>
          <w:lang w:val="en-GB"/>
        </w:rPr>
        <w:t>Research frontiers</w:t>
      </w:r>
    </w:p>
    <w:p w:rsidR="00D757F8" w:rsidRPr="004E3E19" w:rsidRDefault="002905C9" w:rsidP="00424106">
      <w:pPr>
        <w:autoSpaceDE w:val="0"/>
        <w:autoSpaceDN w:val="0"/>
        <w:adjustRightInd w:val="0"/>
        <w:snapToGrid w:val="0"/>
        <w:spacing w:after="0" w:line="360" w:lineRule="auto"/>
        <w:rPr>
          <w:rFonts w:ascii="Book Antiqua" w:eastAsiaTheme="minorEastAsia" w:hAnsi="Book Antiqua" w:cs="Book Antiqua"/>
          <w:iCs/>
          <w:sz w:val="24"/>
          <w:lang w:val="en-GB"/>
        </w:rPr>
      </w:pPr>
      <w:r w:rsidRPr="004E3E19">
        <w:rPr>
          <w:rFonts w:ascii="Book Antiqua" w:eastAsia="Book Antiqua" w:hAnsi="Book Antiqua" w:cs="Book Antiqua"/>
          <w:iCs/>
          <w:sz w:val="24"/>
          <w:lang w:val="en-GB"/>
        </w:rPr>
        <w:t>The Cox-2 gene is a very important tumour-related gene with multiple SNPs. The expression level of this gene and the function of its encoded protein will be affected by some polymorphic sites, thus increasing or decreasing tumour susceptibility.</w:t>
      </w:r>
    </w:p>
    <w:p w:rsidR="00D033BE" w:rsidRPr="004E3E19" w:rsidRDefault="00D033BE" w:rsidP="00424106">
      <w:pPr>
        <w:autoSpaceDE w:val="0"/>
        <w:autoSpaceDN w:val="0"/>
        <w:adjustRightInd w:val="0"/>
        <w:snapToGrid w:val="0"/>
        <w:spacing w:after="0" w:line="360" w:lineRule="auto"/>
        <w:rPr>
          <w:rFonts w:ascii="Book Antiqua" w:eastAsiaTheme="minorEastAsia" w:hAnsi="Book Antiqua" w:cs="Book Antiqua"/>
          <w:iCs/>
          <w:sz w:val="24"/>
          <w:lang w:val="en-GB"/>
        </w:rPr>
      </w:pPr>
    </w:p>
    <w:bookmarkEnd w:id="24"/>
    <w:p w:rsidR="00D757F8" w:rsidRPr="004E3E19" w:rsidRDefault="002905C9" w:rsidP="00424106">
      <w:pPr>
        <w:autoSpaceDE w:val="0"/>
        <w:autoSpaceDN w:val="0"/>
        <w:adjustRightInd w:val="0"/>
        <w:snapToGrid w:val="0"/>
        <w:spacing w:after="0" w:line="360" w:lineRule="auto"/>
        <w:rPr>
          <w:rFonts w:ascii="Book Antiqua" w:eastAsia="Book Antiqua" w:hAnsi="Book Antiqua" w:cs="Book Antiqua"/>
          <w:b/>
          <w:bCs/>
          <w:i/>
          <w:sz w:val="24"/>
          <w:lang w:val="en-GB"/>
        </w:rPr>
      </w:pPr>
      <w:r w:rsidRPr="004E3E19">
        <w:rPr>
          <w:rFonts w:ascii="Book Antiqua" w:eastAsia="Book Antiqua" w:hAnsi="Book Antiqua" w:cs="Book Antiqua"/>
          <w:b/>
          <w:bCs/>
          <w:i/>
          <w:sz w:val="24"/>
          <w:lang w:val="en-GB"/>
        </w:rPr>
        <w:t>Innovations and breakthroughs</w:t>
      </w:r>
    </w:p>
    <w:p w:rsidR="00D757F8" w:rsidRPr="004E3E19" w:rsidRDefault="002905C9" w:rsidP="00424106">
      <w:pPr>
        <w:autoSpaceDE w:val="0"/>
        <w:autoSpaceDN w:val="0"/>
        <w:adjustRightInd w:val="0"/>
        <w:snapToGrid w:val="0"/>
        <w:spacing w:after="0" w:line="360" w:lineRule="auto"/>
        <w:rPr>
          <w:rFonts w:ascii="Book Antiqua" w:hAnsi="Book Antiqua" w:cs="Book Antiqua"/>
          <w:iCs/>
          <w:sz w:val="24"/>
          <w:lang w:val="en-GB"/>
        </w:rPr>
      </w:pPr>
      <w:r w:rsidRPr="004E3E19">
        <w:rPr>
          <w:rFonts w:ascii="Book Antiqua" w:eastAsia="Book Antiqua" w:hAnsi="Book Antiqua" w:cs="Book Antiqua"/>
          <w:iCs/>
          <w:sz w:val="24"/>
          <w:lang w:val="en-GB"/>
        </w:rPr>
        <w:t>In the present study, the authors</w:t>
      </w:r>
      <w:r w:rsidRPr="004E3E19">
        <w:rPr>
          <w:rFonts w:ascii="Book Antiqua" w:hAnsi="Book Antiqua" w:cs="Book Antiqua"/>
          <w:iCs/>
          <w:sz w:val="24"/>
          <w:lang w:val="en-GB"/>
        </w:rPr>
        <w:t xml:space="preserve"> explored the </w:t>
      </w:r>
      <w:r w:rsidRPr="004E3E19">
        <w:rPr>
          <w:rFonts w:ascii="Book Antiqua" w:eastAsiaTheme="majorEastAsia" w:hAnsi="Book Antiqua" w:cs="Book Antiqua"/>
          <w:iCs/>
          <w:sz w:val="24"/>
          <w:lang w:val="en-GB"/>
        </w:rPr>
        <w:t>COX-2 -1195G&gt;A gene</w:t>
      </w:r>
      <w:r w:rsidRPr="004E3E19">
        <w:rPr>
          <w:rFonts w:ascii="Book Antiqua" w:hAnsi="Book Antiqua" w:cs="Book Antiqua"/>
          <w:iCs/>
          <w:sz w:val="24"/>
          <w:lang w:val="en-GB"/>
        </w:rPr>
        <w:t xml:space="preserve"> polymorphisms associated with susceptibility to gastrointestinal </w:t>
      </w:r>
      <w:r w:rsidRPr="004E3E19">
        <w:rPr>
          <w:rFonts w:ascii="Book Antiqua" w:eastAsiaTheme="majorEastAsia" w:hAnsi="Book Antiqua" w:cs="Book Antiqua"/>
          <w:iCs/>
          <w:sz w:val="24"/>
          <w:lang w:val="en-GB"/>
        </w:rPr>
        <w:t>cancer and used an FPRP-based criterion to</w:t>
      </w:r>
      <w:r w:rsidRPr="004E3E19">
        <w:rPr>
          <w:rFonts w:ascii="Book Antiqua" w:hAnsi="Book Antiqua" w:cs="Book Antiqua"/>
          <w:iCs/>
          <w:sz w:val="24"/>
          <w:lang w:val="en-GB"/>
        </w:rPr>
        <w:t xml:space="preserve"> evaluate whether a study finding is noteworthy.</w:t>
      </w:r>
    </w:p>
    <w:p w:rsidR="00425A29" w:rsidRPr="004E3E19" w:rsidRDefault="00425A29" w:rsidP="00424106">
      <w:pPr>
        <w:autoSpaceDE w:val="0"/>
        <w:autoSpaceDN w:val="0"/>
        <w:adjustRightInd w:val="0"/>
        <w:snapToGrid w:val="0"/>
        <w:spacing w:after="0" w:line="360" w:lineRule="auto"/>
        <w:rPr>
          <w:rFonts w:ascii="Book Antiqua" w:eastAsia="Book Antiqua" w:hAnsi="Book Antiqua" w:cs="Book Antiqua"/>
          <w:iCs/>
          <w:sz w:val="24"/>
          <w:lang w:val="en-GB"/>
        </w:rPr>
      </w:pPr>
    </w:p>
    <w:p w:rsidR="00D757F8" w:rsidRPr="004E3E19" w:rsidRDefault="002905C9" w:rsidP="00424106">
      <w:pPr>
        <w:autoSpaceDE w:val="0"/>
        <w:autoSpaceDN w:val="0"/>
        <w:adjustRightInd w:val="0"/>
        <w:snapToGrid w:val="0"/>
        <w:spacing w:after="0" w:line="360" w:lineRule="auto"/>
        <w:rPr>
          <w:rFonts w:ascii="Book Antiqua" w:eastAsia="Book Antiqua" w:hAnsi="Book Antiqua" w:cs="Book Antiqua"/>
          <w:b/>
          <w:bCs/>
          <w:i/>
          <w:sz w:val="24"/>
          <w:lang w:val="en-GB"/>
        </w:rPr>
      </w:pPr>
      <w:r w:rsidRPr="004E3E19">
        <w:rPr>
          <w:rFonts w:ascii="Book Antiqua" w:eastAsia="Book Antiqua" w:hAnsi="Book Antiqua" w:cs="Book Antiqua"/>
          <w:b/>
          <w:bCs/>
          <w:i/>
          <w:sz w:val="24"/>
          <w:lang w:val="en-GB"/>
        </w:rPr>
        <w:t>Applications</w:t>
      </w:r>
    </w:p>
    <w:p w:rsidR="00D757F8" w:rsidRPr="004E3E19" w:rsidRDefault="002905C9" w:rsidP="00424106">
      <w:pPr>
        <w:autoSpaceDE w:val="0"/>
        <w:autoSpaceDN w:val="0"/>
        <w:adjustRightInd w:val="0"/>
        <w:snapToGrid w:val="0"/>
        <w:spacing w:after="0" w:line="360" w:lineRule="auto"/>
        <w:rPr>
          <w:rFonts w:ascii="Book Antiqua" w:hAnsi="Book Antiqua" w:cs="Book Antiqua"/>
          <w:iCs/>
          <w:sz w:val="24"/>
          <w:lang w:val="en-GB"/>
        </w:rPr>
      </w:pPr>
      <w:r w:rsidRPr="004E3E19">
        <w:rPr>
          <w:rFonts w:ascii="Book Antiqua" w:hAnsi="Book Antiqua" w:cs="Book Antiqua"/>
          <w:iCs/>
          <w:sz w:val="24"/>
          <w:lang w:val="en-GB"/>
        </w:rPr>
        <w:t xml:space="preserve">This report may present a novel </w:t>
      </w:r>
      <w:r w:rsidRPr="004E3E19">
        <w:rPr>
          <w:rFonts w:ascii="Book Antiqua" w:hAnsi="Book Antiqua" w:cs="Book Antiqua"/>
          <w:iCs/>
          <w:kern w:val="0"/>
          <w:sz w:val="24"/>
          <w:lang w:val="en-GB"/>
        </w:rPr>
        <w:t>site</w:t>
      </w:r>
      <w:r w:rsidRPr="004E3E19">
        <w:rPr>
          <w:rFonts w:ascii="Book Antiqua" w:hAnsi="Book Antiqua" w:cs="Book Antiqua"/>
          <w:iCs/>
          <w:sz w:val="24"/>
          <w:lang w:val="en-GB"/>
        </w:rPr>
        <w:t xml:space="preserve"> for the prevention, diagnosis, and molecular targeted therapy of gastric cancer and colorectal cancer. </w:t>
      </w:r>
    </w:p>
    <w:p w:rsidR="00425A29" w:rsidRPr="004E3E19" w:rsidRDefault="00425A29" w:rsidP="00424106">
      <w:pPr>
        <w:autoSpaceDE w:val="0"/>
        <w:autoSpaceDN w:val="0"/>
        <w:adjustRightInd w:val="0"/>
        <w:snapToGrid w:val="0"/>
        <w:spacing w:after="0" w:line="360" w:lineRule="auto"/>
        <w:rPr>
          <w:rFonts w:ascii="Book Antiqua" w:hAnsi="Book Antiqua" w:cs="Book Antiqua"/>
          <w:iCs/>
          <w:sz w:val="24"/>
          <w:lang w:val="en-GB"/>
        </w:rPr>
      </w:pPr>
    </w:p>
    <w:p w:rsidR="00D757F8" w:rsidRPr="004E3E19" w:rsidRDefault="002905C9" w:rsidP="00424106">
      <w:pPr>
        <w:autoSpaceDE w:val="0"/>
        <w:autoSpaceDN w:val="0"/>
        <w:adjustRightInd w:val="0"/>
        <w:snapToGrid w:val="0"/>
        <w:spacing w:after="0" w:line="360" w:lineRule="auto"/>
        <w:rPr>
          <w:rFonts w:ascii="Book Antiqua" w:hAnsi="Book Antiqua" w:cs="Book Antiqua"/>
          <w:b/>
          <w:bCs/>
          <w:i/>
          <w:sz w:val="24"/>
          <w:lang w:val="en-GB"/>
        </w:rPr>
      </w:pPr>
      <w:r w:rsidRPr="004E3E19">
        <w:rPr>
          <w:rFonts w:ascii="Book Antiqua" w:hAnsi="Book Antiqua" w:cs="Book Antiqua"/>
          <w:b/>
          <w:bCs/>
          <w:i/>
          <w:sz w:val="24"/>
          <w:lang w:val="en-GB"/>
        </w:rPr>
        <w:t>Terminology</w:t>
      </w:r>
    </w:p>
    <w:p w:rsidR="00D757F8" w:rsidRPr="004E3E19" w:rsidRDefault="002905C9" w:rsidP="00424106">
      <w:pPr>
        <w:autoSpaceDE w:val="0"/>
        <w:autoSpaceDN w:val="0"/>
        <w:adjustRightInd w:val="0"/>
        <w:snapToGrid w:val="0"/>
        <w:spacing w:after="0" w:line="360" w:lineRule="auto"/>
        <w:rPr>
          <w:rFonts w:ascii="Book Antiqua" w:eastAsiaTheme="minorEastAsia" w:hAnsi="Book Antiqua" w:cs="Book Antiqua"/>
          <w:iCs/>
          <w:sz w:val="24"/>
          <w:lang w:val="en-GB"/>
        </w:rPr>
      </w:pPr>
      <w:r w:rsidRPr="004E3E19">
        <w:rPr>
          <w:rFonts w:ascii="Book Antiqua" w:eastAsia="Book Antiqua" w:hAnsi="Book Antiqua" w:cs="Book Antiqua"/>
          <w:iCs/>
          <w:sz w:val="24"/>
          <w:lang w:val="en-GB"/>
        </w:rPr>
        <w:t>The false</w:t>
      </w:r>
      <w:r w:rsidRPr="004E3E19">
        <w:rPr>
          <w:rFonts w:ascii="Book Antiqua" w:hAnsi="Book Antiqua" w:cs="Book Antiqua"/>
          <w:iCs/>
          <w:sz w:val="24"/>
          <w:lang w:val="en-GB"/>
        </w:rPr>
        <w:t xml:space="preserve"> </w:t>
      </w:r>
      <w:r w:rsidRPr="004E3E19">
        <w:rPr>
          <w:rFonts w:ascii="Book Antiqua" w:eastAsia="Book Antiqua" w:hAnsi="Book Antiqua" w:cs="Book Antiqua"/>
          <w:iCs/>
          <w:sz w:val="24"/>
          <w:lang w:val="en-GB"/>
        </w:rPr>
        <w:t>positive report probability (FPRP), which is the probability of no true</w:t>
      </w:r>
      <w:r w:rsidRPr="004E3E19">
        <w:rPr>
          <w:rFonts w:ascii="Book Antiqua" w:hAnsi="Book Antiqua" w:cs="Book Antiqua"/>
          <w:iCs/>
          <w:sz w:val="24"/>
          <w:lang w:val="en-GB"/>
        </w:rPr>
        <w:t xml:space="preserve"> </w:t>
      </w:r>
      <w:r w:rsidRPr="004E3E19">
        <w:rPr>
          <w:rFonts w:ascii="Book Antiqua" w:eastAsia="Book Antiqua" w:hAnsi="Book Antiqua" w:cs="Book Antiqua"/>
          <w:iCs/>
          <w:sz w:val="24"/>
          <w:lang w:val="en-GB"/>
        </w:rPr>
        <w:t>association between a genetic variant and disease given a</w:t>
      </w:r>
      <w:r w:rsidRPr="004E3E19">
        <w:rPr>
          <w:rFonts w:ascii="Book Antiqua" w:hAnsi="Book Antiqua" w:cs="Book Antiqua"/>
          <w:iCs/>
          <w:sz w:val="24"/>
          <w:lang w:val="en-GB"/>
        </w:rPr>
        <w:t xml:space="preserve"> </w:t>
      </w:r>
      <w:r w:rsidRPr="004E3E19">
        <w:rPr>
          <w:rFonts w:ascii="Book Antiqua" w:eastAsia="Book Antiqua" w:hAnsi="Book Antiqua" w:cs="Book Antiqua"/>
          <w:iCs/>
          <w:sz w:val="24"/>
          <w:lang w:val="en-GB"/>
        </w:rPr>
        <w:t>statistically significant finding, depends not only on the observed</w:t>
      </w:r>
      <w:r w:rsidRPr="004E3E19">
        <w:rPr>
          <w:rFonts w:ascii="Book Antiqua" w:hAnsi="Book Antiqua" w:cs="Book Antiqua"/>
          <w:iCs/>
          <w:sz w:val="24"/>
          <w:lang w:val="en-GB"/>
        </w:rPr>
        <w:t xml:space="preserve"> </w:t>
      </w:r>
      <w:r w:rsidRPr="004E3E19">
        <w:rPr>
          <w:rFonts w:ascii="Book Antiqua" w:eastAsia="Book Antiqua" w:hAnsi="Book Antiqua" w:cs="Book Antiqua"/>
          <w:iCs/>
          <w:sz w:val="24"/>
          <w:lang w:val="en-GB"/>
        </w:rPr>
        <w:t>P value but also on both the prior probability and the statistical power of the test.</w:t>
      </w:r>
    </w:p>
    <w:p w:rsidR="00425A29" w:rsidRPr="004E3E19" w:rsidRDefault="00425A29" w:rsidP="00424106">
      <w:pPr>
        <w:autoSpaceDE w:val="0"/>
        <w:autoSpaceDN w:val="0"/>
        <w:adjustRightInd w:val="0"/>
        <w:snapToGrid w:val="0"/>
        <w:spacing w:after="0" w:line="360" w:lineRule="auto"/>
        <w:rPr>
          <w:rFonts w:ascii="Book Antiqua" w:eastAsiaTheme="minorEastAsia" w:hAnsi="Book Antiqua" w:cs="Book Antiqua"/>
          <w:iCs/>
          <w:sz w:val="24"/>
          <w:lang w:val="en-GB"/>
        </w:rPr>
      </w:pPr>
    </w:p>
    <w:p w:rsidR="00D757F8" w:rsidRPr="004E3E19" w:rsidRDefault="002905C9" w:rsidP="00424106">
      <w:pPr>
        <w:autoSpaceDE w:val="0"/>
        <w:autoSpaceDN w:val="0"/>
        <w:adjustRightInd w:val="0"/>
        <w:snapToGrid w:val="0"/>
        <w:spacing w:after="0" w:line="360" w:lineRule="auto"/>
        <w:rPr>
          <w:rFonts w:ascii="Book Antiqua" w:hAnsi="Book Antiqua" w:cs="Book Antiqua"/>
          <w:b/>
          <w:bCs/>
          <w:i/>
          <w:sz w:val="24"/>
          <w:lang w:val="en-GB"/>
        </w:rPr>
      </w:pPr>
      <w:r w:rsidRPr="004E3E19">
        <w:rPr>
          <w:rFonts w:ascii="Book Antiqua" w:eastAsia="Book Antiqua" w:hAnsi="Book Antiqua" w:cs="Book Antiqua"/>
          <w:b/>
          <w:bCs/>
          <w:i/>
          <w:sz w:val="24"/>
          <w:lang w:val="en-GB"/>
        </w:rPr>
        <w:t>Peer-review</w:t>
      </w:r>
      <w:r w:rsidRPr="004E3E19">
        <w:rPr>
          <w:rFonts w:ascii="Book Antiqua" w:hAnsi="Book Antiqua" w:cs="Book Antiqua"/>
          <w:b/>
          <w:bCs/>
          <w:i/>
          <w:sz w:val="24"/>
          <w:lang w:val="en-GB"/>
        </w:rPr>
        <w:t xml:space="preserve"> </w:t>
      </w:r>
    </w:p>
    <w:p w:rsidR="00425A29" w:rsidRPr="004E3E19" w:rsidRDefault="00425A29" w:rsidP="00424106">
      <w:pPr>
        <w:autoSpaceDE w:val="0"/>
        <w:autoSpaceDN w:val="0"/>
        <w:adjustRightInd w:val="0"/>
        <w:snapToGrid w:val="0"/>
        <w:spacing w:after="0" w:line="360" w:lineRule="auto"/>
        <w:rPr>
          <w:rFonts w:ascii="Book Antiqua" w:eastAsiaTheme="minorEastAsia" w:hAnsi="Book Antiqua" w:cs="Book Antiqua"/>
          <w:iCs/>
          <w:sz w:val="24"/>
          <w:lang w:val="en-GB"/>
        </w:rPr>
      </w:pPr>
      <w:r w:rsidRPr="004E3E19">
        <w:rPr>
          <w:rFonts w:ascii="Book Antiqua" w:eastAsia="Book Antiqua" w:hAnsi="Book Antiqua" w:cs="Book Antiqua"/>
          <w:iCs/>
          <w:sz w:val="24"/>
          <w:lang w:val="en-GB"/>
        </w:rPr>
        <w:t>The authors perform a meta-analysis of the association between the COX</w:t>
      </w:r>
      <w:r w:rsidRPr="004E3E19">
        <w:rPr>
          <w:rFonts w:ascii="Book Antiqua" w:eastAsiaTheme="minorEastAsia" w:hAnsi="Book Antiqua" w:cs="Book Antiqua"/>
          <w:iCs/>
          <w:sz w:val="24"/>
          <w:lang w:val="en-GB"/>
        </w:rPr>
        <w:t>-</w:t>
      </w:r>
      <w:r w:rsidRPr="004E3E19">
        <w:rPr>
          <w:rFonts w:ascii="Book Antiqua" w:eastAsia="Book Antiqua" w:hAnsi="Book Antiqua" w:cs="Book Antiqua"/>
          <w:iCs/>
          <w:sz w:val="24"/>
          <w:lang w:val="en-GB"/>
        </w:rPr>
        <w:t>2 -1195G&gt;A polymorphism and gastrointestinal cancer risk, which has been extensively investigated</w:t>
      </w:r>
      <w:r w:rsidRPr="004E3E19">
        <w:rPr>
          <w:rFonts w:ascii="Book Antiqua" w:eastAsiaTheme="minorEastAsia" w:hAnsi="Book Antiqua" w:cs="Book Antiqua"/>
          <w:iCs/>
          <w:sz w:val="24"/>
          <w:lang w:val="en-GB"/>
        </w:rPr>
        <w:t>.</w:t>
      </w:r>
    </w:p>
    <w:p w:rsidR="00425A29" w:rsidRPr="004E3E19" w:rsidRDefault="00425A29" w:rsidP="00424106">
      <w:pPr>
        <w:autoSpaceDE w:val="0"/>
        <w:autoSpaceDN w:val="0"/>
        <w:adjustRightInd w:val="0"/>
        <w:snapToGrid w:val="0"/>
        <w:spacing w:after="0" w:line="360" w:lineRule="auto"/>
        <w:rPr>
          <w:rFonts w:ascii="Book Antiqua" w:eastAsiaTheme="minorEastAsia" w:hAnsi="Book Antiqua" w:cs="Book Antiqua"/>
          <w:iCs/>
          <w:sz w:val="24"/>
          <w:lang w:val="en-GB"/>
        </w:rPr>
      </w:pPr>
      <w:r w:rsidRPr="004E3E19">
        <w:rPr>
          <w:rFonts w:ascii="Book Antiqua" w:eastAsiaTheme="minorEastAsia" w:hAnsi="Book Antiqua" w:cs="Book Antiqua"/>
          <w:iCs/>
          <w:sz w:val="24"/>
          <w:lang w:val="en-GB"/>
        </w:rPr>
        <w:br w:type="page"/>
      </w:r>
    </w:p>
    <w:p w:rsidR="00D757F8" w:rsidRDefault="002905C9" w:rsidP="00424106">
      <w:pPr>
        <w:autoSpaceDE w:val="0"/>
        <w:autoSpaceDN w:val="0"/>
        <w:adjustRightInd w:val="0"/>
        <w:snapToGrid w:val="0"/>
        <w:spacing w:after="0" w:line="360" w:lineRule="auto"/>
        <w:rPr>
          <w:rFonts w:ascii="Book Antiqua" w:hAnsi="Book Antiqua" w:cs="Book Antiqua"/>
          <w:b/>
          <w:kern w:val="0"/>
          <w:sz w:val="24"/>
          <w:lang w:val="en-GB"/>
        </w:rPr>
      </w:pPr>
      <w:r w:rsidRPr="004E3E19">
        <w:rPr>
          <w:rFonts w:ascii="Book Antiqua" w:hAnsi="Book Antiqua" w:cs="Book Antiqua"/>
          <w:b/>
          <w:kern w:val="0"/>
          <w:sz w:val="24"/>
          <w:lang w:val="en-GB"/>
        </w:rPr>
        <w:lastRenderedPageBreak/>
        <w:t>REFERENCES</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1 </w:t>
      </w:r>
      <w:r w:rsidRPr="003A3655">
        <w:rPr>
          <w:rFonts w:ascii="Book Antiqua" w:hAnsi="Book Antiqua" w:cs="宋体"/>
          <w:b/>
          <w:bCs/>
          <w:color w:val="000000"/>
          <w:kern w:val="0"/>
          <w:sz w:val="24"/>
        </w:rPr>
        <w:t>Abdelfatah E</w:t>
      </w:r>
      <w:r w:rsidRPr="003A3655">
        <w:rPr>
          <w:rFonts w:ascii="Book Antiqua" w:hAnsi="Book Antiqua" w:cs="宋体"/>
          <w:color w:val="000000"/>
          <w:kern w:val="0"/>
          <w:sz w:val="24"/>
        </w:rPr>
        <w:t>, Kerner Z, Nanda N, Ahuja N. Epigenetic therapy in gastrointestinal cancer: the right combination. </w:t>
      </w:r>
      <w:r w:rsidRPr="003A3655">
        <w:rPr>
          <w:rFonts w:ascii="Book Antiqua" w:hAnsi="Book Antiqua" w:cs="宋体"/>
          <w:i/>
          <w:iCs/>
          <w:color w:val="000000"/>
          <w:kern w:val="0"/>
          <w:sz w:val="24"/>
        </w:rPr>
        <w:t>Therap Adv Gastroenterol</w:t>
      </w:r>
      <w:r w:rsidRPr="003A3655">
        <w:rPr>
          <w:rFonts w:ascii="Book Antiqua" w:hAnsi="Book Antiqua" w:cs="宋体"/>
          <w:color w:val="000000"/>
          <w:kern w:val="0"/>
          <w:sz w:val="24"/>
        </w:rPr>
        <w:t> 2016; </w:t>
      </w:r>
      <w:r w:rsidRPr="003A3655">
        <w:rPr>
          <w:rFonts w:ascii="Book Antiqua" w:hAnsi="Book Antiqua" w:cs="宋体"/>
          <w:b/>
          <w:bCs/>
          <w:color w:val="000000"/>
          <w:kern w:val="0"/>
          <w:sz w:val="24"/>
        </w:rPr>
        <w:t>9</w:t>
      </w:r>
      <w:r w:rsidRPr="003A3655">
        <w:rPr>
          <w:rFonts w:ascii="Book Antiqua" w:hAnsi="Book Antiqua" w:cs="宋体"/>
          <w:color w:val="000000"/>
          <w:kern w:val="0"/>
          <w:sz w:val="24"/>
        </w:rPr>
        <w:t>: 560-579 [PMID: 27366224 DOI: 10.1177/1756283X16644247]</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2 </w:t>
      </w:r>
      <w:r w:rsidRPr="003A3655">
        <w:rPr>
          <w:rFonts w:ascii="Book Antiqua" w:hAnsi="Book Antiqua" w:cs="宋体"/>
          <w:b/>
          <w:bCs/>
          <w:color w:val="000000"/>
          <w:kern w:val="0"/>
          <w:sz w:val="24"/>
        </w:rPr>
        <w:t>Torre LA</w:t>
      </w:r>
      <w:r w:rsidRPr="003A3655">
        <w:rPr>
          <w:rFonts w:ascii="Book Antiqua" w:hAnsi="Book Antiqua" w:cs="宋体"/>
          <w:color w:val="000000"/>
          <w:kern w:val="0"/>
          <w:sz w:val="24"/>
        </w:rPr>
        <w:t>, Bray F, Siegel RL, Ferlay J, Lortet-Tieulent J, Jemal A. Global cancer statistics, 2012. </w:t>
      </w:r>
      <w:r w:rsidRPr="003A3655">
        <w:rPr>
          <w:rFonts w:ascii="Book Antiqua" w:hAnsi="Book Antiqua" w:cs="宋体"/>
          <w:i/>
          <w:iCs/>
          <w:color w:val="000000"/>
          <w:kern w:val="0"/>
          <w:sz w:val="24"/>
        </w:rPr>
        <w:t>CA Cancer J Clin</w:t>
      </w:r>
      <w:r w:rsidRPr="003A3655">
        <w:rPr>
          <w:rFonts w:ascii="Book Antiqua" w:hAnsi="Book Antiqua" w:cs="宋体"/>
          <w:color w:val="000000"/>
          <w:kern w:val="0"/>
          <w:sz w:val="24"/>
        </w:rPr>
        <w:t> 2015; </w:t>
      </w:r>
      <w:r w:rsidRPr="003A3655">
        <w:rPr>
          <w:rFonts w:ascii="Book Antiqua" w:hAnsi="Book Antiqua" w:cs="宋体"/>
          <w:b/>
          <w:bCs/>
          <w:color w:val="000000"/>
          <w:kern w:val="0"/>
          <w:sz w:val="24"/>
        </w:rPr>
        <w:t>65</w:t>
      </w:r>
      <w:r w:rsidRPr="003A3655">
        <w:rPr>
          <w:rFonts w:ascii="Book Antiqua" w:hAnsi="Book Antiqua" w:cs="宋体"/>
          <w:color w:val="000000"/>
          <w:kern w:val="0"/>
          <w:sz w:val="24"/>
        </w:rPr>
        <w:t>: 87-108 [PMID: 25651787 DOI: 10.3322/caac.21262]</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3 </w:t>
      </w:r>
      <w:r w:rsidRPr="003A3655">
        <w:rPr>
          <w:rFonts w:ascii="Book Antiqua" w:hAnsi="Book Antiqua" w:cs="宋体"/>
          <w:b/>
          <w:bCs/>
          <w:color w:val="000000"/>
          <w:kern w:val="0"/>
          <w:sz w:val="24"/>
        </w:rPr>
        <w:t>Rahbari M</w:t>
      </w:r>
      <w:r w:rsidRPr="003A3655">
        <w:rPr>
          <w:rFonts w:ascii="Book Antiqua" w:hAnsi="Book Antiqua" w:cs="宋体"/>
          <w:color w:val="000000"/>
          <w:kern w:val="0"/>
          <w:sz w:val="24"/>
        </w:rPr>
        <w:t>, Rahbari N, Reissfelder C, Weitz J, Kahlert C. Exosomes: novel implications in diagnosis and treatment of gastrointestinal cancer. </w:t>
      </w:r>
      <w:r w:rsidRPr="003A3655">
        <w:rPr>
          <w:rFonts w:ascii="Book Antiqua" w:hAnsi="Book Antiqua" w:cs="宋体"/>
          <w:i/>
          <w:iCs/>
          <w:color w:val="000000"/>
          <w:kern w:val="0"/>
          <w:sz w:val="24"/>
        </w:rPr>
        <w:t>Langenbecks Arch Surg</w:t>
      </w:r>
      <w:r w:rsidRPr="003A3655">
        <w:rPr>
          <w:rFonts w:ascii="Book Antiqua" w:hAnsi="Book Antiqua" w:cs="宋体"/>
          <w:color w:val="000000"/>
          <w:kern w:val="0"/>
          <w:sz w:val="24"/>
        </w:rPr>
        <w:t> 2016; </w:t>
      </w:r>
      <w:r w:rsidRPr="003A3655">
        <w:rPr>
          <w:rFonts w:ascii="Book Antiqua" w:hAnsi="Book Antiqua" w:cs="宋体"/>
          <w:b/>
          <w:bCs/>
          <w:color w:val="000000"/>
          <w:kern w:val="0"/>
          <w:sz w:val="24"/>
        </w:rPr>
        <w:t>401</w:t>
      </w:r>
      <w:r w:rsidRPr="003A3655">
        <w:rPr>
          <w:rFonts w:ascii="Book Antiqua" w:hAnsi="Book Antiqua" w:cs="宋体"/>
          <w:color w:val="000000"/>
          <w:kern w:val="0"/>
          <w:sz w:val="24"/>
        </w:rPr>
        <w:t>: 1097-1110 [PMID: 27342853 DOI: 10.1007/s00423-016-1468-2]</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4 </w:t>
      </w:r>
      <w:r w:rsidRPr="003A3655">
        <w:rPr>
          <w:rFonts w:ascii="Book Antiqua" w:hAnsi="Book Antiqua" w:cs="宋体"/>
          <w:b/>
          <w:bCs/>
          <w:color w:val="000000"/>
          <w:kern w:val="0"/>
          <w:sz w:val="24"/>
        </w:rPr>
        <w:t>Karimi Kurdistani Z</w:t>
      </w:r>
      <w:r w:rsidRPr="003A3655">
        <w:rPr>
          <w:rFonts w:ascii="Book Antiqua" w:hAnsi="Book Antiqua" w:cs="宋体"/>
          <w:color w:val="000000"/>
          <w:kern w:val="0"/>
          <w:sz w:val="24"/>
        </w:rPr>
        <w:t>, Saberi S, Tsai KW, Mohammadi M. MicroRNA-21: Mechanisms of Oncogenesis and its Application in Diagnosis and Prognosis of Gastric Cancer. </w:t>
      </w:r>
      <w:r w:rsidRPr="003A3655">
        <w:rPr>
          <w:rFonts w:ascii="Book Antiqua" w:hAnsi="Book Antiqua" w:cs="宋体"/>
          <w:i/>
          <w:iCs/>
          <w:color w:val="000000"/>
          <w:kern w:val="0"/>
          <w:sz w:val="24"/>
        </w:rPr>
        <w:t>Arch Iran Med</w:t>
      </w:r>
      <w:r w:rsidRPr="003A3655">
        <w:rPr>
          <w:rFonts w:ascii="Book Antiqua" w:hAnsi="Book Antiqua" w:cs="宋体"/>
          <w:color w:val="000000"/>
          <w:kern w:val="0"/>
          <w:sz w:val="24"/>
        </w:rPr>
        <w:t> 2015; </w:t>
      </w:r>
      <w:r w:rsidRPr="003A3655">
        <w:rPr>
          <w:rFonts w:ascii="Book Antiqua" w:hAnsi="Book Antiqua" w:cs="宋体"/>
          <w:b/>
          <w:bCs/>
          <w:color w:val="000000"/>
          <w:kern w:val="0"/>
          <w:sz w:val="24"/>
        </w:rPr>
        <w:t>18</w:t>
      </w:r>
      <w:r w:rsidRPr="003A3655">
        <w:rPr>
          <w:rFonts w:ascii="Book Antiqua" w:hAnsi="Book Antiqua" w:cs="宋体"/>
          <w:color w:val="000000"/>
          <w:kern w:val="0"/>
          <w:sz w:val="24"/>
        </w:rPr>
        <w:t>: 524-536 [PMID: 26265521]</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5 </w:t>
      </w:r>
      <w:r w:rsidRPr="003A3655">
        <w:rPr>
          <w:rFonts w:ascii="Book Antiqua" w:hAnsi="Book Antiqua" w:cs="宋体"/>
          <w:b/>
          <w:bCs/>
          <w:color w:val="000000"/>
          <w:kern w:val="0"/>
          <w:sz w:val="24"/>
        </w:rPr>
        <w:t>Khatkov IE</w:t>
      </w:r>
      <w:r w:rsidRPr="003A3655">
        <w:rPr>
          <w:rFonts w:ascii="Book Antiqua" w:hAnsi="Book Antiqua" w:cs="宋体"/>
          <w:color w:val="000000"/>
          <w:kern w:val="0"/>
          <w:sz w:val="24"/>
        </w:rPr>
        <w:t>, Kagramanova AV, Zakharzhevskaya NB, Babikova EA, Generozov EV, Shcherbakov PL, Parfenov AI. [Current principles in the screening, diagnosis, and therapy of colorectal cancer]. </w:t>
      </w:r>
      <w:r w:rsidRPr="003A3655">
        <w:rPr>
          <w:rFonts w:ascii="Book Antiqua" w:hAnsi="Book Antiqua" w:cs="宋体"/>
          <w:i/>
          <w:iCs/>
          <w:color w:val="000000"/>
          <w:kern w:val="0"/>
          <w:sz w:val="24"/>
        </w:rPr>
        <w:t>Ter Arkh</w:t>
      </w:r>
      <w:r w:rsidRPr="003A3655">
        <w:rPr>
          <w:rFonts w:ascii="Book Antiqua" w:hAnsi="Book Antiqua" w:cs="宋体"/>
          <w:color w:val="000000"/>
          <w:kern w:val="0"/>
          <w:sz w:val="24"/>
        </w:rPr>
        <w:t> 2016; </w:t>
      </w:r>
      <w:r w:rsidRPr="003A3655">
        <w:rPr>
          <w:rFonts w:ascii="Book Antiqua" w:hAnsi="Book Antiqua" w:cs="宋体"/>
          <w:b/>
          <w:bCs/>
          <w:color w:val="000000"/>
          <w:kern w:val="0"/>
          <w:sz w:val="24"/>
        </w:rPr>
        <w:t>88</w:t>
      </w:r>
      <w:r w:rsidRPr="003A3655">
        <w:rPr>
          <w:rFonts w:ascii="Book Antiqua" w:hAnsi="Book Antiqua" w:cs="宋体"/>
          <w:color w:val="000000"/>
          <w:kern w:val="0"/>
          <w:sz w:val="24"/>
        </w:rPr>
        <w:t>: 90-96 [PMID: 27135106]</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6 </w:t>
      </w:r>
      <w:r w:rsidRPr="003A3655">
        <w:rPr>
          <w:rFonts w:ascii="Book Antiqua" w:hAnsi="Book Antiqua" w:cs="宋体"/>
          <w:b/>
          <w:bCs/>
          <w:color w:val="000000"/>
          <w:kern w:val="0"/>
          <w:sz w:val="24"/>
        </w:rPr>
        <w:t>Simmons DL</w:t>
      </w:r>
      <w:r w:rsidRPr="003A3655">
        <w:rPr>
          <w:rFonts w:ascii="Book Antiqua" w:hAnsi="Book Antiqua" w:cs="宋体"/>
          <w:color w:val="000000"/>
          <w:kern w:val="0"/>
          <w:sz w:val="24"/>
        </w:rPr>
        <w:t>, Botting RM, Hla T. Cyclooxygenase isozymes: the biology of prostaglandin synthesis and inhibition. </w:t>
      </w:r>
      <w:r w:rsidRPr="003A3655">
        <w:rPr>
          <w:rFonts w:ascii="Book Antiqua" w:hAnsi="Book Antiqua" w:cs="宋体"/>
          <w:i/>
          <w:iCs/>
          <w:color w:val="000000"/>
          <w:kern w:val="0"/>
          <w:sz w:val="24"/>
        </w:rPr>
        <w:t>Pharmacol Rev</w:t>
      </w:r>
      <w:r w:rsidRPr="003A3655">
        <w:rPr>
          <w:rFonts w:ascii="Book Antiqua" w:hAnsi="Book Antiqua" w:cs="宋体"/>
          <w:color w:val="000000"/>
          <w:kern w:val="0"/>
          <w:sz w:val="24"/>
        </w:rPr>
        <w:t> 2004; </w:t>
      </w:r>
      <w:r w:rsidRPr="003A3655">
        <w:rPr>
          <w:rFonts w:ascii="Book Antiqua" w:hAnsi="Book Antiqua" w:cs="宋体"/>
          <w:b/>
          <w:bCs/>
          <w:color w:val="000000"/>
          <w:kern w:val="0"/>
          <w:sz w:val="24"/>
        </w:rPr>
        <w:t>56</w:t>
      </w:r>
      <w:r w:rsidRPr="003A3655">
        <w:rPr>
          <w:rFonts w:ascii="Book Antiqua" w:hAnsi="Book Antiqua" w:cs="宋体"/>
          <w:color w:val="000000"/>
          <w:kern w:val="0"/>
          <w:sz w:val="24"/>
        </w:rPr>
        <w:t>: 387-437 [PMID: 15317910 DOI: 10.1124/pr.56.3.3]</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7 </w:t>
      </w:r>
      <w:r w:rsidRPr="003A3655">
        <w:rPr>
          <w:rFonts w:ascii="Book Antiqua" w:hAnsi="Book Antiqua" w:cs="宋体"/>
          <w:b/>
          <w:bCs/>
          <w:color w:val="000000"/>
          <w:kern w:val="0"/>
          <w:sz w:val="24"/>
        </w:rPr>
        <w:t>Coussens LM</w:t>
      </w:r>
      <w:r w:rsidRPr="003A3655">
        <w:rPr>
          <w:rFonts w:ascii="Book Antiqua" w:hAnsi="Book Antiqua" w:cs="宋体"/>
          <w:color w:val="000000"/>
          <w:kern w:val="0"/>
          <w:sz w:val="24"/>
        </w:rPr>
        <w:t>, Werb Z. Inflammation and cancer. </w:t>
      </w:r>
      <w:r w:rsidRPr="003A3655">
        <w:rPr>
          <w:rFonts w:ascii="Book Antiqua" w:hAnsi="Book Antiqua" w:cs="宋体"/>
          <w:i/>
          <w:iCs/>
          <w:color w:val="000000"/>
          <w:kern w:val="0"/>
          <w:sz w:val="24"/>
        </w:rPr>
        <w:t>Nature</w:t>
      </w:r>
      <w:r w:rsidRPr="003A3655">
        <w:rPr>
          <w:rFonts w:ascii="Book Antiqua" w:hAnsi="Book Antiqua" w:cs="宋体"/>
          <w:color w:val="000000"/>
          <w:kern w:val="0"/>
          <w:sz w:val="24"/>
        </w:rPr>
        <w:t> 2002; </w:t>
      </w:r>
      <w:r w:rsidRPr="003A3655">
        <w:rPr>
          <w:rFonts w:ascii="Book Antiqua" w:hAnsi="Book Antiqua" w:cs="宋体"/>
          <w:b/>
          <w:bCs/>
          <w:color w:val="000000"/>
          <w:kern w:val="0"/>
          <w:sz w:val="24"/>
        </w:rPr>
        <w:t>420</w:t>
      </w:r>
      <w:r w:rsidRPr="003A3655">
        <w:rPr>
          <w:rFonts w:ascii="Book Antiqua" w:hAnsi="Book Antiqua" w:cs="宋体"/>
          <w:color w:val="000000"/>
          <w:kern w:val="0"/>
          <w:sz w:val="24"/>
        </w:rPr>
        <w:t>: 860-867 [PMID: 12490959 DOI: 10.1038/nature01322]</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8 </w:t>
      </w:r>
      <w:r w:rsidRPr="003A3655">
        <w:rPr>
          <w:rFonts w:ascii="Book Antiqua" w:hAnsi="Book Antiqua" w:cs="宋体"/>
          <w:b/>
          <w:bCs/>
          <w:color w:val="000000"/>
          <w:kern w:val="0"/>
          <w:sz w:val="24"/>
        </w:rPr>
        <w:t>Sasaki Y</w:t>
      </w:r>
      <w:r w:rsidRPr="003A3655">
        <w:rPr>
          <w:rFonts w:ascii="Book Antiqua" w:hAnsi="Book Antiqua" w:cs="宋体"/>
          <w:color w:val="000000"/>
          <w:kern w:val="0"/>
          <w:sz w:val="24"/>
        </w:rPr>
        <w:t>, Kamiyama S, Kamiyama A, Matsumoto K, Akatsu M, Nakatani Y, Kuwata H, Ishikawa Y, Ishii T, Yokoyama C, Hara S. Genetic-deletion of Cyclooxygenase-2 Downstream Prostacyclin Synthase Suppresses Inflammatory Reactions but Facilitates Carcinogenesis, unlike Deletion of Microsomal Prostaglandin E Synthase-1. </w:t>
      </w:r>
      <w:r w:rsidRPr="003A3655">
        <w:rPr>
          <w:rFonts w:ascii="Book Antiqua" w:hAnsi="Book Antiqua" w:cs="宋体"/>
          <w:i/>
          <w:iCs/>
          <w:color w:val="000000"/>
          <w:kern w:val="0"/>
          <w:sz w:val="24"/>
        </w:rPr>
        <w:t>Sci Rep</w:t>
      </w:r>
      <w:r w:rsidRPr="003A3655">
        <w:rPr>
          <w:rFonts w:ascii="Book Antiqua" w:hAnsi="Book Antiqua" w:cs="宋体"/>
          <w:color w:val="000000"/>
          <w:kern w:val="0"/>
          <w:sz w:val="24"/>
        </w:rPr>
        <w:t> 2015; </w:t>
      </w:r>
      <w:r w:rsidRPr="003A3655">
        <w:rPr>
          <w:rFonts w:ascii="Book Antiqua" w:hAnsi="Book Antiqua" w:cs="宋体"/>
          <w:b/>
          <w:bCs/>
          <w:color w:val="000000"/>
          <w:kern w:val="0"/>
          <w:sz w:val="24"/>
        </w:rPr>
        <w:t>5</w:t>
      </w:r>
      <w:r w:rsidRPr="003A3655">
        <w:rPr>
          <w:rFonts w:ascii="Book Antiqua" w:hAnsi="Book Antiqua" w:cs="宋体"/>
          <w:color w:val="000000"/>
          <w:kern w:val="0"/>
          <w:sz w:val="24"/>
        </w:rPr>
        <w:t>: 17376 [PMID: 26611322 DOI: 10.1038/srep17376]</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lastRenderedPageBreak/>
        <w:t>9 </w:t>
      </w:r>
      <w:r w:rsidRPr="003A3655">
        <w:rPr>
          <w:rFonts w:ascii="Book Antiqua" w:hAnsi="Book Antiqua" w:cs="宋体"/>
          <w:b/>
          <w:bCs/>
          <w:color w:val="000000"/>
          <w:kern w:val="0"/>
          <w:sz w:val="24"/>
        </w:rPr>
        <w:t>Pan J</w:t>
      </w:r>
      <w:r w:rsidRPr="003A3655">
        <w:rPr>
          <w:rFonts w:ascii="Book Antiqua" w:hAnsi="Book Antiqua" w:cs="宋体"/>
          <w:color w:val="000000"/>
          <w:kern w:val="0"/>
          <w:sz w:val="24"/>
        </w:rPr>
        <w:t>, Kong L, Lin S, Chen G, Chen Q, Lu JJ. The clinical significance of coexpression of cyclooxygenases-2, vascular endothelial growth factors, and epidermal growth factor receptor in nasopharyngeal carcinoma. </w:t>
      </w:r>
      <w:r w:rsidRPr="003A3655">
        <w:rPr>
          <w:rFonts w:ascii="Book Antiqua" w:hAnsi="Book Antiqua" w:cs="宋体"/>
          <w:i/>
          <w:iCs/>
          <w:color w:val="000000"/>
          <w:kern w:val="0"/>
          <w:sz w:val="24"/>
        </w:rPr>
        <w:t>Laryngoscope</w:t>
      </w:r>
      <w:r w:rsidRPr="003A3655">
        <w:rPr>
          <w:rFonts w:ascii="Book Antiqua" w:hAnsi="Book Antiqua" w:cs="宋体"/>
          <w:color w:val="000000"/>
          <w:kern w:val="0"/>
          <w:sz w:val="24"/>
        </w:rPr>
        <w:t> 2008; </w:t>
      </w:r>
      <w:r w:rsidRPr="003A3655">
        <w:rPr>
          <w:rFonts w:ascii="Book Antiqua" w:hAnsi="Book Antiqua" w:cs="宋体"/>
          <w:b/>
          <w:bCs/>
          <w:color w:val="000000"/>
          <w:kern w:val="0"/>
          <w:sz w:val="24"/>
        </w:rPr>
        <w:t>118</w:t>
      </w:r>
      <w:r w:rsidRPr="003A3655">
        <w:rPr>
          <w:rFonts w:ascii="Book Antiqua" w:hAnsi="Book Antiqua" w:cs="宋体"/>
          <w:color w:val="000000"/>
          <w:kern w:val="0"/>
          <w:sz w:val="24"/>
        </w:rPr>
        <w:t>: 1970-1975 [PMID: 18758376 DOI: 10.1097/MLG.0b013e3181805134]</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10 </w:t>
      </w:r>
      <w:r w:rsidRPr="003A3655">
        <w:rPr>
          <w:rFonts w:ascii="Book Antiqua" w:hAnsi="Book Antiqua" w:cs="宋体"/>
          <w:b/>
          <w:bCs/>
          <w:color w:val="000000"/>
          <w:kern w:val="0"/>
          <w:sz w:val="24"/>
        </w:rPr>
        <w:t>Qin G</w:t>
      </w:r>
      <w:r w:rsidRPr="003A3655">
        <w:rPr>
          <w:rFonts w:ascii="Book Antiqua" w:hAnsi="Book Antiqua" w:cs="宋体"/>
          <w:color w:val="000000"/>
          <w:kern w:val="0"/>
          <w:sz w:val="24"/>
        </w:rPr>
        <w:t>, Xu F, Qin T, Zheng Q, Shi D, Xia W, Tian Y, Tang Y, Wang J, Xiao X, Deng W, Wang S. Palbociclib inhibits epithelial-mesenchymal transition and metastasis in breast cancer via c-Jun/COX-2 signaling pathway. </w:t>
      </w:r>
      <w:r w:rsidRPr="003A3655">
        <w:rPr>
          <w:rFonts w:ascii="Book Antiqua" w:hAnsi="Book Antiqua" w:cs="宋体"/>
          <w:i/>
          <w:iCs/>
          <w:color w:val="000000"/>
          <w:kern w:val="0"/>
          <w:sz w:val="24"/>
        </w:rPr>
        <w:t>Oncotarget</w:t>
      </w:r>
      <w:r w:rsidRPr="003A3655">
        <w:rPr>
          <w:rFonts w:ascii="Book Antiqua" w:hAnsi="Book Antiqua" w:cs="宋体"/>
          <w:color w:val="000000"/>
          <w:kern w:val="0"/>
          <w:sz w:val="24"/>
        </w:rPr>
        <w:t> 2015; </w:t>
      </w:r>
      <w:r w:rsidRPr="003A3655">
        <w:rPr>
          <w:rFonts w:ascii="Book Antiqua" w:hAnsi="Book Antiqua" w:cs="宋体"/>
          <w:b/>
          <w:bCs/>
          <w:color w:val="000000"/>
          <w:kern w:val="0"/>
          <w:sz w:val="24"/>
        </w:rPr>
        <w:t>6</w:t>
      </w:r>
      <w:r w:rsidRPr="003A3655">
        <w:rPr>
          <w:rFonts w:ascii="Book Antiqua" w:hAnsi="Book Antiqua" w:cs="宋体"/>
          <w:color w:val="000000"/>
          <w:kern w:val="0"/>
          <w:sz w:val="24"/>
        </w:rPr>
        <w:t>: 41794-41808 [PMID: 26540629 DOI: 10.18632/oncotarget.5993]</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11 </w:t>
      </w:r>
      <w:r w:rsidRPr="003A3655">
        <w:rPr>
          <w:rFonts w:ascii="Book Antiqua" w:hAnsi="Book Antiqua" w:cs="宋体"/>
          <w:b/>
          <w:bCs/>
          <w:color w:val="000000"/>
          <w:kern w:val="0"/>
          <w:sz w:val="24"/>
        </w:rPr>
        <w:t>Zeng W</w:t>
      </w:r>
      <w:r w:rsidRPr="003A3655">
        <w:rPr>
          <w:rFonts w:ascii="Book Antiqua" w:hAnsi="Book Antiqua" w:cs="宋体"/>
          <w:color w:val="000000"/>
          <w:kern w:val="0"/>
          <w:sz w:val="24"/>
        </w:rPr>
        <w:t>, van den Berg A, Huitema S, Gouw AS, Molema G, de Jong KP. Correlation of microRNA-16, microRNA-21 and microRNA-101 expression with cyclooxygenase-2 expression and angiogenic factors in cirrhotic and noncirrhotic human hepatocellular carcinoma. </w:t>
      </w:r>
      <w:r w:rsidRPr="003A3655">
        <w:rPr>
          <w:rFonts w:ascii="Book Antiqua" w:hAnsi="Book Antiqua" w:cs="宋体"/>
          <w:i/>
          <w:iCs/>
          <w:color w:val="000000"/>
          <w:kern w:val="0"/>
          <w:sz w:val="24"/>
        </w:rPr>
        <w:t>PLoS One</w:t>
      </w:r>
      <w:r w:rsidRPr="003A3655">
        <w:rPr>
          <w:rFonts w:ascii="Book Antiqua" w:hAnsi="Book Antiqua" w:cs="宋体"/>
          <w:color w:val="000000"/>
          <w:kern w:val="0"/>
          <w:sz w:val="24"/>
        </w:rPr>
        <w:t> 2014; </w:t>
      </w:r>
      <w:r w:rsidRPr="003A3655">
        <w:rPr>
          <w:rFonts w:ascii="Book Antiqua" w:hAnsi="Book Antiqua" w:cs="宋体"/>
          <w:b/>
          <w:bCs/>
          <w:color w:val="000000"/>
          <w:kern w:val="0"/>
          <w:sz w:val="24"/>
        </w:rPr>
        <w:t>9</w:t>
      </w:r>
      <w:r w:rsidRPr="003A3655">
        <w:rPr>
          <w:rFonts w:ascii="Book Antiqua" w:hAnsi="Book Antiqua" w:cs="宋体"/>
          <w:color w:val="000000"/>
          <w:kern w:val="0"/>
          <w:sz w:val="24"/>
        </w:rPr>
        <w:t>: e95826 [PMID: 24759835 DOI: 10.1371/journal.pone.0095826]</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12 </w:t>
      </w:r>
      <w:r w:rsidRPr="003A3655">
        <w:rPr>
          <w:rFonts w:ascii="Book Antiqua" w:hAnsi="Book Antiqua" w:cs="宋体"/>
          <w:b/>
          <w:bCs/>
          <w:color w:val="000000"/>
          <w:kern w:val="0"/>
          <w:sz w:val="24"/>
        </w:rPr>
        <w:t>Chen XL</w:t>
      </w:r>
      <w:r w:rsidRPr="003A3655">
        <w:rPr>
          <w:rFonts w:ascii="Book Antiqua" w:hAnsi="Book Antiqua" w:cs="宋体"/>
          <w:color w:val="000000"/>
          <w:kern w:val="0"/>
          <w:sz w:val="24"/>
        </w:rPr>
        <w:t>, Su BS, Sun RQ, Zhang J, Wang YL. Relationship between expression and distribution of cyclooxygenase-2 and bcl-2 in human gastric adenocarcinoma. </w:t>
      </w:r>
      <w:r w:rsidRPr="003A3655">
        <w:rPr>
          <w:rFonts w:ascii="Book Antiqua" w:hAnsi="Book Antiqua" w:cs="宋体"/>
          <w:i/>
          <w:iCs/>
          <w:color w:val="000000"/>
          <w:kern w:val="0"/>
          <w:sz w:val="24"/>
        </w:rPr>
        <w:t>World J Gastroenterol</w:t>
      </w:r>
      <w:r w:rsidRPr="003A3655">
        <w:rPr>
          <w:rFonts w:ascii="Book Antiqua" w:hAnsi="Book Antiqua" w:cs="宋体"/>
          <w:color w:val="000000"/>
          <w:kern w:val="0"/>
          <w:sz w:val="24"/>
        </w:rPr>
        <w:t> 2005; </w:t>
      </w:r>
      <w:r w:rsidRPr="003A3655">
        <w:rPr>
          <w:rFonts w:ascii="Book Antiqua" w:hAnsi="Book Antiqua" w:cs="宋体"/>
          <w:b/>
          <w:bCs/>
          <w:color w:val="000000"/>
          <w:kern w:val="0"/>
          <w:sz w:val="24"/>
        </w:rPr>
        <w:t>11</w:t>
      </w:r>
      <w:r w:rsidRPr="003A3655">
        <w:rPr>
          <w:rFonts w:ascii="Book Antiqua" w:hAnsi="Book Antiqua" w:cs="宋体"/>
          <w:color w:val="000000"/>
          <w:kern w:val="0"/>
          <w:sz w:val="24"/>
        </w:rPr>
        <w:t>: 1228-1231 [PMID: 15754411]</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13 </w:t>
      </w:r>
      <w:r w:rsidRPr="003A3655">
        <w:rPr>
          <w:rFonts w:ascii="Book Antiqua" w:hAnsi="Book Antiqua" w:cs="宋体"/>
          <w:b/>
          <w:bCs/>
          <w:color w:val="000000"/>
          <w:kern w:val="0"/>
          <w:sz w:val="24"/>
        </w:rPr>
        <w:t>Yashiro M</w:t>
      </w:r>
      <w:r w:rsidRPr="003A3655">
        <w:rPr>
          <w:rFonts w:ascii="Book Antiqua" w:hAnsi="Book Antiqua" w:cs="宋体"/>
          <w:color w:val="000000"/>
          <w:kern w:val="0"/>
          <w:sz w:val="24"/>
        </w:rPr>
        <w:t>, Nakazawa K, Tendo M, Kosaka K, Shinto O, Hirakawa K. Selective cyclooxygenase-2 inhibitor downregulates the paracrine epithelial-mesenchymal interactions of growth in scirrhous gastric carcinoma. </w:t>
      </w:r>
      <w:r w:rsidRPr="003A3655">
        <w:rPr>
          <w:rFonts w:ascii="Book Antiqua" w:hAnsi="Book Antiqua" w:cs="宋体"/>
          <w:i/>
          <w:iCs/>
          <w:color w:val="000000"/>
          <w:kern w:val="0"/>
          <w:sz w:val="24"/>
        </w:rPr>
        <w:t>Int J Cancer</w:t>
      </w:r>
      <w:r w:rsidRPr="003A3655">
        <w:rPr>
          <w:rFonts w:ascii="Book Antiqua" w:hAnsi="Book Antiqua" w:cs="宋体"/>
          <w:color w:val="000000"/>
          <w:kern w:val="0"/>
          <w:sz w:val="24"/>
        </w:rPr>
        <w:t> 2007; </w:t>
      </w:r>
      <w:r w:rsidRPr="003A3655">
        <w:rPr>
          <w:rFonts w:ascii="Book Antiqua" w:hAnsi="Book Antiqua" w:cs="宋体"/>
          <w:b/>
          <w:bCs/>
          <w:color w:val="000000"/>
          <w:kern w:val="0"/>
          <w:sz w:val="24"/>
        </w:rPr>
        <w:t>120</w:t>
      </w:r>
      <w:r w:rsidRPr="003A3655">
        <w:rPr>
          <w:rFonts w:ascii="Book Antiqua" w:hAnsi="Book Antiqua" w:cs="宋体"/>
          <w:color w:val="000000"/>
          <w:kern w:val="0"/>
          <w:sz w:val="24"/>
        </w:rPr>
        <w:t>: 686-693 [PMID: 17096355 DOI: 10.1002/ijc.22329]</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14 </w:t>
      </w:r>
      <w:r w:rsidRPr="003A3655">
        <w:rPr>
          <w:rFonts w:ascii="Book Antiqua" w:hAnsi="Book Antiqua" w:cs="宋体"/>
          <w:b/>
          <w:bCs/>
          <w:color w:val="000000"/>
          <w:kern w:val="0"/>
          <w:sz w:val="24"/>
        </w:rPr>
        <w:t>Gu W</w:t>
      </w:r>
      <w:r w:rsidRPr="003A3655">
        <w:rPr>
          <w:rFonts w:ascii="Book Antiqua" w:hAnsi="Book Antiqua" w:cs="宋体"/>
          <w:color w:val="000000"/>
          <w:kern w:val="0"/>
          <w:sz w:val="24"/>
        </w:rPr>
        <w:t>, Song L, Li XM, Wang D, Guo XJ, Xu WG. Mesenchymal stem cells alleviate airway inflammation and emphysema in COPD through down-regulation of cyclooxygenase-2 via p38 and ERK MAPK pathways. </w:t>
      </w:r>
      <w:r w:rsidRPr="003A3655">
        <w:rPr>
          <w:rFonts w:ascii="Book Antiqua" w:hAnsi="Book Antiqua" w:cs="宋体"/>
          <w:i/>
          <w:iCs/>
          <w:color w:val="000000"/>
          <w:kern w:val="0"/>
          <w:sz w:val="24"/>
        </w:rPr>
        <w:t>Sci Rep</w:t>
      </w:r>
      <w:r w:rsidRPr="003A3655">
        <w:rPr>
          <w:rFonts w:ascii="Book Antiqua" w:hAnsi="Book Antiqua" w:cs="宋体"/>
          <w:color w:val="000000"/>
          <w:kern w:val="0"/>
          <w:sz w:val="24"/>
        </w:rPr>
        <w:t> 2015; </w:t>
      </w:r>
      <w:r w:rsidRPr="003A3655">
        <w:rPr>
          <w:rFonts w:ascii="Book Antiqua" w:hAnsi="Book Antiqua" w:cs="宋体"/>
          <w:b/>
          <w:bCs/>
          <w:color w:val="000000"/>
          <w:kern w:val="0"/>
          <w:sz w:val="24"/>
        </w:rPr>
        <w:t>5</w:t>
      </w:r>
      <w:r w:rsidRPr="003A3655">
        <w:rPr>
          <w:rFonts w:ascii="Book Antiqua" w:hAnsi="Book Antiqua" w:cs="宋体"/>
          <w:color w:val="000000"/>
          <w:kern w:val="0"/>
          <w:sz w:val="24"/>
        </w:rPr>
        <w:t>: 8733 [PMID: 25736434 DOI: 10.1038/srep08733]</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lastRenderedPageBreak/>
        <w:t>15 </w:t>
      </w:r>
      <w:r w:rsidRPr="003A3655">
        <w:rPr>
          <w:rFonts w:ascii="Book Antiqua" w:hAnsi="Book Antiqua" w:cs="宋体"/>
          <w:b/>
          <w:bCs/>
          <w:color w:val="000000"/>
          <w:kern w:val="0"/>
          <w:sz w:val="24"/>
        </w:rPr>
        <w:t>Appleby SB</w:t>
      </w:r>
      <w:r w:rsidRPr="003A3655">
        <w:rPr>
          <w:rFonts w:ascii="Book Antiqua" w:hAnsi="Book Antiqua" w:cs="宋体"/>
          <w:color w:val="000000"/>
          <w:kern w:val="0"/>
          <w:sz w:val="24"/>
        </w:rPr>
        <w:t>, Ristimäki A, Neilson K, Narko K, Hla T. Structure of the human cyclo-oxygenase-2 gene. </w:t>
      </w:r>
      <w:r w:rsidRPr="003A3655">
        <w:rPr>
          <w:rFonts w:ascii="Book Antiqua" w:hAnsi="Book Antiqua" w:cs="宋体"/>
          <w:i/>
          <w:iCs/>
          <w:color w:val="000000"/>
          <w:kern w:val="0"/>
          <w:sz w:val="24"/>
        </w:rPr>
        <w:t>Biochem J</w:t>
      </w:r>
      <w:r w:rsidRPr="003A3655">
        <w:rPr>
          <w:rFonts w:ascii="Book Antiqua" w:hAnsi="Book Antiqua" w:cs="宋体"/>
          <w:color w:val="000000"/>
          <w:kern w:val="0"/>
          <w:sz w:val="24"/>
        </w:rPr>
        <w:t> 1994; </w:t>
      </w:r>
      <w:r w:rsidRPr="003A3655">
        <w:rPr>
          <w:rFonts w:ascii="Book Antiqua" w:hAnsi="Book Antiqua" w:cs="宋体"/>
          <w:b/>
          <w:bCs/>
          <w:color w:val="000000"/>
          <w:kern w:val="0"/>
          <w:sz w:val="24"/>
        </w:rPr>
        <w:t>302 ( Pt 3)</w:t>
      </w:r>
      <w:r w:rsidRPr="003A3655">
        <w:rPr>
          <w:rFonts w:ascii="Book Antiqua" w:hAnsi="Book Antiqua" w:cs="宋体"/>
          <w:color w:val="000000"/>
          <w:kern w:val="0"/>
          <w:sz w:val="24"/>
        </w:rPr>
        <w:t>: 723-727 [PMID: 7945196]</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16 </w:t>
      </w:r>
      <w:r w:rsidRPr="003A3655">
        <w:rPr>
          <w:rFonts w:ascii="Book Antiqua" w:hAnsi="Book Antiqua" w:cs="宋体"/>
          <w:b/>
          <w:bCs/>
          <w:color w:val="000000"/>
          <w:kern w:val="0"/>
          <w:sz w:val="24"/>
        </w:rPr>
        <w:t>Xu YS</w:t>
      </w:r>
      <w:r w:rsidRPr="003A3655">
        <w:rPr>
          <w:rFonts w:ascii="Book Antiqua" w:hAnsi="Book Antiqua" w:cs="宋体"/>
          <w:color w:val="000000"/>
          <w:kern w:val="0"/>
          <w:sz w:val="24"/>
        </w:rPr>
        <w:t>, Zhao B, Long CY, Li H, Lu X, Liu G, Tang XZ, Tang WZ. Cyclooxygenase-2 promoter 765C increase of digestive tract cancer risk in the Chinese population: a meta-analysis. </w:t>
      </w:r>
      <w:r w:rsidRPr="003A3655">
        <w:rPr>
          <w:rFonts w:ascii="Book Antiqua" w:hAnsi="Book Antiqua" w:cs="宋体"/>
          <w:i/>
          <w:iCs/>
          <w:color w:val="000000"/>
          <w:kern w:val="0"/>
          <w:sz w:val="24"/>
        </w:rPr>
        <w:t>Asian Pac J Cancer Prev</w:t>
      </w:r>
      <w:r w:rsidRPr="003A3655">
        <w:rPr>
          <w:rFonts w:ascii="Book Antiqua" w:hAnsi="Book Antiqua" w:cs="宋体"/>
          <w:color w:val="000000"/>
          <w:kern w:val="0"/>
          <w:sz w:val="24"/>
        </w:rPr>
        <w:t> 2014; </w:t>
      </w:r>
      <w:r w:rsidRPr="003A3655">
        <w:rPr>
          <w:rFonts w:ascii="Book Antiqua" w:hAnsi="Book Antiqua" w:cs="宋体"/>
          <w:b/>
          <w:bCs/>
          <w:color w:val="000000"/>
          <w:kern w:val="0"/>
          <w:sz w:val="24"/>
        </w:rPr>
        <w:t>15</w:t>
      </w:r>
      <w:r w:rsidRPr="003A3655">
        <w:rPr>
          <w:rFonts w:ascii="Book Antiqua" w:hAnsi="Book Antiqua" w:cs="宋体"/>
          <w:color w:val="000000"/>
          <w:kern w:val="0"/>
          <w:sz w:val="24"/>
        </w:rPr>
        <w:t>: 4563-4566 [PMID: 24969885]</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17 </w:t>
      </w:r>
      <w:r w:rsidRPr="003A3655">
        <w:rPr>
          <w:rFonts w:ascii="Book Antiqua" w:hAnsi="Book Antiqua" w:cs="宋体"/>
          <w:b/>
          <w:bCs/>
          <w:color w:val="000000"/>
          <w:kern w:val="0"/>
          <w:sz w:val="24"/>
        </w:rPr>
        <w:t>Lu X</w:t>
      </w:r>
      <w:r w:rsidRPr="003A3655">
        <w:rPr>
          <w:rFonts w:ascii="Book Antiqua" w:hAnsi="Book Antiqua" w:cs="宋体"/>
          <w:color w:val="000000"/>
          <w:kern w:val="0"/>
          <w:sz w:val="24"/>
        </w:rPr>
        <w:t>, Chen F, Liu X, Yuan D, Zi Y, He X, He R. Detection and Clinical Significance of COX-2 Gene SNPs in Gastric Cancer. </w:t>
      </w:r>
      <w:r w:rsidRPr="003A3655">
        <w:rPr>
          <w:rFonts w:ascii="Book Antiqua" w:hAnsi="Book Antiqua" w:cs="宋体"/>
          <w:i/>
          <w:iCs/>
          <w:color w:val="000000"/>
          <w:kern w:val="0"/>
          <w:sz w:val="24"/>
        </w:rPr>
        <w:t>Cell Biochem Biophys</w:t>
      </w:r>
      <w:r w:rsidRPr="003A3655">
        <w:rPr>
          <w:rFonts w:ascii="Book Antiqua" w:hAnsi="Book Antiqua" w:cs="宋体"/>
          <w:color w:val="000000"/>
          <w:kern w:val="0"/>
          <w:sz w:val="24"/>
        </w:rPr>
        <w:t> 2015; </w:t>
      </w:r>
      <w:r w:rsidRPr="003A3655">
        <w:rPr>
          <w:rFonts w:ascii="Book Antiqua" w:hAnsi="Book Antiqua" w:cs="宋体"/>
          <w:b/>
          <w:bCs/>
          <w:color w:val="000000"/>
          <w:kern w:val="0"/>
          <w:sz w:val="24"/>
        </w:rPr>
        <w:t>72</w:t>
      </w:r>
      <w:r w:rsidRPr="003A3655">
        <w:rPr>
          <w:rFonts w:ascii="Book Antiqua" w:hAnsi="Book Antiqua" w:cs="宋体"/>
          <w:color w:val="000000"/>
          <w:kern w:val="0"/>
          <w:sz w:val="24"/>
        </w:rPr>
        <w:t>: 657-660 [PMID: 27352184 DOI: 10.1007/s12013-014-0465-8]</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18 </w:t>
      </w:r>
      <w:r w:rsidRPr="003A3655">
        <w:rPr>
          <w:rFonts w:ascii="Book Antiqua" w:hAnsi="Book Antiqua" w:cs="宋体"/>
          <w:b/>
          <w:bCs/>
          <w:color w:val="000000"/>
          <w:kern w:val="0"/>
          <w:sz w:val="24"/>
        </w:rPr>
        <w:t>Jiang DK</w:t>
      </w:r>
      <w:r w:rsidRPr="003A3655">
        <w:rPr>
          <w:rFonts w:ascii="Book Antiqua" w:hAnsi="Book Antiqua" w:cs="宋体"/>
          <w:color w:val="000000"/>
          <w:kern w:val="0"/>
          <w:sz w:val="24"/>
        </w:rPr>
        <w:t>, Wang WZ, Ren WH, Yao L, Peng B, Yu L. TP53 Arg72Pro polymorphism and skin cancer risk: a meta-analysis. </w:t>
      </w:r>
      <w:r w:rsidRPr="003A3655">
        <w:rPr>
          <w:rFonts w:ascii="Book Antiqua" w:hAnsi="Book Antiqua" w:cs="宋体"/>
          <w:i/>
          <w:iCs/>
          <w:color w:val="000000"/>
          <w:kern w:val="0"/>
          <w:sz w:val="24"/>
        </w:rPr>
        <w:t>J Invest Dermatol</w:t>
      </w:r>
      <w:r w:rsidRPr="003A3655">
        <w:rPr>
          <w:rFonts w:ascii="Book Antiqua" w:hAnsi="Book Antiqua" w:cs="宋体"/>
          <w:color w:val="000000"/>
          <w:kern w:val="0"/>
          <w:sz w:val="24"/>
        </w:rPr>
        <w:t> 2011; </w:t>
      </w:r>
      <w:r w:rsidRPr="003A3655">
        <w:rPr>
          <w:rFonts w:ascii="Book Antiqua" w:hAnsi="Book Antiqua" w:cs="宋体"/>
          <w:b/>
          <w:bCs/>
          <w:color w:val="000000"/>
          <w:kern w:val="0"/>
          <w:sz w:val="24"/>
        </w:rPr>
        <w:t>131</w:t>
      </w:r>
      <w:r w:rsidRPr="003A3655">
        <w:rPr>
          <w:rFonts w:ascii="Book Antiqua" w:hAnsi="Book Antiqua" w:cs="宋体"/>
          <w:color w:val="000000"/>
          <w:kern w:val="0"/>
          <w:sz w:val="24"/>
        </w:rPr>
        <w:t>: 220-228 [PMID: 20861852 DOI: 10.1038/jid.2010.270]</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19 </w:t>
      </w:r>
      <w:r w:rsidRPr="003A3655">
        <w:rPr>
          <w:rFonts w:ascii="Book Antiqua" w:hAnsi="Book Antiqua" w:cs="宋体"/>
          <w:b/>
          <w:bCs/>
          <w:color w:val="000000"/>
          <w:kern w:val="0"/>
          <w:sz w:val="24"/>
        </w:rPr>
        <w:t>Thakkinstian A</w:t>
      </w:r>
      <w:r w:rsidRPr="003A3655">
        <w:rPr>
          <w:rFonts w:ascii="Book Antiqua" w:hAnsi="Book Antiqua" w:cs="宋体"/>
          <w:color w:val="000000"/>
          <w:kern w:val="0"/>
          <w:sz w:val="24"/>
        </w:rPr>
        <w:t>, McEvoy M, Minelli C, Gibson P, Hancox B, Duffy D, Thompson J, Hall I, Kaufman J, Leung TF, Helms PJ, Hakonarson H, Halpi E, Navon R, Attia J. Systematic review and meta-analysis of the association between {beta}2-adrenoceptor polymorphisms and asthma: a HuGE review. </w:t>
      </w:r>
      <w:r w:rsidRPr="003A3655">
        <w:rPr>
          <w:rFonts w:ascii="Book Antiqua" w:hAnsi="Book Antiqua" w:cs="宋体"/>
          <w:i/>
          <w:iCs/>
          <w:color w:val="000000"/>
          <w:kern w:val="0"/>
          <w:sz w:val="24"/>
        </w:rPr>
        <w:t>Am J Epidemiol</w:t>
      </w:r>
      <w:r w:rsidRPr="003A3655">
        <w:rPr>
          <w:rFonts w:ascii="Book Antiqua" w:hAnsi="Book Antiqua" w:cs="宋体"/>
          <w:color w:val="000000"/>
          <w:kern w:val="0"/>
          <w:sz w:val="24"/>
        </w:rPr>
        <w:t> 2005; </w:t>
      </w:r>
      <w:r w:rsidRPr="003A3655">
        <w:rPr>
          <w:rFonts w:ascii="Book Antiqua" w:hAnsi="Book Antiqua" w:cs="宋体"/>
          <w:b/>
          <w:bCs/>
          <w:color w:val="000000"/>
          <w:kern w:val="0"/>
          <w:sz w:val="24"/>
        </w:rPr>
        <w:t>162</w:t>
      </w:r>
      <w:r w:rsidRPr="003A3655">
        <w:rPr>
          <w:rFonts w:ascii="Book Antiqua" w:hAnsi="Book Antiqua" w:cs="宋体"/>
          <w:color w:val="000000"/>
          <w:kern w:val="0"/>
          <w:sz w:val="24"/>
        </w:rPr>
        <w:t>: 201-211 [PMID: 15987731 DOI: 10.1093/aje/kwi184]</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 xml:space="preserve">20 </w:t>
      </w:r>
      <w:r w:rsidRPr="003A3655">
        <w:rPr>
          <w:rFonts w:ascii="Book Antiqua" w:hAnsi="Book Antiqua" w:cs="宋体"/>
          <w:b/>
          <w:color w:val="000000"/>
          <w:kern w:val="0"/>
          <w:sz w:val="24"/>
        </w:rPr>
        <w:t>Cochran WG</w:t>
      </w:r>
      <w:r w:rsidRPr="003A3655">
        <w:rPr>
          <w:rFonts w:ascii="Book Antiqua" w:hAnsi="Book Antiqua" w:cs="宋体"/>
          <w:color w:val="000000"/>
          <w:kern w:val="0"/>
          <w:sz w:val="24"/>
        </w:rPr>
        <w:t xml:space="preserve">. The Combination of Estimates from Different Experiments. </w:t>
      </w:r>
      <w:r w:rsidRPr="003A3655">
        <w:rPr>
          <w:rFonts w:ascii="Book Antiqua" w:hAnsi="Book Antiqua" w:cs="宋体"/>
          <w:i/>
          <w:color w:val="000000"/>
          <w:kern w:val="0"/>
          <w:sz w:val="24"/>
        </w:rPr>
        <w:t>Biometrics</w:t>
      </w:r>
      <w:r w:rsidRPr="003A3655">
        <w:rPr>
          <w:rFonts w:ascii="Book Antiqua" w:hAnsi="Book Antiqua" w:cs="宋体"/>
          <w:color w:val="000000"/>
          <w:kern w:val="0"/>
          <w:sz w:val="24"/>
        </w:rPr>
        <w:t xml:space="preserve"> 1954; </w:t>
      </w:r>
      <w:r w:rsidRPr="003A3655">
        <w:rPr>
          <w:rFonts w:ascii="Book Antiqua" w:hAnsi="Book Antiqua" w:cs="宋体"/>
          <w:b/>
          <w:color w:val="000000"/>
          <w:kern w:val="0"/>
          <w:sz w:val="24"/>
        </w:rPr>
        <w:t>10</w:t>
      </w:r>
      <w:r w:rsidRPr="003A3655">
        <w:rPr>
          <w:rFonts w:ascii="Book Antiqua" w:hAnsi="Book Antiqua" w:cs="宋体"/>
          <w:color w:val="000000"/>
          <w:kern w:val="0"/>
          <w:sz w:val="24"/>
        </w:rPr>
        <w:t>: 101-129</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21 </w:t>
      </w:r>
      <w:r w:rsidRPr="003A3655">
        <w:rPr>
          <w:rFonts w:ascii="Book Antiqua" w:hAnsi="Book Antiqua" w:cs="宋体"/>
          <w:b/>
          <w:bCs/>
          <w:color w:val="000000"/>
          <w:kern w:val="0"/>
          <w:sz w:val="24"/>
        </w:rPr>
        <w:t>DerSimonian R</w:t>
      </w:r>
      <w:r w:rsidRPr="003A3655">
        <w:rPr>
          <w:rFonts w:ascii="Book Antiqua" w:hAnsi="Book Antiqua" w:cs="宋体"/>
          <w:color w:val="000000"/>
          <w:kern w:val="0"/>
          <w:sz w:val="24"/>
        </w:rPr>
        <w:t>, Laird N. Meta-analysis in clinical trials. </w:t>
      </w:r>
      <w:r w:rsidRPr="003A3655">
        <w:rPr>
          <w:rFonts w:ascii="Book Antiqua" w:hAnsi="Book Antiqua" w:cs="宋体"/>
          <w:i/>
          <w:iCs/>
          <w:color w:val="000000"/>
          <w:kern w:val="0"/>
          <w:sz w:val="24"/>
        </w:rPr>
        <w:t>Control Clin Trials</w:t>
      </w:r>
      <w:r w:rsidRPr="003A3655">
        <w:rPr>
          <w:rFonts w:ascii="Book Antiqua" w:hAnsi="Book Antiqua" w:cs="宋体"/>
          <w:color w:val="000000"/>
          <w:kern w:val="0"/>
          <w:sz w:val="24"/>
        </w:rPr>
        <w:t> 1986; </w:t>
      </w:r>
      <w:r w:rsidRPr="003A3655">
        <w:rPr>
          <w:rFonts w:ascii="Book Antiqua" w:hAnsi="Book Antiqua" w:cs="宋体"/>
          <w:b/>
          <w:bCs/>
          <w:color w:val="000000"/>
          <w:kern w:val="0"/>
          <w:sz w:val="24"/>
        </w:rPr>
        <w:t>7</w:t>
      </w:r>
      <w:r w:rsidRPr="003A3655">
        <w:rPr>
          <w:rFonts w:ascii="Book Antiqua" w:hAnsi="Book Antiqua" w:cs="宋体"/>
          <w:color w:val="000000"/>
          <w:kern w:val="0"/>
          <w:sz w:val="24"/>
        </w:rPr>
        <w:t>: 177-188 [PMID: 3802833]</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22 </w:t>
      </w:r>
      <w:r w:rsidRPr="003A3655">
        <w:rPr>
          <w:rFonts w:ascii="Book Antiqua" w:hAnsi="Book Antiqua" w:cs="宋体"/>
          <w:b/>
          <w:bCs/>
          <w:color w:val="000000"/>
          <w:kern w:val="0"/>
          <w:sz w:val="24"/>
        </w:rPr>
        <w:t>Mantel N</w:t>
      </w:r>
      <w:r w:rsidRPr="003A3655">
        <w:rPr>
          <w:rFonts w:ascii="Book Antiqua" w:hAnsi="Book Antiqua" w:cs="宋体"/>
          <w:color w:val="000000"/>
          <w:kern w:val="0"/>
          <w:sz w:val="24"/>
        </w:rPr>
        <w:t>, Haenszel W. Statistical aspects of the analysis of data from retrospective studies of disease. </w:t>
      </w:r>
      <w:r w:rsidRPr="003A3655">
        <w:rPr>
          <w:rFonts w:ascii="Book Antiqua" w:hAnsi="Book Antiqua" w:cs="宋体"/>
          <w:i/>
          <w:iCs/>
          <w:color w:val="000000"/>
          <w:kern w:val="0"/>
          <w:sz w:val="24"/>
        </w:rPr>
        <w:t>J Natl Cancer Inst</w:t>
      </w:r>
      <w:r w:rsidRPr="003A3655">
        <w:rPr>
          <w:rFonts w:ascii="Book Antiqua" w:hAnsi="Book Antiqua" w:cs="宋体"/>
          <w:color w:val="000000"/>
          <w:kern w:val="0"/>
          <w:sz w:val="24"/>
        </w:rPr>
        <w:t> 1959; </w:t>
      </w:r>
      <w:r w:rsidRPr="003A3655">
        <w:rPr>
          <w:rFonts w:ascii="Book Antiqua" w:hAnsi="Book Antiqua" w:cs="宋体"/>
          <w:b/>
          <w:bCs/>
          <w:color w:val="000000"/>
          <w:kern w:val="0"/>
          <w:sz w:val="24"/>
        </w:rPr>
        <w:t>22</w:t>
      </w:r>
      <w:r w:rsidRPr="003A3655">
        <w:rPr>
          <w:rFonts w:ascii="Book Antiqua" w:hAnsi="Book Antiqua" w:cs="宋体"/>
          <w:color w:val="000000"/>
          <w:kern w:val="0"/>
          <w:sz w:val="24"/>
        </w:rPr>
        <w:t>: 719-748 [PMID: 13655060]</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23 </w:t>
      </w:r>
      <w:r w:rsidRPr="003A3655">
        <w:rPr>
          <w:rFonts w:ascii="Book Antiqua" w:hAnsi="Book Antiqua" w:cs="宋体"/>
          <w:b/>
          <w:bCs/>
          <w:color w:val="000000"/>
          <w:kern w:val="0"/>
          <w:sz w:val="24"/>
        </w:rPr>
        <w:t>Langan D</w:t>
      </w:r>
      <w:r w:rsidRPr="003A3655">
        <w:rPr>
          <w:rFonts w:ascii="Book Antiqua" w:hAnsi="Book Antiqua" w:cs="宋体"/>
          <w:color w:val="000000"/>
          <w:kern w:val="0"/>
          <w:sz w:val="24"/>
        </w:rPr>
        <w:t>, Higgins JP, Gregory W, Sutton AJ. Graphical augmentations to the funnel plot assess the impact of additional evidence on a meta-analysis. </w:t>
      </w:r>
      <w:r w:rsidRPr="003A3655">
        <w:rPr>
          <w:rFonts w:ascii="Book Antiqua" w:hAnsi="Book Antiqua" w:cs="宋体"/>
          <w:i/>
          <w:iCs/>
          <w:color w:val="000000"/>
          <w:kern w:val="0"/>
          <w:sz w:val="24"/>
        </w:rPr>
        <w:t xml:space="preserve">J </w:t>
      </w:r>
      <w:r w:rsidRPr="003A3655">
        <w:rPr>
          <w:rFonts w:ascii="Book Antiqua" w:hAnsi="Book Antiqua" w:cs="宋体"/>
          <w:i/>
          <w:iCs/>
          <w:color w:val="000000"/>
          <w:kern w:val="0"/>
          <w:sz w:val="24"/>
        </w:rPr>
        <w:lastRenderedPageBreak/>
        <w:t>Clin Epidemiol</w:t>
      </w:r>
      <w:r w:rsidRPr="003A3655">
        <w:rPr>
          <w:rFonts w:ascii="Book Antiqua" w:hAnsi="Book Antiqua" w:cs="宋体"/>
          <w:color w:val="000000"/>
          <w:kern w:val="0"/>
          <w:sz w:val="24"/>
        </w:rPr>
        <w:t> 2012; </w:t>
      </w:r>
      <w:r w:rsidRPr="003A3655">
        <w:rPr>
          <w:rFonts w:ascii="Book Antiqua" w:hAnsi="Book Antiqua" w:cs="宋体"/>
          <w:b/>
          <w:bCs/>
          <w:color w:val="000000"/>
          <w:kern w:val="0"/>
          <w:sz w:val="24"/>
        </w:rPr>
        <w:t>65</w:t>
      </w:r>
      <w:r w:rsidRPr="003A3655">
        <w:rPr>
          <w:rFonts w:ascii="Book Antiqua" w:hAnsi="Book Antiqua" w:cs="宋体"/>
          <w:color w:val="000000"/>
          <w:kern w:val="0"/>
          <w:sz w:val="24"/>
        </w:rPr>
        <w:t>: 511-519 [PMID: 22342263 DOI: 10.1016/j.jclinepi.2011.10.009]</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24 </w:t>
      </w:r>
      <w:r w:rsidRPr="003A3655">
        <w:rPr>
          <w:rFonts w:ascii="Book Antiqua" w:hAnsi="Book Antiqua" w:cs="宋体"/>
          <w:b/>
          <w:bCs/>
          <w:color w:val="000000"/>
          <w:kern w:val="0"/>
          <w:sz w:val="24"/>
        </w:rPr>
        <w:t>Egger M</w:t>
      </w:r>
      <w:r w:rsidRPr="003A3655">
        <w:rPr>
          <w:rFonts w:ascii="Book Antiqua" w:hAnsi="Book Antiqua" w:cs="宋体"/>
          <w:color w:val="000000"/>
          <w:kern w:val="0"/>
          <w:sz w:val="24"/>
        </w:rPr>
        <w:t>, Davey Smith G, Schneider M, Minder C. Bias in meta-analysis detected by a simple, graphical test. </w:t>
      </w:r>
      <w:r w:rsidRPr="003A3655">
        <w:rPr>
          <w:rFonts w:ascii="Book Antiqua" w:hAnsi="Book Antiqua" w:cs="宋体"/>
          <w:i/>
          <w:iCs/>
          <w:color w:val="000000"/>
          <w:kern w:val="0"/>
          <w:sz w:val="24"/>
        </w:rPr>
        <w:t>BMJ</w:t>
      </w:r>
      <w:r w:rsidRPr="003A3655">
        <w:rPr>
          <w:rFonts w:ascii="Book Antiqua" w:hAnsi="Book Antiqua" w:cs="宋体"/>
          <w:color w:val="000000"/>
          <w:kern w:val="0"/>
          <w:sz w:val="24"/>
        </w:rPr>
        <w:t> 1997; </w:t>
      </w:r>
      <w:r w:rsidRPr="003A3655">
        <w:rPr>
          <w:rFonts w:ascii="Book Antiqua" w:hAnsi="Book Antiqua" w:cs="宋体"/>
          <w:b/>
          <w:bCs/>
          <w:color w:val="000000"/>
          <w:kern w:val="0"/>
          <w:sz w:val="24"/>
        </w:rPr>
        <w:t>315</w:t>
      </w:r>
      <w:r w:rsidRPr="003A3655">
        <w:rPr>
          <w:rFonts w:ascii="Book Antiqua" w:hAnsi="Book Antiqua" w:cs="宋体"/>
          <w:color w:val="000000"/>
          <w:kern w:val="0"/>
          <w:sz w:val="24"/>
        </w:rPr>
        <w:t>: 629-634 [PMID: 9310563]</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25 </w:t>
      </w:r>
      <w:r w:rsidRPr="003A3655">
        <w:rPr>
          <w:rFonts w:ascii="Book Antiqua" w:hAnsi="Book Antiqua" w:cs="宋体"/>
          <w:b/>
          <w:bCs/>
          <w:color w:val="000000"/>
          <w:kern w:val="0"/>
          <w:sz w:val="24"/>
        </w:rPr>
        <w:t>Begg CB</w:t>
      </w:r>
      <w:r w:rsidRPr="003A3655">
        <w:rPr>
          <w:rFonts w:ascii="Book Antiqua" w:hAnsi="Book Antiqua" w:cs="宋体"/>
          <w:color w:val="000000"/>
          <w:kern w:val="0"/>
          <w:sz w:val="24"/>
        </w:rPr>
        <w:t>, Mazumdar M. Operating characteristics of a rank correlation test for publication bias. </w:t>
      </w:r>
      <w:r w:rsidRPr="003A3655">
        <w:rPr>
          <w:rFonts w:ascii="Book Antiqua" w:hAnsi="Book Antiqua" w:cs="宋体"/>
          <w:i/>
          <w:iCs/>
          <w:color w:val="000000"/>
          <w:kern w:val="0"/>
          <w:sz w:val="24"/>
        </w:rPr>
        <w:t>Biometrics</w:t>
      </w:r>
      <w:r w:rsidRPr="003A3655">
        <w:rPr>
          <w:rFonts w:ascii="Book Antiqua" w:hAnsi="Book Antiqua" w:cs="宋体"/>
          <w:color w:val="000000"/>
          <w:kern w:val="0"/>
          <w:sz w:val="24"/>
        </w:rPr>
        <w:t> 1994; </w:t>
      </w:r>
      <w:r w:rsidRPr="003A3655">
        <w:rPr>
          <w:rFonts w:ascii="Book Antiqua" w:hAnsi="Book Antiqua" w:cs="宋体"/>
          <w:b/>
          <w:bCs/>
          <w:color w:val="000000"/>
          <w:kern w:val="0"/>
          <w:sz w:val="24"/>
        </w:rPr>
        <w:t>50</w:t>
      </w:r>
      <w:r w:rsidRPr="003A3655">
        <w:rPr>
          <w:rFonts w:ascii="Book Antiqua" w:hAnsi="Book Antiqua" w:cs="宋体"/>
          <w:color w:val="000000"/>
          <w:kern w:val="0"/>
          <w:sz w:val="24"/>
        </w:rPr>
        <w:t>: 1088-1101 [PMID: 7786990]</w:t>
      </w:r>
    </w:p>
    <w:p w:rsidR="00D02E4D" w:rsidRPr="003A3655" w:rsidRDefault="00D02E4D" w:rsidP="00424106">
      <w:pPr>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 xml:space="preserve">26 </w:t>
      </w:r>
      <w:r w:rsidRPr="003A3655">
        <w:rPr>
          <w:rFonts w:ascii="Book Antiqua" w:hAnsi="Book Antiqua" w:cs="宋体"/>
          <w:b/>
          <w:bCs/>
          <w:color w:val="000000"/>
          <w:kern w:val="0"/>
          <w:sz w:val="24"/>
        </w:rPr>
        <w:t>Wacholder S</w:t>
      </w:r>
      <w:r w:rsidRPr="003A3655">
        <w:rPr>
          <w:rFonts w:ascii="Book Antiqua" w:hAnsi="Book Antiqua" w:cs="宋体"/>
          <w:color w:val="000000"/>
          <w:kern w:val="0"/>
          <w:sz w:val="24"/>
        </w:rPr>
        <w:t>, Chanock S, Garcia-Closas M, El Ghormli L, Rothman N. Assessing the probability that a positive report is false: an approach for molecular epidemiology studies. </w:t>
      </w:r>
      <w:r w:rsidRPr="003A3655">
        <w:rPr>
          <w:rFonts w:ascii="Book Antiqua" w:hAnsi="Book Antiqua" w:cs="宋体"/>
          <w:i/>
          <w:iCs/>
          <w:color w:val="000000"/>
          <w:kern w:val="0"/>
          <w:sz w:val="24"/>
        </w:rPr>
        <w:t>J Natl Cancer Inst</w:t>
      </w:r>
      <w:r w:rsidRPr="003A3655">
        <w:rPr>
          <w:rFonts w:ascii="Book Antiqua" w:hAnsi="Book Antiqua" w:cs="宋体"/>
          <w:color w:val="000000"/>
          <w:kern w:val="0"/>
          <w:sz w:val="24"/>
        </w:rPr>
        <w:t> 2004; </w:t>
      </w:r>
      <w:r w:rsidRPr="003A3655">
        <w:rPr>
          <w:rFonts w:ascii="Book Antiqua" w:hAnsi="Book Antiqua" w:cs="宋体"/>
          <w:b/>
          <w:bCs/>
          <w:color w:val="000000"/>
          <w:kern w:val="0"/>
          <w:sz w:val="24"/>
        </w:rPr>
        <w:t>96</w:t>
      </w:r>
      <w:r w:rsidRPr="003A3655">
        <w:rPr>
          <w:rFonts w:ascii="Book Antiqua" w:hAnsi="Book Antiqua" w:cs="宋体"/>
          <w:color w:val="000000"/>
          <w:kern w:val="0"/>
          <w:sz w:val="24"/>
        </w:rPr>
        <w:t>: 434-442 [PMID: 15026468 DOI: 10.1093/jnci/djh075]</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27 </w:t>
      </w:r>
      <w:r w:rsidRPr="003A3655">
        <w:rPr>
          <w:rFonts w:ascii="Book Antiqua" w:hAnsi="Book Antiqua" w:cs="宋体"/>
          <w:b/>
          <w:bCs/>
          <w:color w:val="000000"/>
          <w:kern w:val="0"/>
          <w:sz w:val="24"/>
        </w:rPr>
        <w:t>Liu F</w:t>
      </w:r>
      <w:r w:rsidRPr="003A3655">
        <w:rPr>
          <w:rFonts w:ascii="Book Antiqua" w:hAnsi="Book Antiqua" w:cs="宋体"/>
          <w:color w:val="000000"/>
          <w:kern w:val="0"/>
          <w:sz w:val="24"/>
        </w:rPr>
        <w:t>, Pan K, Zhang X, Zhang Y, Zhang L, Ma J, Dong C, Shen L, Li J, Deng D, Lin D, You W. Genetic variants in cyclooxygenase-2: Expression and risk of gastric cancer and its precursors in a Chinese population. </w:t>
      </w:r>
      <w:r w:rsidRPr="003A3655">
        <w:rPr>
          <w:rFonts w:ascii="Book Antiqua" w:hAnsi="Book Antiqua" w:cs="宋体"/>
          <w:i/>
          <w:iCs/>
          <w:color w:val="000000"/>
          <w:kern w:val="0"/>
          <w:sz w:val="24"/>
        </w:rPr>
        <w:t>Gastroenterology</w:t>
      </w:r>
      <w:r w:rsidRPr="003A3655">
        <w:rPr>
          <w:rFonts w:ascii="Book Antiqua" w:hAnsi="Book Antiqua" w:cs="宋体"/>
          <w:color w:val="000000"/>
          <w:kern w:val="0"/>
          <w:sz w:val="24"/>
        </w:rPr>
        <w:t> 2006; </w:t>
      </w:r>
      <w:r w:rsidRPr="003A3655">
        <w:rPr>
          <w:rFonts w:ascii="Book Antiqua" w:hAnsi="Book Antiqua" w:cs="宋体"/>
          <w:b/>
          <w:bCs/>
          <w:color w:val="000000"/>
          <w:kern w:val="0"/>
          <w:sz w:val="24"/>
        </w:rPr>
        <w:t>130</w:t>
      </w:r>
      <w:r w:rsidRPr="003A3655">
        <w:rPr>
          <w:rFonts w:ascii="Book Antiqua" w:hAnsi="Book Antiqua" w:cs="宋体"/>
          <w:color w:val="000000"/>
          <w:kern w:val="0"/>
          <w:sz w:val="24"/>
        </w:rPr>
        <w:t>: 1975-1984 [PMID: 16762620 DOI: 10.1053/j.gastro.2006.03.021]</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28 </w:t>
      </w:r>
      <w:r w:rsidRPr="003A3655">
        <w:rPr>
          <w:rFonts w:ascii="Book Antiqua" w:hAnsi="Book Antiqua" w:cs="宋体"/>
          <w:b/>
          <w:bCs/>
          <w:color w:val="000000"/>
          <w:kern w:val="0"/>
          <w:sz w:val="24"/>
        </w:rPr>
        <w:t>Siezen CL</w:t>
      </w:r>
      <w:r w:rsidRPr="003A3655">
        <w:rPr>
          <w:rFonts w:ascii="Book Antiqua" w:hAnsi="Book Antiqua" w:cs="宋体"/>
          <w:color w:val="000000"/>
          <w:kern w:val="0"/>
          <w:sz w:val="24"/>
        </w:rPr>
        <w:t>, Bueno-de-Mesquita HB, Peeters PH, Kram NR, van Doeselaar M, van Kranen HJ. Polymorphisms in the genes involved in the arachidonic acid-pathway, fish consumption and the risk of colorectal cancer. </w:t>
      </w:r>
      <w:r w:rsidRPr="003A3655">
        <w:rPr>
          <w:rFonts w:ascii="Book Antiqua" w:hAnsi="Book Antiqua" w:cs="宋体"/>
          <w:i/>
          <w:iCs/>
          <w:color w:val="000000"/>
          <w:kern w:val="0"/>
          <w:sz w:val="24"/>
        </w:rPr>
        <w:t>Int J Cancer</w:t>
      </w:r>
      <w:r w:rsidRPr="003A3655">
        <w:rPr>
          <w:rFonts w:ascii="Book Antiqua" w:hAnsi="Book Antiqua" w:cs="宋体"/>
          <w:color w:val="000000"/>
          <w:kern w:val="0"/>
          <w:sz w:val="24"/>
        </w:rPr>
        <w:t> 2006; </w:t>
      </w:r>
      <w:r w:rsidRPr="003A3655">
        <w:rPr>
          <w:rFonts w:ascii="Book Antiqua" w:hAnsi="Book Antiqua" w:cs="宋体"/>
          <w:b/>
          <w:bCs/>
          <w:color w:val="000000"/>
          <w:kern w:val="0"/>
          <w:sz w:val="24"/>
        </w:rPr>
        <w:t>119</w:t>
      </w:r>
      <w:r w:rsidRPr="003A3655">
        <w:rPr>
          <w:rFonts w:ascii="Book Antiqua" w:hAnsi="Book Antiqua" w:cs="宋体"/>
          <w:color w:val="000000"/>
          <w:kern w:val="0"/>
          <w:sz w:val="24"/>
        </w:rPr>
        <w:t>: 297-303 [PMID: 16482563 DOI: 10.1002/ijc.21858]</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 xml:space="preserve">29 </w:t>
      </w:r>
      <w:r w:rsidRPr="003A3655">
        <w:rPr>
          <w:rFonts w:ascii="Book Antiqua" w:hAnsi="Book Antiqua" w:cs="宋体"/>
          <w:b/>
          <w:color w:val="000000"/>
          <w:kern w:val="0"/>
          <w:sz w:val="24"/>
        </w:rPr>
        <w:t>Jiang GJ</w:t>
      </w:r>
      <w:r w:rsidRPr="003A3655">
        <w:rPr>
          <w:rFonts w:ascii="Book Antiqua" w:hAnsi="Book Antiqua" w:cs="宋体"/>
          <w:color w:val="000000"/>
          <w:kern w:val="0"/>
          <w:sz w:val="24"/>
        </w:rPr>
        <w:t xml:space="preserve">, Wang HM, Zhou Y, Tan YF, Ding WL, Gao J, Ke Q, Wang Y, Shen Q, Xu YC, Shen HB. The correlation study between the nucleotide polymorphisms of cyclooxygenase-2 gene and the susceptibility to gastric cancer. </w:t>
      </w:r>
      <w:r w:rsidRPr="003A3655">
        <w:rPr>
          <w:rFonts w:ascii="Book Antiqua" w:hAnsi="Book Antiqua" w:cs="宋体"/>
          <w:i/>
          <w:color w:val="000000"/>
          <w:kern w:val="0"/>
          <w:sz w:val="24"/>
        </w:rPr>
        <w:t>Nanjing Yike Daxue Xuebao</w:t>
      </w:r>
      <w:r w:rsidRPr="003A3655">
        <w:rPr>
          <w:rFonts w:ascii="Book Antiqua" w:hAnsi="Book Antiqua" w:cs="宋体"/>
          <w:color w:val="000000"/>
          <w:kern w:val="0"/>
          <w:sz w:val="24"/>
        </w:rPr>
        <w:t xml:space="preserve"> 2007; </w:t>
      </w:r>
      <w:r w:rsidRPr="003A3655">
        <w:rPr>
          <w:rFonts w:ascii="Book Antiqua" w:hAnsi="Book Antiqua" w:cs="宋体"/>
          <w:b/>
          <w:color w:val="000000"/>
          <w:kern w:val="0"/>
          <w:sz w:val="24"/>
        </w:rPr>
        <w:t>27</w:t>
      </w:r>
      <w:r w:rsidRPr="003A3655">
        <w:rPr>
          <w:rFonts w:ascii="Book Antiqua" w:hAnsi="Book Antiqua" w:cs="宋体"/>
          <w:color w:val="000000"/>
          <w:kern w:val="0"/>
          <w:sz w:val="24"/>
        </w:rPr>
        <w:t>: 890-894</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30 </w:t>
      </w:r>
      <w:r w:rsidRPr="003A3655">
        <w:rPr>
          <w:rFonts w:ascii="Book Antiqua" w:hAnsi="Book Antiqua" w:cs="宋体"/>
          <w:b/>
          <w:bCs/>
          <w:color w:val="000000"/>
          <w:kern w:val="0"/>
          <w:sz w:val="24"/>
        </w:rPr>
        <w:t>Tan W</w:t>
      </w:r>
      <w:r w:rsidRPr="003A3655">
        <w:rPr>
          <w:rFonts w:ascii="Book Antiqua" w:hAnsi="Book Antiqua" w:cs="宋体"/>
          <w:color w:val="000000"/>
          <w:kern w:val="0"/>
          <w:sz w:val="24"/>
        </w:rPr>
        <w:t>, Wu J, Zhang X, Guo Y, Liu J, Sun T, Zhang B, Zhao D, Yang M, Yu D, Lin D. Associations of functional polymorphisms in cyclooxygenase-2 and platelet 12-lipoxygenase with risk of occurrence and advanced disease status of colorectal cancer. </w:t>
      </w:r>
      <w:r w:rsidRPr="003A3655">
        <w:rPr>
          <w:rFonts w:ascii="Book Antiqua" w:hAnsi="Book Antiqua" w:cs="宋体"/>
          <w:i/>
          <w:iCs/>
          <w:color w:val="000000"/>
          <w:kern w:val="0"/>
          <w:sz w:val="24"/>
        </w:rPr>
        <w:t>Carcinogenesis</w:t>
      </w:r>
      <w:r w:rsidRPr="003A3655">
        <w:rPr>
          <w:rFonts w:ascii="Book Antiqua" w:hAnsi="Book Antiqua" w:cs="宋体"/>
          <w:color w:val="000000"/>
          <w:kern w:val="0"/>
          <w:sz w:val="24"/>
        </w:rPr>
        <w:t> 2007; </w:t>
      </w:r>
      <w:r w:rsidRPr="003A3655">
        <w:rPr>
          <w:rFonts w:ascii="Book Antiqua" w:hAnsi="Book Antiqua" w:cs="宋体"/>
          <w:b/>
          <w:bCs/>
          <w:color w:val="000000"/>
          <w:kern w:val="0"/>
          <w:sz w:val="24"/>
        </w:rPr>
        <w:t>28</w:t>
      </w:r>
      <w:r w:rsidRPr="003A3655">
        <w:rPr>
          <w:rFonts w:ascii="Book Antiqua" w:hAnsi="Book Antiqua" w:cs="宋体"/>
          <w:color w:val="000000"/>
          <w:kern w:val="0"/>
          <w:sz w:val="24"/>
        </w:rPr>
        <w:t>: 1197-1201 [PMID: 17151091 DOI: 10.1093/carcin/bgl242]</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lastRenderedPageBreak/>
        <w:t>31 </w:t>
      </w:r>
      <w:r w:rsidRPr="003A3655">
        <w:rPr>
          <w:rFonts w:ascii="Book Antiqua" w:hAnsi="Book Antiqua" w:cs="宋体"/>
          <w:b/>
          <w:bCs/>
          <w:color w:val="000000"/>
          <w:kern w:val="0"/>
          <w:sz w:val="24"/>
        </w:rPr>
        <w:t>Andersen V</w:t>
      </w:r>
      <w:r w:rsidRPr="003A3655">
        <w:rPr>
          <w:rFonts w:ascii="Book Antiqua" w:hAnsi="Book Antiqua" w:cs="宋体"/>
          <w:color w:val="000000"/>
          <w:kern w:val="0"/>
          <w:sz w:val="24"/>
        </w:rPr>
        <w:t>, Ostergaard M, Christensen J, Overvad K, Tjønneland A, Vogel U. Polymorphisms in the xenobiotic transporter Multidrug Resistance 1 (MDR1) and interaction with meat intake in relation to risk of colorectal cancer in a Danish prospective case-cohort study. </w:t>
      </w:r>
      <w:r w:rsidRPr="003A3655">
        <w:rPr>
          <w:rFonts w:ascii="Book Antiqua" w:hAnsi="Book Antiqua" w:cs="宋体"/>
          <w:i/>
          <w:iCs/>
          <w:color w:val="000000"/>
          <w:kern w:val="0"/>
          <w:sz w:val="24"/>
        </w:rPr>
        <w:t>BMC Cancer</w:t>
      </w:r>
      <w:r w:rsidRPr="003A3655">
        <w:rPr>
          <w:rFonts w:ascii="Book Antiqua" w:hAnsi="Book Antiqua" w:cs="宋体"/>
          <w:color w:val="000000"/>
          <w:kern w:val="0"/>
          <w:sz w:val="24"/>
        </w:rPr>
        <w:t> 2009; </w:t>
      </w:r>
      <w:r w:rsidRPr="003A3655">
        <w:rPr>
          <w:rFonts w:ascii="Book Antiqua" w:hAnsi="Book Antiqua" w:cs="宋体"/>
          <w:b/>
          <w:bCs/>
          <w:color w:val="000000"/>
          <w:kern w:val="0"/>
          <w:sz w:val="24"/>
        </w:rPr>
        <w:t>9</w:t>
      </w:r>
      <w:r w:rsidRPr="003A3655">
        <w:rPr>
          <w:rFonts w:ascii="Book Antiqua" w:hAnsi="Book Antiqua" w:cs="宋体"/>
          <w:color w:val="000000"/>
          <w:kern w:val="0"/>
          <w:sz w:val="24"/>
        </w:rPr>
        <w:t>: 407 [PMID: 19930591 DOI: 10.1186/1471-2407-9-407]</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32 </w:t>
      </w:r>
      <w:r w:rsidRPr="003A3655">
        <w:rPr>
          <w:rFonts w:ascii="Book Antiqua" w:hAnsi="Book Antiqua" w:cs="宋体"/>
          <w:b/>
          <w:bCs/>
          <w:color w:val="000000"/>
          <w:kern w:val="0"/>
          <w:sz w:val="24"/>
        </w:rPr>
        <w:t>Hoff JH</w:t>
      </w:r>
      <w:r w:rsidRPr="003A3655">
        <w:rPr>
          <w:rFonts w:ascii="Book Antiqua" w:hAnsi="Book Antiqua" w:cs="宋体"/>
          <w:color w:val="000000"/>
          <w:kern w:val="0"/>
          <w:sz w:val="24"/>
        </w:rPr>
        <w:t>, te Morsche RH, Roelofs HM, van der Logt EM, Nagengast FM, Peters WH. COX-2 polymorphisms -765G--&amp; gt; C and -1195A--&amp; gt; G and colorectal cancer risk. </w:t>
      </w:r>
      <w:r w:rsidRPr="003A3655">
        <w:rPr>
          <w:rFonts w:ascii="Book Antiqua" w:hAnsi="Book Antiqua" w:cs="宋体"/>
          <w:i/>
          <w:iCs/>
          <w:color w:val="000000"/>
          <w:kern w:val="0"/>
          <w:sz w:val="24"/>
        </w:rPr>
        <w:t>World J Gastroenterol</w:t>
      </w:r>
      <w:r w:rsidRPr="003A3655">
        <w:rPr>
          <w:rFonts w:ascii="Book Antiqua" w:hAnsi="Book Antiqua" w:cs="宋体"/>
          <w:color w:val="000000"/>
          <w:kern w:val="0"/>
          <w:sz w:val="24"/>
        </w:rPr>
        <w:t> 2009; </w:t>
      </w:r>
      <w:r w:rsidRPr="003A3655">
        <w:rPr>
          <w:rFonts w:ascii="Book Antiqua" w:hAnsi="Book Antiqua" w:cs="宋体"/>
          <w:b/>
          <w:bCs/>
          <w:color w:val="000000"/>
          <w:kern w:val="0"/>
          <w:sz w:val="24"/>
        </w:rPr>
        <w:t>15</w:t>
      </w:r>
      <w:r w:rsidRPr="003A3655">
        <w:rPr>
          <w:rFonts w:ascii="Book Antiqua" w:hAnsi="Book Antiqua" w:cs="宋体"/>
          <w:color w:val="000000"/>
          <w:kern w:val="0"/>
          <w:sz w:val="24"/>
        </w:rPr>
        <w:t>: 4561-4565 [PMID: 19777615]</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33 </w:t>
      </w:r>
      <w:r w:rsidRPr="003A3655">
        <w:rPr>
          <w:rFonts w:ascii="Book Antiqua" w:hAnsi="Book Antiqua" w:cs="宋体"/>
          <w:b/>
          <w:bCs/>
          <w:color w:val="000000"/>
          <w:kern w:val="0"/>
          <w:sz w:val="24"/>
        </w:rPr>
        <w:t>Thompson CL</w:t>
      </w:r>
      <w:r w:rsidRPr="003A3655">
        <w:rPr>
          <w:rFonts w:ascii="Book Antiqua" w:hAnsi="Book Antiqua" w:cs="宋体"/>
          <w:color w:val="000000"/>
          <w:kern w:val="0"/>
          <w:sz w:val="24"/>
        </w:rPr>
        <w:t>, Plummer SJ, Merkulova A, Cheng I, Tucker TC, Casey G, Li L. No association between cyclooxygenase-2 and uridine diphosphate glucuronosyltransferase 1A6 genetic polymorphisms and colon cancer risk. </w:t>
      </w:r>
      <w:r w:rsidRPr="003A3655">
        <w:rPr>
          <w:rFonts w:ascii="Book Antiqua" w:hAnsi="Book Antiqua" w:cs="宋体"/>
          <w:i/>
          <w:iCs/>
          <w:color w:val="000000"/>
          <w:kern w:val="0"/>
          <w:sz w:val="24"/>
        </w:rPr>
        <w:t>World J Gastroenterol</w:t>
      </w:r>
      <w:r w:rsidRPr="003A3655">
        <w:rPr>
          <w:rFonts w:ascii="Book Antiqua" w:hAnsi="Book Antiqua" w:cs="宋体"/>
          <w:color w:val="000000"/>
          <w:kern w:val="0"/>
          <w:sz w:val="24"/>
        </w:rPr>
        <w:t> 2009; </w:t>
      </w:r>
      <w:r w:rsidRPr="003A3655">
        <w:rPr>
          <w:rFonts w:ascii="Book Antiqua" w:hAnsi="Book Antiqua" w:cs="宋体"/>
          <w:b/>
          <w:bCs/>
          <w:color w:val="000000"/>
          <w:kern w:val="0"/>
          <w:sz w:val="24"/>
        </w:rPr>
        <w:t>15</w:t>
      </w:r>
      <w:r w:rsidRPr="003A3655">
        <w:rPr>
          <w:rFonts w:ascii="Book Antiqua" w:hAnsi="Book Antiqua" w:cs="宋体"/>
          <w:color w:val="000000"/>
          <w:kern w:val="0"/>
          <w:sz w:val="24"/>
        </w:rPr>
        <w:t>: 2240-2244 [PMID: 19437564]</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34 </w:t>
      </w:r>
      <w:r w:rsidRPr="003A3655">
        <w:rPr>
          <w:rFonts w:ascii="Book Antiqua" w:hAnsi="Book Antiqua" w:cs="宋体"/>
          <w:b/>
          <w:bCs/>
          <w:color w:val="000000"/>
          <w:kern w:val="0"/>
          <w:sz w:val="24"/>
        </w:rPr>
        <w:t>Pereira C</w:t>
      </w:r>
      <w:r w:rsidRPr="003A3655">
        <w:rPr>
          <w:rFonts w:ascii="Book Antiqua" w:hAnsi="Book Antiqua" w:cs="宋体"/>
          <w:color w:val="000000"/>
          <w:kern w:val="0"/>
          <w:sz w:val="24"/>
        </w:rPr>
        <w:t>, Pimentel-Nunes P, Brandão C, Moreira-Dias L, Medeiros R, Dinis-Ribeiro M. COX-2 polymorphisms and colorectal cancer risk: a strategy for chemoprevention. </w:t>
      </w:r>
      <w:r w:rsidRPr="003A3655">
        <w:rPr>
          <w:rFonts w:ascii="Book Antiqua" w:hAnsi="Book Antiqua" w:cs="宋体"/>
          <w:i/>
          <w:iCs/>
          <w:color w:val="000000"/>
          <w:kern w:val="0"/>
          <w:sz w:val="24"/>
        </w:rPr>
        <w:t>Eur J Gastroenterol Hepatol</w:t>
      </w:r>
      <w:r w:rsidRPr="003A3655">
        <w:rPr>
          <w:rFonts w:ascii="Book Antiqua" w:hAnsi="Book Antiqua" w:cs="宋体"/>
          <w:color w:val="000000"/>
          <w:kern w:val="0"/>
          <w:sz w:val="24"/>
        </w:rPr>
        <w:t> 2010; </w:t>
      </w:r>
      <w:r w:rsidRPr="003A3655">
        <w:rPr>
          <w:rFonts w:ascii="Book Antiqua" w:hAnsi="Book Antiqua" w:cs="宋体"/>
          <w:b/>
          <w:bCs/>
          <w:color w:val="000000"/>
          <w:kern w:val="0"/>
          <w:sz w:val="24"/>
        </w:rPr>
        <w:t>22</w:t>
      </w:r>
      <w:r w:rsidRPr="003A3655">
        <w:rPr>
          <w:rFonts w:ascii="Book Antiqua" w:hAnsi="Book Antiqua" w:cs="宋体"/>
          <w:color w:val="000000"/>
          <w:kern w:val="0"/>
          <w:sz w:val="24"/>
        </w:rPr>
        <w:t>: 607-613 [PMID: 20075740 DOI: 10.1097/MEG.0b013e3283352cbb]</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35 </w:t>
      </w:r>
      <w:r w:rsidRPr="003A3655">
        <w:rPr>
          <w:rFonts w:ascii="Book Antiqua" w:hAnsi="Book Antiqua" w:cs="宋体"/>
          <w:b/>
          <w:bCs/>
          <w:color w:val="000000"/>
          <w:kern w:val="0"/>
          <w:sz w:val="24"/>
        </w:rPr>
        <w:t>Zhang X</w:t>
      </w:r>
      <w:r w:rsidRPr="003A3655">
        <w:rPr>
          <w:rFonts w:ascii="Book Antiqua" w:hAnsi="Book Antiqua" w:cs="宋体"/>
          <w:color w:val="000000"/>
          <w:kern w:val="0"/>
          <w:sz w:val="24"/>
        </w:rPr>
        <w:t>, Zhong R, Zhang Z, Yuan J, Liu L, Wang Y, Kadlubar S, Feng F, Miao X. Interaction of cyclooxygenase-2 promoter polymorphisms with Helicobacter pylori infection and risk of gastric cancer. </w:t>
      </w:r>
      <w:r w:rsidRPr="003A3655">
        <w:rPr>
          <w:rFonts w:ascii="Book Antiqua" w:hAnsi="Book Antiqua" w:cs="宋体"/>
          <w:i/>
          <w:iCs/>
          <w:color w:val="000000"/>
          <w:kern w:val="0"/>
          <w:sz w:val="24"/>
        </w:rPr>
        <w:t>Mol Carcinog</w:t>
      </w:r>
      <w:r w:rsidRPr="003A3655">
        <w:rPr>
          <w:rFonts w:ascii="Book Antiqua" w:hAnsi="Book Antiqua" w:cs="宋体"/>
          <w:color w:val="000000"/>
          <w:kern w:val="0"/>
          <w:sz w:val="24"/>
        </w:rPr>
        <w:t> 2011; </w:t>
      </w:r>
      <w:r w:rsidRPr="003A3655">
        <w:rPr>
          <w:rFonts w:ascii="Book Antiqua" w:hAnsi="Book Antiqua" w:cs="宋体"/>
          <w:b/>
          <w:bCs/>
          <w:color w:val="000000"/>
          <w:kern w:val="0"/>
          <w:sz w:val="24"/>
        </w:rPr>
        <w:t>50</w:t>
      </w:r>
      <w:r w:rsidRPr="003A3655">
        <w:rPr>
          <w:rFonts w:ascii="Book Antiqua" w:hAnsi="Book Antiqua" w:cs="宋体"/>
          <w:color w:val="000000"/>
          <w:kern w:val="0"/>
          <w:sz w:val="24"/>
        </w:rPr>
        <w:t>: 876-883 [PMID: 21538574 DOI: 10.1002/mc.20784]</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36 </w:t>
      </w:r>
      <w:r w:rsidRPr="003A3655">
        <w:rPr>
          <w:rFonts w:ascii="Book Antiqua" w:hAnsi="Book Antiqua" w:cs="宋体"/>
          <w:b/>
          <w:bCs/>
          <w:color w:val="000000"/>
          <w:kern w:val="0"/>
          <w:sz w:val="24"/>
        </w:rPr>
        <w:t>Zhang XM</w:t>
      </w:r>
      <w:r w:rsidRPr="003A3655">
        <w:rPr>
          <w:rFonts w:ascii="Book Antiqua" w:hAnsi="Book Antiqua" w:cs="宋体"/>
          <w:color w:val="000000"/>
          <w:kern w:val="0"/>
          <w:sz w:val="24"/>
        </w:rPr>
        <w:t>, Zhong R, Liu L, Wang Y, Yuan JX, Wang P, Sun C, Zhang Z, Song WG, Miao XP. Smoking and COX-2 functional polymorphisms interact to increase the risk of gastric cardia adenocarcinoma in Chinese population. </w:t>
      </w:r>
      <w:r w:rsidRPr="003A3655">
        <w:rPr>
          <w:rFonts w:ascii="Book Antiqua" w:hAnsi="Book Antiqua" w:cs="宋体"/>
          <w:i/>
          <w:iCs/>
          <w:color w:val="000000"/>
          <w:kern w:val="0"/>
          <w:sz w:val="24"/>
        </w:rPr>
        <w:t>PLoS One</w:t>
      </w:r>
      <w:r w:rsidRPr="003A3655">
        <w:rPr>
          <w:rFonts w:ascii="Book Antiqua" w:hAnsi="Book Antiqua" w:cs="宋体"/>
          <w:color w:val="000000"/>
          <w:kern w:val="0"/>
          <w:sz w:val="24"/>
        </w:rPr>
        <w:t> 2011; </w:t>
      </w:r>
      <w:r w:rsidRPr="003A3655">
        <w:rPr>
          <w:rFonts w:ascii="Book Antiqua" w:hAnsi="Book Antiqua" w:cs="宋体"/>
          <w:b/>
          <w:bCs/>
          <w:color w:val="000000"/>
          <w:kern w:val="0"/>
          <w:sz w:val="24"/>
        </w:rPr>
        <w:t>6</w:t>
      </w:r>
      <w:r w:rsidRPr="003A3655">
        <w:rPr>
          <w:rFonts w:ascii="Book Antiqua" w:hAnsi="Book Antiqua" w:cs="宋体"/>
          <w:color w:val="000000"/>
          <w:kern w:val="0"/>
          <w:sz w:val="24"/>
        </w:rPr>
        <w:t>: e21894 [PMID: 21779349 DOI: 10.1371/journal.pone.0021894]</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 xml:space="preserve">37 </w:t>
      </w:r>
      <w:r w:rsidRPr="003A3655">
        <w:rPr>
          <w:rFonts w:ascii="Book Antiqua" w:hAnsi="Book Antiqua" w:cs="宋体"/>
          <w:b/>
          <w:color w:val="000000"/>
          <w:kern w:val="0"/>
          <w:sz w:val="24"/>
        </w:rPr>
        <w:t>Jing YM</w:t>
      </w:r>
      <w:r w:rsidRPr="003A3655">
        <w:rPr>
          <w:rFonts w:ascii="Book Antiqua" w:hAnsi="Book Antiqua" w:cs="宋体"/>
          <w:color w:val="000000"/>
          <w:kern w:val="0"/>
          <w:sz w:val="24"/>
        </w:rPr>
        <w:t xml:space="preserve">, Liu J, Li SJ, Shi WJ, Cheng XL. Genetic polymorphisms in the promoter of Cyclooxygenase-2 and their association with the risk of gastric cancer. </w:t>
      </w:r>
      <w:r w:rsidRPr="003A3655">
        <w:rPr>
          <w:rFonts w:ascii="Book Antiqua" w:hAnsi="Book Antiqua" w:cs="宋体"/>
          <w:i/>
          <w:color w:val="000000"/>
          <w:kern w:val="0"/>
          <w:sz w:val="24"/>
        </w:rPr>
        <w:t>Zhongguo Yousheng and Yichuan Zazhi</w:t>
      </w:r>
      <w:r w:rsidRPr="003A3655">
        <w:rPr>
          <w:rFonts w:ascii="Book Antiqua" w:hAnsi="Book Antiqua" w:cs="宋体"/>
          <w:color w:val="000000"/>
          <w:kern w:val="0"/>
          <w:sz w:val="24"/>
        </w:rPr>
        <w:t xml:space="preserve"> 2012; </w:t>
      </w:r>
      <w:r w:rsidRPr="003A3655">
        <w:rPr>
          <w:rFonts w:ascii="Book Antiqua" w:hAnsi="Book Antiqua" w:cs="宋体"/>
          <w:b/>
          <w:color w:val="000000"/>
          <w:kern w:val="0"/>
          <w:sz w:val="24"/>
        </w:rPr>
        <w:t>20</w:t>
      </w:r>
      <w:r w:rsidRPr="003A3655">
        <w:rPr>
          <w:rFonts w:ascii="Book Antiqua" w:hAnsi="Book Antiqua" w:cs="宋体"/>
          <w:color w:val="000000"/>
          <w:kern w:val="0"/>
          <w:sz w:val="24"/>
        </w:rPr>
        <w:t>: 24-25</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lastRenderedPageBreak/>
        <w:t>38 </w:t>
      </w:r>
      <w:r w:rsidRPr="003A3655">
        <w:rPr>
          <w:rFonts w:ascii="Book Antiqua" w:hAnsi="Book Antiqua" w:cs="宋体"/>
          <w:b/>
          <w:bCs/>
          <w:color w:val="000000"/>
          <w:kern w:val="0"/>
          <w:sz w:val="24"/>
        </w:rPr>
        <w:t>Li Y</w:t>
      </w:r>
      <w:r w:rsidRPr="003A3655">
        <w:rPr>
          <w:rFonts w:ascii="Book Antiqua" w:hAnsi="Book Antiqua" w:cs="宋体"/>
          <w:color w:val="000000"/>
          <w:kern w:val="0"/>
          <w:sz w:val="24"/>
        </w:rPr>
        <w:t>, Dai L, Zhang J, Wang P, Chai Y, Ye H, Zhang J, Wang K. Cyclooxygenase-2 polymorphisms and the risk of gastric cancer in various degrees of relationship in the Chinese Han population. </w:t>
      </w:r>
      <w:r w:rsidRPr="003A3655">
        <w:rPr>
          <w:rFonts w:ascii="Book Antiqua" w:hAnsi="Book Antiqua" w:cs="宋体"/>
          <w:i/>
          <w:iCs/>
          <w:color w:val="000000"/>
          <w:kern w:val="0"/>
          <w:sz w:val="24"/>
        </w:rPr>
        <w:t>Oncol Lett</w:t>
      </w:r>
      <w:r w:rsidRPr="003A3655">
        <w:rPr>
          <w:rFonts w:ascii="Book Antiqua" w:hAnsi="Book Antiqua" w:cs="宋体"/>
          <w:color w:val="000000"/>
          <w:kern w:val="0"/>
          <w:sz w:val="24"/>
        </w:rPr>
        <w:t> 2012; </w:t>
      </w:r>
      <w:r w:rsidRPr="003A3655">
        <w:rPr>
          <w:rFonts w:ascii="Book Antiqua" w:hAnsi="Book Antiqua" w:cs="宋体"/>
          <w:b/>
          <w:bCs/>
          <w:color w:val="000000"/>
          <w:kern w:val="0"/>
          <w:sz w:val="24"/>
        </w:rPr>
        <w:t>3</w:t>
      </w:r>
      <w:r w:rsidRPr="003A3655">
        <w:rPr>
          <w:rFonts w:ascii="Book Antiqua" w:hAnsi="Book Antiqua" w:cs="宋体"/>
          <w:color w:val="000000"/>
          <w:kern w:val="0"/>
          <w:sz w:val="24"/>
        </w:rPr>
        <w:t>: 107-112 [PMID: 22740864 DOI: 10.3892/ol.2011.426]</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39 </w:t>
      </w:r>
      <w:r w:rsidRPr="003A3655">
        <w:rPr>
          <w:rFonts w:ascii="Book Antiqua" w:hAnsi="Book Antiqua" w:cs="宋体"/>
          <w:b/>
          <w:bCs/>
          <w:color w:val="000000"/>
          <w:kern w:val="0"/>
          <w:sz w:val="24"/>
        </w:rPr>
        <w:t>Shin WG</w:t>
      </w:r>
      <w:r w:rsidRPr="003A3655">
        <w:rPr>
          <w:rFonts w:ascii="Book Antiqua" w:hAnsi="Book Antiqua" w:cs="宋体"/>
          <w:color w:val="000000"/>
          <w:kern w:val="0"/>
          <w:sz w:val="24"/>
        </w:rPr>
        <w:t>, Kim HJ, Cho SJ, Kim HS, Kim KH, Jang MK, Lee JH, Kim HY. The COX-2-1195AA Genotype Is Associated with Diffuse-Type Gastric Cancer in Korea. </w:t>
      </w:r>
      <w:r w:rsidRPr="003A3655">
        <w:rPr>
          <w:rFonts w:ascii="Book Antiqua" w:hAnsi="Book Antiqua" w:cs="宋体"/>
          <w:i/>
          <w:iCs/>
          <w:color w:val="000000"/>
          <w:kern w:val="0"/>
          <w:sz w:val="24"/>
        </w:rPr>
        <w:t>Gut Liver</w:t>
      </w:r>
      <w:r w:rsidRPr="003A3655">
        <w:rPr>
          <w:rFonts w:ascii="Book Antiqua" w:hAnsi="Book Antiqua" w:cs="宋体"/>
          <w:color w:val="000000"/>
          <w:kern w:val="0"/>
          <w:sz w:val="24"/>
        </w:rPr>
        <w:t> 2012; </w:t>
      </w:r>
      <w:r w:rsidRPr="003A3655">
        <w:rPr>
          <w:rFonts w:ascii="Book Antiqua" w:hAnsi="Book Antiqua" w:cs="宋体"/>
          <w:b/>
          <w:bCs/>
          <w:color w:val="000000"/>
          <w:kern w:val="0"/>
          <w:sz w:val="24"/>
        </w:rPr>
        <w:t>6</w:t>
      </w:r>
      <w:r w:rsidRPr="003A3655">
        <w:rPr>
          <w:rFonts w:ascii="Book Antiqua" w:hAnsi="Book Antiqua" w:cs="宋体"/>
          <w:color w:val="000000"/>
          <w:kern w:val="0"/>
          <w:sz w:val="24"/>
        </w:rPr>
        <w:t>: 321-327 [PMID: 22844559 DOI: 10.5009/gnl.2012.6.3.321]</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 xml:space="preserve">40 </w:t>
      </w:r>
      <w:r w:rsidRPr="003A3655">
        <w:rPr>
          <w:rFonts w:ascii="Book Antiqua" w:hAnsi="Book Antiqua" w:cs="宋体"/>
          <w:b/>
          <w:color w:val="000000"/>
          <w:kern w:val="0"/>
          <w:sz w:val="24"/>
        </w:rPr>
        <w:t>Zhang Y</w:t>
      </w:r>
      <w:r w:rsidRPr="003A3655">
        <w:rPr>
          <w:rFonts w:ascii="Book Antiqua" w:hAnsi="Book Antiqua" w:cs="宋体"/>
          <w:color w:val="000000"/>
          <w:kern w:val="0"/>
          <w:sz w:val="24"/>
        </w:rPr>
        <w:t xml:space="preserve">, Liu CM, Peng HP, Zhang JZ, Cai XQ, Feng QL. Relationship between polymorphisms in the promoter region of the COX-2 gene and susceptibility to colorectal cancer. </w:t>
      </w:r>
      <w:r w:rsidRPr="003A3655">
        <w:rPr>
          <w:rFonts w:ascii="Book Antiqua" w:hAnsi="Book Antiqua" w:cs="宋体"/>
          <w:i/>
          <w:color w:val="000000"/>
          <w:kern w:val="0"/>
          <w:sz w:val="24"/>
        </w:rPr>
        <w:t xml:space="preserve">Shijie Huaren Xiaohua Zazhi </w:t>
      </w:r>
      <w:r w:rsidRPr="003A3655">
        <w:rPr>
          <w:rFonts w:ascii="Book Antiqua" w:hAnsi="Book Antiqua" w:cs="宋体"/>
          <w:color w:val="000000"/>
          <w:kern w:val="0"/>
          <w:sz w:val="24"/>
        </w:rPr>
        <w:t xml:space="preserve">2012; </w:t>
      </w:r>
      <w:r w:rsidRPr="003A3655">
        <w:rPr>
          <w:rFonts w:ascii="Book Antiqua" w:hAnsi="Book Antiqua" w:cs="宋体"/>
          <w:b/>
          <w:color w:val="000000"/>
          <w:kern w:val="0"/>
          <w:sz w:val="24"/>
        </w:rPr>
        <w:t>20</w:t>
      </w:r>
      <w:r w:rsidRPr="003A3655">
        <w:rPr>
          <w:rFonts w:ascii="Book Antiqua" w:hAnsi="Book Antiqua" w:cs="宋体"/>
          <w:color w:val="000000"/>
          <w:kern w:val="0"/>
          <w:sz w:val="24"/>
        </w:rPr>
        <w:t>: 1579-1584</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41 </w:t>
      </w:r>
      <w:r w:rsidRPr="003A3655">
        <w:rPr>
          <w:rFonts w:ascii="Book Antiqua" w:hAnsi="Book Antiqua" w:cs="宋体"/>
          <w:b/>
          <w:bCs/>
          <w:color w:val="000000"/>
          <w:kern w:val="0"/>
          <w:sz w:val="24"/>
        </w:rPr>
        <w:t>Andersen V</w:t>
      </w:r>
      <w:r w:rsidRPr="003A3655">
        <w:rPr>
          <w:rFonts w:ascii="Book Antiqua" w:hAnsi="Book Antiqua" w:cs="宋体"/>
          <w:color w:val="000000"/>
          <w:kern w:val="0"/>
          <w:sz w:val="24"/>
        </w:rPr>
        <w:t>, Holst R, Kopp TI, Tjønneland A, Vogel U. Interactions between diet, lifestyle and IL10, IL1B, and PTGS2/COX-2 gene polymorphisms in relation to risk of colorectal cancer in a prospective Danish case-cohort study. </w:t>
      </w:r>
      <w:r w:rsidRPr="003A3655">
        <w:rPr>
          <w:rFonts w:ascii="Book Antiqua" w:hAnsi="Book Antiqua" w:cs="宋体"/>
          <w:i/>
          <w:iCs/>
          <w:color w:val="000000"/>
          <w:kern w:val="0"/>
          <w:sz w:val="24"/>
        </w:rPr>
        <w:t>PLoS One</w:t>
      </w:r>
      <w:r w:rsidRPr="003A3655">
        <w:rPr>
          <w:rFonts w:ascii="Book Antiqua" w:hAnsi="Book Antiqua" w:cs="宋体"/>
          <w:color w:val="000000"/>
          <w:kern w:val="0"/>
          <w:sz w:val="24"/>
        </w:rPr>
        <w:t> 2013; </w:t>
      </w:r>
      <w:r w:rsidRPr="003A3655">
        <w:rPr>
          <w:rFonts w:ascii="Book Antiqua" w:hAnsi="Book Antiqua" w:cs="宋体"/>
          <w:b/>
          <w:bCs/>
          <w:color w:val="000000"/>
          <w:kern w:val="0"/>
          <w:sz w:val="24"/>
        </w:rPr>
        <w:t>8</w:t>
      </w:r>
      <w:r w:rsidRPr="003A3655">
        <w:rPr>
          <w:rFonts w:ascii="Book Antiqua" w:hAnsi="Book Antiqua" w:cs="宋体"/>
          <w:color w:val="000000"/>
          <w:kern w:val="0"/>
          <w:sz w:val="24"/>
        </w:rPr>
        <w:t>: e78366 [PMID: 24194923 DOI: 10.1371/journal.pone.0078366]</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42 </w:t>
      </w:r>
      <w:r w:rsidRPr="003A3655">
        <w:rPr>
          <w:rFonts w:ascii="Book Antiqua" w:hAnsi="Book Antiqua" w:cs="宋体"/>
          <w:b/>
          <w:bCs/>
          <w:color w:val="000000"/>
          <w:kern w:val="0"/>
          <w:sz w:val="24"/>
        </w:rPr>
        <w:t>Li S</w:t>
      </w:r>
      <w:r w:rsidRPr="003A3655">
        <w:rPr>
          <w:rFonts w:ascii="Book Antiqua" w:hAnsi="Book Antiqua" w:cs="宋体"/>
          <w:color w:val="000000"/>
          <w:kern w:val="0"/>
          <w:sz w:val="24"/>
        </w:rPr>
        <w:t>, Zhao X, Wu Z, Li Y, Zhu L, Cui B, Dong X, Tian S, Hu F, Zhao Y. Polymorphisms in arachidonic acid metabolism-related genes and the risk and prognosis of colorectal cancer. </w:t>
      </w:r>
      <w:r w:rsidRPr="003A3655">
        <w:rPr>
          <w:rFonts w:ascii="Book Antiqua" w:hAnsi="Book Antiqua" w:cs="宋体"/>
          <w:i/>
          <w:iCs/>
          <w:color w:val="000000"/>
          <w:kern w:val="0"/>
          <w:sz w:val="24"/>
        </w:rPr>
        <w:t>Fam Cancer</w:t>
      </w:r>
      <w:r w:rsidRPr="003A3655">
        <w:rPr>
          <w:rFonts w:ascii="Book Antiqua" w:hAnsi="Book Antiqua" w:cs="宋体"/>
          <w:color w:val="000000"/>
          <w:kern w:val="0"/>
          <w:sz w:val="24"/>
        </w:rPr>
        <w:t> 2013; </w:t>
      </w:r>
      <w:r w:rsidRPr="003A3655">
        <w:rPr>
          <w:rFonts w:ascii="Book Antiqua" w:hAnsi="Book Antiqua" w:cs="宋体"/>
          <w:b/>
          <w:bCs/>
          <w:color w:val="000000"/>
          <w:kern w:val="0"/>
          <w:sz w:val="24"/>
        </w:rPr>
        <w:t>12</w:t>
      </w:r>
      <w:r w:rsidRPr="003A3655">
        <w:rPr>
          <w:rFonts w:ascii="Book Antiqua" w:hAnsi="Book Antiqua" w:cs="宋体"/>
          <w:color w:val="000000"/>
          <w:kern w:val="0"/>
          <w:sz w:val="24"/>
        </w:rPr>
        <w:t>: 755-765 [PMID: 23715757 DOI: 10.1007/s10689-013-9659-2]</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43 </w:t>
      </w:r>
      <w:r w:rsidRPr="003A3655">
        <w:rPr>
          <w:rFonts w:ascii="Book Antiqua" w:hAnsi="Book Antiqua" w:cs="宋体"/>
          <w:b/>
          <w:bCs/>
          <w:color w:val="000000"/>
          <w:kern w:val="0"/>
          <w:sz w:val="24"/>
        </w:rPr>
        <w:t>Makar KW</w:t>
      </w:r>
      <w:r w:rsidRPr="003A3655">
        <w:rPr>
          <w:rFonts w:ascii="Book Antiqua" w:hAnsi="Book Antiqua" w:cs="宋体"/>
          <w:color w:val="000000"/>
          <w:kern w:val="0"/>
          <w:sz w:val="24"/>
        </w:rPr>
        <w:t>, Poole EM, Resler AJ, Seufert B, Curtin K, Kleinstein SE, Duggan D, Kulmacz RJ, Hsu L, Whitton J, Carlson CS, Rimorin CF, Caan BJ, Baron JA, Potter JD, Slattery ML, Ulrich CM. COX-1 (PTGS1) and COX-2 (PTGS2) polymorphisms, NSAID interactions, and risk of colon and rectal cancers in two independent populations. </w:t>
      </w:r>
      <w:r w:rsidRPr="003A3655">
        <w:rPr>
          <w:rFonts w:ascii="Book Antiqua" w:hAnsi="Book Antiqua" w:cs="宋体"/>
          <w:i/>
          <w:iCs/>
          <w:color w:val="000000"/>
          <w:kern w:val="0"/>
          <w:sz w:val="24"/>
        </w:rPr>
        <w:t>Cancer Causes Control</w:t>
      </w:r>
      <w:r w:rsidRPr="003A3655">
        <w:rPr>
          <w:rFonts w:ascii="Book Antiqua" w:hAnsi="Book Antiqua" w:cs="宋体"/>
          <w:color w:val="000000"/>
          <w:kern w:val="0"/>
          <w:sz w:val="24"/>
        </w:rPr>
        <w:t> 2013; </w:t>
      </w:r>
      <w:r w:rsidRPr="003A3655">
        <w:rPr>
          <w:rFonts w:ascii="Book Antiqua" w:hAnsi="Book Antiqua" w:cs="宋体"/>
          <w:b/>
          <w:bCs/>
          <w:color w:val="000000"/>
          <w:kern w:val="0"/>
          <w:sz w:val="24"/>
        </w:rPr>
        <w:t>24</w:t>
      </w:r>
      <w:r w:rsidRPr="003A3655">
        <w:rPr>
          <w:rFonts w:ascii="Book Antiqua" w:hAnsi="Book Antiqua" w:cs="宋体"/>
          <w:color w:val="000000"/>
          <w:kern w:val="0"/>
          <w:sz w:val="24"/>
        </w:rPr>
        <w:t>: 2059-2075 [PMID: 24022467 DOI: 10.1007/s10552-013-0282-1]</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 xml:space="preserve">44 </w:t>
      </w:r>
      <w:r w:rsidRPr="003A3655">
        <w:rPr>
          <w:rFonts w:ascii="Book Antiqua" w:hAnsi="Book Antiqua" w:cs="宋体"/>
          <w:b/>
          <w:color w:val="000000"/>
          <w:kern w:val="0"/>
          <w:sz w:val="24"/>
        </w:rPr>
        <w:t>Ruan YF</w:t>
      </w:r>
      <w:r w:rsidRPr="003A3655">
        <w:rPr>
          <w:rFonts w:ascii="Book Antiqua" w:hAnsi="Book Antiqua" w:cs="宋体"/>
          <w:color w:val="000000"/>
          <w:kern w:val="0"/>
          <w:sz w:val="24"/>
        </w:rPr>
        <w:t xml:space="preserve">, Sun J, WU F, Jiang SH. Relationship between cyciooxygenase-2 polymorphisms and coiorectal cancer risk. </w:t>
      </w:r>
      <w:r w:rsidRPr="003A3655">
        <w:rPr>
          <w:rFonts w:ascii="Book Antiqua" w:hAnsi="Book Antiqua" w:cs="宋体"/>
          <w:i/>
          <w:color w:val="000000"/>
          <w:kern w:val="0"/>
          <w:sz w:val="24"/>
        </w:rPr>
        <w:t xml:space="preserve">Int J Dig Dis </w:t>
      </w:r>
      <w:r w:rsidRPr="003A3655">
        <w:rPr>
          <w:rFonts w:ascii="Book Antiqua" w:hAnsi="Book Antiqua" w:cs="宋体"/>
          <w:color w:val="000000"/>
          <w:kern w:val="0"/>
          <w:sz w:val="24"/>
        </w:rPr>
        <w:t xml:space="preserve">2013; </w:t>
      </w:r>
      <w:r w:rsidRPr="003A3655">
        <w:rPr>
          <w:rFonts w:ascii="Book Antiqua" w:hAnsi="Book Antiqua" w:cs="宋体"/>
          <w:b/>
          <w:color w:val="000000"/>
          <w:kern w:val="0"/>
          <w:sz w:val="24"/>
        </w:rPr>
        <w:t>33</w:t>
      </w:r>
      <w:r w:rsidRPr="003A3655">
        <w:rPr>
          <w:rFonts w:ascii="Book Antiqua" w:hAnsi="Book Antiqua" w:cs="宋体"/>
          <w:color w:val="000000"/>
          <w:kern w:val="0"/>
          <w:sz w:val="24"/>
        </w:rPr>
        <w:t>: 260-263</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lastRenderedPageBreak/>
        <w:t>45 </w:t>
      </w:r>
      <w:r w:rsidRPr="003A3655">
        <w:rPr>
          <w:rFonts w:ascii="Book Antiqua" w:hAnsi="Book Antiqua" w:cs="宋体"/>
          <w:b/>
          <w:bCs/>
          <w:color w:val="000000"/>
          <w:kern w:val="0"/>
          <w:sz w:val="24"/>
        </w:rPr>
        <w:t>Pereira C</w:t>
      </w:r>
      <w:r w:rsidRPr="003A3655">
        <w:rPr>
          <w:rFonts w:ascii="Book Antiqua" w:hAnsi="Book Antiqua" w:cs="宋体"/>
          <w:color w:val="000000"/>
          <w:kern w:val="0"/>
          <w:sz w:val="24"/>
        </w:rPr>
        <w:t>, Queirós S, Galaghar A, Sousa H, Pimentel-Nunes P, Brandão C, Moreira-Dias L, Medeiros R, Dinis-Ribeiro M. Genetic variability in key genes in prostaglandin E2 pathway (COX-2, HPGD, ABCC4 and SLCO2A1) and their involvement in colorectal cancer development. </w:t>
      </w:r>
      <w:r w:rsidRPr="003A3655">
        <w:rPr>
          <w:rFonts w:ascii="Book Antiqua" w:hAnsi="Book Antiqua" w:cs="宋体"/>
          <w:i/>
          <w:iCs/>
          <w:color w:val="000000"/>
          <w:kern w:val="0"/>
          <w:sz w:val="24"/>
        </w:rPr>
        <w:t>PLoS One</w:t>
      </w:r>
      <w:r w:rsidRPr="003A3655">
        <w:rPr>
          <w:rFonts w:ascii="Book Antiqua" w:hAnsi="Book Antiqua" w:cs="宋体"/>
          <w:color w:val="000000"/>
          <w:kern w:val="0"/>
          <w:sz w:val="24"/>
        </w:rPr>
        <w:t> 2014; </w:t>
      </w:r>
      <w:r w:rsidRPr="003A3655">
        <w:rPr>
          <w:rFonts w:ascii="Book Antiqua" w:hAnsi="Book Antiqua" w:cs="宋体"/>
          <w:b/>
          <w:bCs/>
          <w:color w:val="000000"/>
          <w:kern w:val="0"/>
          <w:sz w:val="24"/>
        </w:rPr>
        <w:t>9</w:t>
      </w:r>
      <w:r w:rsidRPr="003A3655">
        <w:rPr>
          <w:rFonts w:ascii="Book Antiqua" w:hAnsi="Book Antiqua" w:cs="宋体"/>
          <w:color w:val="000000"/>
          <w:kern w:val="0"/>
          <w:sz w:val="24"/>
        </w:rPr>
        <w:t>: e92000 [PMID: 24694755 DOI: 10.1371/journal.pone.0092000]</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46 </w:t>
      </w:r>
      <w:r w:rsidRPr="003A3655">
        <w:rPr>
          <w:rFonts w:ascii="Book Antiqua" w:hAnsi="Book Antiqua" w:cs="宋体"/>
          <w:b/>
          <w:bCs/>
          <w:color w:val="000000"/>
          <w:kern w:val="0"/>
          <w:sz w:val="24"/>
        </w:rPr>
        <w:t>Vogel LK</w:t>
      </w:r>
      <w:r w:rsidRPr="003A3655">
        <w:rPr>
          <w:rFonts w:ascii="Book Antiqua" w:hAnsi="Book Antiqua" w:cs="宋体"/>
          <w:color w:val="000000"/>
          <w:kern w:val="0"/>
          <w:sz w:val="24"/>
        </w:rPr>
        <w:t>, Sæbø M, Høyer H, Kopp TI, Vogel U, Godiksen S, Frenzel FB, Hamfjord J, Bowitz-Lothe IM, Johnson E, Kure EH, Andersen V. Intestinal PTGS2 mRNA levels, PTGS2 gene polymorphisms, and colorectal carcinogenesis. </w:t>
      </w:r>
      <w:r w:rsidRPr="003A3655">
        <w:rPr>
          <w:rFonts w:ascii="Book Antiqua" w:hAnsi="Book Antiqua" w:cs="宋体"/>
          <w:i/>
          <w:iCs/>
          <w:color w:val="000000"/>
          <w:kern w:val="0"/>
          <w:sz w:val="24"/>
        </w:rPr>
        <w:t>PLoS One</w:t>
      </w:r>
      <w:r w:rsidRPr="003A3655">
        <w:rPr>
          <w:rFonts w:ascii="Book Antiqua" w:hAnsi="Book Antiqua" w:cs="宋体"/>
          <w:color w:val="000000"/>
          <w:kern w:val="0"/>
          <w:sz w:val="24"/>
        </w:rPr>
        <w:t> 2014; </w:t>
      </w:r>
      <w:r w:rsidRPr="003A3655">
        <w:rPr>
          <w:rFonts w:ascii="Book Antiqua" w:hAnsi="Book Antiqua" w:cs="宋体"/>
          <w:b/>
          <w:bCs/>
          <w:color w:val="000000"/>
          <w:kern w:val="0"/>
          <w:sz w:val="24"/>
        </w:rPr>
        <w:t>9</w:t>
      </w:r>
      <w:r w:rsidRPr="003A3655">
        <w:rPr>
          <w:rFonts w:ascii="Book Antiqua" w:hAnsi="Book Antiqua" w:cs="宋体"/>
          <w:color w:val="000000"/>
          <w:kern w:val="0"/>
          <w:sz w:val="24"/>
        </w:rPr>
        <w:t>: e105254 [PMID: 25166592 DOI: 10.1371/journal.pone.0105254]</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 xml:space="preserve">47 </w:t>
      </w:r>
      <w:r w:rsidRPr="003A3655">
        <w:rPr>
          <w:rFonts w:ascii="Book Antiqua" w:hAnsi="Book Antiqua" w:cs="宋体"/>
          <w:b/>
          <w:color w:val="000000"/>
          <w:kern w:val="0"/>
          <w:sz w:val="24"/>
        </w:rPr>
        <w:t>Gao F</w:t>
      </w:r>
      <w:r w:rsidRPr="003A3655">
        <w:rPr>
          <w:rFonts w:ascii="Book Antiqua" w:hAnsi="Book Antiqua" w:cs="宋体"/>
          <w:color w:val="000000"/>
          <w:kern w:val="0"/>
          <w:sz w:val="24"/>
        </w:rPr>
        <w:t>, Lu L, Qin JD, Zhang B, Li JJ, Zhou CJ, Jia YB. Single Nucleotide Polymorphism in COX-2 Gene are Associated with Risk of Non-cardia Gastric Cancer. Cancer Res Prev Treat 2015; 42(5): 470-473</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 xml:space="preserve">48 </w:t>
      </w:r>
      <w:r w:rsidRPr="003A3655">
        <w:rPr>
          <w:rFonts w:ascii="Book Antiqua" w:hAnsi="Book Antiqua" w:cs="宋体"/>
          <w:b/>
          <w:color w:val="000000"/>
          <w:kern w:val="0"/>
          <w:sz w:val="24"/>
        </w:rPr>
        <w:t>Tao M</w:t>
      </w:r>
      <w:r w:rsidRPr="003A3655">
        <w:rPr>
          <w:rFonts w:ascii="Book Antiqua" w:hAnsi="Book Antiqua" w:cs="宋体"/>
          <w:color w:val="000000"/>
          <w:kern w:val="0"/>
          <w:sz w:val="24"/>
        </w:rPr>
        <w:t xml:space="preserve">, Zhang LX, Song Y, Zhuang K, Zhang NX, Zhang L. Association of COX-2 genetic polymorphisms and H.pylori infection with susceptibility of gastric cancer in Shaanxi area. </w:t>
      </w:r>
      <w:r w:rsidRPr="003A3655">
        <w:rPr>
          <w:rFonts w:ascii="Book Antiqua" w:hAnsi="Book Antiqua" w:cs="宋体"/>
          <w:i/>
          <w:color w:val="000000"/>
          <w:kern w:val="0"/>
          <w:sz w:val="24"/>
        </w:rPr>
        <w:t xml:space="preserve">Shanxi Yike Daxue Xuebao </w:t>
      </w:r>
      <w:r w:rsidRPr="003A3655">
        <w:rPr>
          <w:rFonts w:ascii="Book Antiqua" w:hAnsi="Book Antiqua" w:cs="宋体"/>
          <w:color w:val="000000"/>
          <w:kern w:val="0"/>
          <w:sz w:val="24"/>
        </w:rPr>
        <w:t xml:space="preserve">2015; </w:t>
      </w:r>
      <w:r w:rsidRPr="003A3655">
        <w:rPr>
          <w:rFonts w:ascii="Book Antiqua" w:hAnsi="Book Antiqua" w:cs="宋体"/>
          <w:b/>
          <w:color w:val="000000"/>
          <w:kern w:val="0"/>
          <w:sz w:val="24"/>
        </w:rPr>
        <w:t>46</w:t>
      </w:r>
      <w:r w:rsidRPr="003A3655">
        <w:rPr>
          <w:rFonts w:ascii="Book Antiqua" w:hAnsi="Book Antiqua" w:cs="宋体"/>
          <w:color w:val="000000"/>
          <w:kern w:val="0"/>
          <w:sz w:val="24"/>
        </w:rPr>
        <w:t>: 17-20</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49 </w:t>
      </w:r>
      <w:r w:rsidRPr="003A3655">
        <w:rPr>
          <w:rFonts w:ascii="Book Antiqua" w:hAnsi="Book Antiqua" w:cs="宋体"/>
          <w:b/>
          <w:bCs/>
          <w:color w:val="000000"/>
          <w:kern w:val="0"/>
          <w:sz w:val="24"/>
        </w:rPr>
        <w:t>Zamudio R</w:t>
      </w:r>
      <w:r w:rsidRPr="003A3655">
        <w:rPr>
          <w:rFonts w:ascii="Book Antiqua" w:hAnsi="Book Antiqua" w:cs="宋体"/>
          <w:color w:val="000000"/>
          <w:kern w:val="0"/>
          <w:sz w:val="24"/>
        </w:rPr>
        <w:t>, Pereira L, Rocha CD, Berg DE, Muniz-Queiroz T, Sant Anna HP, Cabrera L, Combe JM, Herrera P, Jahuira MH, Leão FB, Lyon F, Prado WA, Rodrigues MR, Rodrigues-Soares F, Santolalla ML, Zolini C, Silva AM, Gilman RH, Tarazona-Santos E, Kehdy FS. Population, Epidemiological, and Functional Genetics of Gastric Cancer Candidate Genes in Peruvians with Predominant Amerindian Ancestry. </w:t>
      </w:r>
      <w:r w:rsidRPr="003A3655">
        <w:rPr>
          <w:rFonts w:ascii="Book Antiqua" w:hAnsi="Book Antiqua" w:cs="宋体"/>
          <w:i/>
          <w:iCs/>
          <w:color w:val="000000"/>
          <w:kern w:val="0"/>
          <w:sz w:val="24"/>
        </w:rPr>
        <w:t>Dig Dis Sci</w:t>
      </w:r>
      <w:r w:rsidRPr="003A3655">
        <w:rPr>
          <w:rFonts w:ascii="Book Antiqua" w:hAnsi="Book Antiqua" w:cs="宋体"/>
          <w:color w:val="000000"/>
          <w:kern w:val="0"/>
          <w:sz w:val="24"/>
        </w:rPr>
        <w:t> 2016; </w:t>
      </w:r>
      <w:r w:rsidRPr="003A3655">
        <w:rPr>
          <w:rFonts w:ascii="Book Antiqua" w:hAnsi="Book Antiqua" w:cs="宋体"/>
          <w:b/>
          <w:bCs/>
          <w:color w:val="000000"/>
          <w:kern w:val="0"/>
          <w:sz w:val="24"/>
        </w:rPr>
        <w:t>61</w:t>
      </w:r>
      <w:r w:rsidRPr="003A3655">
        <w:rPr>
          <w:rFonts w:ascii="Book Antiqua" w:hAnsi="Book Antiqua" w:cs="宋体"/>
          <w:color w:val="000000"/>
          <w:kern w:val="0"/>
          <w:sz w:val="24"/>
        </w:rPr>
        <w:t>: 107-116 [PMID: 26391267 DOI: 10.1007/s10620-015-3859-6]</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50 </w:t>
      </w:r>
      <w:r w:rsidRPr="003A3655">
        <w:rPr>
          <w:rFonts w:ascii="Book Antiqua" w:hAnsi="Book Antiqua" w:cs="宋体"/>
          <w:b/>
          <w:bCs/>
          <w:color w:val="000000"/>
          <w:kern w:val="0"/>
          <w:sz w:val="24"/>
        </w:rPr>
        <w:t>Anand S</w:t>
      </w:r>
      <w:r w:rsidRPr="003A3655">
        <w:rPr>
          <w:rFonts w:ascii="Book Antiqua" w:hAnsi="Book Antiqua" w:cs="宋体"/>
          <w:color w:val="000000"/>
          <w:kern w:val="0"/>
          <w:sz w:val="24"/>
        </w:rPr>
        <w:t>, Huntly BJ. Disordered signaling in myeloproliferative neoplasms. </w:t>
      </w:r>
      <w:r w:rsidRPr="003A3655">
        <w:rPr>
          <w:rFonts w:ascii="Book Antiqua" w:hAnsi="Book Antiqua" w:cs="宋体"/>
          <w:i/>
          <w:iCs/>
          <w:color w:val="000000"/>
          <w:kern w:val="0"/>
          <w:sz w:val="24"/>
        </w:rPr>
        <w:t>Hematol Oncol Clin North Am</w:t>
      </w:r>
      <w:r w:rsidRPr="003A3655">
        <w:rPr>
          <w:rFonts w:ascii="Book Antiqua" w:hAnsi="Book Antiqua" w:cs="宋体"/>
          <w:color w:val="000000"/>
          <w:kern w:val="0"/>
          <w:sz w:val="24"/>
        </w:rPr>
        <w:t> 2012; </w:t>
      </w:r>
      <w:r w:rsidRPr="003A3655">
        <w:rPr>
          <w:rFonts w:ascii="Book Antiqua" w:hAnsi="Book Antiqua" w:cs="宋体"/>
          <w:b/>
          <w:bCs/>
          <w:color w:val="000000"/>
          <w:kern w:val="0"/>
          <w:sz w:val="24"/>
        </w:rPr>
        <w:t>26</w:t>
      </w:r>
      <w:r w:rsidRPr="003A3655">
        <w:rPr>
          <w:rFonts w:ascii="Book Antiqua" w:hAnsi="Book Antiqua" w:cs="宋体"/>
          <w:color w:val="000000"/>
          <w:kern w:val="0"/>
          <w:sz w:val="24"/>
        </w:rPr>
        <w:t>: 1017-1035 [PMID: 23009935 DOI: 10.1016/j.hoc.2012.07.004]</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51 </w:t>
      </w:r>
      <w:r w:rsidRPr="003A3655">
        <w:rPr>
          <w:rFonts w:ascii="Book Antiqua" w:hAnsi="Book Antiqua" w:cs="宋体"/>
          <w:b/>
          <w:bCs/>
          <w:color w:val="000000"/>
          <w:kern w:val="0"/>
          <w:sz w:val="24"/>
        </w:rPr>
        <w:t>Robertson A</w:t>
      </w:r>
      <w:r w:rsidRPr="003A3655">
        <w:rPr>
          <w:rFonts w:ascii="Book Antiqua" w:hAnsi="Book Antiqua" w:cs="宋体"/>
          <w:color w:val="000000"/>
          <w:kern w:val="0"/>
          <w:sz w:val="24"/>
        </w:rPr>
        <w:t>, Allen J, Laney R, Curnow A. The cellular and molecular carcinogenic effects of radon exposure: a review. </w:t>
      </w:r>
      <w:r w:rsidRPr="003A3655">
        <w:rPr>
          <w:rFonts w:ascii="Book Antiqua" w:hAnsi="Book Antiqua" w:cs="宋体"/>
          <w:i/>
          <w:iCs/>
          <w:color w:val="000000"/>
          <w:kern w:val="0"/>
          <w:sz w:val="24"/>
        </w:rPr>
        <w:t>Int J Mol Sci</w:t>
      </w:r>
      <w:r w:rsidRPr="003A3655">
        <w:rPr>
          <w:rFonts w:ascii="Book Antiqua" w:hAnsi="Book Antiqua" w:cs="宋体"/>
          <w:color w:val="000000"/>
          <w:kern w:val="0"/>
          <w:sz w:val="24"/>
        </w:rPr>
        <w:t> 2013; </w:t>
      </w:r>
      <w:r w:rsidRPr="003A3655">
        <w:rPr>
          <w:rFonts w:ascii="Book Antiqua" w:hAnsi="Book Antiqua" w:cs="宋体"/>
          <w:b/>
          <w:bCs/>
          <w:color w:val="000000"/>
          <w:kern w:val="0"/>
          <w:sz w:val="24"/>
        </w:rPr>
        <w:t>14</w:t>
      </w:r>
      <w:r w:rsidRPr="003A3655">
        <w:rPr>
          <w:rFonts w:ascii="Book Antiqua" w:hAnsi="Book Antiqua" w:cs="宋体"/>
          <w:color w:val="000000"/>
          <w:kern w:val="0"/>
          <w:sz w:val="24"/>
        </w:rPr>
        <w:t>: 14024-14063 [PMID: 23880854 DOI: 10.3390/ijms140714024]</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lastRenderedPageBreak/>
        <w:t>52 </w:t>
      </w:r>
      <w:r w:rsidRPr="003A3655">
        <w:rPr>
          <w:rFonts w:ascii="Book Antiqua" w:hAnsi="Book Antiqua" w:cs="宋体"/>
          <w:b/>
          <w:bCs/>
          <w:color w:val="000000"/>
          <w:kern w:val="0"/>
          <w:sz w:val="24"/>
        </w:rPr>
        <w:t>Chan MW</w:t>
      </w:r>
      <w:r w:rsidRPr="003A3655">
        <w:rPr>
          <w:rFonts w:ascii="Book Antiqua" w:hAnsi="Book Antiqua" w:cs="宋体"/>
          <w:color w:val="000000"/>
          <w:kern w:val="0"/>
          <w:sz w:val="24"/>
        </w:rPr>
        <w:t>, Wong CY, Cheng AS, Chan VY, Chan KK, To KF, Chan FK, Sung JJ, Leung WK. Targeted inhibition of COX-2 expression by RNA interference suppresses tumor growth and potentiates chemosensitivity to cisplatin in human gastric cancer cells. </w:t>
      </w:r>
      <w:r w:rsidRPr="003A3655">
        <w:rPr>
          <w:rFonts w:ascii="Book Antiqua" w:hAnsi="Book Antiqua" w:cs="宋体"/>
          <w:i/>
          <w:iCs/>
          <w:color w:val="000000"/>
          <w:kern w:val="0"/>
          <w:sz w:val="24"/>
        </w:rPr>
        <w:t>Oncol Rep</w:t>
      </w:r>
      <w:r w:rsidRPr="003A3655">
        <w:rPr>
          <w:rFonts w:ascii="Book Antiqua" w:hAnsi="Book Antiqua" w:cs="宋体"/>
          <w:color w:val="000000"/>
          <w:kern w:val="0"/>
          <w:sz w:val="24"/>
        </w:rPr>
        <w:t> 2007; </w:t>
      </w:r>
      <w:r w:rsidRPr="003A3655">
        <w:rPr>
          <w:rFonts w:ascii="Book Antiqua" w:hAnsi="Book Antiqua" w:cs="宋体"/>
          <w:b/>
          <w:bCs/>
          <w:color w:val="000000"/>
          <w:kern w:val="0"/>
          <w:sz w:val="24"/>
        </w:rPr>
        <w:t>18</w:t>
      </w:r>
      <w:r w:rsidRPr="003A3655">
        <w:rPr>
          <w:rFonts w:ascii="Book Antiqua" w:hAnsi="Book Antiqua" w:cs="宋体"/>
          <w:color w:val="000000"/>
          <w:kern w:val="0"/>
          <w:sz w:val="24"/>
        </w:rPr>
        <w:t>: 1557-1562 [PMID: 17982644]</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 xml:space="preserve">53 </w:t>
      </w:r>
      <w:r w:rsidRPr="003A3655">
        <w:rPr>
          <w:rFonts w:ascii="Book Antiqua" w:hAnsi="Book Antiqua"/>
          <w:b/>
          <w:bCs/>
          <w:color w:val="000000"/>
          <w:sz w:val="24"/>
        </w:rPr>
        <w:t>Johnson GE</w:t>
      </w:r>
      <w:r w:rsidRPr="003A3655">
        <w:rPr>
          <w:rFonts w:ascii="Book Antiqua" w:hAnsi="Book Antiqua"/>
          <w:color w:val="000000"/>
          <w:sz w:val="24"/>
        </w:rPr>
        <w:t>, Ivanov VN, Hei TK. Radiosensitization of melanoma cells through combined inhibition of protein regulators of cell survival.</w:t>
      </w:r>
      <w:r w:rsidRPr="003A3655">
        <w:rPr>
          <w:rStyle w:val="apple-converted-space"/>
          <w:rFonts w:ascii="Book Antiqua" w:hAnsi="Book Antiqua"/>
          <w:color w:val="000000"/>
          <w:sz w:val="24"/>
        </w:rPr>
        <w:t> </w:t>
      </w:r>
      <w:r w:rsidRPr="003A3655">
        <w:rPr>
          <w:rFonts w:ascii="Book Antiqua" w:hAnsi="Book Antiqua"/>
          <w:i/>
          <w:iCs/>
          <w:color w:val="000000"/>
          <w:sz w:val="24"/>
        </w:rPr>
        <w:t>Apoptosis</w:t>
      </w:r>
      <w:r w:rsidRPr="003A3655">
        <w:rPr>
          <w:rStyle w:val="apple-converted-space"/>
          <w:rFonts w:ascii="Book Antiqua" w:hAnsi="Book Antiqua"/>
          <w:color w:val="000000"/>
          <w:sz w:val="24"/>
        </w:rPr>
        <w:t> </w:t>
      </w:r>
      <w:r w:rsidRPr="003A3655">
        <w:rPr>
          <w:rFonts w:ascii="Book Antiqua" w:hAnsi="Book Antiqua"/>
          <w:color w:val="000000"/>
          <w:sz w:val="24"/>
        </w:rPr>
        <w:t>2008;</w:t>
      </w:r>
      <w:r w:rsidRPr="003A3655">
        <w:rPr>
          <w:rStyle w:val="apple-converted-space"/>
          <w:rFonts w:ascii="Book Antiqua" w:hAnsi="Book Antiqua"/>
          <w:color w:val="000000"/>
          <w:sz w:val="24"/>
        </w:rPr>
        <w:t> </w:t>
      </w:r>
      <w:r w:rsidRPr="003A3655">
        <w:rPr>
          <w:rFonts w:ascii="Book Antiqua" w:hAnsi="Book Antiqua"/>
          <w:b/>
          <w:bCs/>
          <w:color w:val="000000"/>
          <w:sz w:val="24"/>
        </w:rPr>
        <w:t>13</w:t>
      </w:r>
      <w:r w:rsidRPr="003A3655">
        <w:rPr>
          <w:rFonts w:ascii="Book Antiqua" w:hAnsi="Book Antiqua"/>
          <w:color w:val="000000"/>
          <w:sz w:val="24"/>
        </w:rPr>
        <w:t>: 790-802 [PMID: 18454317 DOI: 10.1007/s10495-008-0212-y]</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54 </w:t>
      </w:r>
      <w:r w:rsidRPr="003A3655">
        <w:rPr>
          <w:rFonts w:ascii="Book Antiqua" w:hAnsi="Book Antiqua" w:cs="宋体"/>
          <w:b/>
          <w:bCs/>
          <w:color w:val="000000"/>
          <w:kern w:val="0"/>
          <w:sz w:val="24"/>
        </w:rPr>
        <w:t>Palayoor ST</w:t>
      </w:r>
      <w:r w:rsidRPr="003A3655">
        <w:rPr>
          <w:rFonts w:ascii="Book Antiqua" w:hAnsi="Book Antiqua" w:cs="宋体"/>
          <w:color w:val="000000"/>
          <w:kern w:val="0"/>
          <w:sz w:val="24"/>
        </w:rPr>
        <w:t>, Arayankalayil MJ, Shoaibi A, Coleman CN. Radiation sensitivity of human carcinoma cells transfected with small interfering RNA targeted against cyclooxygenase-2. </w:t>
      </w:r>
      <w:r w:rsidRPr="003A3655">
        <w:rPr>
          <w:rFonts w:ascii="Book Antiqua" w:hAnsi="Book Antiqua" w:cs="宋体"/>
          <w:i/>
          <w:iCs/>
          <w:color w:val="000000"/>
          <w:kern w:val="0"/>
          <w:sz w:val="24"/>
        </w:rPr>
        <w:t>Clin Cancer Res</w:t>
      </w:r>
      <w:r w:rsidRPr="003A3655">
        <w:rPr>
          <w:rFonts w:ascii="Book Antiqua" w:hAnsi="Book Antiqua" w:cs="宋体"/>
          <w:color w:val="000000"/>
          <w:kern w:val="0"/>
          <w:sz w:val="24"/>
        </w:rPr>
        <w:t> 2005; </w:t>
      </w:r>
      <w:r w:rsidRPr="003A3655">
        <w:rPr>
          <w:rFonts w:ascii="Book Antiqua" w:hAnsi="Book Antiqua" w:cs="宋体"/>
          <w:b/>
          <w:bCs/>
          <w:color w:val="000000"/>
          <w:kern w:val="0"/>
          <w:sz w:val="24"/>
        </w:rPr>
        <w:t>11</w:t>
      </w:r>
      <w:r w:rsidRPr="003A3655">
        <w:rPr>
          <w:rFonts w:ascii="Book Antiqua" w:hAnsi="Book Antiqua" w:cs="宋体"/>
          <w:color w:val="000000"/>
          <w:kern w:val="0"/>
          <w:sz w:val="24"/>
        </w:rPr>
        <w:t>: 6980-6986 [PMID: 16203791 DOI: 10.1158/1078-0432.CCR-05-0326]</w:t>
      </w:r>
    </w:p>
    <w:p w:rsidR="00D02E4D" w:rsidRPr="003A3655" w:rsidRDefault="00D02E4D" w:rsidP="00424106">
      <w:pPr>
        <w:widowControl/>
        <w:spacing w:after="0" w:line="360" w:lineRule="auto"/>
        <w:rPr>
          <w:rFonts w:ascii="Book Antiqua" w:hAnsi="Book Antiqua" w:cs="宋体"/>
          <w:color w:val="000000"/>
          <w:kern w:val="0"/>
          <w:sz w:val="24"/>
        </w:rPr>
      </w:pPr>
      <w:r w:rsidRPr="003A3655">
        <w:rPr>
          <w:rFonts w:ascii="Book Antiqua" w:hAnsi="Book Antiqua" w:cs="宋体"/>
          <w:color w:val="000000"/>
          <w:kern w:val="0"/>
          <w:sz w:val="24"/>
        </w:rPr>
        <w:t>55 </w:t>
      </w:r>
      <w:r w:rsidRPr="003A3655">
        <w:rPr>
          <w:rFonts w:ascii="Book Antiqua" w:hAnsi="Book Antiqua" w:cs="宋体"/>
          <w:b/>
          <w:bCs/>
          <w:color w:val="000000"/>
          <w:kern w:val="0"/>
          <w:sz w:val="24"/>
        </w:rPr>
        <w:t>Ramsay RG</w:t>
      </w:r>
      <w:r w:rsidRPr="003A3655">
        <w:rPr>
          <w:rFonts w:ascii="Book Antiqua" w:hAnsi="Book Antiqua" w:cs="宋体"/>
          <w:color w:val="000000"/>
          <w:kern w:val="0"/>
          <w:sz w:val="24"/>
        </w:rPr>
        <w:t>, Barton AL, Gonda TJ. Targeting c-Myb expression in human disease. </w:t>
      </w:r>
      <w:r w:rsidRPr="003A3655">
        <w:rPr>
          <w:rFonts w:ascii="Book Antiqua" w:hAnsi="Book Antiqua" w:cs="宋体"/>
          <w:i/>
          <w:iCs/>
          <w:color w:val="000000"/>
          <w:kern w:val="0"/>
          <w:sz w:val="24"/>
        </w:rPr>
        <w:t>Expert Opin Ther Targets</w:t>
      </w:r>
      <w:r w:rsidRPr="003A3655">
        <w:rPr>
          <w:rFonts w:ascii="Book Antiqua" w:hAnsi="Book Antiqua" w:cs="宋体"/>
          <w:color w:val="000000"/>
          <w:kern w:val="0"/>
          <w:sz w:val="24"/>
        </w:rPr>
        <w:t> 2003; </w:t>
      </w:r>
      <w:r w:rsidRPr="003A3655">
        <w:rPr>
          <w:rFonts w:ascii="Book Antiqua" w:hAnsi="Book Antiqua" w:cs="宋体"/>
          <w:b/>
          <w:bCs/>
          <w:color w:val="000000"/>
          <w:kern w:val="0"/>
          <w:sz w:val="24"/>
        </w:rPr>
        <w:t>7</w:t>
      </w:r>
      <w:r w:rsidRPr="003A3655">
        <w:rPr>
          <w:rFonts w:ascii="Book Antiqua" w:hAnsi="Book Antiqua" w:cs="宋体"/>
          <w:color w:val="000000"/>
          <w:kern w:val="0"/>
          <w:sz w:val="24"/>
        </w:rPr>
        <w:t>: 235-248 [PMID: 12667100 DOI: 10.1517/14728222.7.2.235]</w:t>
      </w:r>
    </w:p>
    <w:p w:rsidR="00D02E4D" w:rsidRPr="003A3655" w:rsidRDefault="00D02E4D" w:rsidP="00424106">
      <w:pPr>
        <w:spacing w:after="0" w:line="360" w:lineRule="auto"/>
        <w:rPr>
          <w:rFonts w:ascii="Book Antiqua" w:hAnsi="Book Antiqua"/>
          <w:sz w:val="24"/>
        </w:rPr>
      </w:pPr>
    </w:p>
    <w:p w:rsidR="00D02E4D" w:rsidRPr="00356DDD" w:rsidRDefault="00D02E4D" w:rsidP="00424106">
      <w:pPr>
        <w:spacing w:after="0" w:line="360" w:lineRule="auto"/>
        <w:jc w:val="right"/>
        <w:rPr>
          <w:rFonts w:ascii="Book Antiqua" w:hAnsi="Book Antiqua"/>
          <w:b/>
          <w:bCs/>
          <w:sz w:val="24"/>
        </w:rPr>
      </w:pPr>
      <w:r w:rsidRPr="00356DDD">
        <w:rPr>
          <w:rFonts w:ascii="Book Antiqua" w:hAnsi="Book Antiqua"/>
          <w:b/>
          <w:bCs/>
          <w:sz w:val="24"/>
        </w:rPr>
        <w:t xml:space="preserve">P-Reviewer: </w:t>
      </w:r>
      <w:r w:rsidR="004756DB" w:rsidRPr="004756DB">
        <w:rPr>
          <w:rFonts w:ascii="Book Antiqua" w:hAnsi="Book Antiqua"/>
          <w:bCs/>
          <w:sz w:val="24"/>
        </w:rPr>
        <w:t>Ghiorzo</w:t>
      </w:r>
      <w:r w:rsidR="004756DB" w:rsidRPr="004756DB">
        <w:rPr>
          <w:rFonts w:ascii="Book Antiqua" w:hAnsi="Book Antiqua" w:hint="eastAsia"/>
          <w:bCs/>
          <w:sz w:val="24"/>
        </w:rPr>
        <w:t xml:space="preserve"> P</w:t>
      </w:r>
      <w:r w:rsidRPr="00356DDD">
        <w:rPr>
          <w:rFonts w:ascii="Book Antiqua" w:hAnsi="Book Antiqua" w:hint="eastAsia"/>
          <w:b/>
          <w:bCs/>
          <w:sz w:val="24"/>
        </w:rPr>
        <w:t xml:space="preserve"> </w:t>
      </w:r>
      <w:r w:rsidRPr="00356DDD">
        <w:rPr>
          <w:rFonts w:ascii="Book Antiqua" w:hAnsi="Book Antiqua"/>
          <w:b/>
          <w:bCs/>
          <w:sz w:val="24"/>
        </w:rPr>
        <w:t>S-Editor:</w:t>
      </w:r>
      <w:r w:rsidRPr="00356DDD">
        <w:rPr>
          <w:rFonts w:ascii="Book Antiqua" w:hAnsi="Book Antiqua"/>
          <w:sz w:val="24"/>
        </w:rPr>
        <w:t xml:space="preserve"> </w:t>
      </w:r>
      <w:r w:rsidRPr="00356DDD">
        <w:rPr>
          <w:rFonts w:ascii="Book Antiqua" w:hAnsi="Book Antiqua" w:hint="eastAsia"/>
          <w:sz w:val="24"/>
        </w:rPr>
        <w:t xml:space="preserve">Ma YJ </w:t>
      </w:r>
      <w:r w:rsidRPr="00356DDD">
        <w:rPr>
          <w:rFonts w:ascii="Book Antiqua" w:hAnsi="Book Antiqua"/>
          <w:b/>
          <w:bCs/>
          <w:sz w:val="24"/>
        </w:rPr>
        <w:t>L-Editor:</w:t>
      </w:r>
      <w:r w:rsidRPr="00356DDD">
        <w:rPr>
          <w:rFonts w:ascii="Book Antiqua" w:hAnsi="Book Antiqua"/>
          <w:sz w:val="24"/>
        </w:rPr>
        <w:t xml:space="preserve"> </w:t>
      </w:r>
      <w:r w:rsidRPr="00356DDD">
        <w:rPr>
          <w:rFonts w:ascii="Book Antiqua" w:hAnsi="Book Antiqua" w:hint="eastAsia"/>
          <w:sz w:val="24"/>
        </w:rPr>
        <w:t xml:space="preserve"> </w:t>
      </w:r>
      <w:r w:rsidRPr="00356DDD">
        <w:rPr>
          <w:rFonts w:ascii="Book Antiqua" w:hAnsi="Book Antiqua"/>
          <w:sz w:val="24"/>
        </w:rPr>
        <w:t xml:space="preserve"> </w:t>
      </w:r>
      <w:r w:rsidRPr="00356DDD">
        <w:rPr>
          <w:rFonts w:ascii="Book Antiqua" w:hAnsi="Book Antiqua"/>
          <w:b/>
          <w:bCs/>
          <w:sz w:val="24"/>
        </w:rPr>
        <w:t>E-Editor:</w:t>
      </w:r>
    </w:p>
    <w:p w:rsidR="00D02E4D" w:rsidRPr="00356DDD" w:rsidRDefault="00D02E4D" w:rsidP="00424106">
      <w:pPr>
        <w:spacing w:after="0" w:line="360" w:lineRule="auto"/>
        <w:jc w:val="left"/>
        <w:rPr>
          <w:rFonts w:ascii="Arial" w:hAnsi="Arial" w:cs="Arial"/>
          <w:b/>
          <w:bCs/>
          <w:color w:val="2B2B2B"/>
          <w:sz w:val="24"/>
          <w:shd w:val="clear" w:color="auto" w:fill="FAFAFA"/>
        </w:rPr>
      </w:pPr>
    </w:p>
    <w:p w:rsidR="00D02E4D" w:rsidRPr="00356DDD" w:rsidRDefault="00D02E4D" w:rsidP="00424106">
      <w:pPr>
        <w:shd w:val="clear" w:color="auto" w:fill="FFFFFF"/>
        <w:snapToGrid w:val="0"/>
        <w:spacing w:after="0" w:line="360" w:lineRule="auto"/>
        <w:rPr>
          <w:rFonts w:ascii="Book Antiqua" w:hAnsi="Book Antiqua" w:cs="Helvetica"/>
          <w:b/>
          <w:sz w:val="24"/>
        </w:rPr>
      </w:pPr>
      <w:r w:rsidRPr="00356DDD">
        <w:rPr>
          <w:rFonts w:ascii="Book Antiqua" w:hAnsi="Book Antiqua" w:cs="Helvetica"/>
          <w:b/>
          <w:sz w:val="24"/>
        </w:rPr>
        <w:t xml:space="preserve">Specialty type: </w:t>
      </w:r>
      <w:r w:rsidRPr="00356DDD">
        <w:rPr>
          <w:rFonts w:ascii="Book Antiqua" w:hAnsi="Book Antiqua" w:cs="Helvetica"/>
          <w:sz w:val="24"/>
        </w:rPr>
        <w:t>Gastroenterology and</w:t>
      </w:r>
      <w:r w:rsidRPr="00356DDD">
        <w:rPr>
          <w:rFonts w:ascii="Book Antiqua" w:hAnsi="Book Antiqua" w:cs="Helvetica" w:hint="eastAsia"/>
          <w:sz w:val="24"/>
        </w:rPr>
        <w:t xml:space="preserve"> </w:t>
      </w:r>
      <w:r w:rsidRPr="00356DDD">
        <w:rPr>
          <w:rFonts w:ascii="Book Antiqua" w:hAnsi="Book Antiqua" w:cs="Helvetica"/>
          <w:sz w:val="24"/>
        </w:rPr>
        <w:t>hepatology</w:t>
      </w:r>
    </w:p>
    <w:p w:rsidR="00D02E4D" w:rsidRPr="00356DDD" w:rsidRDefault="00D02E4D" w:rsidP="00424106">
      <w:pPr>
        <w:shd w:val="clear" w:color="auto" w:fill="FFFFFF"/>
        <w:snapToGrid w:val="0"/>
        <w:spacing w:after="0" w:line="360" w:lineRule="auto"/>
        <w:rPr>
          <w:rFonts w:ascii="Book Antiqua" w:hAnsi="Book Antiqua" w:cs="Helvetica"/>
          <w:sz w:val="24"/>
        </w:rPr>
      </w:pPr>
      <w:r w:rsidRPr="00356DDD">
        <w:rPr>
          <w:rFonts w:ascii="Book Antiqua" w:hAnsi="Book Antiqua" w:cs="Helvetica"/>
          <w:b/>
          <w:sz w:val="24"/>
        </w:rPr>
        <w:t>Country of origin:</w:t>
      </w:r>
      <w:r w:rsidRPr="00356DDD">
        <w:rPr>
          <w:rFonts w:ascii="Book Antiqua" w:hAnsi="Book Antiqua" w:cs="Helvetica"/>
          <w:sz w:val="24"/>
        </w:rPr>
        <w:t xml:space="preserve"> Saudi Arabia</w:t>
      </w:r>
    </w:p>
    <w:p w:rsidR="00D02E4D" w:rsidRPr="00356DDD" w:rsidRDefault="00D02E4D" w:rsidP="00424106">
      <w:pPr>
        <w:shd w:val="clear" w:color="auto" w:fill="FFFFFF"/>
        <w:snapToGrid w:val="0"/>
        <w:spacing w:after="0" w:line="360" w:lineRule="auto"/>
        <w:rPr>
          <w:rFonts w:ascii="Book Antiqua" w:hAnsi="Book Antiqua" w:cs="Helvetica"/>
          <w:b/>
          <w:sz w:val="24"/>
        </w:rPr>
      </w:pPr>
      <w:r w:rsidRPr="00356DDD">
        <w:rPr>
          <w:rFonts w:ascii="Book Antiqua" w:hAnsi="Book Antiqua" w:cs="Helvetica"/>
          <w:b/>
          <w:sz w:val="24"/>
        </w:rPr>
        <w:t>Peer-review report classification</w:t>
      </w:r>
    </w:p>
    <w:p w:rsidR="00D02E4D" w:rsidRPr="00356DDD" w:rsidRDefault="00D02E4D" w:rsidP="00424106">
      <w:pPr>
        <w:shd w:val="clear" w:color="auto" w:fill="FFFFFF"/>
        <w:snapToGrid w:val="0"/>
        <w:spacing w:after="0" w:line="360" w:lineRule="auto"/>
        <w:rPr>
          <w:rFonts w:ascii="Book Antiqua" w:hAnsi="Book Antiqua" w:cs="Helvetica"/>
          <w:sz w:val="24"/>
        </w:rPr>
      </w:pPr>
      <w:r w:rsidRPr="00356DDD">
        <w:rPr>
          <w:rFonts w:ascii="Book Antiqua" w:hAnsi="Book Antiqua" w:cs="Helvetica"/>
          <w:sz w:val="24"/>
        </w:rPr>
        <w:t xml:space="preserve">Grade A (Excellent): </w:t>
      </w:r>
      <w:r w:rsidRPr="00356DDD">
        <w:rPr>
          <w:rFonts w:ascii="Book Antiqua" w:hAnsi="Book Antiqua" w:cs="Helvetica" w:hint="eastAsia"/>
          <w:sz w:val="24"/>
        </w:rPr>
        <w:t>0</w:t>
      </w:r>
    </w:p>
    <w:p w:rsidR="00D02E4D" w:rsidRPr="00356DDD" w:rsidRDefault="00D02E4D" w:rsidP="00424106">
      <w:pPr>
        <w:shd w:val="clear" w:color="auto" w:fill="FFFFFF"/>
        <w:snapToGrid w:val="0"/>
        <w:spacing w:after="0" w:line="360" w:lineRule="auto"/>
        <w:rPr>
          <w:rFonts w:ascii="Book Antiqua" w:hAnsi="Book Antiqua" w:cs="Helvetica"/>
          <w:sz w:val="24"/>
        </w:rPr>
      </w:pPr>
      <w:r w:rsidRPr="00356DDD">
        <w:rPr>
          <w:rFonts w:ascii="Book Antiqua" w:hAnsi="Book Antiqua" w:cs="Helvetica"/>
          <w:sz w:val="24"/>
        </w:rPr>
        <w:t xml:space="preserve">Grade B (Very good): </w:t>
      </w:r>
      <w:r w:rsidRPr="00356DDD">
        <w:rPr>
          <w:rFonts w:ascii="Book Antiqua" w:hAnsi="Book Antiqua" w:cs="Helvetica" w:hint="eastAsia"/>
          <w:sz w:val="24"/>
        </w:rPr>
        <w:t>B</w:t>
      </w:r>
    </w:p>
    <w:p w:rsidR="00D02E4D" w:rsidRPr="00356DDD" w:rsidRDefault="00D02E4D" w:rsidP="00424106">
      <w:pPr>
        <w:shd w:val="clear" w:color="auto" w:fill="FFFFFF"/>
        <w:snapToGrid w:val="0"/>
        <w:spacing w:after="0" w:line="360" w:lineRule="auto"/>
        <w:rPr>
          <w:rFonts w:ascii="Book Antiqua" w:hAnsi="Book Antiqua" w:cs="Helvetica"/>
          <w:sz w:val="24"/>
        </w:rPr>
      </w:pPr>
      <w:r w:rsidRPr="00356DDD">
        <w:rPr>
          <w:rFonts w:ascii="Book Antiqua" w:hAnsi="Book Antiqua" w:cs="Helvetica"/>
          <w:sz w:val="24"/>
        </w:rPr>
        <w:t xml:space="preserve">Grade C (Good): </w:t>
      </w:r>
      <w:r w:rsidRPr="00356DDD">
        <w:rPr>
          <w:rFonts w:ascii="Book Antiqua" w:hAnsi="Book Antiqua" w:cs="Helvetica" w:hint="eastAsia"/>
          <w:sz w:val="24"/>
        </w:rPr>
        <w:t>0</w:t>
      </w:r>
    </w:p>
    <w:p w:rsidR="00D02E4D" w:rsidRPr="00356DDD" w:rsidRDefault="00D02E4D" w:rsidP="00424106">
      <w:pPr>
        <w:shd w:val="clear" w:color="auto" w:fill="FFFFFF"/>
        <w:snapToGrid w:val="0"/>
        <w:spacing w:after="0" w:line="360" w:lineRule="auto"/>
        <w:rPr>
          <w:rFonts w:ascii="Book Antiqua" w:hAnsi="Book Antiqua" w:cs="Helvetica"/>
          <w:sz w:val="24"/>
        </w:rPr>
      </w:pPr>
      <w:r w:rsidRPr="00356DDD">
        <w:rPr>
          <w:rFonts w:ascii="Book Antiqua" w:hAnsi="Book Antiqua" w:cs="Helvetica"/>
          <w:sz w:val="24"/>
        </w:rPr>
        <w:t xml:space="preserve">Grade D (Fair): </w:t>
      </w:r>
      <w:r w:rsidRPr="00356DDD">
        <w:rPr>
          <w:rFonts w:ascii="Book Antiqua" w:hAnsi="Book Antiqua" w:cs="Helvetica" w:hint="eastAsia"/>
          <w:sz w:val="24"/>
        </w:rPr>
        <w:t>0</w:t>
      </w:r>
    </w:p>
    <w:p w:rsidR="00D02E4D" w:rsidRPr="00356DDD" w:rsidRDefault="00D02E4D" w:rsidP="00424106">
      <w:pPr>
        <w:spacing w:after="0" w:line="360" w:lineRule="auto"/>
        <w:rPr>
          <w:rFonts w:ascii="Book Antiqua" w:hAnsi="Book Antiqua" w:cs="Helvetica"/>
          <w:sz w:val="24"/>
        </w:rPr>
      </w:pPr>
      <w:r w:rsidRPr="00356DDD">
        <w:rPr>
          <w:rFonts w:ascii="Book Antiqua" w:hAnsi="Book Antiqua" w:cs="Helvetica"/>
          <w:sz w:val="24"/>
        </w:rPr>
        <w:t xml:space="preserve">Grade E (Poor): </w:t>
      </w:r>
      <w:r w:rsidRPr="00356DDD">
        <w:rPr>
          <w:rFonts w:ascii="Book Antiqua" w:hAnsi="Book Antiqua" w:cs="Helvetica" w:hint="eastAsia"/>
          <w:sz w:val="24"/>
        </w:rPr>
        <w:t>0</w:t>
      </w:r>
    </w:p>
    <w:p w:rsidR="0027090D" w:rsidRDefault="0027090D" w:rsidP="00424106">
      <w:pPr>
        <w:autoSpaceDE w:val="0"/>
        <w:autoSpaceDN w:val="0"/>
        <w:adjustRightInd w:val="0"/>
        <w:snapToGrid w:val="0"/>
        <w:spacing w:after="0" w:line="360" w:lineRule="auto"/>
        <w:rPr>
          <w:rFonts w:ascii="Book Antiqua" w:hAnsi="Book Antiqua" w:cs="Book Antiqua"/>
          <w:b/>
          <w:kern w:val="0"/>
          <w:sz w:val="24"/>
        </w:rPr>
      </w:pPr>
      <w:r>
        <w:rPr>
          <w:rFonts w:ascii="Book Antiqua" w:hAnsi="Book Antiqua" w:cs="Book Antiqua"/>
          <w:b/>
          <w:kern w:val="0"/>
          <w:sz w:val="24"/>
        </w:rPr>
        <w:br w:type="page"/>
      </w:r>
    </w:p>
    <w:p w:rsidR="00D757F8" w:rsidRPr="004E3E19" w:rsidRDefault="00D757F8" w:rsidP="00424106">
      <w:pPr>
        <w:pStyle w:val="EndNoteBibliography"/>
        <w:adjustRightInd w:val="0"/>
        <w:snapToGrid w:val="0"/>
        <w:spacing w:after="0" w:line="360" w:lineRule="auto"/>
        <w:ind w:left="502" w:hangingChars="209" w:hanging="502"/>
        <w:jc w:val="both"/>
        <w:rPr>
          <w:rFonts w:ascii="Book Antiqua" w:hAnsi="Book Antiqua" w:cs="Book Antiqua"/>
          <w:sz w:val="24"/>
        </w:rPr>
      </w:pPr>
    </w:p>
    <w:p w:rsidR="0027090D" w:rsidRDefault="0027090D" w:rsidP="00424106">
      <w:pPr>
        <w:adjustRightInd w:val="0"/>
        <w:snapToGrid w:val="0"/>
        <w:spacing w:after="0" w:line="360" w:lineRule="auto"/>
        <w:jc w:val="left"/>
        <w:rPr>
          <w:rFonts w:ascii="Book Antiqua" w:hAnsi="Book Antiqua" w:cs="Book Antiqua"/>
          <w:b/>
          <w:bCs/>
          <w:sz w:val="24"/>
          <w:lang w:val="en-GB"/>
        </w:rPr>
      </w:pPr>
      <w:r w:rsidRPr="004E3E19">
        <w:rPr>
          <w:rFonts w:ascii="Book Antiqua" w:hAnsi="Book Antiqua" w:cs="Book Antiqua"/>
          <w:b/>
          <w:bCs/>
          <w:noProof/>
          <w:sz w:val="24"/>
        </w:rPr>
        <mc:AlternateContent>
          <mc:Choice Requires="wpg">
            <w:drawing>
              <wp:anchor distT="0" distB="0" distL="114300" distR="114300" simplePos="0" relativeHeight="251658240" behindDoc="0" locked="0" layoutInCell="1" allowOverlap="1" wp14:anchorId="1DE129BA" wp14:editId="620A8156">
                <wp:simplePos x="0" y="0"/>
                <wp:positionH relativeFrom="column">
                  <wp:posOffset>179705</wp:posOffset>
                </wp:positionH>
                <wp:positionV relativeFrom="paragraph">
                  <wp:posOffset>78105</wp:posOffset>
                </wp:positionV>
                <wp:extent cx="5317490" cy="4986020"/>
                <wp:effectExtent l="0" t="0" r="16510" b="24130"/>
                <wp:wrapSquare wrapText="bothSides"/>
                <wp:docPr id="28" name="组合 2"/>
                <wp:cNvGraphicFramePr/>
                <a:graphic xmlns:a="http://schemas.openxmlformats.org/drawingml/2006/main">
                  <a:graphicData uri="http://schemas.microsoft.com/office/word/2010/wordprocessingGroup">
                    <wpg:wgp>
                      <wpg:cNvGrpSpPr/>
                      <wpg:grpSpPr>
                        <a:xfrm>
                          <a:off x="0" y="0"/>
                          <a:ext cx="5317490" cy="4986020"/>
                          <a:chOff x="0" y="-50"/>
                          <a:chExt cx="8373" cy="7850"/>
                        </a:xfrm>
                      </wpg:grpSpPr>
                      <wps:wsp>
                        <wps:cNvPr id="1" name="Text Box 2"/>
                        <wps:cNvSpPr txBox="1"/>
                        <wps:spPr>
                          <a:xfrm>
                            <a:off x="0" y="-50"/>
                            <a:ext cx="3448" cy="802"/>
                          </a:xfrm>
                          <a:prstGeom prst="rect">
                            <a:avLst/>
                          </a:prstGeom>
                          <a:noFill/>
                          <a:ln w="12700" cap="flat" cmpd="sng">
                            <a:solidFill>
                              <a:srgbClr val="000000"/>
                            </a:solidFill>
                            <a:prstDash val="solid"/>
                            <a:miter/>
                            <a:headEnd type="none" w="med" len="med"/>
                            <a:tailEnd type="none" w="med" len="med"/>
                          </a:ln>
                        </wps:spPr>
                        <wps:txbx>
                          <w:txbxContent>
                            <w:p w:rsidR="002905C9" w:rsidRDefault="002905C9">
                              <w:pPr>
                                <w:pStyle w:val="a8"/>
                                <w:spacing w:before="0" w:beforeAutospacing="0" w:after="0" w:afterAutospacing="0"/>
                                <w:textAlignment w:val="baseline"/>
                              </w:pPr>
                              <w:r>
                                <w:rPr>
                                  <w:rFonts w:ascii="Book Antiqua" w:hAnsi="Book Antiqua" w:cs="Times New Roman"/>
                                  <w:color w:val="000000"/>
                                  <w:kern w:val="24"/>
                                </w:rPr>
                                <w:t>378 records identified though database searching</w:t>
                              </w:r>
                            </w:p>
                          </w:txbxContent>
                        </wps:txbx>
                        <wps:bodyPr upright="1">
                          <a:spAutoFit/>
                        </wps:bodyPr>
                      </wps:wsp>
                      <wps:wsp>
                        <wps:cNvPr id="11" name="Text Box 3"/>
                        <wps:cNvSpPr txBox="1"/>
                        <wps:spPr>
                          <a:xfrm>
                            <a:off x="0" y="1365"/>
                            <a:ext cx="5333" cy="476"/>
                          </a:xfrm>
                          <a:prstGeom prst="rect">
                            <a:avLst/>
                          </a:prstGeom>
                          <a:noFill/>
                          <a:ln w="12700" cap="flat" cmpd="sng">
                            <a:solidFill>
                              <a:srgbClr val="000000"/>
                            </a:solidFill>
                            <a:prstDash val="solid"/>
                            <a:miter/>
                            <a:headEnd type="none" w="med" len="med"/>
                            <a:tailEnd type="none" w="med" len="med"/>
                          </a:ln>
                        </wps:spPr>
                        <wps:txbx>
                          <w:txbxContent>
                            <w:p w:rsidR="002905C9" w:rsidRDefault="002905C9">
                              <w:pPr>
                                <w:pStyle w:val="a8"/>
                                <w:spacing w:before="0" w:beforeAutospacing="0" w:after="0" w:afterAutospacing="0"/>
                                <w:textAlignment w:val="baseline"/>
                              </w:pPr>
                              <w:r>
                                <w:rPr>
                                  <w:rFonts w:ascii="Book Antiqua" w:hAnsi="Book Antiqua" w:cs="Times New Roman"/>
                                  <w:color w:val="000000"/>
                                  <w:kern w:val="24"/>
                                </w:rPr>
                                <w:t>302 records screened after excluding duplicates</w:t>
                              </w:r>
                            </w:p>
                          </w:txbxContent>
                        </wps:txbx>
                        <wps:bodyPr upright="1">
                          <a:spAutoFit/>
                        </wps:bodyPr>
                      </wps:wsp>
                      <wps:wsp>
                        <wps:cNvPr id="14" name="Text Box 4"/>
                        <wps:cNvSpPr txBox="1"/>
                        <wps:spPr>
                          <a:xfrm>
                            <a:off x="2249" y="2028"/>
                            <a:ext cx="3099" cy="802"/>
                          </a:xfrm>
                          <a:prstGeom prst="rect">
                            <a:avLst/>
                          </a:prstGeom>
                          <a:noFill/>
                          <a:ln w="12700" cap="flat" cmpd="sng">
                            <a:solidFill>
                              <a:srgbClr val="000000"/>
                            </a:solidFill>
                            <a:prstDash val="solid"/>
                            <a:miter/>
                            <a:headEnd type="none" w="med" len="med"/>
                            <a:tailEnd type="none" w="med" len="med"/>
                          </a:ln>
                        </wps:spPr>
                        <wps:txbx>
                          <w:txbxContent>
                            <w:p w:rsidR="002905C9" w:rsidRDefault="002905C9">
                              <w:pPr>
                                <w:pStyle w:val="a8"/>
                                <w:spacing w:before="0" w:beforeAutospacing="0" w:after="0" w:afterAutospacing="0"/>
                                <w:textAlignment w:val="baseline"/>
                              </w:pPr>
                              <w:r>
                                <w:rPr>
                                  <w:rFonts w:ascii="Book Antiqua" w:hAnsi="Book Antiqua" w:cs="Times New Roman"/>
                                  <w:color w:val="000000"/>
                                  <w:kern w:val="24"/>
                                </w:rPr>
                                <w:t>216 records excluded on screening of title/abstract</w:t>
                              </w:r>
                            </w:p>
                          </w:txbxContent>
                        </wps:txbx>
                        <wps:bodyPr upright="1">
                          <a:spAutoFit/>
                        </wps:bodyPr>
                      </wps:wsp>
                      <wps:wsp>
                        <wps:cNvPr id="16" name="Text Box 5"/>
                        <wps:cNvSpPr txBox="1"/>
                        <wps:spPr>
                          <a:xfrm>
                            <a:off x="0" y="3033"/>
                            <a:ext cx="3644" cy="802"/>
                          </a:xfrm>
                          <a:prstGeom prst="rect">
                            <a:avLst/>
                          </a:prstGeom>
                          <a:noFill/>
                          <a:ln w="12700" cap="flat" cmpd="sng">
                            <a:solidFill>
                              <a:srgbClr val="000000"/>
                            </a:solidFill>
                            <a:prstDash val="solid"/>
                            <a:miter/>
                            <a:headEnd type="none" w="med" len="med"/>
                            <a:tailEnd type="none" w="med" len="med"/>
                          </a:ln>
                        </wps:spPr>
                        <wps:txbx>
                          <w:txbxContent>
                            <w:p w:rsidR="002905C9" w:rsidRDefault="002905C9">
                              <w:pPr>
                                <w:pStyle w:val="a8"/>
                                <w:spacing w:before="0" w:beforeAutospacing="0" w:after="0" w:afterAutospacing="0"/>
                                <w:textAlignment w:val="baseline"/>
                              </w:pPr>
                              <w:r>
                                <w:rPr>
                                  <w:rFonts w:ascii="Book Antiqua" w:hAnsi="Book Antiqua" w:cs="Times New Roman"/>
                                  <w:color w:val="000000"/>
                                  <w:kern w:val="24"/>
                                </w:rPr>
                                <w:t>86 relevant records identified for further review</w:t>
                              </w:r>
                            </w:p>
                          </w:txbxContent>
                        </wps:txbx>
                        <wps:bodyPr upright="1">
                          <a:spAutoFit/>
                        </wps:bodyPr>
                      </wps:wsp>
                      <wps:wsp>
                        <wps:cNvPr id="17" name="Text Box 6"/>
                        <wps:cNvSpPr txBox="1"/>
                        <wps:spPr>
                          <a:xfrm>
                            <a:off x="4079" y="3036"/>
                            <a:ext cx="1889" cy="802"/>
                          </a:xfrm>
                          <a:prstGeom prst="rect">
                            <a:avLst/>
                          </a:prstGeom>
                          <a:noFill/>
                          <a:ln w="12700" cap="flat" cmpd="sng">
                            <a:solidFill>
                              <a:srgbClr val="000000"/>
                            </a:solidFill>
                            <a:prstDash val="solid"/>
                            <a:miter/>
                            <a:headEnd type="none" w="med" len="med"/>
                            <a:tailEnd type="none" w="med" len="med"/>
                          </a:ln>
                        </wps:spPr>
                        <wps:txbx>
                          <w:txbxContent>
                            <w:p w:rsidR="002905C9" w:rsidRDefault="002905C9">
                              <w:pPr>
                                <w:pStyle w:val="a8"/>
                                <w:spacing w:before="0" w:beforeAutospacing="0" w:after="0" w:afterAutospacing="0"/>
                                <w:textAlignment w:val="baseline"/>
                              </w:pPr>
                              <w:r>
                                <w:rPr>
                                  <w:rFonts w:ascii="Book Antiqua" w:hAnsi="Book Antiqua" w:cs="Times New Roman"/>
                                  <w:color w:val="000000"/>
                                  <w:kern w:val="24"/>
                                </w:rPr>
                                <w:t>2 records from reference list</w:t>
                              </w:r>
                            </w:p>
                          </w:txbxContent>
                        </wps:txbx>
                        <wps:bodyPr upright="1">
                          <a:spAutoFit/>
                        </wps:bodyPr>
                      </wps:wsp>
                      <wps:wsp>
                        <wps:cNvPr id="18" name="Text Box 7"/>
                        <wps:cNvSpPr txBox="1"/>
                        <wps:spPr>
                          <a:xfrm>
                            <a:off x="0" y="4612"/>
                            <a:ext cx="3644" cy="476"/>
                          </a:xfrm>
                          <a:prstGeom prst="rect">
                            <a:avLst/>
                          </a:prstGeom>
                          <a:noFill/>
                          <a:ln w="12700" cap="flat" cmpd="sng">
                            <a:solidFill>
                              <a:srgbClr val="000000"/>
                            </a:solidFill>
                            <a:prstDash val="solid"/>
                            <a:miter/>
                            <a:headEnd type="none" w="med" len="med"/>
                            <a:tailEnd type="none" w="med" len="med"/>
                          </a:ln>
                        </wps:spPr>
                        <wps:txbx>
                          <w:txbxContent>
                            <w:p w:rsidR="002905C9" w:rsidRDefault="002905C9">
                              <w:pPr>
                                <w:pStyle w:val="a8"/>
                                <w:spacing w:before="0" w:beforeAutospacing="0" w:after="0" w:afterAutospacing="0"/>
                                <w:textAlignment w:val="baseline"/>
                              </w:pPr>
                              <w:r>
                                <w:rPr>
                                  <w:rFonts w:ascii="Book Antiqua" w:hAnsi="Book Antiqua" w:cs="Times New Roman"/>
                                  <w:color w:val="000000"/>
                                  <w:kern w:val="24"/>
                                </w:rPr>
                                <w:t>88 records reviewed in full text</w:t>
                              </w:r>
                            </w:p>
                          </w:txbxContent>
                        </wps:txbx>
                        <wps:bodyPr upright="1">
                          <a:spAutoFit/>
                        </wps:bodyPr>
                      </wps:wsp>
                      <wps:wsp>
                        <wps:cNvPr id="19" name="Text Box 8"/>
                        <wps:cNvSpPr txBox="1"/>
                        <wps:spPr>
                          <a:xfrm>
                            <a:off x="2359" y="5164"/>
                            <a:ext cx="6014" cy="1759"/>
                          </a:xfrm>
                          <a:prstGeom prst="rect">
                            <a:avLst/>
                          </a:prstGeom>
                          <a:noFill/>
                          <a:ln w="12700" cap="flat" cmpd="sng">
                            <a:solidFill>
                              <a:srgbClr val="000000"/>
                            </a:solidFill>
                            <a:prstDash val="solid"/>
                            <a:miter/>
                            <a:headEnd type="none" w="med" len="med"/>
                            <a:tailEnd type="none" w="med" len="med"/>
                          </a:ln>
                        </wps:spPr>
                        <wps:txbx>
                          <w:txbxContent>
                            <w:p w:rsidR="002905C9" w:rsidRDefault="002905C9">
                              <w:pPr>
                                <w:pStyle w:val="a8"/>
                                <w:spacing w:before="0" w:beforeAutospacing="0" w:after="0" w:afterAutospacing="0"/>
                                <w:textAlignment w:val="baseline"/>
                              </w:pPr>
                              <w:r>
                                <w:rPr>
                                  <w:rFonts w:ascii="Book Antiqua" w:hAnsi="Book Antiqua" w:cs="Times New Roman"/>
                                  <w:color w:val="000000"/>
                                  <w:kern w:val="24"/>
                                </w:rPr>
                                <w:t>64 records excluded because of the following reasons:</w:t>
                              </w:r>
                            </w:p>
                            <w:p w:rsidR="002905C9" w:rsidRDefault="002905C9">
                              <w:pPr>
                                <w:pStyle w:val="a8"/>
                                <w:spacing w:before="0" w:beforeAutospacing="0" w:after="0" w:afterAutospacing="0"/>
                                <w:textAlignment w:val="baseline"/>
                              </w:pPr>
                              <w:r>
                                <w:rPr>
                                  <w:rFonts w:ascii="Book Antiqua" w:hAnsi="Book Antiqua" w:cs="Times New Roman"/>
                                  <w:color w:val="000000"/>
                                  <w:kern w:val="24"/>
                                </w:rPr>
                                <w:t>27 were non-case-control or non-cohort study</w:t>
                              </w:r>
                            </w:p>
                            <w:p w:rsidR="002905C9" w:rsidRDefault="002905C9">
                              <w:pPr>
                                <w:pStyle w:val="a8"/>
                                <w:spacing w:before="0" w:beforeAutospacing="0" w:after="0" w:afterAutospacing="0"/>
                                <w:textAlignment w:val="baseline"/>
                              </w:pPr>
                              <w:r>
                                <w:rPr>
                                  <w:rFonts w:ascii="Book Antiqua" w:hAnsi="Book Antiqua" w:cs="Times New Roman"/>
                                  <w:color w:val="000000"/>
                                  <w:kern w:val="24"/>
                                </w:rPr>
                                <w:t>22 not related to gastrointestinal cancer</w:t>
                              </w:r>
                            </w:p>
                            <w:p w:rsidR="002905C9" w:rsidRDefault="002905C9">
                              <w:pPr>
                                <w:pStyle w:val="a8"/>
                                <w:spacing w:before="0" w:beforeAutospacing="0" w:after="0" w:afterAutospacing="0"/>
                                <w:textAlignment w:val="baseline"/>
                              </w:pPr>
                              <w:r>
                                <w:rPr>
                                  <w:rFonts w:ascii="Book Antiqua" w:hAnsi="Book Antiqua" w:cs="Times New Roman"/>
                                  <w:color w:val="000000"/>
                                  <w:kern w:val="24"/>
                                </w:rPr>
                                <w:t>14 were abstracts and reviews</w:t>
                              </w:r>
                            </w:p>
                            <w:p w:rsidR="002905C9" w:rsidRDefault="002905C9">
                              <w:pPr>
                                <w:pStyle w:val="a8"/>
                                <w:spacing w:before="0" w:beforeAutospacing="0" w:after="0" w:afterAutospacing="0"/>
                                <w:textAlignment w:val="baseline"/>
                              </w:pPr>
                              <w:r>
                                <w:rPr>
                                  <w:rFonts w:ascii="Book Antiqua" w:hAnsi="Book Antiqua" w:cs="Times New Roman"/>
                                  <w:color w:val="000000"/>
                                  <w:kern w:val="24"/>
                                </w:rPr>
                                <w:t>1 record with duplicate data</w:t>
                              </w:r>
                            </w:p>
                          </w:txbxContent>
                        </wps:txbx>
                        <wps:bodyPr wrap="square" upright="1">
                          <a:noAutofit/>
                        </wps:bodyPr>
                      </wps:wsp>
                      <wps:wsp>
                        <wps:cNvPr id="20" name="Text Box 9"/>
                        <wps:cNvSpPr txBox="1"/>
                        <wps:spPr>
                          <a:xfrm>
                            <a:off x="0" y="6998"/>
                            <a:ext cx="2988" cy="802"/>
                          </a:xfrm>
                          <a:prstGeom prst="rect">
                            <a:avLst/>
                          </a:prstGeom>
                          <a:noFill/>
                          <a:ln w="12700" cap="flat" cmpd="sng">
                            <a:solidFill>
                              <a:srgbClr val="000000"/>
                            </a:solidFill>
                            <a:prstDash val="solid"/>
                            <a:miter/>
                            <a:headEnd type="none" w="med" len="med"/>
                            <a:tailEnd type="none" w="med" len="med"/>
                          </a:ln>
                        </wps:spPr>
                        <wps:txbx>
                          <w:txbxContent>
                            <w:p w:rsidR="002905C9" w:rsidRDefault="002905C9">
                              <w:pPr>
                                <w:pStyle w:val="a8"/>
                                <w:spacing w:before="0" w:beforeAutospacing="0" w:after="0" w:afterAutospacing="0"/>
                                <w:textAlignment w:val="baseline"/>
                              </w:pPr>
                              <w:r>
                                <w:rPr>
                                  <w:rFonts w:ascii="Book Antiqua" w:hAnsi="Book Antiqua" w:cs="Times New Roman"/>
                                  <w:color w:val="000000"/>
                                  <w:kern w:val="24"/>
                                </w:rPr>
                                <w:t>24 studies included in this meta-analysis</w:t>
                              </w:r>
                            </w:p>
                          </w:txbxContent>
                        </wps:txbx>
                        <wps:bodyPr upright="1">
                          <a:spAutoFit/>
                        </wps:bodyPr>
                      </wps:wsp>
                      <wps:wsp>
                        <wps:cNvPr id="21" name="直接箭头连接符 10"/>
                        <wps:cNvCnPr/>
                        <wps:spPr>
                          <a:xfrm>
                            <a:off x="1724" y="750"/>
                            <a:ext cx="0" cy="615"/>
                          </a:xfrm>
                          <a:prstGeom prst="straightConnector1">
                            <a:avLst/>
                          </a:prstGeom>
                          <a:ln w="12700" cap="flat" cmpd="sng">
                            <a:solidFill>
                              <a:srgbClr val="000000"/>
                            </a:solidFill>
                            <a:prstDash val="solid"/>
                            <a:headEnd type="none" w="med" len="med"/>
                            <a:tailEnd type="arrow" w="med" len="med"/>
                          </a:ln>
                        </wps:spPr>
                        <wps:bodyPr/>
                      </wps:wsp>
                      <wps:wsp>
                        <wps:cNvPr id="22" name="直接箭头连接符 11"/>
                        <wps:cNvCnPr/>
                        <wps:spPr>
                          <a:xfrm>
                            <a:off x="1724" y="1845"/>
                            <a:ext cx="0" cy="1188"/>
                          </a:xfrm>
                          <a:prstGeom prst="straightConnector1">
                            <a:avLst/>
                          </a:prstGeom>
                          <a:ln w="12700" cap="flat" cmpd="sng">
                            <a:solidFill>
                              <a:srgbClr val="000000"/>
                            </a:solidFill>
                            <a:prstDash val="solid"/>
                            <a:headEnd type="none" w="med" len="med"/>
                            <a:tailEnd type="arrow" w="med" len="med"/>
                          </a:ln>
                        </wps:spPr>
                        <wps:bodyPr/>
                      </wps:wsp>
                      <wps:wsp>
                        <wps:cNvPr id="23" name="直接箭头连接符 12"/>
                        <wps:cNvCnPr/>
                        <wps:spPr>
                          <a:xfrm>
                            <a:off x="1714" y="5088"/>
                            <a:ext cx="0" cy="1910"/>
                          </a:xfrm>
                          <a:prstGeom prst="straightConnector1">
                            <a:avLst/>
                          </a:prstGeom>
                          <a:ln w="12700" cap="flat" cmpd="sng">
                            <a:solidFill>
                              <a:srgbClr val="000000"/>
                            </a:solidFill>
                            <a:prstDash val="solid"/>
                            <a:headEnd type="none" w="med" len="med"/>
                            <a:tailEnd type="arrow" w="med" len="med"/>
                          </a:ln>
                        </wps:spPr>
                        <wps:bodyPr/>
                      </wps:wsp>
                      <wps:wsp>
                        <wps:cNvPr id="24" name="直接箭头连接符 13"/>
                        <wps:cNvCnPr/>
                        <wps:spPr>
                          <a:xfrm flipV="1">
                            <a:off x="1739" y="2460"/>
                            <a:ext cx="525" cy="6"/>
                          </a:xfrm>
                          <a:prstGeom prst="straightConnector1">
                            <a:avLst/>
                          </a:prstGeom>
                          <a:ln w="12700" cap="flat" cmpd="sng">
                            <a:solidFill>
                              <a:srgbClr val="000000"/>
                            </a:solidFill>
                            <a:prstDash val="solid"/>
                            <a:headEnd type="none" w="med" len="med"/>
                            <a:tailEnd type="arrow" w="med" len="med"/>
                          </a:ln>
                        </wps:spPr>
                        <wps:bodyPr/>
                      </wps:wsp>
                      <wps:wsp>
                        <wps:cNvPr id="25" name="肘形连接符 14"/>
                        <wps:cNvCnPr>
                          <a:stCxn id="17" idx="2"/>
                        </wps:cNvCnPr>
                        <wps:spPr>
                          <a:xfrm rot="5400000">
                            <a:off x="3136" y="2430"/>
                            <a:ext cx="480" cy="3295"/>
                          </a:xfrm>
                          <a:prstGeom prst="bentConnector2">
                            <a:avLst/>
                          </a:prstGeom>
                          <a:ln w="12700" cap="flat" cmpd="sng">
                            <a:solidFill>
                              <a:srgbClr val="000000"/>
                            </a:solidFill>
                            <a:prstDash val="solid"/>
                            <a:round/>
                            <a:headEnd type="none" w="med" len="med"/>
                            <a:tailEnd type="arrow" w="med" len="med"/>
                          </a:ln>
                        </wps:spPr>
                        <wps:bodyPr/>
                      </wps:wsp>
                      <wps:wsp>
                        <wps:cNvPr id="26" name="直接箭头连接符 15"/>
                        <wps:cNvCnPr/>
                        <wps:spPr>
                          <a:xfrm>
                            <a:off x="1712" y="6172"/>
                            <a:ext cx="635" cy="0"/>
                          </a:xfrm>
                          <a:prstGeom prst="straightConnector1">
                            <a:avLst/>
                          </a:prstGeom>
                          <a:ln w="12700" cap="flat" cmpd="sng">
                            <a:solidFill>
                              <a:srgbClr val="000000"/>
                            </a:solidFill>
                            <a:prstDash val="solid"/>
                            <a:headEnd type="none" w="med" len="med"/>
                            <a:tailEnd type="arrow" w="med" len="med"/>
                          </a:ln>
                        </wps:spPr>
                        <wps:bodyPr/>
                      </wps:wsp>
                      <wps:wsp>
                        <wps:cNvPr id="27" name="直接箭头连接符 16"/>
                        <wps:cNvCnPr/>
                        <wps:spPr>
                          <a:xfrm>
                            <a:off x="1727" y="3847"/>
                            <a:ext cx="0" cy="775"/>
                          </a:xfrm>
                          <a:prstGeom prst="straightConnector1">
                            <a:avLst/>
                          </a:prstGeom>
                          <a:ln w="12700" cap="flat" cmpd="sng">
                            <a:solidFill>
                              <a:srgbClr val="000000"/>
                            </a:solidFill>
                            <a:prstDash val="solid"/>
                            <a:headEnd type="none" w="med" len="med"/>
                            <a:tailEnd type="arrow" w="med" len="med"/>
                          </a:ln>
                        </wps:spPr>
                        <wps:bodyPr/>
                      </wps:wsp>
                    </wpg:wgp>
                  </a:graphicData>
                </a:graphic>
              </wp:anchor>
            </w:drawing>
          </mc:Choice>
          <mc:Fallback xmlns:w15="http://schemas.microsoft.com/office/word/2012/wordml">
            <w:pict>
              <v:group w14:anchorId="1DE129BA" id="组合 2" o:spid="_x0000_s1026" style="position:absolute;margin-left:14.15pt;margin-top:6.15pt;width:418.7pt;height:392.6pt;z-index:251658240" coordorigin=",-50" coordsize="8373,7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w8fNwUAAAwkAAAOAAAAZHJzL2Uyb0RvYy54bWzsWk2P4zQYviPxH6Lcd5rvpNF0VjCzOxcE&#10;K+3C3c1HGymxg+1OO1fEgdOKIxISBwScgNPeEOLXDLM/g9cfcbvttJ3tCKZCmUMnsR3Hfv34eV8/&#10;b06fLprauiooqwge2e6JY1sFzkhe4cnI/vzV8yeJbTGOcI5qgouRfV0w++nZhx+cztu08MiU1HlB&#10;LegEs3Tejuwp5206GLBsWjSInZC2wFBZEtogDrd0MsgpmkPvTT3wHCcazAnNW0qygjEovVCV9pns&#10;vyyLjH9WlqzgVj2yYWxc/lL5Oxa/g7NTlE4oaqdVpoeBDhhFgyoMLzVdXSCOrBmtNrpqqowSRkp+&#10;kpFmQMqyygo5B5iN66zN5pKSWSvnMknnk9aYCUy7ZqeDu80+vXpBrSof2R6sFEYNrNHtH1/ffPuN&#10;5QnjzNtJCm0uafuyfUF1wUTdifkuStqI/zATayHNem3MWiy4lUFh6LtxMATrZ1AXDJPI8bThsyms&#10;zvK5J6Epf6afTfzYVw/GiaoddC8diLGZocxbABBb2og9zEYvp6gtpOmZmL+2kduZ6JWY28dk0RlJ&#10;NhIWsvgCimEnKOOxlEHhVkOZCXem8oMAlkHYKXGk/c1sUdpSxi8L0ljiYmRTwLaEHLr6hHFYGWja&#10;NREvxOR5VdcS3zW25jAkL3bEIiDYZmWNOFw2LSw8wxPZDyN1lYtnxNOMTsbnNbWukNg48k/MCN7x&#10;TjPxwgvEpqqdrBLNUNpUvBBwQem0QPkznFv8ugVsYWABW4ymKXLbqgsgDXElW3JU1fdpCYOoMYxF&#10;LLkyr7jii/ECuhGXY5Jfw1LMWlpNpmAqV82v/WjGwSjSVstmuiPAjnr43wfRJop8YQAxJIDa+6PI&#10;9aNQWbCDUej7etcEcSSqehhtAm47jCQfmh185GgKNjgpOBBNnhcMbQu4x3PAGcgt2QHKd4ZQ1fPS&#10;TgbbAyjtT4+enqINQEl2OZiefAfI6F00RQGgtkfTQ9BkXMaR01O8gSbpkA5AU+DEip4AULIPlHb0&#10;5CZJT0/7Aqw99GS8xpEDyhxTTAweH+jvIBgWB5LIlcy8RJNv6KmPnraG63vQZFzGkaMJaEMdeg2a&#10;ZORzAD15fqjoKXQjuZeWgIocV/s7N4ZGfTx+5wFwD6KM29CImoNoA4fXL2eIwoly7ayHiTjrlY9+&#10;1gOhYx1fcv0PwJdiq2g4XAvNvWHSSwYP9H3Ggxw3W3lGObj9/s3fr3++/f23m5/evP3rB3H96y+W&#10;K+Uzja1zrPW6TiTpdDMj1rmxB7QELjDudLcunhIyEZRHrqRx2JidzNcJTFqDYpwiIbGcE4xBjiJU&#10;KS1bFKlHkKEOFZ8QpWR+t051N00p4AhmF+b/78Qkz+sIZgskjIwB0tJ7QMJNgjVNSWPChVh7twfr&#10;QSEUXwGDRwMFiH9ayr+bJ4wUcU9QiPAF+CB01NovI5sOFENFPT1TrCraR8YUsIY7QWEUhe2gsMq6&#10;ar/oBHWd83FjXwW+XhDp/E3nR0Iv1J6kp4z1fMeRoQMWSqHj7Vff3fz540pQYYQBjQuZHuLnC6xk&#10;chB4qhwyXipdtRJ8KA5czX9ZlEA2JgxUOkn0oyHkQwpDKc+BvwahINEc43vDPdHIuMDLSMTblRt7&#10;hEgEUrk4lyro/z8mMQrylpjEiAPbmWYFHG4MAo1wPxEErIJHlu4n8jW/SND03ueIvY/Rgbdgwhzv&#10;74kJDzoETPhJIA9vS0xouojjPWzRh6k7wlT5bQV8ciIzx/rzGPFNy+q9POssP+I5+wcAAP//AwBQ&#10;SwMEFAAGAAgAAAAhANK2byXgAAAACQEAAA8AAABkcnMvZG93bnJldi54bWxMj0Frg0AQhe+F/odl&#10;Cr01qwajta4hhLanUGhSKL1NdKISd1fcjZp/3+mpOQ0z7/Hme/l61p0YaXCtNQrCRQCCTGmr1tQK&#10;vg5vTykI59FU2FlDCq7kYF3c3+WYVXYynzTufS04xLgMFTTe95mUrmxIo1vYngxrJzto9LwOtawG&#10;nDhcdzIKgpXU2Br+0GBP24bK8/6iFbxPOG2W4eu4O5+2159D/PG9C0mpx4d58wLC0+z/zfCHz+hQ&#10;MNPRXkzlRKcgSpfs5HvEk/V0FScgjgqS5yQGWeTytkHxCwAA//8DAFBLAQItABQABgAIAAAAIQC2&#10;gziS/gAAAOEBAAATAAAAAAAAAAAAAAAAAAAAAABbQ29udGVudF9UeXBlc10ueG1sUEsBAi0AFAAG&#10;AAgAAAAhADj9If/WAAAAlAEAAAsAAAAAAAAAAAAAAAAALwEAAF9yZWxzLy5yZWxzUEsBAi0AFAAG&#10;AAgAAAAhAFp3Dx83BQAADCQAAA4AAAAAAAAAAAAAAAAALgIAAGRycy9lMm9Eb2MueG1sUEsBAi0A&#10;FAAGAAgAAAAhANK2byXgAAAACQEAAA8AAAAAAAAAAAAAAAAAkQcAAGRycy9kb3ducmV2LnhtbFBL&#10;BQYAAAAABAAEAPMAAACeCAAAAAA=&#10;">
                <v:shapetype id="_x0000_t202" coordsize="21600,21600" o:spt="202" path="m,l,21600r21600,l21600,xe">
                  <v:stroke joinstyle="miter"/>
                  <v:path gradientshapeok="t" o:connecttype="rect"/>
                </v:shapetype>
                <v:shape id="Text Box 2" o:spid="_x0000_s1027" type="#_x0000_t202" style="position:absolute;top:-50;width:3448;height: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PKIMIA&#10;AADaAAAADwAAAGRycy9kb3ducmV2LnhtbERPTWvCQBC9C/6HZYTedKO1UtJsRFstKvRQ2x56G7Jj&#10;NpidDdlV03/vCgVPw+N9TjbvbC3O1PrKsYLxKAFBXDhdcang+2s9fAbhA7LG2jEp+CMP87zfyzDV&#10;7sKfdN6HUsQQ9ikqMCE0qZS+MGTRj1xDHLmDay2GCNtS6hYvMdzWcpIkM2mx4thgsKFXQ8Vxf7IK&#10;qtXi+OMff992u9K/6+3UdE8fS6UeBt3iBUSgLtzF/+6NjvPh9srtyvw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o8ogwgAAANoAAAAPAAAAAAAAAAAAAAAAAJgCAABkcnMvZG93&#10;bnJldi54bWxQSwUGAAAAAAQABAD1AAAAhwMAAAAA&#10;" filled="f" strokeweight="1pt">
                  <v:textbox style="mso-fit-shape-to-text:t">
                    <w:txbxContent>
                      <w:p w:rsidR="002905C9" w:rsidRDefault="002905C9">
                        <w:pPr>
                          <w:pStyle w:val="NormalWeb"/>
                          <w:spacing w:before="0" w:beforeAutospacing="0" w:after="0" w:afterAutospacing="0"/>
                          <w:textAlignment w:val="baseline"/>
                        </w:pPr>
                        <w:r>
                          <w:rPr>
                            <w:rFonts w:ascii="Book Antiqua" w:hAnsi="Book Antiqua" w:cs="Times New Roman"/>
                            <w:color w:val="000000"/>
                            <w:kern w:val="24"/>
                          </w:rPr>
                          <w:t>378 records identified though database searching</w:t>
                        </w:r>
                      </w:p>
                    </w:txbxContent>
                  </v:textbox>
                </v:shape>
                <v:shape id="Text Box 3" o:spid="_x0000_s1028" type="#_x0000_t202" style="position:absolute;top:1365;width:5333;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KzxMQA&#10;AADbAAAADwAAAGRycy9kb3ducmV2LnhtbERPS2vCQBC+C/6HZQRvurG1RdJsRFsrKvRQH4fehuyY&#10;DWZnQ3ar6b/vCoXe5uN7TjbvbC2u1PrKsYLJOAFBXDhdcangeHgfzUD4gKyxdkwKfsjDPO/3Mky1&#10;u/EnXfehFDGEfYoKTAhNKqUvDFn0Y9cQR+7sWoshwraUusVbDLe1fEiSZ2mx4thgsKFXQ8Vl/20V&#10;VKvF5eQfv952u9Kv9XZquqePpVLDQbd4ARGoC//iP/dGx/kTuP8SD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is8TEAAAA2wAAAA8AAAAAAAAAAAAAAAAAmAIAAGRycy9k&#10;b3ducmV2LnhtbFBLBQYAAAAABAAEAPUAAACJAwAAAAA=&#10;" filled="f" strokeweight="1pt">
                  <v:textbox style="mso-fit-shape-to-text:t">
                    <w:txbxContent>
                      <w:p w:rsidR="002905C9" w:rsidRDefault="002905C9">
                        <w:pPr>
                          <w:pStyle w:val="NormalWeb"/>
                          <w:spacing w:before="0" w:beforeAutospacing="0" w:after="0" w:afterAutospacing="0"/>
                          <w:textAlignment w:val="baseline"/>
                        </w:pPr>
                        <w:r>
                          <w:rPr>
                            <w:rFonts w:ascii="Book Antiqua" w:hAnsi="Book Antiqua" w:cs="Times New Roman"/>
                            <w:color w:val="000000"/>
                            <w:kern w:val="24"/>
                          </w:rPr>
                          <w:t>302 records screened after excluding duplicates</w:t>
                        </w:r>
                      </w:p>
                    </w:txbxContent>
                  </v:textbox>
                </v:shape>
                <v:shape id="Text Box 4" o:spid="_x0000_s1029" type="#_x0000_t202" style="position:absolute;left:2249;top:2028;width:3099;height: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UQXMMA&#10;AADbAAAADwAAAGRycy9kb3ducmV2LnhtbERPS2vCQBC+F/wPywi91Y1WRdJsRPuiCj3Ux6G3ITtm&#10;g9nZkN1q/PduQfA2H99zsnlna3Gi1leOFQwHCQjiwumKSwW77cfTDIQPyBprx6TgQh7mee8hw1S7&#10;M//QaRNKEUPYp6jAhNCkUvrCkEU/cA1x5A6utRgibEupWzzHcFvLUZJMpcWKY4PBhl4NFcfNn1VQ&#10;vS+Oe//8+7Zel/5Tr8amm3wvlXrsd4sXEIG6cBff3F86zh/D/y/xAJl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UQXMMAAADbAAAADwAAAAAAAAAAAAAAAACYAgAAZHJzL2Rv&#10;d25yZXYueG1sUEsFBgAAAAAEAAQA9QAAAIgDAAAAAA==&#10;" filled="f" strokeweight="1pt">
                  <v:textbox style="mso-fit-shape-to-text:t">
                    <w:txbxContent>
                      <w:p w:rsidR="002905C9" w:rsidRDefault="002905C9">
                        <w:pPr>
                          <w:pStyle w:val="NormalWeb"/>
                          <w:spacing w:before="0" w:beforeAutospacing="0" w:after="0" w:afterAutospacing="0"/>
                          <w:textAlignment w:val="baseline"/>
                        </w:pPr>
                        <w:r>
                          <w:rPr>
                            <w:rFonts w:ascii="Book Antiqua" w:hAnsi="Book Antiqua" w:cs="Times New Roman"/>
                            <w:color w:val="000000"/>
                            <w:kern w:val="24"/>
                          </w:rPr>
                          <w:t>216 records excluded on screening of title/abstract</w:t>
                        </w:r>
                      </w:p>
                    </w:txbxContent>
                  </v:textbox>
                </v:shape>
                <v:shape id="Text Box 5" o:spid="_x0000_s1030" type="#_x0000_t202" style="position:absolute;top:3033;width:3644;height: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srsMQA&#10;AADbAAAADwAAAGRycy9kb3ducmV2LnhtbERPS2vCQBC+F/wPywi91Y3WiqTZiLZVqtBDfRx6G7Jj&#10;NpidDdmtxn/fLQje5uN7TjbrbC3O1PrKsYLhIAFBXDhdcalgv1s+TUH4gKyxdkwKruRhlvceMky1&#10;u/A3nbehFDGEfYoKTAhNKqUvDFn0A9cQR+7oWoshwraUusVLDLe1HCXJRFqsODYYbOjNUHHa/loF&#10;1cf8dPDPP++bTelXej023cvXQqnHfjd/BRGoC3fxzf2p4/wJ/P8SD5D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LK7DEAAAA2wAAAA8AAAAAAAAAAAAAAAAAmAIAAGRycy9k&#10;b3ducmV2LnhtbFBLBQYAAAAABAAEAPUAAACJAwAAAAA=&#10;" filled="f" strokeweight="1pt">
                  <v:textbox style="mso-fit-shape-to-text:t">
                    <w:txbxContent>
                      <w:p w:rsidR="002905C9" w:rsidRDefault="002905C9">
                        <w:pPr>
                          <w:pStyle w:val="NormalWeb"/>
                          <w:spacing w:before="0" w:beforeAutospacing="0" w:after="0" w:afterAutospacing="0"/>
                          <w:textAlignment w:val="baseline"/>
                        </w:pPr>
                        <w:r>
                          <w:rPr>
                            <w:rFonts w:ascii="Book Antiqua" w:hAnsi="Book Antiqua" w:cs="Times New Roman"/>
                            <w:color w:val="000000"/>
                            <w:kern w:val="24"/>
                          </w:rPr>
                          <w:t>86 relevant records identified for further review</w:t>
                        </w:r>
                      </w:p>
                    </w:txbxContent>
                  </v:textbox>
                </v:shape>
                <v:shape id="Text Box 6" o:spid="_x0000_s1031" type="#_x0000_t202" style="position:absolute;left:4079;top:3036;width:1889;height: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eOK8MA&#10;AADbAAAADwAAAGRycy9kb3ducmV2LnhtbERPS2sCMRC+F/wPYYTeullbtWU1in2JCh5q9eBt2Iyb&#10;xc1k2aS6/fdGELzNx/ec8bS1lThR40vHCnpJCoI4d7rkQsH29/vpDYQPyBorx6TgnzxMJ52HMWba&#10;nfmHTptQiBjCPkMFJoQ6k9Lnhiz6xNXEkTu4xmKIsCmkbvAcw20ln9N0KC2WHBsM1vRhKD9u/qyC&#10;8mt23PmX/edqVfi5XvZNO1i/K/XYbWcjEIHacBff3Asd57/C9Zd4gJx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eOK8MAAADbAAAADwAAAAAAAAAAAAAAAACYAgAAZHJzL2Rv&#10;d25yZXYueG1sUEsFBgAAAAAEAAQA9QAAAIgDAAAAAA==&#10;" filled="f" strokeweight="1pt">
                  <v:textbox style="mso-fit-shape-to-text:t">
                    <w:txbxContent>
                      <w:p w:rsidR="002905C9" w:rsidRDefault="002905C9">
                        <w:pPr>
                          <w:pStyle w:val="NormalWeb"/>
                          <w:spacing w:before="0" w:beforeAutospacing="0" w:after="0" w:afterAutospacing="0"/>
                          <w:textAlignment w:val="baseline"/>
                        </w:pPr>
                        <w:r>
                          <w:rPr>
                            <w:rFonts w:ascii="Book Antiqua" w:hAnsi="Book Antiqua" w:cs="Times New Roman"/>
                            <w:color w:val="000000"/>
                            <w:kern w:val="24"/>
                          </w:rPr>
                          <w:t>2 records from reference list</w:t>
                        </w:r>
                      </w:p>
                    </w:txbxContent>
                  </v:textbox>
                </v:shape>
                <v:shape id="Text Box 7" o:spid="_x0000_s1032" type="#_x0000_t202" style="position:absolute;top:4612;width:3644;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gaWcYA&#10;AADbAAAADwAAAGRycy9kb3ducmV2LnhtbESPQU/CQBCF7yb+h82YcJOtooRUtg0CGiHxIOjB26Q7&#10;dhu6s013gfrvnYMJt5m8N+99My8H36oT9bEJbOBunIEiroJtuDbwuX+5nYGKCdliG5gM/FKEsri+&#10;mmNuw5k/6LRLtZIQjjkacCl1udaxcuQxjkNHLNpP6D0mWfta2x7PEu5bfZ9lU+2xYWlw2NHSUXXY&#10;Hb2BZr04fMXJ92q7reOr3Ty44fH92ZjRzbB4ApVoSBfz//WbFXyBlV9kAF3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1gaWcYAAADbAAAADwAAAAAAAAAAAAAAAACYAgAAZHJz&#10;L2Rvd25yZXYueG1sUEsFBgAAAAAEAAQA9QAAAIsDAAAAAA==&#10;" filled="f" strokeweight="1pt">
                  <v:textbox style="mso-fit-shape-to-text:t">
                    <w:txbxContent>
                      <w:p w:rsidR="002905C9" w:rsidRDefault="002905C9">
                        <w:pPr>
                          <w:pStyle w:val="NormalWeb"/>
                          <w:spacing w:before="0" w:beforeAutospacing="0" w:after="0" w:afterAutospacing="0"/>
                          <w:textAlignment w:val="baseline"/>
                        </w:pPr>
                        <w:r>
                          <w:rPr>
                            <w:rFonts w:ascii="Book Antiqua" w:hAnsi="Book Antiqua" w:cs="Times New Roman"/>
                            <w:color w:val="000000"/>
                            <w:kern w:val="24"/>
                          </w:rPr>
                          <w:t>88 records reviewed in full text</w:t>
                        </w:r>
                      </w:p>
                    </w:txbxContent>
                  </v:textbox>
                </v:shape>
                <v:shape id="Text Box 8" o:spid="_x0000_s1033" type="#_x0000_t202" style="position:absolute;left:2359;top:5164;width:6014;height:1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AxCsEA&#10;AADbAAAADwAAAGRycy9kb3ducmV2LnhtbERP3WrCMBS+H/gO4Qi7m+l0DtcZRZTCbkTs9gBnzbEp&#10;a05KErV9+0UQvDsf3+9Zrnvbigv50DhW8DrJQBBXTjdcK/j5Ll4WIEJE1tg6JgUDBVivRk9LzLW7&#10;8pEuZaxFCuGQowITY5dLGSpDFsPEdcSJOzlvMSboa6k9XlO4beU0y96lxYZTg8GOtoaqv/JsFfTT&#10;wRQzV+02b6UZTofFb7Gfe6Wex/3mE0SkPj7Ed/eXTvM/4PZLOkC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AMQrBAAAA2wAAAA8AAAAAAAAAAAAAAAAAmAIAAGRycy9kb3du&#10;cmV2LnhtbFBLBQYAAAAABAAEAPUAAACGAwAAAAA=&#10;" filled="f" strokeweight="1pt">
                  <v:textbox>
                    <w:txbxContent>
                      <w:p w:rsidR="002905C9" w:rsidRDefault="002905C9">
                        <w:pPr>
                          <w:pStyle w:val="NormalWeb"/>
                          <w:spacing w:before="0" w:beforeAutospacing="0" w:after="0" w:afterAutospacing="0"/>
                          <w:textAlignment w:val="baseline"/>
                        </w:pPr>
                        <w:r>
                          <w:rPr>
                            <w:rFonts w:ascii="Book Antiqua" w:hAnsi="Book Antiqua" w:cs="Times New Roman"/>
                            <w:color w:val="000000"/>
                            <w:kern w:val="24"/>
                          </w:rPr>
                          <w:t>64 records excluded because of the following reasons:</w:t>
                        </w:r>
                      </w:p>
                      <w:p w:rsidR="002905C9" w:rsidRDefault="002905C9">
                        <w:pPr>
                          <w:pStyle w:val="NormalWeb"/>
                          <w:spacing w:before="0" w:beforeAutospacing="0" w:after="0" w:afterAutospacing="0"/>
                          <w:textAlignment w:val="baseline"/>
                        </w:pPr>
                        <w:r>
                          <w:rPr>
                            <w:rFonts w:ascii="Book Antiqua" w:hAnsi="Book Antiqua" w:cs="Times New Roman"/>
                            <w:color w:val="000000"/>
                            <w:kern w:val="24"/>
                          </w:rPr>
                          <w:t>27 were non-case-control or non-cohort study</w:t>
                        </w:r>
                      </w:p>
                      <w:p w:rsidR="002905C9" w:rsidRDefault="002905C9">
                        <w:pPr>
                          <w:pStyle w:val="NormalWeb"/>
                          <w:spacing w:before="0" w:beforeAutospacing="0" w:after="0" w:afterAutospacing="0"/>
                          <w:textAlignment w:val="baseline"/>
                        </w:pPr>
                        <w:r>
                          <w:rPr>
                            <w:rFonts w:ascii="Book Antiqua" w:hAnsi="Book Antiqua" w:cs="Times New Roman"/>
                            <w:color w:val="000000"/>
                            <w:kern w:val="24"/>
                          </w:rPr>
                          <w:t>22 not related to gastrointestinal cancer</w:t>
                        </w:r>
                      </w:p>
                      <w:p w:rsidR="002905C9" w:rsidRDefault="002905C9">
                        <w:pPr>
                          <w:pStyle w:val="NormalWeb"/>
                          <w:spacing w:before="0" w:beforeAutospacing="0" w:after="0" w:afterAutospacing="0"/>
                          <w:textAlignment w:val="baseline"/>
                        </w:pPr>
                        <w:r>
                          <w:rPr>
                            <w:rFonts w:ascii="Book Antiqua" w:hAnsi="Book Antiqua" w:cs="Times New Roman"/>
                            <w:color w:val="000000"/>
                            <w:kern w:val="24"/>
                          </w:rPr>
                          <w:t>14 were abstracts and reviews</w:t>
                        </w:r>
                      </w:p>
                      <w:p w:rsidR="002905C9" w:rsidRDefault="002905C9">
                        <w:pPr>
                          <w:pStyle w:val="NormalWeb"/>
                          <w:spacing w:before="0" w:beforeAutospacing="0" w:after="0" w:afterAutospacing="0"/>
                          <w:textAlignment w:val="baseline"/>
                        </w:pPr>
                        <w:r>
                          <w:rPr>
                            <w:rFonts w:ascii="Book Antiqua" w:hAnsi="Book Antiqua" w:cs="Times New Roman"/>
                            <w:color w:val="000000"/>
                            <w:kern w:val="24"/>
                          </w:rPr>
                          <w:t>1 record with duplicate data</w:t>
                        </w:r>
                      </w:p>
                    </w:txbxContent>
                  </v:textbox>
                </v:shape>
                <v:shape id="Text Box 9" o:spid="_x0000_s1034" type="#_x0000_t202" style="position:absolute;top:6998;width:2988;height: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Lc4sMA&#10;AADbAAAADwAAAGRycy9kb3ducmV2LnhtbERPyW7CMBC9I/EP1iBxA4elFQo4EbRQtUg9sB16G8XT&#10;OCIeR7GB9O/rQ6Uen96+yjtbizu1vnKsYDJOQBAXTldcKjifdqMFCB+QNdaOScEPecizfm+FqXYP&#10;PtD9GEoRQ9inqMCE0KRS+sKQRT92DXHkvl1rMUTYllK3+IjhtpbTJHmWFiuODQYbejFUXI83q6Da&#10;rq8XP/t63e9L/6Y/5qZ7+twoNRx06yWIQF34F/+537WCaVwfv8QfI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0Lc4sMAAADbAAAADwAAAAAAAAAAAAAAAACYAgAAZHJzL2Rv&#10;d25yZXYueG1sUEsFBgAAAAAEAAQA9QAAAIgDAAAAAA==&#10;" filled="f" strokeweight="1pt">
                  <v:textbox style="mso-fit-shape-to-text:t">
                    <w:txbxContent>
                      <w:p w:rsidR="002905C9" w:rsidRDefault="002905C9">
                        <w:pPr>
                          <w:pStyle w:val="NormalWeb"/>
                          <w:spacing w:before="0" w:beforeAutospacing="0" w:after="0" w:afterAutospacing="0"/>
                          <w:textAlignment w:val="baseline"/>
                        </w:pPr>
                        <w:r>
                          <w:rPr>
                            <w:rFonts w:ascii="Book Antiqua" w:hAnsi="Book Antiqua" w:cs="Times New Roman"/>
                            <w:color w:val="000000"/>
                            <w:kern w:val="24"/>
                          </w:rPr>
                          <w:t>24 studies included in this meta-analysis</w:t>
                        </w:r>
                      </w:p>
                    </w:txbxContent>
                  </v:textbox>
                </v:shape>
                <v:shapetype id="_x0000_t32" coordsize="21600,21600" o:spt="32" o:oned="t" path="m,l21600,21600e" filled="f">
                  <v:path arrowok="t" fillok="f" o:connecttype="none"/>
                  <o:lock v:ext="edit" shapetype="t"/>
                </v:shapetype>
                <v:shape id="直接箭头连接符 10" o:spid="_x0000_s1035" type="#_x0000_t32" style="position:absolute;left:1724;top:750;width:0;height:6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OT+ccAAADbAAAADwAAAGRycy9kb3ducmV2LnhtbESP3WoCMRSE7wu+QzhC72p2rRRZjVLE&#10;1loF8Qfay9PNcXdxc7JNom7fvikUvBxm5htmPG1NLS7kfGVZQdpLQBDnVldcKDjsXx6GIHxA1lhb&#10;JgU/5GE66dyNMdP2ylu67EIhIoR9hgrKEJpMSp+XZND3bEMcvaN1BkOUrpDa4TXCTS37SfIkDVYc&#10;F0psaFZSftqdjYLPxbvbnF7PdrBM14vj93z1yB9fSt132+cRiEBtuIX/229aQT+Fvy/xB8jJ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545P5xwAAANsAAAAPAAAAAAAA&#10;AAAAAAAAAKECAABkcnMvZG93bnJldi54bWxQSwUGAAAAAAQABAD5AAAAlQMAAAAA&#10;" strokeweight="1pt">
                  <v:stroke endarrow="open"/>
                </v:shape>
                <v:shape id="直接箭头连接符 11" o:spid="_x0000_s1036" type="#_x0000_t32" style="position:absolute;left:1724;top:1845;width:0;height:11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ENjscAAADbAAAADwAAAGRycy9kb3ducmV2LnhtbESP3WoCMRSE7wu+QzhC72rWrRRZjVLE&#10;1loF8Qfay9PNcXdxc7JNom7fvikUvBxm5htmPG1NLS7kfGVZQb+XgCDOra64UHDYvzwMQfiArLG2&#10;TAp+yMN00rkbY6btlbd02YVCRAj7DBWUITSZlD4vyaDv2YY4ekfrDIYoXSG1w2uEm1qmSfIkDVYc&#10;F0psaFZSftqdjYLPxbvbnF7PdrDsrxfH7/nqkT++lLrvts8jEIHacAv/t9+0gjSFvy/xB8jJ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MQ2OxwAAANsAAAAPAAAAAAAA&#10;AAAAAAAAAKECAABkcnMvZG93bnJldi54bWxQSwUGAAAAAAQABAD5AAAAlQMAAAAA&#10;" strokeweight="1pt">
                  <v:stroke endarrow="open"/>
                </v:shape>
                <v:shape id="直接箭头连接符 12" o:spid="_x0000_s1037" type="#_x0000_t32" style="position:absolute;left:1714;top:5088;width:0;height:19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2oFcYAAADbAAAADwAAAGRycy9kb3ducmV2LnhtbESPW2sCMRSE34X+h3AE3zTrhVJWo0jx&#10;UqsgaqF9PN0cdxc3J9sk6vbfN4VCH4eZ+YaZzBpTiRs5X1pW0O8lIIgzq0vOFbydlt0nED4ga6ws&#10;k4Jv8jCbPrQmmGp75wPdjiEXEcI+RQVFCHUqpc8KMuh7tiaO3tk6gyFKl0vt8B7hppKDJHmUBkuO&#10;CwXW9FxQdjlejYKP9avbX1ZXO9r0d+vz12I75PdPpTrtZj4GEagJ/+G/9otWMBjC75f4A+T0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Z9qBXGAAAA2wAAAA8AAAAAAAAA&#10;AAAAAAAAoQIAAGRycy9kb3ducmV2LnhtbFBLBQYAAAAABAAEAPkAAACUAwAAAAA=&#10;" strokeweight="1pt">
                  <v:stroke endarrow="open"/>
                </v:shape>
                <v:shape id="直接箭头连接符 13" o:spid="_x0000_s1038" type="#_x0000_t32" style="position:absolute;left:1739;top:2460;width:525;height: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cby8MAAADbAAAADwAAAGRycy9kb3ducmV2LnhtbESPUWvCQBCE3wv9D8cWfDOXqrQl9ZSi&#10;iFoQbFro65LbJsHcXsieGv+9Jwh9HGbmG2Y6712jTtRJ7dnAc5KCIi68rbk08PO9Gr6BkoBssfFM&#10;Bi4kMJ89Pkwxs/7MX3TKQ6kihCVDA1UIbaa1FBU5lMS3xNH7853DEGVXatvhOcJdo0dp+qId1hwX&#10;KmxpUVFxyI/OwFhcLrIey2u5POh89/m73W/Xxgye+o93UIH68B++tzfWwGgCty/xB+jZ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1HG8vDAAAA2wAAAA8AAAAAAAAAAAAA&#10;AAAAoQIAAGRycy9kb3ducmV2LnhtbFBLBQYAAAAABAAEAPkAAACRAwAAAAA=&#10;" strokeweight="1pt">
                  <v:stroke endarrow="open"/>
                </v:shape>
                <v:shapetype id="_x0000_t33" coordsize="21600,21600" o:spt="33" o:oned="t" path="m,l21600,r,21600e" filled="f">
                  <v:stroke joinstyle="miter"/>
                  <v:path arrowok="t" fillok="f" o:connecttype="none"/>
                  <o:lock v:ext="edit" shapetype="t"/>
                </v:shapetype>
                <v:shape id="肘形连接符 14" o:spid="_x0000_s1039" type="#_x0000_t33" style="position:absolute;left:3136;top:2430;width:480;height:3295;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S5F8EAAADbAAAADwAAAGRycy9kb3ducmV2LnhtbESPQYvCMBSE74L/ITzBm6YWumjXKOuC&#10;sB7VCnp7NG/bss1LSaLWf28WBI/DzHzDLNe9acWNnG8sK5hNExDEpdUNVwqK43YyB+EDssbWMil4&#10;kIf1ajhYYq7tnfd0O4RKRAj7HBXUIXS5lL6syaCf2o44er/WGQxRukpqh/cIN61Mk+RDGmw4LtTY&#10;0XdN5d/hahT46sTFWS8umdztXVo2m+0165Uaj/qvTxCB+vAOv9o/WkGawf+X+APk6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ZLkXwQAAANsAAAAPAAAAAAAAAAAAAAAA&#10;AKECAABkcnMvZG93bnJldi54bWxQSwUGAAAAAAQABAD5AAAAjwMAAAAA&#10;" strokeweight="1pt">
                  <v:stroke endarrow="open" joinstyle="round"/>
                </v:shape>
                <v:shape id="直接箭头连接符 15" o:spid="_x0000_s1040" type="#_x0000_t32" style="position:absolute;left:1712;top:6172;width:63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oLjcYAAADbAAAADwAAAGRycy9kb3ducmV2LnhtbESPW2sCMRSE3wv9D+EUfKtZL4hsjVJK&#10;q/YCohX08bg57i5uTtYk6vrvTaHg4zAz3zCjSWMqcSbnS8sKOu0EBHFmdcm5gvXvx/MQhA/IGivL&#10;pOBKHibjx4cRptpeeEnnVchFhLBPUUERQp1K6bOCDPq2rYmjt7fOYIjS5VI7vES4qWQ3SQbSYMlx&#10;ocCa3grKDquTUbCdfbnFYXqy/c/Oz2x/fP/u8WanVOupeX0BEagJ9/B/e64VdAfw9yX+AD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YKC43GAAAA2wAAAA8AAAAAAAAA&#10;AAAAAAAAoQIAAGRycy9kb3ducmV2LnhtbFBLBQYAAAAABAAEAPkAAACUAwAAAAA=&#10;" strokeweight="1pt">
                  <v:stroke endarrow="open"/>
                </v:shape>
                <v:shape id="直接箭头连接符 16" o:spid="_x0000_s1041" type="#_x0000_t32" style="position:absolute;left:1727;top:3847;width:0;height:7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auFsYAAADbAAAADwAAAGRycy9kb3ducmV2LnhtbESPQWsCMRSE74L/ITzBm2bVYsvWKKVo&#10;rVooVaE9vm6eu4ubl20SdfvvG0HocZiZb5jJrDGVOJPzpWUFg34CgjizuuRcwX636D2A8AFZY2WZ&#10;FPySh9m03Zpgqu2FP+i8DbmIEPYpKihCqFMpfVaQQd+3NXH0DtYZDFG6XGqHlwg3lRwmyVgaLDku&#10;FFjTc0HZcXsyCr6Wa/d+fDnZu9XgbXn4mW9G/PmtVLfTPD2CCNSE//Ct/aoVDO/h+iX+ADn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lGrhbGAAAA2wAAAA8AAAAAAAAA&#10;AAAAAAAAoQIAAGRycy9kb3ducmV2LnhtbFBLBQYAAAAABAAEAPkAAACUAwAAAAA=&#10;" strokeweight="1pt">
                  <v:stroke endarrow="open"/>
                </v:shape>
                <w10:wrap type="square"/>
              </v:group>
            </w:pict>
          </mc:Fallback>
        </mc:AlternateContent>
      </w:r>
    </w:p>
    <w:p w:rsidR="00D757F8" w:rsidRPr="004E3E19" w:rsidRDefault="0033330E" w:rsidP="00424106">
      <w:pPr>
        <w:adjustRightInd w:val="0"/>
        <w:snapToGrid w:val="0"/>
        <w:spacing w:after="0" w:line="360" w:lineRule="auto"/>
        <w:jc w:val="left"/>
        <w:rPr>
          <w:rFonts w:ascii="Book Antiqua" w:hAnsi="Book Antiqua" w:cs="Book Antiqua"/>
          <w:b/>
          <w:bCs/>
          <w:sz w:val="24"/>
          <w:lang w:val="en-GB"/>
        </w:rPr>
      </w:pPr>
      <w:r>
        <w:rPr>
          <w:rFonts w:ascii="Book Antiqua" w:hAnsi="Book Antiqua" w:cs="Book Antiqua"/>
          <w:b/>
          <w:bCs/>
          <w:sz w:val="24"/>
          <w:lang w:val="en-GB"/>
        </w:rPr>
        <w:t>Figure</w:t>
      </w:r>
      <w:r w:rsidR="002905C9" w:rsidRPr="004E3E19">
        <w:rPr>
          <w:rFonts w:ascii="Book Antiqua" w:hAnsi="Book Antiqua" w:cs="Book Antiqua"/>
          <w:b/>
          <w:bCs/>
          <w:sz w:val="24"/>
          <w:lang w:val="en-GB"/>
        </w:rPr>
        <w:t xml:space="preserve"> 1</w:t>
      </w:r>
      <w:r w:rsidR="0027090D">
        <w:rPr>
          <w:rFonts w:ascii="Book Antiqua" w:hAnsi="Book Antiqua" w:cs="Book Antiqua" w:hint="eastAsia"/>
          <w:b/>
          <w:bCs/>
          <w:sz w:val="24"/>
        </w:rPr>
        <w:t xml:space="preserve"> </w:t>
      </w:r>
      <w:r w:rsidR="002905C9" w:rsidRPr="004E3E19">
        <w:rPr>
          <w:rFonts w:ascii="Book Antiqua" w:hAnsi="Book Antiqua" w:cs="Book Antiqua"/>
          <w:b/>
          <w:bCs/>
          <w:sz w:val="24"/>
          <w:lang w:val="en-GB"/>
        </w:rPr>
        <w:t>Flow chart of literature inclusion and exclusion</w:t>
      </w:r>
      <w:r w:rsidR="0027090D">
        <w:rPr>
          <w:rFonts w:ascii="Book Antiqua" w:hAnsi="Book Antiqua" w:cs="Book Antiqua" w:hint="eastAsia"/>
          <w:b/>
          <w:bCs/>
          <w:sz w:val="24"/>
          <w:lang w:val="en-GB"/>
        </w:rPr>
        <w:t>.</w:t>
      </w:r>
    </w:p>
    <w:p w:rsidR="00D757F8" w:rsidRPr="004E3E19" w:rsidRDefault="002905C9" w:rsidP="00424106">
      <w:pPr>
        <w:pStyle w:val="EndNoteBibliography"/>
        <w:adjustRightInd w:val="0"/>
        <w:snapToGrid w:val="0"/>
        <w:spacing w:after="0" w:line="360" w:lineRule="auto"/>
        <w:ind w:left="502" w:hangingChars="209" w:hanging="502"/>
        <w:rPr>
          <w:rFonts w:ascii="Book Antiqua" w:hAnsi="Book Antiqua" w:cs="Book Antiqua"/>
          <w:sz w:val="24"/>
        </w:rPr>
      </w:pPr>
      <w:r w:rsidRPr="004E3E19">
        <w:rPr>
          <w:rFonts w:ascii="Book Antiqua" w:hAnsi="Book Antiqua" w:cs="Book Antiqua"/>
          <w:sz w:val="24"/>
        </w:rPr>
        <w:br w:type="page"/>
      </w:r>
    </w:p>
    <w:p w:rsidR="00D757F8" w:rsidRPr="004E3E19" w:rsidRDefault="002905C9" w:rsidP="00424106">
      <w:pPr>
        <w:adjustRightInd w:val="0"/>
        <w:snapToGrid w:val="0"/>
        <w:spacing w:after="0" w:line="360" w:lineRule="auto"/>
        <w:jc w:val="left"/>
        <w:rPr>
          <w:rFonts w:ascii="Book Antiqua" w:hAnsi="Book Antiqua" w:cs="Book Antiqua"/>
          <w:sz w:val="24"/>
          <w:lang w:val="en-GB"/>
        </w:rPr>
      </w:pPr>
      <w:r w:rsidRPr="004E3E19">
        <w:rPr>
          <w:rFonts w:ascii="Book Antiqua" w:hAnsi="Book Antiqua" w:cs="Book Antiqua"/>
          <w:noProof/>
          <w:sz w:val="24"/>
        </w:rPr>
        <w:lastRenderedPageBreak/>
        <w:drawing>
          <wp:inline distT="0" distB="0" distL="114300" distR="114300" wp14:anchorId="4810A5FF" wp14:editId="41BCF4BD">
            <wp:extent cx="4572000" cy="4657090"/>
            <wp:effectExtent l="0" t="0" r="0" b="10160"/>
            <wp:docPr id="9" name="图片 9" descr="Type of cancer修改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Type of cancer修改后"/>
                    <pic:cNvPicPr>
                      <a:picLocks noChangeAspect="1"/>
                    </pic:cNvPicPr>
                  </pic:nvPicPr>
                  <pic:blipFill>
                    <a:blip r:embed="rId9"/>
                    <a:stretch>
                      <a:fillRect/>
                    </a:stretch>
                  </pic:blipFill>
                  <pic:spPr>
                    <a:xfrm>
                      <a:off x="0" y="0"/>
                      <a:ext cx="4572000" cy="4657090"/>
                    </a:xfrm>
                    <a:prstGeom prst="rect">
                      <a:avLst/>
                    </a:prstGeom>
                    <a:noFill/>
                    <a:ln w="9525">
                      <a:noFill/>
                    </a:ln>
                  </pic:spPr>
                </pic:pic>
              </a:graphicData>
            </a:graphic>
          </wp:inline>
        </w:drawing>
      </w:r>
    </w:p>
    <w:p w:rsidR="00D757F8" w:rsidRPr="004E3E19" w:rsidRDefault="0033330E" w:rsidP="00424106">
      <w:pPr>
        <w:adjustRightInd w:val="0"/>
        <w:snapToGrid w:val="0"/>
        <w:spacing w:after="0" w:line="360" w:lineRule="auto"/>
        <w:jc w:val="left"/>
        <w:rPr>
          <w:rFonts w:ascii="Book Antiqua" w:hAnsi="Book Antiqua" w:cs="Book Antiqua"/>
          <w:b/>
          <w:bCs/>
          <w:sz w:val="24"/>
          <w:lang w:val="en-GB"/>
        </w:rPr>
      </w:pPr>
      <w:r>
        <w:rPr>
          <w:rFonts w:ascii="Book Antiqua" w:hAnsi="Book Antiqua" w:cs="Book Antiqua"/>
          <w:b/>
          <w:bCs/>
          <w:sz w:val="24"/>
          <w:lang w:val="en-GB"/>
        </w:rPr>
        <w:t>Figure</w:t>
      </w:r>
      <w:r w:rsidR="002905C9" w:rsidRPr="004E3E19">
        <w:rPr>
          <w:rFonts w:ascii="Book Antiqua" w:hAnsi="Book Antiqua" w:cs="Book Antiqua"/>
          <w:b/>
          <w:bCs/>
          <w:sz w:val="24"/>
          <w:lang w:val="en-GB"/>
        </w:rPr>
        <w:t xml:space="preserve"> 2 </w:t>
      </w:r>
      <w:r w:rsidR="002905C9" w:rsidRPr="0027090D">
        <w:rPr>
          <w:rFonts w:ascii="Book Antiqua" w:hAnsi="Book Antiqua" w:cs="Book Antiqua"/>
          <w:b/>
          <w:bCs/>
          <w:caps/>
          <w:sz w:val="24"/>
          <w:lang w:val="en-GB"/>
        </w:rPr>
        <w:t>f</w:t>
      </w:r>
      <w:r w:rsidR="002905C9" w:rsidRPr="004E3E19">
        <w:rPr>
          <w:rFonts w:ascii="Book Antiqua" w:hAnsi="Book Antiqua" w:cs="Book Antiqua"/>
          <w:b/>
          <w:bCs/>
          <w:sz w:val="24"/>
          <w:lang w:val="en-GB"/>
        </w:rPr>
        <w:t xml:space="preserve">orest plot of the stratified analysis of the COX-2 -1195G&gt;A dominant model (AA/AG </w:t>
      </w:r>
      <w:r w:rsidR="00670816" w:rsidRPr="004E3E19">
        <w:rPr>
          <w:rFonts w:ascii="Book Antiqua" w:hAnsi="Book Antiqua" w:cs="Book Antiqua"/>
          <w:b/>
          <w:bCs/>
          <w:i/>
          <w:sz w:val="24"/>
          <w:lang w:val="en-GB"/>
        </w:rPr>
        <w:t>vs</w:t>
      </w:r>
      <w:r w:rsidR="002905C9" w:rsidRPr="004E3E19">
        <w:rPr>
          <w:rFonts w:ascii="Book Antiqua" w:hAnsi="Book Antiqua" w:cs="Book Antiqua"/>
          <w:b/>
          <w:bCs/>
          <w:sz w:val="24"/>
          <w:lang w:val="en-GB"/>
        </w:rPr>
        <w:t xml:space="preserve"> GG) and susceptibility to gastrointestinal cancers in different tumour types</w:t>
      </w:r>
      <w:r w:rsidR="0027090D">
        <w:rPr>
          <w:rFonts w:ascii="Book Antiqua" w:hAnsi="Book Antiqua" w:cs="Book Antiqua" w:hint="eastAsia"/>
          <w:b/>
          <w:bCs/>
          <w:sz w:val="24"/>
          <w:lang w:val="en-GB"/>
        </w:rPr>
        <w:t>.</w:t>
      </w:r>
    </w:p>
    <w:p w:rsidR="00D757F8" w:rsidRPr="004E3E19" w:rsidRDefault="002905C9" w:rsidP="00424106">
      <w:pPr>
        <w:pStyle w:val="EndNoteBibliography"/>
        <w:adjustRightInd w:val="0"/>
        <w:snapToGrid w:val="0"/>
        <w:spacing w:after="0" w:line="360" w:lineRule="auto"/>
        <w:ind w:left="502" w:hangingChars="209" w:hanging="502"/>
        <w:rPr>
          <w:rFonts w:ascii="Book Antiqua" w:hAnsi="Book Antiqua" w:cs="Book Antiqua"/>
          <w:sz w:val="24"/>
        </w:rPr>
      </w:pPr>
      <w:r w:rsidRPr="004E3E19">
        <w:rPr>
          <w:rFonts w:ascii="Book Antiqua" w:hAnsi="Book Antiqua" w:cs="Book Antiqua"/>
          <w:sz w:val="24"/>
        </w:rPr>
        <w:br w:type="page"/>
      </w:r>
    </w:p>
    <w:p w:rsidR="00D757F8" w:rsidRPr="004E3E19" w:rsidRDefault="002905C9" w:rsidP="00424106">
      <w:pPr>
        <w:adjustRightInd w:val="0"/>
        <w:snapToGrid w:val="0"/>
        <w:spacing w:after="0" w:line="360" w:lineRule="auto"/>
        <w:jc w:val="left"/>
        <w:rPr>
          <w:rFonts w:ascii="Book Antiqua" w:hAnsi="Book Antiqua" w:cs="Book Antiqua"/>
          <w:kern w:val="0"/>
          <w:sz w:val="24"/>
          <w:lang w:val="en-GB"/>
        </w:rPr>
      </w:pPr>
      <w:r w:rsidRPr="004E3E19">
        <w:rPr>
          <w:rFonts w:ascii="Book Antiqua" w:hAnsi="Book Antiqua" w:cs="Book Antiqua"/>
          <w:noProof/>
          <w:sz w:val="24"/>
        </w:rPr>
        <w:lastRenderedPageBreak/>
        <w:drawing>
          <wp:inline distT="0" distB="0" distL="114300" distR="114300" wp14:anchorId="0905CCFB" wp14:editId="3E957640">
            <wp:extent cx="4572000" cy="4782185"/>
            <wp:effectExtent l="0" t="0" r="0" b="18415"/>
            <wp:docPr id="10" name="图片 10" descr="Ethnicity 修改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Ethnicity 修改后"/>
                    <pic:cNvPicPr>
                      <a:picLocks noChangeAspect="1"/>
                    </pic:cNvPicPr>
                  </pic:nvPicPr>
                  <pic:blipFill>
                    <a:blip r:embed="rId10"/>
                    <a:stretch>
                      <a:fillRect/>
                    </a:stretch>
                  </pic:blipFill>
                  <pic:spPr>
                    <a:xfrm>
                      <a:off x="0" y="0"/>
                      <a:ext cx="4572000" cy="4782185"/>
                    </a:xfrm>
                    <a:prstGeom prst="rect">
                      <a:avLst/>
                    </a:prstGeom>
                    <a:noFill/>
                    <a:ln w="9525">
                      <a:noFill/>
                    </a:ln>
                  </pic:spPr>
                </pic:pic>
              </a:graphicData>
            </a:graphic>
          </wp:inline>
        </w:drawing>
      </w:r>
    </w:p>
    <w:p w:rsidR="00D757F8" w:rsidRPr="004E3E19" w:rsidRDefault="0033330E" w:rsidP="00424106">
      <w:pPr>
        <w:adjustRightInd w:val="0"/>
        <w:snapToGrid w:val="0"/>
        <w:spacing w:after="0" w:line="360" w:lineRule="auto"/>
        <w:jc w:val="left"/>
        <w:rPr>
          <w:rFonts w:ascii="Book Antiqua" w:hAnsi="Book Antiqua" w:cs="Book Antiqua"/>
          <w:b/>
          <w:bCs/>
          <w:kern w:val="0"/>
          <w:sz w:val="24"/>
          <w:lang w:val="en-GB"/>
        </w:rPr>
      </w:pPr>
      <w:r>
        <w:rPr>
          <w:rFonts w:ascii="Book Antiqua" w:hAnsi="Book Antiqua" w:cs="Book Antiqua"/>
          <w:b/>
          <w:bCs/>
          <w:kern w:val="0"/>
          <w:sz w:val="24"/>
          <w:lang w:val="en-GB"/>
        </w:rPr>
        <w:t>Figure 3</w:t>
      </w:r>
      <w:r w:rsidR="002905C9" w:rsidRPr="004E3E19">
        <w:rPr>
          <w:rFonts w:ascii="Book Antiqua" w:hAnsi="Book Antiqua" w:cs="Book Antiqua"/>
          <w:b/>
          <w:bCs/>
          <w:kern w:val="0"/>
          <w:sz w:val="24"/>
          <w:lang w:val="en-GB"/>
        </w:rPr>
        <w:t xml:space="preserve"> </w:t>
      </w:r>
      <w:r w:rsidR="002905C9" w:rsidRPr="0033330E">
        <w:rPr>
          <w:rFonts w:ascii="Book Antiqua" w:hAnsi="Book Antiqua" w:cs="Book Antiqua"/>
          <w:b/>
          <w:bCs/>
          <w:caps/>
          <w:kern w:val="0"/>
          <w:sz w:val="24"/>
          <w:lang w:val="en-GB"/>
        </w:rPr>
        <w:t>f</w:t>
      </w:r>
      <w:r w:rsidR="002905C9" w:rsidRPr="004E3E19">
        <w:rPr>
          <w:rFonts w:ascii="Book Antiqua" w:hAnsi="Book Antiqua" w:cs="Book Antiqua"/>
          <w:b/>
          <w:bCs/>
          <w:kern w:val="0"/>
          <w:sz w:val="24"/>
          <w:lang w:val="en-GB"/>
        </w:rPr>
        <w:t xml:space="preserve">orest plot of stratified analysis of the COX-2 -1195G&gt;A dominant model (AA/AG </w:t>
      </w:r>
      <w:r w:rsidR="00670816" w:rsidRPr="004E3E19">
        <w:rPr>
          <w:rFonts w:ascii="Book Antiqua" w:hAnsi="Book Antiqua" w:cs="Book Antiqua"/>
          <w:b/>
          <w:bCs/>
          <w:i/>
          <w:kern w:val="0"/>
          <w:sz w:val="24"/>
          <w:lang w:val="en-GB"/>
        </w:rPr>
        <w:t>vs</w:t>
      </w:r>
      <w:r w:rsidR="002905C9" w:rsidRPr="004E3E19">
        <w:rPr>
          <w:rFonts w:ascii="Book Antiqua" w:hAnsi="Book Antiqua" w:cs="Book Antiqua"/>
          <w:b/>
          <w:bCs/>
          <w:kern w:val="0"/>
          <w:sz w:val="24"/>
          <w:lang w:val="en-GB"/>
        </w:rPr>
        <w:t xml:space="preserve"> GG) and the gastrointestinal cancer susceptibility in different populations</w:t>
      </w:r>
      <w:r>
        <w:rPr>
          <w:rFonts w:ascii="Book Antiqua" w:hAnsi="Book Antiqua" w:cs="Book Antiqua" w:hint="eastAsia"/>
          <w:b/>
          <w:bCs/>
          <w:kern w:val="0"/>
          <w:sz w:val="24"/>
          <w:lang w:val="en-GB"/>
        </w:rPr>
        <w:t>.</w:t>
      </w:r>
    </w:p>
    <w:p w:rsidR="00D757F8" w:rsidRPr="004E3E19" w:rsidRDefault="002905C9" w:rsidP="00424106">
      <w:pPr>
        <w:pStyle w:val="EndNoteBibliography"/>
        <w:adjustRightInd w:val="0"/>
        <w:snapToGrid w:val="0"/>
        <w:spacing w:after="0" w:line="360" w:lineRule="auto"/>
        <w:ind w:left="502" w:hangingChars="209" w:hanging="502"/>
        <w:rPr>
          <w:rFonts w:ascii="Book Antiqua" w:hAnsi="Book Antiqua" w:cs="Book Antiqua"/>
          <w:sz w:val="24"/>
        </w:rPr>
      </w:pPr>
      <w:r w:rsidRPr="004E3E19">
        <w:rPr>
          <w:rFonts w:ascii="Book Antiqua" w:hAnsi="Book Antiqua" w:cs="Book Antiqua"/>
          <w:sz w:val="24"/>
        </w:rPr>
        <w:br w:type="page"/>
      </w:r>
    </w:p>
    <w:p w:rsidR="00D757F8" w:rsidRPr="004E3E19" w:rsidRDefault="002905C9" w:rsidP="00424106">
      <w:pPr>
        <w:adjustRightInd w:val="0"/>
        <w:snapToGrid w:val="0"/>
        <w:spacing w:after="0" w:line="360" w:lineRule="auto"/>
        <w:jc w:val="left"/>
        <w:rPr>
          <w:rFonts w:ascii="Book Antiqua" w:hAnsi="Book Antiqua" w:cs="Book Antiqua"/>
          <w:kern w:val="0"/>
          <w:sz w:val="24"/>
          <w:lang w:val="en-GB"/>
        </w:rPr>
      </w:pPr>
      <w:r w:rsidRPr="004E3E19">
        <w:rPr>
          <w:rFonts w:ascii="Book Antiqua" w:hAnsi="Book Antiqua" w:cs="Book Antiqua"/>
          <w:noProof/>
          <w:sz w:val="24"/>
        </w:rPr>
        <w:lastRenderedPageBreak/>
        <w:drawing>
          <wp:inline distT="0" distB="0" distL="114300" distR="114300" wp14:anchorId="06E65084" wp14:editId="4CAB9492">
            <wp:extent cx="4572000" cy="2857500"/>
            <wp:effectExtent l="0" t="0" r="0" b="0"/>
            <wp:docPr id="12" name="图片 12" descr="敏感性分析 修改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敏感性分析 修改后"/>
                    <pic:cNvPicPr>
                      <a:picLocks noChangeAspect="1"/>
                    </pic:cNvPicPr>
                  </pic:nvPicPr>
                  <pic:blipFill>
                    <a:blip r:embed="rId11"/>
                    <a:srcRect b="6250"/>
                    <a:stretch>
                      <a:fillRect/>
                    </a:stretch>
                  </pic:blipFill>
                  <pic:spPr>
                    <a:xfrm>
                      <a:off x="0" y="0"/>
                      <a:ext cx="4572000" cy="2857500"/>
                    </a:xfrm>
                    <a:prstGeom prst="rect">
                      <a:avLst/>
                    </a:prstGeom>
                    <a:noFill/>
                    <a:ln w="9525">
                      <a:noFill/>
                    </a:ln>
                  </pic:spPr>
                </pic:pic>
              </a:graphicData>
            </a:graphic>
          </wp:inline>
        </w:drawing>
      </w:r>
    </w:p>
    <w:p w:rsidR="00D757F8" w:rsidRPr="004E3E19" w:rsidRDefault="0033330E" w:rsidP="00424106">
      <w:pPr>
        <w:adjustRightInd w:val="0"/>
        <w:snapToGrid w:val="0"/>
        <w:spacing w:after="0" w:line="360" w:lineRule="auto"/>
        <w:jc w:val="left"/>
        <w:rPr>
          <w:rFonts w:ascii="Book Antiqua" w:hAnsi="Book Antiqua" w:cs="Book Antiqua"/>
          <w:b/>
          <w:bCs/>
          <w:kern w:val="0"/>
          <w:sz w:val="24"/>
          <w:lang w:val="en-GB"/>
        </w:rPr>
      </w:pPr>
      <w:r>
        <w:rPr>
          <w:rFonts w:ascii="Book Antiqua" w:hAnsi="Book Antiqua" w:cs="Book Antiqua"/>
          <w:b/>
          <w:bCs/>
          <w:kern w:val="0"/>
          <w:sz w:val="24"/>
          <w:lang w:val="en-GB"/>
        </w:rPr>
        <w:t>Figure 4</w:t>
      </w:r>
      <w:r w:rsidR="002905C9" w:rsidRPr="004E3E19">
        <w:rPr>
          <w:rFonts w:ascii="Book Antiqua" w:hAnsi="Book Antiqua" w:cs="Book Antiqua"/>
          <w:b/>
          <w:bCs/>
          <w:kern w:val="0"/>
          <w:sz w:val="24"/>
          <w:lang w:val="en-GB"/>
        </w:rPr>
        <w:t xml:space="preserve"> Analysis of the influence of a single study on the total combined OR in the dominant model (AA/AG </w:t>
      </w:r>
      <w:r w:rsidR="00670816" w:rsidRPr="004E3E19">
        <w:rPr>
          <w:rFonts w:ascii="Book Antiqua" w:hAnsi="Book Antiqua" w:cs="Book Antiqua"/>
          <w:b/>
          <w:bCs/>
          <w:i/>
          <w:kern w:val="0"/>
          <w:sz w:val="24"/>
          <w:lang w:val="en-GB"/>
        </w:rPr>
        <w:t>vs</w:t>
      </w:r>
      <w:r w:rsidR="002905C9" w:rsidRPr="004E3E19">
        <w:rPr>
          <w:rFonts w:ascii="Book Antiqua" w:hAnsi="Book Antiqua" w:cs="Book Antiqua"/>
          <w:b/>
          <w:bCs/>
          <w:kern w:val="0"/>
          <w:sz w:val="24"/>
          <w:lang w:val="en-GB"/>
        </w:rPr>
        <w:t xml:space="preserve"> GG)</w:t>
      </w:r>
      <w:r>
        <w:rPr>
          <w:rFonts w:ascii="Book Antiqua" w:hAnsi="Book Antiqua" w:cs="Book Antiqua" w:hint="eastAsia"/>
          <w:b/>
          <w:bCs/>
          <w:kern w:val="0"/>
          <w:sz w:val="24"/>
          <w:lang w:val="en-GB"/>
        </w:rPr>
        <w:t>.</w:t>
      </w:r>
    </w:p>
    <w:p w:rsidR="00D757F8" w:rsidRPr="004E3E19" w:rsidRDefault="002905C9" w:rsidP="00424106">
      <w:pPr>
        <w:pStyle w:val="EndNoteBibliography"/>
        <w:adjustRightInd w:val="0"/>
        <w:snapToGrid w:val="0"/>
        <w:spacing w:after="0" w:line="360" w:lineRule="auto"/>
        <w:ind w:left="502" w:hangingChars="209" w:hanging="502"/>
        <w:rPr>
          <w:rFonts w:ascii="Book Antiqua" w:hAnsi="Book Antiqua" w:cs="Book Antiqua"/>
          <w:sz w:val="24"/>
        </w:rPr>
      </w:pPr>
      <w:r w:rsidRPr="004E3E19">
        <w:rPr>
          <w:rFonts w:ascii="Book Antiqua" w:hAnsi="Book Antiqua" w:cs="Book Antiqua"/>
          <w:sz w:val="24"/>
        </w:rPr>
        <w:br w:type="page"/>
      </w:r>
    </w:p>
    <w:p w:rsidR="00D757F8" w:rsidRPr="004E3E19" w:rsidRDefault="002905C9" w:rsidP="00424106">
      <w:pPr>
        <w:adjustRightInd w:val="0"/>
        <w:snapToGrid w:val="0"/>
        <w:spacing w:after="0" w:line="360" w:lineRule="auto"/>
        <w:jc w:val="left"/>
        <w:rPr>
          <w:rFonts w:ascii="Book Antiqua" w:hAnsi="Book Antiqua" w:cs="Book Antiqua"/>
          <w:kern w:val="0"/>
          <w:sz w:val="24"/>
          <w:lang w:val="en-GB"/>
        </w:rPr>
      </w:pPr>
      <w:r w:rsidRPr="004E3E19">
        <w:rPr>
          <w:rFonts w:ascii="Book Antiqua" w:hAnsi="Book Antiqua" w:cs="Book Antiqua"/>
          <w:noProof/>
          <w:sz w:val="24"/>
        </w:rPr>
        <w:lastRenderedPageBreak/>
        <w:drawing>
          <wp:inline distT="0" distB="0" distL="114300" distR="114300" wp14:anchorId="6D6F7CDA" wp14:editId="6915B2E6">
            <wp:extent cx="4572000" cy="4822190"/>
            <wp:effectExtent l="0" t="0" r="0" b="16510"/>
            <wp:docPr id="13" name="图片 13" descr="累计meta 修改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累计meta 修改后"/>
                    <pic:cNvPicPr>
                      <a:picLocks noChangeAspect="1"/>
                    </pic:cNvPicPr>
                  </pic:nvPicPr>
                  <pic:blipFill>
                    <a:blip r:embed="rId12"/>
                    <a:stretch>
                      <a:fillRect/>
                    </a:stretch>
                  </pic:blipFill>
                  <pic:spPr>
                    <a:xfrm>
                      <a:off x="0" y="0"/>
                      <a:ext cx="4572000" cy="4822190"/>
                    </a:xfrm>
                    <a:prstGeom prst="rect">
                      <a:avLst/>
                    </a:prstGeom>
                    <a:noFill/>
                    <a:ln w="9525">
                      <a:noFill/>
                    </a:ln>
                  </pic:spPr>
                </pic:pic>
              </a:graphicData>
            </a:graphic>
          </wp:inline>
        </w:drawing>
      </w:r>
    </w:p>
    <w:p w:rsidR="00D757F8" w:rsidRPr="004E3E19" w:rsidRDefault="0033330E" w:rsidP="00424106">
      <w:pPr>
        <w:adjustRightInd w:val="0"/>
        <w:snapToGrid w:val="0"/>
        <w:spacing w:after="0" w:line="360" w:lineRule="auto"/>
        <w:jc w:val="left"/>
        <w:rPr>
          <w:rFonts w:ascii="Book Antiqua" w:hAnsi="Book Antiqua" w:cs="Book Antiqua"/>
          <w:b/>
          <w:bCs/>
          <w:kern w:val="0"/>
          <w:sz w:val="24"/>
          <w:lang w:val="en-GB"/>
        </w:rPr>
      </w:pPr>
      <w:r>
        <w:rPr>
          <w:rFonts w:ascii="Book Antiqua" w:hAnsi="Book Antiqua" w:cs="Book Antiqua"/>
          <w:b/>
          <w:bCs/>
          <w:kern w:val="0"/>
          <w:sz w:val="24"/>
          <w:lang w:val="en-GB"/>
        </w:rPr>
        <w:t>Figure</w:t>
      </w:r>
      <w:r w:rsidR="00985714">
        <w:rPr>
          <w:rFonts w:ascii="Book Antiqua" w:hAnsi="Book Antiqua" w:cs="Book Antiqua"/>
          <w:b/>
          <w:bCs/>
          <w:kern w:val="0"/>
          <w:sz w:val="24"/>
          <w:lang w:val="en-GB"/>
        </w:rPr>
        <w:t xml:space="preserve"> 5</w:t>
      </w:r>
      <w:r w:rsidR="002905C9" w:rsidRPr="004E3E19">
        <w:rPr>
          <w:rFonts w:ascii="Book Antiqua" w:hAnsi="Book Antiqua" w:cs="Book Antiqua"/>
          <w:b/>
          <w:bCs/>
          <w:kern w:val="0"/>
          <w:sz w:val="24"/>
          <w:lang w:val="en-GB"/>
        </w:rPr>
        <w:t xml:space="preserve"> </w:t>
      </w:r>
      <w:r w:rsidR="002905C9" w:rsidRPr="00985714">
        <w:rPr>
          <w:rFonts w:ascii="Book Antiqua" w:hAnsi="Book Antiqua" w:cs="Book Antiqua"/>
          <w:b/>
          <w:bCs/>
          <w:caps/>
          <w:kern w:val="0"/>
          <w:sz w:val="24"/>
          <w:lang w:val="en-GB"/>
        </w:rPr>
        <w:t>c</w:t>
      </w:r>
      <w:r w:rsidR="002905C9" w:rsidRPr="004E3E19">
        <w:rPr>
          <w:rFonts w:ascii="Book Antiqua" w:hAnsi="Book Antiqua" w:cs="Book Antiqua"/>
          <w:b/>
          <w:bCs/>
          <w:kern w:val="0"/>
          <w:sz w:val="24"/>
          <w:lang w:val="en-GB"/>
        </w:rPr>
        <w:t xml:space="preserve">umulative meta-analysis of the COX-2 -1195G&gt;A polymorphism and gastrointestinal cancer susceptibility in the dominant model (AA/AG </w:t>
      </w:r>
      <w:r w:rsidR="00670816" w:rsidRPr="004E3E19">
        <w:rPr>
          <w:rFonts w:ascii="Book Antiqua" w:hAnsi="Book Antiqua" w:cs="Book Antiqua"/>
          <w:b/>
          <w:bCs/>
          <w:i/>
          <w:kern w:val="0"/>
          <w:sz w:val="24"/>
          <w:lang w:val="en-GB"/>
        </w:rPr>
        <w:t>vs</w:t>
      </w:r>
      <w:r w:rsidR="002905C9" w:rsidRPr="004E3E19">
        <w:rPr>
          <w:rFonts w:ascii="Book Antiqua" w:hAnsi="Book Antiqua" w:cs="Book Antiqua"/>
          <w:b/>
          <w:bCs/>
          <w:kern w:val="0"/>
          <w:sz w:val="24"/>
          <w:lang w:val="en-GB"/>
        </w:rPr>
        <w:t xml:space="preserve"> GG)</w:t>
      </w:r>
      <w:r w:rsidR="00985714">
        <w:rPr>
          <w:rFonts w:ascii="Book Antiqua" w:hAnsi="Book Antiqua" w:cs="Book Antiqua" w:hint="eastAsia"/>
          <w:b/>
          <w:bCs/>
          <w:kern w:val="0"/>
          <w:sz w:val="24"/>
          <w:lang w:val="en-GB"/>
        </w:rPr>
        <w:t>.</w:t>
      </w:r>
    </w:p>
    <w:p w:rsidR="00D757F8" w:rsidRPr="004E3E19" w:rsidRDefault="002905C9" w:rsidP="00424106">
      <w:pPr>
        <w:pStyle w:val="EndNoteBibliography"/>
        <w:adjustRightInd w:val="0"/>
        <w:snapToGrid w:val="0"/>
        <w:spacing w:after="0" w:line="360" w:lineRule="auto"/>
        <w:ind w:left="502" w:hangingChars="209" w:hanging="502"/>
        <w:rPr>
          <w:rFonts w:ascii="Book Antiqua" w:hAnsi="Book Antiqua" w:cs="Book Antiqua"/>
          <w:sz w:val="24"/>
        </w:rPr>
      </w:pPr>
      <w:r w:rsidRPr="004E3E19">
        <w:rPr>
          <w:rFonts w:ascii="Book Antiqua" w:hAnsi="Book Antiqua" w:cs="Book Antiqua"/>
          <w:sz w:val="24"/>
        </w:rPr>
        <w:br w:type="page"/>
      </w:r>
    </w:p>
    <w:p w:rsidR="00D757F8" w:rsidRPr="004E3E19" w:rsidRDefault="002905C9" w:rsidP="00424106">
      <w:pPr>
        <w:adjustRightInd w:val="0"/>
        <w:snapToGrid w:val="0"/>
        <w:spacing w:after="0" w:line="360" w:lineRule="auto"/>
        <w:jc w:val="left"/>
        <w:rPr>
          <w:rFonts w:ascii="Book Antiqua" w:hAnsi="Book Antiqua" w:cs="Book Antiqua"/>
          <w:sz w:val="24"/>
          <w:lang w:val="en-GB"/>
        </w:rPr>
      </w:pPr>
      <w:r w:rsidRPr="004E3E19">
        <w:rPr>
          <w:rFonts w:ascii="Book Antiqua" w:hAnsi="Book Antiqua" w:cs="Book Antiqua"/>
          <w:noProof/>
          <w:sz w:val="24"/>
        </w:rPr>
        <w:lastRenderedPageBreak/>
        <w:drawing>
          <wp:inline distT="0" distB="0" distL="114300" distR="114300" wp14:anchorId="007D1D91" wp14:editId="5AE3E864">
            <wp:extent cx="4572000" cy="3048000"/>
            <wp:effectExtent l="0" t="0" r="0" b="0"/>
            <wp:docPr id="15" name="图片 15" descr="发表偏移未加权重 修改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发表偏移未加权重 修改后"/>
                    <pic:cNvPicPr>
                      <a:picLocks noChangeAspect="1"/>
                    </pic:cNvPicPr>
                  </pic:nvPicPr>
                  <pic:blipFill>
                    <a:blip r:embed="rId13"/>
                    <a:stretch>
                      <a:fillRect/>
                    </a:stretch>
                  </pic:blipFill>
                  <pic:spPr>
                    <a:xfrm>
                      <a:off x="0" y="0"/>
                      <a:ext cx="4572000" cy="3048000"/>
                    </a:xfrm>
                    <a:prstGeom prst="rect">
                      <a:avLst/>
                    </a:prstGeom>
                    <a:noFill/>
                    <a:ln w="9525">
                      <a:noFill/>
                    </a:ln>
                  </pic:spPr>
                </pic:pic>
              </a:graphicData>
            </a:graphic>
          </wp:inline>
        </w:drawing>
      </w:r>
    </w:p>
    <w:p w:rsidR="00D757F8" w:rsidRPr="004E3E19" w:rsidRDefault="0033330E" w:rsidP="00424106">
      <w:pPr>
        <w:adjustRightInd w:val="0"/>
        <w:snapToGrid w:val="0"/>
        <w:spacing w:after="0" w:line="360" w:lineRule="auto"/>
        <w:jc w:val="left"/>
        <w:rPr>
          <w:rFonts w:ascii="Book Antiqua" w:hAnsi="Book Antiqua" w:cs="Book Antiqua"/>
          <w:b/>
          <w:bCs/>
          <w:sz w:val="24"/>
          <w:lang w:val="en-GB"/>
        </w:rPr>
      </w:pPr>
      <w:r>
        <w:rPr>
          <w:rFonts w:ascii="Book Antiqua" w:hAnsi="Book Antiqua" w:cs="Book Antiqua"/>
          <w:b/>
          <w:bCs/>
          <w:sz w:val="24"/>
          <w:lang w:val="en-GB"/>
        </w:rPr>
        <w:t>Figure</w:t>
      </w:r>
      <w:r w:rsidR="00985714">
        <w:rPr>
          <w:rFonts w:ascii="Book Antiqua" w:hAnsi="Book Antiqua" w:cs="Book Antiqua"/>
          <w:b/>
          <w:bCs/>
          <w:sz w:val="24"/>
          <w:lang w:val="en-GB"/>
        </w:rPr>
        <w:t xml:space="preserve"> 6</w:t>
      </w:r>
      <w:r w:rsidR="002905C9" w:rsidRPr="004E3E19">
        <w:rPr>
          <w:rFonts w:ascii="Book Antiqua" w:hAnsi="Book Antiqua" w:cs="Book Antiqua"/>
          <w:b/>
          <w:bCs/>
          <w:sz w:val="24"/>
          <w:lang w:val="en-GB"/>
        </w:rPr>
        <w:t xml:space="preserve"> Begg’s funnel plot of the publication bias in the COX-2 -1195G&gt;A dominant model (AA/AG </w:t>
      </w:r>
      <w:r w:rsidR="00670816" w:rsidRPr="004E3E19">
        <w:rPr>
          <w:rFonts w:ascii="Book Antiqua" w:hAnsi="Book Antiqua" w:cs="Book Antiqua"/>
          <w:b/>
          <w:bCs/>
          <w:i/>
          <w:sz w:val="24"/>
          <w:lang w:val="en-GB"/>
        </w:rPr>
        <w:t>vs</w:t>
      </w:r>
      <w:r w:rsidR="002905C9" w:rsidRPr="004E3E19">
        <w:rPr>
          <w:rFonts w:ascii="Book Antiqua" w:hAnsi="Book Antiqua" w:cs="Book Antiqua"/>
          <w:b/>
          <w:bCs/>
          <w:sz w:val="24"/>
          <w:lang w:val="en-GB"/>
        </w:rPr>
        <w:t xml:space="preserve"> GG)</w:t>
      </w:r>
      <w:r w:rsidR="00985714">
        <w:rPr>
          <w:rFonts w:ascii="Book Antiqua" w:hAnsi="Book Antiqua" w:cs="Book Antiqua" w:hint="eastAsia"/>
          <w:b/>
          <w:bCs/>
          <w:sz w:val="24"/>
          <w:lang w:val="en-GB"/>
        </w:rPr>
        <w:t>.</w:t>
      </w:r>
    </w:p>
    <w:p w:rsidR="00D757F8" w:rsidRPr="004E3E19" w:rsidRDefault="00D757F8" w:rsidP="00424106">
      <w:pPr>
        <w:pStyle w:val="EndNoteBibliography"/>
        <w:adjustRightInd w:val="0"/>
        <w:snapToGrid w:val="0"/>
        <w:spacing w:after="0" w:line="360" w:lineRule="auto"/>
        <w:ind w:left="502" w:hangingChars="209" w:hanging="502"/>
        <w:jc w:val="both"/>
        <w:rPr>
          <w:rFonts w:ascii="Book Antiqua" w:hAnsi="Book Antiqua" w:cs="Book Antiqua"/>
          <w:sz w:val="24"/>
        </w:rPr>
      </w:pPr>
    </w:p>
    <w:p w:rsidR="00D757F8" w:rsidRPr="004E3E19" w:rsidRDefault="002905C9" w:rsidP="00424106">
      <w:pPr>
        <w:pStyle w:val="EndNoteBibliography"/>
        <w:adjustRightInd w:val="0"/>
        <w:snapToGrid w:val="0"/>
        <w:spacing w:after="0" w:line="360" w:lineRule="auto"/>
        <w:jc w:val="both"/>
        <w:rPr>
          <w:rFonts w:ascii="Book Antiqua" w:hAnsi="Book Antiqua" w:cs="Book Antiqua"/>
          <w:sz w:val="24"/>
        </w:rPr>
      </w:pPr>
      <w:r w:rsidRPr="004E3E19">
        <w:rPr>
          <w:rFonts w:ascii="Book Antiqua" w:hAnsi="Book Antiqua" w:cs="Book Antiqua"/>
          <w:sz w:val="24"/>
        </w:rPr>
        <w:br w:type="page"/>
      </w:r>
    </w:p>
    <w:p w:rsidR="00985714" w:rsidRDefault="00985714" w:rsidP="00424106">
      <w:pPr>
        <w:adjustRightInd w:val="0"/>
        <w:snapToGrid w:val="0"/>
        <w:spacing w:after="0" w:line="360" w:lineRule="auto"/>
        <w:jc w:val="left"/>
        <w:rPr>
          <w:rFonts w:ascii="Book Antiqua" w:hAnsi="Book Antiqua" w:cs="Book Antiqua"/>
          <w:b/>
          <w:bCs/>
          <w:sz w:val="24"/>
          <w:lang w:val="en-GB"/>
        </w:rPr>
      </w:pPr>
    </w:p>
    <w:p w:rsidR="00D757F8" w:rsidRPr="004E3E19" w:rsidRDefault="00985714" w:rsidP="00424106">
      <w:pPr>
        <w:adjustRightInd w:val="0"/>
        <w:snapToGrid w:val="0"/>
        <w:spacing w:after="0" w:line="360" w:lineRule="auto"/>
        <w:jc w:val="left"/>
        <w:rPr>
          <w:rFonts w:ascii="Book Antiqua" w:hAnsi="Book Antiqua" w:cs="Book Antiqua"/>
          <w:b/>
          <w:bCs/>
          <w:sz w:val="24"/>
        </w:rPr>
      </w:pPr>
      <w:r>
        <w:rPr>
          <w:rFonts w:ascii="Book Antiqua" w:hAnsi="Book Antiqua" w:cs="Book Antiqua"/>
          <w:b/>
          <w:bCs/>
          <w:sz w:val="24"/>
          <w:lang w:val="en-GB"/>
        </w:rPr>
        <w:t>Table 1</w:t>
      </w:r>
      <w:r w:rsidR="002905C9" w:rsidRPr="004E3E19">
        <w:rPr>
          <w:rFonts w:ascii="Book Antiqua" w:hAnsi="Book Antiqua" w:cs="Book Antiqua"/>
          <w:b/>
          <w:bCs/>
          <w:sz w:val="24"/>
          <w:lang w:val="en-GB"/>
        </w:rPr>
        <w:t xml:space="preserve"> </w:t>
      </w:r>
      <w:r w:rsidR="002905C9" w:rsidRPr="00985714">
        <w:rPr>
          <w:rFonts w:ascii="Book Antiqua" w:hAnsi="Book Antiqua" w:cs="Book Antiqua"/>
          <w:b/>
          <w:bCs/>
          <w:caps/>
          <w:sz w:val="24"/>
          <w:lang w:val="en-GB"/>
        </w:rPr>
        <w:t>q</w:t>
      </w:r>
      <w:r w:rsidR="002905C9" w:rsidRPr="004E3E19">
        <w:rPr>
          <w:rFonts w:ascii="Book Antiqua" w:hAnsi="Book Antiqua" w:cs="Book Antiqua"/>
          <w:b/>
          <w:bCs/>
          <w:sz w:val="24"/>
          <w:lang w:val="en-GB"/>
        </w:rPr>
        <w:t>uality evaluation scale of the included literature</w:t>
      </w:r>
    </w:p>
    <w:tbl>
      <w:tblPr>
        <w:tblpPr w:leftFromText="180" w:rightFromText="180" w:vertAnchor="text" w:horzAnchor="page" w:tblpX="1956" w:tblpY="112"/>
        <w:tblOverlap w:val="never"/>
        <w:tblW w:w="6629" w:type="dxa"/>
        <w:tblBorders>
          <w:top w:val="single" w:sz="12" w:space="0" w:color="auto"/>
          <w:bottom w:val="single" w:sz="12" w:space="0" w:color="auto"/>
        </w:tblBorders>
        <w:tblLayout w:type="fixed"/>
        <w:tblLook w:val="04A0" w:firstRow="1" w:lastRow="0" w:firstColumn="1" w:lastColumn="0" w:noHBand="0" w:noVBand="1"/>
      </w:tblPr>
      <w:tblGrid>
        <w:gridCol w:w="5778"/>
        <w:gridCol w:w="851"/>
      </w:tblGrid>
      <w:tr w:rsidR="00D757F8" w:rsidRPr="004E3E19">
        <w:tc>
          <w:tcPr>
            <w:tcW w:w="5778" w:type="dxa"/>
            <w:tcBorders>
              <w:bottom w:val="single" w:sz="4" w:space="0" w:color="auto"/>
            </w:tcBorders>
            <w:vAlign w:val="center"/>
          </w:tcPr>
          <w:p w:rsidR="00D757F8" w:rsidRPr="004E3E19" w:rsidRDefault="002905C9" w:rsidP="00424106">
            <w:pPr>
              <w:widowControl/>
              <w:adjustRightInd w:val="0"/>
              <w:snapToGrid w:val="0"/>
              <w:spacing w:after="0" w:line="360" w:lineRule="auto"/>
              <w:jc w:val="left"/>
              <w:textAlignment w:val="center"/>
              <w:rPr>
                <w:rFonts w:ascii="Book Antiqua" w:hAnsi="Book Antiqua" w:cs="Book Antiqua"/>
                <w:b/>
                <w:bCs/>
                <w:sz w:val="24"/>
              </w:rPr>
            </w:pPr>
            <w:r w:rsidRPr="004E3E19">
              <w:rPr>
                <w:rFonts w:ascii="Book Antiqua" w:hAnsi="Book Antiqua" w:cs="Book Antiqua"/>
                <w:b/>
                <w:bCs/>
                <w:color w:val="000000"/>
                <w:kern w:val="0"/>
                <w:sz w:val="24"/>
                <w:lang w:bidi="ar"/>
              </w:rPr>
              <w:t>Criterion</w:t>
            </w:r>
          </w:p>
        </w:tc>
        <w:tc>
          <w:tcPr>
            <w:tcW w:w="851" w:type="dxa"/>
            <w:tcBorders>
              <w:bottom w:val="single" w:sz="4" w:space="0" w:color="auto"/>
            </w:tcBorders>
            <w:vAlign w:val="center"/>
          </w:tcPr>
          <w:p w:rsidR="00D757F8" w:rsidRPr="004E3E19" w:rsidRDefault="002905C9" w:rsidP="00424106">
            <w:pPr>
              <w:widowControl/>
              <w:adjustRightInd w:val="0"/>
              <w:snapToGrid w:val="0"/>
              <w:spacing w:after="0" w:line="360" w:lineRule="auto"/>
              <w:jc w:val="left"/>
              <w:textAlignment w:val="center"/>
              <w:rPr>
                <w:rFonts w:ascii="Book Antiqua" w:hAnsi="Book Antiqua" w:cs="Book Antiqua"/>
                <w:b/>
                <w:bCs/>
                <w:sz w:val="24"/>
              </w:rPr>
            </w:pPr>
            <w:r w:rsidRPr="004E3E19">
              <w:rPr>
                <w:rFonts w:ascii="Book Antiqua" w:hAnsi="Book Antiqua" w:cs="Book Antiqua"/>
                <w:b/>
                <w:bCs/>
                <w:color w:val="000000"/>
                <w:kern w:val="0"/>
                <w:sz w:val="24"/>
                <w:lang w:bidi="ar"/>
              </w:rPr>
              <w:t>Score</w:t>
            </w:r>
          </w:p>
        </w:tc>
      </w:tr>
      <w:tr w:rsidR="00D757F8" w:rsidRPr="004E3E19">
        <w:tc>
          <w:tcPr>
            <w:tcW w:w="5778" w:type="dxa"/>
            <w:tcBorders>
              <w:top w:val="single" w:sz="4" w:space="0" w:color="auto"/>
            </w:tcBorders>
            <w:vAlign w:val="center"/>
          </w:tcPr>
          <w:p w:rsidR="00D757F8" w:rsidRPr="004E3E19" w:rsidRDefault="002905C9" w:rsidP="00424106">
            <w:pPr>
              <w:widowControl/>
              <w:adjustRightInd w:val="0"/>
              <w:snapToGrid w:val="0"/>
              <w:spacing w:after="0" w:line="360" w:lineRule="auto"/>
              <w:jc w:val="left"/>
              <w:textAlignment w:val="center"/>
              <w:rPr>
                <w:rFonts w:ascii="Book Antiqua" w:hAnsi="Book Antiqua" w:cs="Book Antiqua"/>
                <w:sz w:val="24"/>
              </w:rPr>
            </w:pPr>
            <w:r w:rsidRPr="004E3E19">
              <w:rPr>
                <w:rFonts w:ascii="Book Antiqua" w:hAnsi="Book Antiqua" w:cs="Book Antiqua"/>
                <w:color w:val="000000"/>
                <w:kern w:val="0"/>
                <w:sz w:val="24"/>
                <w:lang w:bidi="ar"/>
              </w:rPr>
              <w:t>Representativeness of cases</w:t>
            </w:r>
          </w:p>
        </w:tc>
        <w:tc>
          <w:tcPr>
            <w:tcW w:w="851" w:type="dxa"/>
            <w:tcBorders>
              <w:top w:val="single" w:sz="4" w:space="0" w:color="auto"/>
            </w:tcBorders>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r>
      <w:tr w:rsidR="00D757F8" w:rsidRPr="004E3E19">
        <w:tc>
          <w:tcPr>
            <w:tcW w:w="5778" w:type="dxa"/>
            <w:vAlign w:val="center"/>
          </w:tcPr>
          <w:p w:rsidR="00D757F8" w:rsidRPr="004E3E19" w:rsidRDefault="002905C9" w:rsidP="00424106">
            <w:pPr>
              <w:widowControl/>
              <w:adjustRightInd w:val="0"/>
              <w:snapToGrid w:val="0"/>
              <w:spacing w:after="0" w:line="360" w:lineRule="auto"/>
              <w:jc w:val="left"/>
              <w:textAlignment w:val="center"/>
              <w:rPr>
                <w:rFonts w:ascii="Book Antiqua" w:hAnsi="Book Antiqua" w:cs="Book Antiqua"/>
                <w:sz w:val="24"/>
              </w:rPr>
            </w:pPr>
            <w:r w:rsidRPr="004E3E19">
              <w:rPr>
                <w:rFonts w:ascii="Book Antiqua" w:hAnsi="Book Antiqua" w:cs="Book Antiqua"/>
                <w:color w:val="000000"/>
                <w:kern w:val="0"/>
                <w:sz w:val="24"/>
                <w:lang w:bidi="ar"/>
              </w:rPr>
              <w:t xml:space="preserve">  Selected from population or cancer registry </w:t>
            </w:r>
          </w:p>
        </w:tc>
        <w:tc>
          <w:tcPr>
            <w:tcW w:w="851"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w:t>
            </w:r>
          </w:p>
        </w:tc>
      </w:tr>
      <w:tr w:rsidR="00D757F8" w:rsidRPr="004E3E19">
        <w:tc>
          <w:tcPr>
            <w:tcW w:w="5778" w:type="dxa"/>
            <w:vAlign w:val="center"/>
          </w:tcPr>
          <w:p w:rsidR="00D757F8" w:rsidRPr="004E3E19" w:rsidRDefault="002905C9" w:rsidP="00424106">
            <w:pPr>
              <w:widowControl/>
              <w:adjustRightInd w:val="0"/>
              <w:snapToGrid w:val="0"/>
              <w:spacing w:after="0" w:line="360" w:lineRule="auto"/>
              <w:jc w:val="left"/>
              <w:textAlignment w:val="center"/>
              <w:rPr>
                <w:rFonts w:ascii="Book Antiqua" w:hAnsi="Book Antiqua" w:cs="Book Antiqua"/>
                <w:sz w:val="24"/>
              </w:rPr>
            </w:pPr>
            <w:r w:rsidRPr="004E3E19">
              <w:rPr>
                <w:rFonts w:ascii="Book Antiqua" w:hAnsi="Book Antiqua" w:cs="Book Antiqua"/>
                <w:color w:val="000000"/>
                <w:kern w:val="0"/>
                <w:sz w:val="24"/>
                <w:lang w:bidi="ar"/>
              </w:rPr>
              <w:t xml:space="preserve">  Selected from hospital</w:t>
            </w:r>
          </w:p>
        </w:tc>
        <w:tc>
          <w:tcPr>
            <w:tcW w:w="851"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w:t>
            </w:r>
          </w:p>
        </w:tc>
      </w:tr>
      <w:tr w:rsidR="00D757F8" w:rsidRPr="004E3E19">
        <w:tc>
          <w:tcPr>
            <w:tcW w:w="5778" w:type="dxa"/>
            <w:vAlign w:val="center"/>
          </w:tcPr>
          <w:p w:rsidR="00D757F8" w:rsidRPr="004E3E19" w:rsidRDefault="002905C9" w:rsidP="00424106">
            <w:pPr>
              <w:widowControl/>
              <w:adjustRightInd w:val="0"/>
              <w:snapToGrid w:val="0"/>
              <w:spacing w:after="0" w:line="360" w:lineRule="auto"/>
              <w:jc w:val="left"/>
              <w:textAlignment w:val="center"/>
              <w:rPr>
                <w:rFonts w:ascii="Book Antiqua" w:hAnsi="Book Antiqua" w:cs="Book Antiqua"/>
                <w:sz w:val="24"/>
              </w:rPr>
            </w:pPr>
            <w:r w:rsidRPr="004E3E19">
              <w:rPr>
                <w:rFonts w:ascii="Book Antiqua" w:hAnsi="Book Antiqua" w:cs="Book Antiqua"/>
                <w:color w:val="000000"/>
                <w:kern w:val="0"/>
                <w:sz w:val="24"/>
                <w:lang w:bidi="ar"/>
              </w:rPr>
              <w:t xml:space="preserve">  Selected from pathology archives, but without description</w:t>
            </w:r>
          </w:p>
        </w:tc>
        <w:tc>
          <w:tcPr>
            <w:tcW w:w="851"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w:t>
            </w:r>
          </w:p>
        </w:tc>
      </w:tr>
      <w:tr w:rsidR="00D757F8" w:rsidRPr="004E3E19">
        <w:tc>
          <w:tcPr>
            <w:tcW w:w="5778" w:type="dxa"/>
            <w:vAlign w:val="center"/>
          </w:tcPr>
          <w:p w:rsidR="00D757F8" w:rsidRPr="004E3E19" w:rsidRDefault="002905C9" w:rsidP="00424106">
            <w:pPr>
              <w:widowControl/>
              <w:adjustRightInd w:val="0"/>
              <w:snapToGrid w:val="0"/>
              <w:spacing w:after="0" w:line="360" w:lineRule="auto"/>
              <w:jc w:val="left"/>
              <w:textAlignment w:val="center"/>
              <w:rPr>
                <w:rFonts w:ascii="Book Antiqua" w:hAnsi="Book Antiqua" w:cs="Book Antiqua"/>
                <w:sz w:val="24"/>
              </w:rPr>
            </w:pPr>
            <w:r w:rsidRPr="004E3E19">
              <w:rPr>
                <w:rFonts w:ascii="Book Antiqua" w:hAnsi="Book Antiqua" w:cs="Book Antiqua"/>
                <w:color w:val="000000"/>
                <w:kern w:val="0"/>
                <w:sz w:val="24"/>
                <w:lang w:bidi="ar"/>
              </w:rPr>
              <w:t xml:space="preserve">  Not described </w:t>
            </w:r>
          </w:p>
        </w:tc>
        <w:tc>
          <w:tcPr>
            <w:tcW w:w="851"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0</w:t>
            </w:r>
          </w:p>
        </w:tc>
      </w:tr>
      <w:tr w:rsidR="00D757F8" w:rsidRPr="004E3E19">
        <w:tc>
          <w:tcPr>
            <w:tcW w:w="5778" w:type="dxa"/>
            <w:vAlign w:val="center"/>
          </w:tcPr>
          <w:p w:rsidR="00D757F8" w:rsidRPr="004E3E19" w:rsidRDefault="002905C9" w:rsidP="00424106">
            <w:pPr>
              <w:widowControl/>
              <w:adjustRightInd w:val="0"/>
              <w:snapToGrid w:val="0"/>
              <w:spacing w:after="0" w:line="360" w:lineRule="auto"/>
              <w:jc w:val="left"/>
              <w:textAlignment w:val="center"/>
              <w:rPr>
                <w:rFonts w:ascii="Book Antiqua" w:hAnsi="Book Antiqua" w:cs="Book Antiqua"/>
                <w:sz w:val="24"/>
              </w:rPr>
            </w:pPr>
            <w:r w:rsidRPr="004E3E19">
              <w:rPr>
                <w:rFonts w:ascii="Book Antiqua" w:hAnsi="Book Antiqua" w:cs="Book Antiqua"/>
                <w:color w:val="000000"/>
                <w:kern w:val="0"/>
                <w:sz w:val="24"/>
                <w:lang w:bidi="ar"/>
              </w:rPr>
              <w:t>Source of controls</w:t>
            </w:r>
          </w:p>
        </w:tc>
        <w:tc>
          <w:tcPr>
            <w:tcW w:w="851"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r>
      <w:tr w:rsidR="00D757F8" w:rsidRPr="004E3E19">
        <w:tc>
          <w:tcPr>
            <w:tcW w:w="5778" w:type="dxa"/>
            <w:vAlign w:val="center"/>
          </w:tcPr>
          <w:p w:rsidR="00D757F8" w:rsidRPr="004E3E19" w:rsidRDefault="002905C9" w:rsidP="00424106">
            <w:pPr>
              <w:widowControl/>
              <w:adjustRightInd w:val="0"/>
              <w:snapToGrid w:val="0"/>
              <w:spacing w:after="0" w:line="360" w:lineRule="auto"/>
              <w:jc w:val="left"/>
              <w:textAlignment w:val="center"/>
              <w:rPr>
                <w:rFonts w:ascii="Book Antiqua" w:hAnsi="Book Antiqua" w:cs="Book Antiqua"/>
                <w:sz w:val="24"/>
              </w:rPr>
            </w:pPr>
            <w:r w:rsidRPr="004E3E19">
              <w:rPr>
                <w:rFonts w:ascii="Book Antiqua" w:hAnsi="Book Antiqua" w:cs="Book Antiqua"/>
                <w:color w:val="000000"/>
                <w:kern w:val="0"/>
                <w:sz w:val="24"/>
                <w:lang w:bidi="ar"/>
              </w:rPr>
              <w:t xml:space="preserve">  Population-based</w:t>
            </w:r>
          </w:p>
        </w:tc>
        <w:tc>
          <w:tcPr>
            <w:tcW w:w="851"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w:t>
            </w:r>
          </w:p>
        </w:tc>
      </w:tr>
      <w:tr w:rsidR="00D757F8" w:rsidRPr="004E3E19">
        <w:tc>
          <w:tcPr>
            <w:tcW w:w="5778" w:type="dxa"/>
            <w:vAlign w:val="center"/>
          </w:tcPr>
          <w:p w:rsidR="00D757F8" w:rsidRPr="004E3E19" w:rsidRDefault="002905C9" w:rsidP="00424106">
            <w:pPr>
              <w:widowControl/>
              <w:adjustRightInd w:val="0"/>
              <w:snapToGrid w:val="0"/>
              <w:spacing w:after="0" w:line="360" w:lineRule="auto"/>
              <w:jc w:val="left"/>
              <w:textAlignment w:val="center"/>
              <w:rPr>
                <w:rFonts w:ascii="Book Antiqua" w:hAnsi="Book Antiqua" w:cs="Book Antiqua"/>
                <w:sz w:val="24"/>
              </w:rPr>
            </w:pPr>
            <w:r w:rsidRPr="004E3E19">
              <w:rPr>
                <w:rFonts w:ascii="Book Antiqua" w:hAnsi="Book Antiqua" w:cs="Book Antiqua"/>
                <w:color w:val="000000"/>
                <w:kern w:val="0"/>
                <w:sz w:val="24"/>
                <w:lang w:bidi="ar"/>
              </w:rPr>
              <w:t xml:space="preserve">  Blood donors or volunteers</w:t>
            </w:r>
          </w:p>
        </w:tc>
        <w:tc>
          <w:tcPr>
            <w:tcW w:w="851"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w:t>
            </w:r>
          </w:p>
        </w:tc>
      </w:tr>
      <w:tr w:rsidR="00D757F8" w:rsidRPr="004E3E19">
        <w:tc>
          <w:tcPr>
            <w:tcW w:w="5778" w:type="dxa"/>
            <w:vAlign w:val="center"/>
          </w:tcPr>
          <w:p w:rsidR="00D757F8" w:rsidRPr="004E3E19" w:rsidRDefault="002905C9" w:rsidP="00424106">
            <w:pPr>
              <w:widowControl/>
              <w:adjustRightInd w:val="0"/>
              <w:snapToGrid w:val="0"/>
              <w:spacing w:after="0" w:line="360" w:lineRule="auto"/>
              <w:jc w:val="left"/>
              <w:textAlignment w:val="center"/>
              <w:rPr>
                <w:rFonts w:ascii="Book Antiqua" w:hAnsi="Book Antiqua" w:cs="Book Antiqua"/>
                <w:sz w:val="24"/>
              </w:rPr>
            </w:pPr>
            <w:r w:rsidRPr="004E3E19">
              <w:rPr>
                <w:rFonts w:ascii="Book Antiqua" w:hAnsi="Book Antiqua" w:cs="Book Antiqua"/>
                <w:color w:val="000000"/>
                <w:kern w:val="0"/>
                <w:sz w:val="24"/>
                <w:lang w:bidi="ar"/>
              </w:rPr>
              <w:t xml:space="preserve">  Hospital-based (cancer-free patients)</w:t>
            </w:r>
          </w:p>
        </w:tc>
        <w:tc>
          <w:tcPr>
            <w:tcW w:w="851"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w:t>
            </w:r>
          </w:p>
        </w:tc>
      </w:tr>
      <w:tr w:rsidR="00D757F8" w:rsidRPr="004E3E19">
        <w:tc>
          <w:tcPr>
            <w:tcW w:w="5778" w:type="dxa"/>
            <w:vAlign w:val="center"/>
          </w:tcPr>
          <w:p w:rsidR="00D757F8" w:rsidRPr="004E3E19" w:rsidRDefault="002905C9" w:rsidP="00424106">
            <w:pPr>
              <w:widowControl/>
              <w:adjustRightInd w:val="0"/>
              <w:snapToGrid w:val="0"/>
              <w:spacing w:after="0" w:line="360" w:lineRule="auto"/>
              <w:jc w:val="left"/>
              <w:textAlignment w:val="center"/>
              <w:rPr>
                <w:rFonts w:ascii="Book Antiqua" w:hAnsi="Book Antiqua" w:cs="Book Antiqua"/>
                <w:sz w:val="24"/>
              </w:rPr>
            </w:pPr>
            <w:r w:rsidRPr="004E3E19">
              <w:rPr>
                <w:rFonts w:ascii="Book Antiqua" w:hAnsi="Book Antiqua" w:cs="Book Antiqua"/>
                <w:color w:val="000000"/>
                <w:kern w:val="0"/>
                <w:sz w:val="24"/>
                <w:lang w:bidi="ar"/>
              </w:rPr>
              <w:t xml:space="preserve">  Not described</w:t>
            </w:r>
          </w:p>
        </w:tc>
        <w:tc>
          <w:tcPr>
            <w:tcW w:w="851"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0</w:t>
            </w:r>
          </w:p>
        </w:tc>
      </w:tr>
      <w:tr w:rsidR="00D757F8" w:rsidRPr="004E3E19">
        <w:tc>
          <w:tcPr>
            <w:tcW w:w="5778" w:type="dxa"/>
            <w:vAlign w:val="center"/>
          </w:tcPr>
          <w:p w:rsidR="00D757F8" w:rsidRPr="004E3E19" w:rsidRDefault="002905C9" w:rsidP="00424106">
            <w:pPr>
              <w:widowControl/>
              <w:adjustRightInd w:val="0"/>
              <w:snapToGrid w:val="0"/>
              <w:spacing w:after="0" w:line="360" w:lineRule="auto"/>
              <w:jc w:val="left"/>
              <w:textAlignment w:val="center"/>
              <w:rPr>
                <w:rFonts w:ascii="Book Antiqua" w:hAnsi="Book Antiqua" w:cs="Book Antiqua"/>
                <w:sz w:val="24"/>
              </w:rPr>
            </w:pPr>
            <w:r w:rsidRPr="004E3E19">
              <w:rPr>
                <w:rFonts w:ascii="Book Antiqua" w:hAnsi="Book Antiqua" w:cs="Book Antiqua"/>
                <w:color w:val="000000"/>
                <w:kern w:val="0"/>
                <w:sz w:val="24"/>
                <w:lang w:bidi="ar"/>
              </w:rPr>
              <w:t>Case-control match</w:t>
            </w:r>
          </w:p>
        </w:tc>
        <w:tc>
          <w:tcPr>
            <w:tcW w:w="851"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r>
      <w:tr w:rsidR="00D757F8" w:rsidRPr="004E3E19">
        <w:tc>
          <w:tcPr>
            <w:tcW w:w="5778" w:type="dxa"/>
            <w:vAlign w:val="center"/>
          </w:tcPr>
          <w:p w:rsidR="00D757F8" w:rsidRPr="004E3E19" w:rsidRDefault="002905C9" w:rsidP="00424106">
            <w:pPr>
              <w:widowControl/>
              <w:adjustRightInd w:val="0"/>
              <w:snapToGrid w:val="0"/>
              <w:spacing w:after="0" w:line="360" w:lineRule="auto"/>
              <w:jc w:val="left"/>
              <w:textAlignment w:val="center"/>
              <w:rPr>
                <w:rFonts w:ascii="Book Antiqua" w:hAnsi="Book Antiqua" w:cs="Book Antiqua"/>
                <w:sz w:val="24"/>
              </w:rPr>
            </w:pPr>
            <w:r w:rsidRPr="004E3E19">
              <w:rPr>
                <w:rFonts w:ascii="Book Antiqua" w:hAnsi="Book Antiqua" w:cs="Book Antiqua"/>
                <w:color w:val="000000"/>
                <w:kern w:val="0"/>
                <w:sz w:val="24"/>
                <w:lang w:bidi="ar"/>
              </w:rPr>
              <w:t xml:space="preserve">  Matched by age and gender </w:t>
            </w:r>
          </w:p>
        </w:tc>
        <w:tc>
          <w:tcPr>
            <w:tcW w:w="851"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w:t>
            </w:r>
          </w:p>
        </w:tc>
      </w:tr>
      <w:tr w:rsidR="00D757F8" w:rsidRPr="004E3E19">
        <w:tc>
          <w:tcPr>
            <w:tcW w:w="5778" w:type="dxa"/>
            <w:vAlign w:val="center"/>
          </w:tcPr>
          <w:p w:rsidR="00D757F8" w:rsidRPr="004E3E19" w:rsidRDefault="002905C9" w:rsidP="00424106">
            <w:pPr>
              <w:widowControl/>
              <w:adjustRightInd w:val="0"/>
              <w:snapToGrid w:val="0"/>
              <w:spacing w:after="0" w:line="360" w:lineRule="auto"/>
              <w:jc w:val="left"/>
              <w:textAlignment w:val="center"/>
              <w:rPr>
                <w:rFonts w:ascii="Book Antiqua" w:hAnsi="Book Antiqua" w:cs="Book Antiqua"/>
                <w:sz w:val="24"/>
              </w:rPr>
            </w:pPr>
            <w:r w:rsidRPr="004E3E19">
              <w:rPr>
                <w:rFonts w:ascii="Book Antiqua" w:hAnsi="Book Antiqua" w:cs="Book Antiqua"/>
                <w:color w:val="000000"/>
                <w:kern w:val="0"/>
                <w:sz w:val="24"/>
                <w:lang w:bidi="ar"/>
              </w:rPr>
              <w:t xml:space="preserve">  Not matched by age and gender</w:t>
            </w:r>
          </w:p>
        </w:tc>
        <w:tc>
          <w:tcPr>
            <w:tcW w:w="851"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0</w:t>
            </w:r>
          </w:p>
        </w:tc>
      </w:tr>
      <w:tr w:rsidR="00D757F8" w:rsidRPr="004E3E19">
        <w:tc>
          <w:tcPr>
            <w:tcW w:w="5778" w:type="dxa"/>
            <w:vAlign w:val="center"/>
          </w:tcPr>
          <w:p w:rsidR="00D757F8" w:rsidRPr="004E3E19" w:rsidRDefault="002905C9" w:rsidP="00424106">
            <w:pPr>
              <w:widowControl/>
              <w:adjustRightInd w:val="0"/>
              <w:snapToGrid w:val="0"/>
              <w:spacing w:after="0" w:line="360" w:lineRule="auto"/>
              <w:jc w:val="left"/>
              <w:textAlignment w:val="center"/>
              <w:rPr>
                <w:rFonts w:ascii="Book Antiqua" w:hAnsi="Book Antiqua" w:cs="Book Antiqua"/>
                <w:sz w:val="24"/>
              </w:rPr>
            </w:pPr>
            <w:r w:rsidRPr="004E3E19">
              <w:rPr>
                <w:rFonts w:ascii="Book Antiqua" w:hAnsi="Book Antiqua" w:cs="Book Antiqua"/>
                <w:color w:val="000000"/>
                <w:kern w:val="0"/>
                <w:sz w:val="24"/>
                <w:lang w:bidi="ar"/>
              </w:rPr>
              <w:t>Specimens used for determining genotypes</w:t>
            </w:r>
          </w:p>
        </w:tc>
        <w:tc>
          <w:tcPr>
            <w:tcW w:w="851"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r>
      <w:tr w:rsidR="00D757F8" w:rsidRPr="004E3E19">
        <w:tc>
          <w:tcPr>
            <w:tcW w:w="5778" w:type="dxa"/>
            <w:vAlign w:val="center"/>
          </w:tcPr>
          <w:p w:rsidR="00D757F8" w:rsidRPr="004E3E19" w:rsidRDefault="002905C9" w:rsidP="00424106">
            <w:pPr>
              <w:widowControl/>
              <w:adjustRightInd w:val="0"/>
              <w:snapToGrid w:val="0"/>
              <w:spacing w:after="0" w:line="360" w:lineRule="auto"/>
              <w:jc w:val="left"/>
              <w:textAlignment w:val="center"/>
              <w:rPr>
                <w:rFonts w:ascii="Book Antiqua" w:hAnsi="Book Antiqua" w:cs="Book Antiqua"/>
                <w:sz w:val="24"/>
              </w:rPr>
            </w:pPr>
            <w:r w:rsidRPr="004E3E19">
              <w:rPr>
                <w:rFonts w:ascii="Book Antiqua" w:hAnsi="Book Antiqua" w:cs="Book Antiqua"/>
                <w:color w:val="000000"/>
                <w:kern w:val="0"/>
                <w:sz w:val="24"/>
                <w:lang w:bidi="ar"/>
              </w:rPr>
              <w:t xml:space="preserve">  White blood cells or normal tissues </w:t>
            </w:r>
          </w:p>
        </w:tc>
        <w:tc>
          <w:tcPr>
            <w:tcW w:w="851"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w:t>
            </w:r>
          </w:p>
        </w:tc>
      </w:tr>
      <w:tr w:rsidR="00D757F8" w:rsidRPr="004E3E19">
        <w:tc>
          <w:tcPr>
            <w:tcW w:w="5778" w:type="dxa"/>
            <w:vAlign w:val="center"/>
          </w:tcPr>
          <w:p w:rsidR="00D757F8" w:rsidRPr="004E3E19" w:rsidRDefault="002905C9" w:rsidP="00424106">
            <w:pPr>
              <w:widowControl/>
              <w:adjustRightInd w:val="0"/>
              <w:snapToGrid w:val="0"/>
              <w:spacing w:after="0" w:line="360" w:lineRule="auto"/>
              <w:jc w:val="left"/>
              <w:textAlignment w:val="center"/>
              <w:rPr>
                <w:rFonts w:ascii="Book Antiqua" w:hAnsi="Book Antiqua" w:cs="Book Antiqua"/>
                <w:sz w:val="24"/>
              </w:rPr>
            </w:pPr>
            <w:r w:rsidRPr="004E3E19">
              <w:rPr>
                <w:rFonts w:ascii="Book Antiqua" w:hAnsi="Book Antiqua" w:cs="Book Antiqua"/>
                <w:color w:val="000000"/>
                <w:kern w:val="0"/>
                <w:sz w:val="24"/>
                <w:lang w:bidi="ar"/>
              </w:rPr>
              <w:t xml:space="preserve">  Tumor tissues or exfoliated cells of tissue</w:t>
            </w:r>
          </w:p>
        </w:tc>
        <w:tc>
          <w:tcPr>
            <w:tcW w:w="851"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0</w:t>
            </w:r>
          </w:p>
        </w:tc>
      </w:tr>
      <w:tr w:rsidR="00D757F8" w:rsidRPr="004E3E19">
        <w:tc>
          <w:tcPr>
            <w:tcW w:w="5778" w:type="dxa"/>
            <w:vAlign w:val="center"/>
          </w:tcPr>
          <w:p w:rsidR="00D757F8" w:rsidRPr="004E3E19" w:rsidRDefault="002905C9" w:rsidP="00424106">
            <w:pPr>
              <w:widowControl/>
              <w:adjustRightInd w:val="0"/>
              <w:snapToGrid w:val="0"/>
              <w:spacing w:after="0" w:line="360" w:lineRule="auto"/>
              <w:jc w:val="left"/>
              <w:textAlignment w:val="center"/>
              <w:rPr>
                <w:rFonts w:ascii="Book Antiqua" w:hAnsi="Book Antiqua" w:cs="Book Antiqua"/>
                <w:sz w:val="24"/>
              </w:rPr>
            </w:pPr>
            <w:r w:rsidRPr="004E3E19">
              <w:rPr>
                <w:rFonts w:ascii="Book Antiqua" w:hAnsi="Book Antiqua" w:cs="Book Antiqua"/>
                <w:color w:val="000000"/>
                <w:kern w:val="0"/>
                <w:sz w:val="24"/>
                <w:lang w:bidi="ar"/>
              </w:rPr>
              <w:t xml:space="preserve">Hardy-Weinberg equilibrium (HWE) </w:t>
            </w:r>
          </w:p>
        </w:tc>
        <w:tc>
          <w:tcPr>
            <w:tcW w:w="851"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r>
      <w:tr w:rsidR="00D757F8" w:rsidRPr="004E3E19">
        <w:tc>
          <w:tcPr>
            <w:tcW w:w="5778" w:type="dxa"/>
            <w:vAlign w:val="center"/>
          </w:tcPr>
          <w:p w:rsidR="00D757F8" w:rsidRPr="004E3E19" w:rsidRDefault="002905C9" w:rsidP="00424106">
            <w:pPr>
              <w:widowControl/>
              <w:adjustRightInd w:val="0"/>
              <w:snapToGrid w:val="0"/>
              <w:spacing w:after="0" w:line="360" w:lineRule="auto"/>
              <w:jc w:val="left"/>
              <w:textAlignment w:val="center"/>
              <w:rPr>
                <w:rFonts w:ascii="Book Antiqua" w:hAnsi="Book Antiqua" w:cs="Book Antiqua"/>
                <w:sz w:val="24"/>
              </w:rPr>
            </w:pPr>
            <w:r w:rsidRPr="004E3E19">
              <w:rPr>
                <w:rFonts w:ascii="Book Antiqua" w:hAnsi="Book Antiqua" w:cs="Book Antiqua"/>
                <w:color w:val="000000"/>
                <w:kern w:val="0"/>
                <w:sz w:val="24"/>
                <w:lang w:bidi="ar"/>
              </w:rPr>
              <w:t xml:space="preserve">  Hardy-Weinberg equilibrium in control subjects </w:t>
            </w:r>
          </w:p>
        </w:tc>
        <w:tc>
          <w:tcPr>
            <w:tcW w:w="851"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w:t>
            </w:r>
          </w:p>
        </w:tc>
      </w:tr>
      <w:tr w:rsidR="00D757F8" w:rsidRPr="004E3E19">
        <w:tc>
          <w:tcPr>
            <w:tcW w:w="5778" w:type="dxa"/>
            <w:vAlign w:val="center"/>
          </w:tcPr>
          <w:p w:rsidR="00D757F8" w:rsidRPr="004E3E19" w:rsidRDefault="002905C9" w:rsidP="00424106">
            <w:pPr>
              <w:widowControl/>
              <w:adjustRightInd w:val="0"/>
              <w:snapToGrid w:val="0"/>
              <w:spacing w:after="0" w:line="360" w:lineRule="auto"/>
              <w:jc w:val="left"/>
              <w:textAlignment w:val="center"/>
              <w:rPr>
                <w:rFonts w:ascii="Book Antiqua" w:hAnsi="Book Antiqua" w:cs="Book Antiqua"/>
                <w:sz w:val="24"/>
              </w:rPr>
            </w:pPr>
            <w:r w:rsidRPr="004E3E19">
              <w:rPr>
                <w:rFonts w:ascii="Book Antiqua" w:hAnsi="Book Antiqua" w:cs="Book Antiqua"/>
                <w:color w:val="000000"/>
                <w:kern w:val="0"/>
                <w:sz w:val="24"/>
                <w:lang w:bidi="ar"/>
              </w:rPr>
              <w:t xml:space="preserve">  Hardy-Weinberg disequilibrium in control subjects</w:t>
            </w:r>
          </w:p>
        </w:tc>
        <w:tc>
          <w:tcPr>
            <w:tcW w:w="851"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0</w:t>
            </w:r>
          </w:p>
        </w:tc>
      </w:tr>
      <w:tr w:rsidR="00D757F8" w:rsidRPr="004E3E19">
        <w:tc>
          <w:tcPr>
            <w:tcW w:w="5778" w:type="dxa"/>
            <w:vAlign w:val="center"/>
          </w:tcPr>
          <w:p w:rsidR="00D757F8" w:rsidRPr="004E3E19" w:rsidRDefault="002905C9" w:rsidP="00424106">
            <w:pPr>
              <w:widowControl/>
              <w:adjustRightInd w:val="0"/>
              <w:snapToGrid w:val="0"/>
              <w:spacing w:after="0" w:line="360" w:lineRule="auto"/>
              <w:jc w:val="left"/>
              <w:textAlignment w:val="center"/>
              <w:rPr>
                <w:rFonts w:ascii="Book Antiqua" w:hAnsi="Book Antiqua" w:cs="Book Antiqua"/>
                <w:sz w:val="24"/>
              </w:rPr>
            </w:pPr>
            <w:r w:rsidRPr="004E3E19">
              <w:rPr>
                <w:rFonts w:ascii="Book Antiqua" w:hAnsi="Book Antiqua" w:cs="Book Antiqua"/>
                <w:color w:val="000000"/>
                <w:kern w:val="0"/>
                <w:sz w:val="24"/>
                <w:lang w:bidi="ar"/>
              </w:rPr>
              <w:t>Total sample size</w:t>
            </w:r>
          </w:p>
        </w:tc>
        <w:tc>
          <w:tcPr>
            <w:tcW w:w="851"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r>
      <w:tr w:rsidR="00D757F8" w:rsidRPr="004E3E19">
        <w:tc>
          <w:tcPr>
            <w:tcW w:w="5778" w:type="dxa"/>
            <w:vAlign w:val="center"/>
          </w:tcPr>
          <w:p w:rsidR="00D757F8" w:rsidRPr="004E3E19" w:rsidRDefault="002905C9" w:rsidP="00424106">
            <w:pPr>
              <w:widowControl/>
              <w:adjustRightInd w:val="0"/>
              <w:snapToGrid w:val="0"/>
              <w:spacing w:after="0" w:line="360" w:lineRule="auto"/>
              <w:jc w:val="left"/>
              <w:textAlignment w:val="center"/>
              <w:rPr>
                <w:rFonts w:ascii="Book Antiqua" w:hAnsi="Book Antiqua" w:cs="Book Antiqua"/>
                <w:sz w:val="24"/>
              </w:rPr>
            </w:pPr>
            <w:r w:rsidRPr="004E3E19">
              <w:rPr>
                <w:rFonts w:ascii="Book Antiqua" w:hAnsi="Book Antiqua" w:cs="Book Antiqua"/>
                <w:color w:val="000000"/>
                <w:kern w:val="0"/>
                <w:sz w:val="24"/>
                <w:lang w:bidi="ar"/>
              </w:rPr>
              <w:t xml:space="preserve">  &gt;</w:t>
            </w:r>
            <w:r w:rsidR="00985714">
              <w:rPr>
                <w:rFonts w:ascii="Book Antiqua" w:hAnsi="Book Antiqua" w:cs="Book Antiqua" w:hint="eastAsia"/>
                <w:color w:val="000000"/>
                <w:kern w:val="0"/>
                <w:sz w:val="24"/>
                <w:lang w:bidi="ar"/>
              </w:rPr>
              <w:t xml:space="preserve"> </w:t>
            </w:r>
            <w:r w:rsidRPr="004E3E19">
              <w:rPr>
                <w:rFonts w:ascii="Book Antiqua" w:hAnsi="Book Antiqua" w:cs="Book Antiqua"/>
                <w:color w:val="000000"/>
                <w:kern w:val="0"/>
                <w:sz w:val="24"/>
                <w:lang w:bidi="ar"/>
              </w:rPr>
              <w:t>1000</w:t>
            </w:r>
          </w:p>
        </w:tc>
        <w:tc>
          <w:tcPr>
            <w:tcW w:w="851"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w:t>
            </w:r>
          </w:p>
        </w:tc>
      </w:tr>
      <w:tr w:rsidR="00D757F8" w:rsidRPr="004E3E19">
        <w:tc>
          <w:tcPr>
            <w:tcW w:w="5778" w:type="dxa"/>
            <w:vAlign w:val="center"/>
          </w:tcPr>
          <w:p w:rsidR="00D757F8" w:rsidRPr="004E3E19" w:rsidRDefault="002905C9" w:rsidP="00424106">
            <w:pPr>
              <w:widowControl/>
              <w:adjustRightInd w:val="0"/>
              <w:snapToGrid w:val="0"/>
              <w:spacing w:after="0" w:line="360" w:lineRule="auto"/>
              <w:jc w:val="left"/>
              <w:textAlignment w:val="center"/>
              <w:rPr>
                <w:rFonts w:ascii="Book Antiqua" w:hAnsi="Book Antiqua" w:cs="Book Antiqua"/>
                <w:sz w:val="24"/>
              </w:rPr>
            </w:pPr>
            <w:r w:rsidRPr="004E3E19">
              <w:rPr>
                <w:rFonts w:ascii="Book Antiqua" w:hAnsi="Book Antiqua" w:cs="Book Antiqua"/>
                <w:color w:val="000000"/>
                <w:kern w:val="0"/>
                <w:sz w:val="24"/>
                <w:lang w:bidi="ar"/>
              </w:rPr>
              <w:t xml:space="preserve">  &gt;</w:t>
            </w:r>
            <w:r w:rsidR="00985714">
              <w:rPr>
                <w:rFonts w:ascii="Book Antiqua" w:hAnsi="Book Antiqua" w:cs="Book Antiqua" w:hint="eastAsia"/>
                <w:color w:val="000000"/>
                <w:kern w:val="0"/>
                <w:sz w:val="24"/>
                <w:lang w:bidi="ar"/>
              </w:rPr>
              <w:t xml:space="preserve"> </w:t>
            </w:r>
            <w:r w:rsidRPr="004E3E19">
              <w:rPr>
                <w:rFonts w:ascii="Book Antiqua" w:hAnsi="Book Antiqua" w:cs="Book Antiqua"/>
                <w:color w:val="000000"/>
                <w:kern w:val="0"/>
                <w:sz w:val="24"/>
                <w:lang w:bidi="ar"/>
              </w:rPr>
              <w:t>500 and &lt;</w:t>
            </w:r>
            <w:r w:rsidR="00985714">
              <w:rPr>
                <w:rFonts w:ascii="Book Antiqua" w:hAnsi="Book Antiqua" w:cs="Book Antiqua" w:hint="eastAsia"/>
                <w:color w:val="000000"/>
                <w:kern w:val="0"/>
                <w:sz w:val="24"/>
                <w:lang w:bidi="ar"/>
              </w:rPr>
              <w:t xml:space="preserve"> </w:t>
            </w:r>
            <w:r w:rsidRPr="004E3E19">
              <w:rPr>
                <w:rFonts w:ascii="Book Antiqua" w:hAnsi="Book Antiqua" w:cs="Book Antiqua"/>
                <w:color w:val="000000"/>
                <w:kern w:val="0"/>
                <w:sz w:val="24"/>
                <w:lang w:bidi="ar"/>
              </w:rPr>
              <w:t>1000</w:t>
            </w:r>
          </w:p>
        </w:tc>
        <w:tc>
          <w:tcPr>
            <w:tcW w:w="851"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w:t>
            </w:r>
          </w:p>
        </w:tc>
      </w:tr>
      <w:tr w:rsidR="00D757F8" w:rsidRPr="004E3E19">
        <w:tc>
          <w:tcPr>
            <w:tcW w:w="5778" w:type="dxa"/>
            <w:vAlign w:val="center"/>
          </w:tcPr>
          <w:p w:rsidR="00D757F8" w:rsidRPr="004E3E19" w:rsidRDefault="002905C9" w:rsidP="00424106">
            <w:pPr>
              <w:widowControl/>
              <w:adjustRightInd w:val="0"/>
              <w:snapToGrid w:val="0"/>
              <w:spacing w:after="0" w:line="360" w:lineRule="auto"/>
              <w:jc w:val="left"/>
              <w:textAlignment w:val="center"/>
              <w:rPr>
                <w:rFonts w:ascii="Book Antiqua" w:hAnsi="Book Antiqua" w:cs="Book Antiqua"/>
                <w:sz w:val="24"/>
              </w:rPr>
            </w:pPr>
            <w:r w:rsidRPr="004E3E19">
              <w:rPr>
                <w:rFonts w:ascii="Book Antiqua" w:hAnsi="Book Antiqua" w:cs="Book Antiqua"/>
                <w:color w:val="000000"/>
                <w:kern w:val="0"/>
                <w:sz w:val="24"/>
                <w:lang w:bidi="ar"/>
              </w:rPr>
              <w:t xml:space="preserve">  &gt;</w:t>
            </w:r>
            <w:r w:rsidR="00985714">
              <w:rPr>
                <w:rFonts w:ascii="Book Antiqua" w:hAnsi="Book Antiqua" w:cs="Book Antiqua" w:hint="eastAsia"/>
                <w:color w:val="000000"/>
                <w:kern w:val="0"/>
                <w:sz w:val="24"/>
                <w:lang w:bidi="ar"/>
              </w:rPr>
              <w:t xml:space="preserve"> </w:t>
            </w:r>
            <w:r w:rsidRPr="004E3E19">
              <w:rPr>
                <w:rFonts w:ascii="Book Antiqua" w:hAnsi="Book Antiqua" w:cs="Book Antiqua"/>
                <w:color w:val="000000"/>
                <w:kern w:val="0"/>
                <w:sz w:val="24"/>
                <w:lang w:bidi="ar"/>
              </w:rPr>
              <w:t>200 and &lt;</w:t>
            </w:r>
            <w:r w:rsidR="00985714">
              <w:rPr>
                <w:rFonts w:ascii="Book Antiqua" w:hAnsi="Book Antiqua" w:cs="Book Antiqua" w:hint="eastAsia"/>
                <w:color w:val="000000"/>
                <w:kern w:val="0"/>
                <w:sz w:val="24"/>
                <w:lang w:bidi="ar"/>
              </w:rPr>
              <w:t xml:space="preserve"> </w:t>
            </w:r>
            <w:r w:rsidRPr="004E3E19">
              <w:rPr>
                <w:rFonts w:ascii="Book Antiqua" w:hAnsi="Book Antiqua" w:cs="Book Antiqua"/>
                <w:color w:val="000000"/>
                <w:kern w:val="0"/>
                <w:sz w:val="24"/>
                <w:lang w:bidi="ar"/>
              </w:rPr>
              <w:t>500</w:t>
            </w:r>
          </w:p>
        </w:tc>
        <w:tc>
          <w:tcPr>
            <w:tcW w:w="851"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w:t>
            </w:r>
          </w:p>
        </w:tc>
      </w:tr>
      <w:tr w:rsidR="00D757F8" w:rsidRPr="004E3E19">
        <w:tc>
          <w:tcPr>
            <w:tcW w:w="5778" w:type="dxa"/>
            <w:vAlign w:val="center"/>
          </w:tcPr>
          <w:p w:rsidR="00D757F8" w:rsidRPr="004E3E19" w:rsidRDefault="002905C9" w:rsidP="00424106">
            <w:pPr>
              <w:widowControl/>
              <w:adjustRightInd w:val="0"/>
              <w:snapToGrid w:val="0"/>
              <w:spacing w:after="0" w:line="360" w:lineRule="auto"/>
              <w:jc w:val="left"/>
              <w:textAlignment w:val="center"/>
              <w:rPr>
                <w:rFonts w:ascii="Book Antiqua" w:hAnsi="Book Antiqua" w:cs="Book Antiqua"/>
                <w:sz w:val="24"/>
              </w:rPr>
            </w:pPr>
            <w:r w:rsidRPr="004E3E19">
              <w:rPr>
                <w:rFonts w:ascii="Book Antiqua" w:hAnsi="Book Antiqua" w:cs="Book Antiqua"/>
                <w:color w:val="000000"/>
                <w:kern w:val="0"/>
                <w:sz w:val="24"/>
                <w:lang w:bidi="ar"/>
              </w:rPr>
              <w:t xml:space="preserve">  &lt;</w:t>
            </w:r>
            <w:r w:rsidR="00985714">
              <w:rPr>
                <w:rFonts w:ascii="Book Antiqua" w:hAnsi="Book Antiqua" w:cs="Book Antiqua" w:hint="eastAsia"/>
                <w:color w:val="000000"/>
                <w:kern w:val="0"/>
                <w:sz w:val="24"/>
                <w:lang w:bidi="ar"/>
              </w:rPr>
              <w:t xml:space="preserve"> </w:t>
            </w:r>
            <w:r w:rsidRPr="004E3E19">
              <w:rPr>
                <w:rFonts w:ascii="Book Antiqua" w:hAnsi="Book Antiqua" w:cs="Book Antiqua"/>
                <w:color w:val="000000"/>
                <w:kern w:val="0"/>
                <w:sz w:val="24"/>
                <w:lang w:bidi="ar"/>
              </w:rPr>
              <w:t>200</w:t>
            </w:r>
          </w:p>
        </w:tc>
        <w:tc>
          <w:tcPr>
            <w:tcW w:w="851"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0</w:t>
            </w:r>
          </w:p>
        </w:tc>
      </w:tr>
    </w:tbl>
    <w:p w:rsidR="00D757F8" w:rsidRPr="004E3E19" w:rsidRDefault="00D757F8" w:rsidP="00424106">
      <w:pPr>
        <w:pStyle w:val="EndNoteBibliography"/>
        <w:adjustRightInd w:val="0"/>
        <w:snapToGrid w:val="0"/>
        <w:spacing w:after="0" w:line="360" w:lineRule="auto"/>
        <w:jc w:val="both"/>
        <w:rPr>
          <w:rFonts w:ascii="Book Antiqua" w:hAnsi="Book Antiqua" w:cs="Book Antiqua"/>
          <w:b/>
          <w:bCs/>
          <w:sz w:val="24"/>
        </w:rPr>
        <w:sectPr w:rsidR="00D757F8" w:rsidRPr="004E3E19">
          <w:footerReference w:type="default" r:id="rId14"/>
          <w:pgSz w:w="11906" w:h="16838"/>
          <w:pgMar w:top="1440" w:right="1803" w:bottom="1440" w:left="1803" w:header="851" w:footer="992" w:gutter="0"/>
          <w:cols w:space="0"/>
          <w:docGrid w:type="lines" w:linePitch="319"/>
        </w:sectPr>
      </w:pPr>
    </w:p>
    <w:p w:rsidR="00985714" w:rsidRDefault="00985714" w:rsidP="00424106">
      <w:pPr>
        <w:pStyle w:val="EndNoteBibliography"/>
        <w:adjustRightInd w:val="0"/>
        <w:snapToGrid w:val="0"/>
        <w:spacing w:after="0" w:line="360" w:lineRule="auto"/>
        <w:ind w:left="504" w:hangingChars="209" w:hanging="504"/>
        <w:jc w:val="both"/>
        <w:rPr>
          <w:rFonts w:ascii="Book Antiqua" w:hAnsi="Book Antiqua" w:cs="Book Antiqua"/>
          <w:b/>
          <w:bCs/>
          <w:sz w:val="24"/>
        </w:rPr>
      </w:pPr>
    </w:p>
    <w:p w:rsidR="00D757F8" w:rsidRPr="004E3E19" w:rsidRDefault="002905C9" w:rsidP="00424106">
      <w:pPr>
        <w:pStyle w:val="EndNoteBibliography"/>
        <w:adjustRightInd w:val="0"/>
        <w:snapToGrid w:val="0"/>
        <w:spacing w:after="0" w:line="360" w:lineRule="auto"/>
        <w:ind w:left="504" w:hangingChars="209" w:hanging="504"/>
        <w:jc w:val="both"/>
        <w:rPr>
          <w:rFonts w:ascii="Book Antiqua" w:hAnsi="Book Antiqua" w:cs="Book Antiqua"/>
          <w:b/>
          <w:bCs/>
          <w:sz w:val="24"/>
        </w:rPr>
      </w:pPr>
      <w:r w:rsidRPr="004E3E19">
        <w:rPr>
          <w:rFonts w:ascii="Book Antiqua" w:hAnsi="Book Antiqua" w:cs="Book Antiqua"/>
          <w:b/>
          <w:bCs/>
          <w:sz w:val="24"/>
        </w:rPr>
        <w:t>Table 2 Baseline information of included studies</w:t>
      </w:r>
    </w:p>
    <w:tbl>
      <w:tblPr>
        <w:tblW w:w="17360" w:type="dxa"/>
        <w:tblBorders>
          <w:top w:val="single" w:sz="12" w:space="0" w:color="auto"/>
          <w:bottom w:val="single" w:sz="12" w:space="0" w:color="auto"/>
        </w:tblBorders>
        <w:tblLayout w:type="fixed"/>
        <w:tblLook w:val="04A0" w:firstRow="1" w:lastRow="0" w:firstColumn="1" w:lastColumn="0" w:noHBand="0" w:noVBand="1"/>
      </w:tblPr>
      <w:tblGrid>
        <w:gridCol w:w="1671"/>
        <w:gridCol w:w="749"/>
        <w:gridCol w:w="1438"/>
        <w:gridCol w:w="2115"/>
        <w:gridCol w:w="1288"/>
        <w:gridCol w:w="2204"/>
        <w:gridCol w:w="1587"/>
        <w:gridCol w:w="629"/>
        <w:gridCol w:w="615"/>
        <w:gridCol w:w="674"/>
        <w:gridCol w:w="240"/>
        <w:gridCol w:w="799"/>
        <w:gridCol w:w="615"/>
        <w:gridCol w:w="632"/>
        <w:gridCol w:w="985"/>
        <w:gridCol w:w="1119"/>
      </w:tblGrid>
      <w:tr w:rsidR="00D757F8" w:rsidRPr="004E3E19">
        <w:trPr>
          <w:trHeight w:val="268"/>
        </w:trPr>
        <w:tc>
          <w:tcPr>
            <w:tcW w:w="1671" w:type="dxa"/>
            <w:vMerge w:val="restart"/>
            <w:vAlign w:val="center"/>
          </w:tcPr>
          <w:p w:rsidR="00D757F8" w:rsidRPr="004E3E19" w:rsidRDefault="00985714" w:rsidP="00424106">
            <w:pPr>
              <w:widowControl/>
              <w:adjustRightInd w:val="0"/>
              <w:snapToGrid w:val="0"/>
              <w:spacing w:after="0" w:line="360" w:lineRule="auto"/>
              <w:jc w:val="center"/>
              <w:textAlignment w:val="center"/>
              <w:rPr>
                <w:rFonts w:ascii="Book Antiqua" w:hAnsi="Book Antiqua" w:cs="Book Antiqua"/>
                <w:b/>
                <w:bCs/>
                <w:sz w:val="24"/>
              </w:rPr>
            </w:pPr>
            <w:r>
              <w:rPr>
                <w:rFonts w:ascii="Book Antiqua" w:hAnsi="Book Antiqua" w:cs="Book Antiqua" w:hint="eastAsia"/>
                <w:b/>
                <w:bCs/>
                <w:color w:val="000000"/>
                <w:kern w:val="0"/>
                <w:sz w:val="24"/>
                <w:lang w:bidi="ar"/>
              </w:rPr>
              <w:t>Ref.</w:t>
            </w:r>
          </w:p>
        </w:tc>
        <w:tc>
          <w:tcPr>
            <w:tcW w:w="749" w:type="dxa"/>
            <w:vMerge w:val="restart"/>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b/>
                <w:bCs/>
                <w:sz w:val="24"/>
              </w:rPr>
            </w:pPr>
            <w:r w:rsidRPr="004E3E19">
              <w:rPr>
                <w:rFonts w:ascii="Book Antiqua" w:hAnsi="Book Antiqua" w:cs="Book Antiqua"/>
                <w:b/>
                <w:bCs/>
                <w:color w:val="000000"/>
                <w:kern w:val="0"/>
                <w:sz w:val="24"/>
                <w:lang w:bidi="ar"/>
              </w:rPr>
              <w:t>Year</w:t>
            </w:r>
          </w:p>
        </w:tc>
        <w:tc>
          <w:tcPr>
            <w:tcW w:w="1438" w:type="dxa"/>
            <w:vMerge w:val="restart"/>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b/>
                <w:bCs/>
                <w:sz w:val="24"/>
              </w:rPr>
            </w:pPr>
            <w:r w:rsidRPr="004E3E19">
              <w:rPr>
                <w:rFonts w:ascii="Book Antiqua" w:hAnsi="Book Antiqua" w:cs="Book Antiqua"/>
                <w:b/>
                <w:bCs/>
                <w:color w:val="000000"/>
                <w:kern w:val="0"/>
                <w:sz w:val="24"/>
                <w:lang w:bidi="ar"/>
              </w:rPr>
              <w:t>Country</w:t>
            </w:r>
          </w:p>
        </w:tc>
        <w:tc>
          <w:tcPr>
            <w:tcW w:w="2115" w:type="dxa"/>
            <w:vMerge w:val="restart"/>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b/>
                <w:bCs/>
                <w:sz w:val="24"/>
              </w:rPr>
            </w:pPr>
            <w:r w:rsidRPr="004E3E19">
              <w:rPr>
                <w:rFonts w:ascii="Book Antiqua" w:hAnsi="Book Antiqua" w:cs="Book Antiqua"/>
                <w:b/>
                <w:bCs/>
                <w:color w:val="000000"/>
                <w:kern w:val="0"/>
                <w:sz w:val="24"/>
                <w:lang w:bidi="ar"/>
              </w:rPr>
              <w:t>Type of cancer</w:t>
            </w:r>
          </w:p>
        </w:tc>
        <w:tc>
          <w:tcPr>
            <w:tcW w:w="1288" w:type="dxa"/>
            <w:vMerge w:val="restart"/>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b/>
                <w:bCs/>
                <w:sz w:val="24"/>
              </w:rPr>
            </w:pPr>
            <w:r w:rsidRPr="004E3E19">
              <w:rPr>
                <w:rFonts w:ascii="Book Antiqua" w:hAnsi="Book Antiqua" w:cs="Book Antiqua"/>
                <w:b/>
                <w:bCs/>
                <w:color w:val="000000"/>
                <w:kern w:val="0"/>
                <w:sz w:val="24"/>
                <w:lang w:bidi="ar"/>
              </w:rPr>
              <w:t>Source of controls</w:t>
            </w:r>
          </w:p>
        </w:tc>
        <w:tc>
          <w:tcPr>
            <w:tcW w:w="2204" w:type="dxa"/>
            <w:vMerge w:val="restart"/>
            <w:vAlign w:val="center"/>
          </w:tcPr>
          <w:p w:rsidR="00D757F8" w:rsidRPr="004E3E19" w:rsidRDefault="002905C9" w:rsidP="00424106">
            <w:pPr>
              <w:adjustRightInd w:val="0"/>
              <w:snapToGrid w:val="0"/>
              <w:spacing w:after="0" w:line="360" w:lineRule="auto"/>
              <w:jc w:val="center"/>
              <w:rPr>
                <w:rFonts w:ascii="Book Antiqua" w:hAnsi="Book Antiqua" w:cs="Book Antiqua"/>
                <w:b/>
                <w:bCs/>
                <w:color w:val="000000"/>
                <w:kern w:val="0"/>
                <w:sz w:val="24"/>
                <w:lang w:bidi="ar"/>
              </w:rPr>
            </w:pPr>
            <w:r w:rsidRPr="004E3E19">
              <w:rPr>
                <w:rFonts w:ascii="Book Antiqua" w:hAnsi="Book Antiqua" w:cs="Book Antiqua"/>
                <w:b/>
                <w:bCs/>
                <w:color w:val="000000"/>
                <w:kern w:val="0"/>
                <w:sz w:val="24"/>
                <w:lang w:bidi="ar"/>
              </w:rPr>
              <w:t>Matching criteria</w:t>
            </w:r>
          </w:p>
        </w:tc>
        <w:tc>
          <w:tcPr>
            <w:tcW w:w="1587" w:type="dxa"/>
            <w:vMerge w:val="restart"/>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b/>
                <w:bCs/>
                <w:sz w:val="24"/>
              </w:rPr>
            </w:pPr>
            <w:r w:rsidRPr="004E3E19">
              <w:rPr>
                <w:rFonts w:ascii="Book Antiqua" w:hAnsi="Book Antiqua" w:cs="Book Antiqua"/>
                <w:b/>
                <w:bCs/>
                <w:color w:val="000000"/>
                <w:kern w:val="0"/>
                <w:sz w:val="24"/>
                <w:lang w:bidi="ar"/>
              </w:rPr>
              <w:t>Genotyping</w:t>
            </w:r>
            <w:r w:rsidRPr="004E3E19">
              <w:rPr>
                <w:rFonts w:ascii="Book Antiqua" w:hAnsi="Book Antiqua" w:cs="Book Antiqua"/>
                <w:b/>
                <w:bCs/>
                <w:color w:val="000000"/>
                <w:kern w:val="0"/>
                <w:sz w:val="24"/>
                <w:lang w:bidi="ar"/>
              </w:rPr>
              <w:br/>
              <w:t xml:space="preserve"> method</w:t>
            </w:r>
          </w:p>
        </w:tc>
        <w:tc>
          <w:tcPr>
            <w:tcW w:w="1918" w:type="dxa"/>
            <w:gridSpan w:val="3"/>
            <w:tcBorders>
              <w:bottom w:val="single" w:sz="4" w:space="0" w:color="auto"/>
            </w:tcBorders>
            <w:vAlign w:val="center"/>
          </w:tcPr>
          <w:p w:rsidR="00D757F8" w:rsidRPr="004E3E19" w:rsidRDefault="002905C9" w:rsidP="00424106">
            <w:pPr>
              <w:adjustRightInd w:val="0"/>
              <w:snapToGrid w:val="0"/>
              <w:spacing w:after="0" w:line="360" w:lineRule="auto"/>
              <w:jc w:val="center"/>
              <w:rPr>
                <w:rFonts w:ascii="Book Antiqua" w:hAnsi="Book Antiqua" w:cs="Book Antiqua"/>
                <w:b/>
                <w:bCs/>
                <w:sz w:val="24"/>
              </w:rPr>
            </w:pPr>
            <w:r w:rsidRPr="004E3E19">
              <w:rPr>
                <w:rFonts w:ascii="Book Antiqua" w:hAnsi="Book Antiqua" w:cs="Book Antiqua"/>
                <w:b/>
                <w:bCs/>
                <w:sz w:val="24"/>
              </w:rPr>
              <w:t>Cases</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b/>
                <w:bCs/>
                <w:sz w:val="24"/>
              </w:rPr>
            </w:pPr>
          </w:p>
        </w:tc>
        <w:tc>
          <w:tcPr>
            <w:tcW w:w="2046" w:type="dxa"/>
            <w:gridSpan w:val="3"/>
            <w:tcBorders>
              <w:bottom w:val="single" w:sz="4" w:space="0" w:color="auto"/>
            </w:tcBorders>
            <w:vAlign w:val="center"/>
          </w:tcPr>
          <w:p w:rsidR="00D757F8" w:rsidRPr="004E3E19" w:rsidRDefault="002905C9" w:rsidP="00424106">
            <w:pPr>
              <w:adjustRightInd w:val="0"/>
              <w:snapToGrid w:val="0"/>
              <w:spacing w:after="0" w:line="360" w:lineRule="auto"/>
              <w:jc w:val="center"/>
              <w:rPr>
                <w:rFonts w:ascii="Book Antiqua" w:hAnsi="Book Antiqua" w:cs="Book Antiqua"/>
                <w:b/>
                <w:bCs/>
                <w:sz w:val="24"/>
              </w:rPr>
            </w:pPr>
            <w:r w:rsidRPr="004E3E19">
              <w:rPr>
                <w:rFonts w:ascii="Book Antiqua" w:hAnsi="Book Antiqua" w:cs="Book Antiqua"/>
                <w:b/>
                <w:bCs/>
                <w:sz w:val="24"/>
              </w:rPr>
              <w:t>Controls</w:t>
            </w:r>
          </w:p>
        </w:tc>
        <w:tc>
          <w:tcPr>
            <w:tcW w:w="985" w:type="dxa"/>
            <w:vMerge w:val="restart"/>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b/>
                <w:bCs/>
                <w:sz w:val="24"/>
              </w:rPr>
            </w:pPr>
            <w:r w:rsidRPr="004E3E19">
              <w:rPr>
                <w:rFonts w:ascii="Book Antiqua" w:hAnsi="Book Antiqua" w:cs="Book Antiqua"/>
                <w:b/>
                <w:bCs/>
                <w:color w:val="000000"/>
                <w:kern w:val="0"/>
                <w:sz w:val="24"/>
                <w:lang w:bidi="ar"/>
              </w:rPr>
              <w:t>HWE</w:t>
            </w:r>
          </w:p>
        </w:tc>
        <w:tc>
          <w:tcPr>
            <w:tcW w:w="1119" w:type="dxa"/>
            <w:vMerge w:val="restart"/>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b/>
                <w:bCs/>
                <w:color w:val="000000"/>
                <w:kern w:val="0"/>
                <w:sz w:val="24"/>
                <w:lang w:bidi="ar"/>
              </w:rPr>
            </w:pPr>
            <w:r w:rsidRPr="004E3E19">
              <w:rPr>
                <w:rFonts w:ascii="Book Antiqua" w:hAnsi="Book Antiqua" w:cs="Book Antiqua"/>
                <w:b/>
                <w:bCs/>
                <w:color w:val="000000"/>
                <w:kern w:val="0"/>
                <w:sz w:val="24"/>
                <w:lang w:bidi="ar"/>
              </w:rPr>
              <w:t>Quality score</w:t>
            </w:r>
          </w:p>
        </w:tc>
      </w:tr>
      <w:tr w:rsidR="00D757F8" w:rsidRPr="004E3E19">
        <w:trPr>
          <w:trHeight w:val="240"/>
        </w:trPr>
        <w:tc>
          <w:tcPr>
            <w:tcW w:w="1671" w:type="dxa"/>
            <w:vMerge/>
            <w:tcBorders>
              <w:bottom w:val="single" w:sz="4" w:space="0" w:color="auto"/>
            </w:tcBorders>
            <w:vAlign w:val="center"/>
          </w:tcPr>
          <w:p w:rsidR="00D757F8" w:rsidRPr="004E3E19" w:rsidRDefault="00D757F8" w:rsidP="00424106">
            <w:pPr>
              <w:widowControl/>
              <w:adjustRightInd w:val="0"/>
              <w:snapToGrid w:val="0"/>
              <w:spacing w:after="0" w:line="360" w:lineRule="auto"/>
              <w:jc w:val="left"/>
              <w:textAlignment w:val="center"/>
              <w:rPr>
                <w:rFonts w:ascii="Book Antiqua" w:hAnsi="Book Antiqua" w:cs="Book Antiqua"/>
                <w:sz w:val="24"/>
              </w:rPr>
            </w:pPr>
          </w:p>
        </w:tc>
        <w:tc>
          <w:tcPr>
            <w:tcW w:w="749" w:type="dxa"/>
            <w:vMerge/>
            <w:tcBorders>
              <w:bottom w:val="single" w:sz="4" w:space="0" w:color="auto"/>
            </w:tcBorders>
            <w:vAlign w:val="center"/>
          </w:tcPr>
          <w:p w:rsidR="00D757F8" w:rsidRPr="004E3E19" w:rsidRDefault="00D757F8" w:rsidP="00424106">
            <w:pPr>
              <w:widowControl/>
              <w:adjustRightInd w:val="0"/>
              <w:snapToGrid w:val="0"/>
              <w:spacing w:after="0" w:line="360" w:lineRule="auto"/>
              <w:jc w:val="center"/>
              <w:textAlignment w:val="center"/>
              <w:rPr>
                <w:rFonts w:ascii="Book Antiqua" w:hAnsi="Book Antiqua" w:cs="Book Antiqua"/>
                <w:sz w:val="24"/>
              </w:rPr>
            </w:pPr>
          </w:p>
        </w:tc>
        <w:tc>
          <w:tcPr>
            <w:tcW w:w="1438" w:type="dxa"/>
            <w:vMerge/>
            <w:tcBorders>
              <w:bottom w:val="single" w:sz="4" w:space="0" w:color="auto"/>
            </w:tcBorders>
            <w:vAlign w:val="center"/>
          </w:tcPr>
          <w:p w:rsidR="00D757F8" w:rsidRPr="004E3E19" w:rsidRDefault="00D757F8" w:rsidP="00424106">
            <w:pPr>
              <w:widowControl/>
              <w:adjustRightInd w:val="0"/>
              <w:snapToGrid w:val="0"/>
              <w:spacing w:after="0" w:line="360" w:lineRule="auto"/>
              <w:jc w:val="center"/>
              <w:textAlignment w:val="center"/>
              <w:rPr>
                <w:rFonts w:ascii="Book Antiqua" w:hAnsi="Book Antiqua" w:cs="Book Antiqua"/>
                <w:sz w:val="24"/>
              </w:rPr>
            </w:pPr>
          </w:p>
        </w:tc>
        <w:tc>
          <w:tcPr>
            <w:tcW w:w="2115" w:type="dxa"/>
            <w:vMerge/>
            <w:tcBorders>
              <w:bottom w:val="single" w:sz="4" w:space="0" w:color="auto"/>
            </w:tcBorders>
            <w:vAlign w:val="center"/>
          </w:tcPr>
          <w:p w:rsidR="00D757F8" w:rsidRPr="004E3E19" w:rsidRDefault="00D757F8" w:rsidP="00424106">
            <w:pPr>
              <w:widowControl/>
              <w:adjustRightInd w:val="0"/>
              <w:snapToGrid w:val="0"/>
              <w:spacing w:after="0" w:line="360" w:lineRule="auto"/>
              <w:jc w:val="left"/>
              <w:textAlignment w:val="center"/>
              <w:rPr>
                <w:rFonts w:ascii="Book Antiqua" w:hAnsi="Book Antiqua" w:cs="Book Antiqua"/>
                <w:sz w:val="24"/>
              </w:rPr>
            </w:pPr>
          </w:p>
        </w:tc>
        <w:tc>
          <w:tcPr>
            <w:tcW w:w="1288" w:type="dxa"/>
            <w:vMerge/>
            <w:tcBorders>
              <w:bottom w:val="single" w:sz="4" w:space="0" w:color="auto"/>
            </w:tcBorders>
            <w:vAlign w:val="center"/>
          </w:tcPr>
          <w:p w:rsidR="00D757F8" w:rsidRPr="004E3E19" w:rsidRDefault="00D757F8" w:rsidP="00424106">
            <w:pPr>
              <w:widowControl/>
              <w:adjustRightInd w:val="0"/>
              <w:snapToGrid w:val="0"/>
              <w:spacing w:after="0" w:line="360" w:lineRule="auto"/>
              <w:jc w:val="center"/>
              <w:textAlignment w:val="center"/>
              <w:rPr>
                <w:rFonts w:ascii="Book Antiqua" w:hAnsi="Book Antiqua" w:cs="Book Antiqua"/>
                <w:sz w:val="24"/>
              </w:rPr>
            </w:pPr>
          </w:p>
        </w:tc>
        <w:tc>
          <w:tcPr>
            <w:tcW w:w="2204" w:type="dxa"/>
            <w:vMerge/>
            <w:tcBorders>
              <w:bottom w:val="single" w:sz="4" w:space="0" w:color="auto"/>
            </w:tcBorders>
            <w:vAlign w:val="center"/>
          </w:tcPr>
          <w:p w:rsidR="00D757F8" w:rsidRPr="004E3E19" w:rsidRDefault="00D757F8" w:rsidP="00424106">
            <w:pPr>
              <w:widowControl/>
              <w:adjustRightInd w:val="0"/>
              <w:snapToGrid w:val="0"/>
              <w:spacing w:after="0" w:line="360" w:lineRule="auto"/>
              <w:jc w:val="left"/>
              <w:textAlignment w:val="center"/>
              <w:rPr>
                <w:rFonts w:ascii="Book Antiqua" w:hAnsi="Book Antiqua" w:cs="Book Antiqua"/>
                <w:sz w:val="24"/>
              </w:rPr>
            </w:pPr>
          </w:p>
        </w:tc>
        <w:tc>
          <w:tcPr>
            <w:tcW w:w="1587" w:type="dxa"/>
            <w:vMerge/>
            <w:tcBorders>
              <w:bottom w:val="single" w:sz="4" w:space="0" w:color="auto"/>
            </w:tcBorders>
            <w:vAlign w:val="center"/>
          </w:tcPr>
          <w:p w:rsidR="00D757F8" w:rsidRPr="004E3E19" w:rsidRDefault="00D757F8" w:rsidP="00424106">
            <w:pPr>
              <w:widowControl/>
              <w:adjustRightInd w:val="0"/>
              <w:snapToGrid w:val="0"/>
              <w:spacing w:after="0" w:line="360" w:lineRule="auto"/>
              <w:jc w:val="left"/>
              <w:textAlignment w:val="center"/>
              <w:rPr>
                <w:rFonts w:ascii="Book Antiqua" w:hAnsi="Book Antiqua" w:cs="Book Antiqua"/>
                <w:sz w:val="24"/>
              </w:rPr>
            </w:pPr>
          </w:p>
        </w:tc>
        <w:tc>
          <w:tcPr>
            <w:tcW w:w="629" w:type="dxa"/>
            <w:tcBorders>
              <w:top w:val="single" w:sz="4" w:space="0" w:color="auto"/>
              <w:bottom w:val="single" w:sz="4" w:space="0" w:color="auto"/>
            </w:tcBorders>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b/>
                <w:bCs/>
                <w:color w:val="000000"/>
                <w:kern w:val="0"/>
                <w:sz w:val="24"/>
                <w:lang w:bidi="ar"/>
              </w:rPr>
            </w:pPr>
            <w:r w:rsidRPr="004E3E19">
              <w:rPr>
                <w:rFonts w:ascii="Book Antiqua" w:hAnsi="Book Antiqua" w:cs="Book Antiqua"/>
                <w:b/>
                <w:bCs/>
                <w:color w:val="000000"/>
                <w:kern w:val="0"/>
                <w:sz w:val="24"/>
                <w:lang w:bidi="ar"/>
              </w:rPr>
              <w:t>AA</w:t>
            </w:r>
          </w:p>
        </w:tc>
        <w:tc>
          <w:tcPr>
            <w:tcW w:w="615" w:type="dxa"/>
            <w:tcBorders>
              <w:top w:val="single" w:sz="4" w:space="0" w:color="auto"/>
              <w:bottom w:val="single" w:sz="4" w:space="0" w:color="auto"/>
            </w:tcBorders>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b/>
                <w:bCs/>
                <w:color w:val="000000"/>
                <w:kern w:val="0"/>
                <w:sz w:val="24"/>
                <w:lang w:bidi="ar"/>
              </w:rPr>
            </w:pPr>
            <w:r w:rsidRPr="004E3E19">
              <w:rPr>
                <w:rFonts w:ascii="Book Antiqua" w:hAnsi="Book Antiqua" w:cs="Book Antiqua"/>
                <w:b/>
                <w:bCs/>
                <w:color w:val="000000"/>
                <w:kern w:val="0"/>
                <w:sz w:val="24"/>
                <w:lang w:bidi="ar"/>
              </w:rPr>
              <w:t>AG</w:t>
            </w:r>
          </w:p>
        </w:tc>
        <w:tc>
          <w:tcPr>
            <w:tcW w:w="674" w:type="dxa"/>
            <w:tcBorders>
              <w:top w:val="single" w:sz="4" w:space="0" w:color="auto"/>
              <w:bottom w:val="single" w:sz="4" w:space="0" w:color="auto"/>
            </w:tcBorders>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b/>
                <w:bCs/>
                <w:color w:val="000000"/>
                <w:kern w:val="0"/>
                <w:sz w:val="24"/>
                <w:lang w:bidi="ar"/>
              </w:rPr>
            </w:pPr>
            <w:r w:rsidRPr="004E3E19">
              <w:rPr>
                <w:rFonts w:ascii="Book Antiqua" w:hAnsi="Book Antiqua" w:cs="Book Antiqua"/>
                <w:b/>
                <w:bCs/>
                <w:color w:val="000000"/>
                <w:kern w:val="0"/>
                <w:sz w:val="24"/>
                <w:lang w:bidi="ar"/>
              </w:rPr>
              <w:t>GG</w:t>
            </w:r>
          </w:p>
        </w:tc>
        <w:tc>
          <w:tcPr>
            <w:tcW w:w="240" w:type="dxa"/>
            <w:tcBorders>
              <w:bottom w:val="single" w:sz="4" w:space="0" w:color="auto"/>
            </w:tcBorders>
            <w:vAlign w:val="center"/>
          </w:tcPr>
          <w:p w:rsidR="00D757F8" w:rsidRPr="004E3E19" w:rsidRDefault="00D757F8" w:rsidP="00424106">
            <w:pPr>
              <w:widowControl/>
              <w:adjustRightInd w:val="0"/>
              <w:snapToGrid w:val="0"/>
              <w:spacing w:after="0" w:line="360" w:lineRule="auto"/>
              <w:jc w:val="center"/>
              <w:textAlignment w:val="center"/>
              <w:rPr>
                <w:rFonts w:ascii="Book Antiqua" w:hAnsi="Book Antiqua" w:cs="Book Antiqua"/>
                <w:b/>
                <w:bCs/>
                <w:color w:val="000000"/>
                <w:kern w:val="0"/>
                <w:sz w:val="24"/>
                <w:lang w:bidi="ar"/>
              </w:rPr>
            </w:pPr>
          </w:p>
        </w:tc>
        <w:tc>
          <w:tcPr>
            <w:tcW w:w="799" w:type="dxa"/>
            <w:tcBorders>
              <w:top w:val="single" w:sz="4" w:space="0" w:color="auto"/>
              <w:bottom w:val="single" w:sz="4" w:space="0" w:color="auto"/>
            </w:tcBorders>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b/>
                <w:bCs/>
                <w:color w:val="000000"/>
                <w:kern w:val="0"/>
                <w:sz w:val="24"/>
                <w:lang w:bidi="ar"/>
              </w:rPr>
            </w:pPr>
            <w:r w:rsidRPr="004E3E19">
              <w:rPr>
                <w:rFonts w:ascii="Book Antiqua" w:hAnsi="Book Antiqua" w:cs="Book Antiqua"/>
                <w:b/>
                <w:bCs/>
                <w:color w:val="000000"/>
                <w:kern w:val="0"/>
                <w:sz w:val="24"/>
                <w:lang w:bidi="ar"/>
              </w:rPr>
              <w:t>AA</w:t>
            </w:r>
          </w:p>
        </w:tc>
        <w:tc>
          <w:tcPr>
            <w:tcW w:w="615" w:type="dxa"/>
            <w:tcBorders>
              <w:top w:val="single" w:sz="4" w:space="0" w:color="auto"/>
              <w:bottom w:val="single" w:sz="4" w:space="0" w:color="auto"/>
            </w:tcBorders>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b/>
                <w:bCs/>
                <w:color w:val="000000"/>
                <w:kern w:val="0"/>
                <w:sz w:val="24"/>
                <w:lang w:bidi="ar"/>
              </w:rPr>
            </w:pPr>
            <w:r w:rsidRPr="004E3E19">
              <w:rPr>
                <w:rFonts w:ascii="Book Antiqua" w:hAnsi="Book Antiqua" w:cs="Book Antiqua"/>
                <w:b/>
                <w:bCs/>
                <w:color w:val="000000"/>
                <w:kern w:val="0"/>
                <w:sz w:val="24"/>
                <w:lang w:bidi="ar"/>
              </w:rPr>
              <w:t>AG</w:t>
            </w:r>
          </w:p>
        </w:tc>
        <w:tc>
          <w:tcPr>
            <w:tcW w:w="632" w:type="dxa"/>
            <w:tcBorders>
              <w:top w:val="single" w:sz="4" w:space="0" w:color="auto"/>
              <w:bottom w:val="single" w:sz="4" w:space="0" w:color="auto"/>
            </w:tcBorders>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b/>
                <w:bCs/>
                <w:color w:val="000000"/>
                <w:kern w:val="0"/>
                <w:sz w:val="24"/>
                <w:lang w:bidi="ar"/>
              </w:rPr>
            </w:pPr>
            <w:r w:rsidRPr="004E3E19">
              <w:rPr>
                <w:rFonts w:ascii="Book Antiqua" w:hAnsi="Book Antiqua" w:cs="Book Antiqua"/>
                <w:b/>
                <w:bCs/>
                <w:color w:val="000000"/>
                <w:kern w:val="0"/>
                <w:sz w:val="24"/>
                <w:lang w:bidi="ar"/>
              </w:rPr>
              <w:t>GG</w:t>
            </w:r>
          </w:p>
        </w:tc>
        <w:tc>
          <w:tcPr>
            <w:tcW w:w="985" w:type="dxa"/>
            <w:vMerge/>
            <w:tcBorders>
              <w:bottom w:val="single" w:sz="4" w:space="0" w:color="auto"/>
            </w:tcBorders>
            <w:vAlign w:val="center"/>
          </w:tcPr>
          <w:p w:rsidR="00D757F8" w:rsidRPr="004E3E19" w:rsidRDefault="00D757F8"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p>
        </w:tc>
        <w:tc>
          <w:tcPr>
            <w:tcW w:w="1119" w:type="dxa"/>
            <w:vMerge/>
            <w:tcBorders>
              <w:bottom w:val="single" w:sz="4" w:space="0" w:color="auto"/>
            </w:tcBorders>
            <w:vAlign w:val="center"/>
          </w:tcPr>
          <w:p w:rsidR="00D757F8" w:rsidRPr="004E3E19" w:rsidRDefault="00D757F8"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p>
        </w:tc>
      </w:tr>
      <w:tr w:rsidR="00D757F8" w:rsidRPr="004E3E19">
        <w:trPr>
          <w:trHeight w:val="240"/>
        </w:trPr>
        <w:tc>
          <w:tcPr>
            <w:tcW w:w="1671" w:type="dxa"/>
            <w:tcBorders>
              <w:top w:val="single" w:sz="4" w:space="0" w:color="auto"/>
            </w:tcBorders>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r w:rsidRPr="004E3E19">
              <w:rPr>
                <w:rFonts w:ascii="Book Antiqua" w:hAnsi="Book Antiqua" w:cs="Book Antiqua"/>
                <w:color w:val="000000"/>
                <w:kern w:val="0"/>
                <w:sz w:val="24"/>
                <w:lang w:bidi="ar"/>
              </w:rPr>
              <w:t>Liu</w:t>
            </w:r>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kern w:val="0"/>
                <w:sz w:val="24"/>
                <w:vertAlign w:val="superscript"/>
                <w:lang w:val="en-GB" w:bidi="ar"/>
              </w:rPr>
              <w:fldChar w:fldCharType="begin">
                <w:fldData xml:space="preserve">PEVuZE5vdGU+PENpdGU+PEF1dGhvcj5MaXU8L0F1dGhvcj48WWVhcj4yMDA2PC9ZZWFyPjxSZWNO
dW0+MTgwPC9SZWNOdW0+PERpc3BsYXlUZXh0PlsyN108L0Rpc3BsYXlUZXh0PjxyZWNvcmQ+PHJl
Yy1udW1iZXI+MTgwPC9yZWMtbnVtYmVyPjxmb3JlaWduLWtleXM+PGtleSBhcHA9IkVOIiBkYi1p
ZD0iNXJwZXA5dnY0OXM1c2hld2U1ejU1cjBocnZyZTlmejV3NXgwIiB0aW1lc3RhbXA9IjE0Njc1
NDg2NjQiPjE4MDwva2V5PjwvZm9yZWlnbi1rZXlzPjxyZWYtdHlwZSBuYW1lPSJKb3VybmFsIEFy
dGljbGUiPjE3PC9yZWYtdHlwZT48Y29udHJpYnV0b3JzPjxhdXRob3JzPjxhdXRob3I+TGl1LCBG
LjwvYXV0aG9yPjxhdXRob3I+UGFuLCBLLjwvYXV0aG9yPjxhdXRob3I+WmhhbmcsIFguPC9hdXRo
b3I+PGF1dGhvcj5aaGFuZywgWS48L2F1dGhvcj48YXV0aG9yPlpoYW5nLCBMLjwvYXV0aG9yPjxh
dXRob3I+TWEsIEouPC9hdXRob3I+PGF1dGhvcj5Eb25nLCBDLjwvYXV0aG9yPjxhdXRob3I+U2hl
biwgTC48L2F1dGhvcj48YXV0aG9yPkxpLCBKLjwvYXV0aG9yPjxhdXRob3I+RGVuZywgRC48L2F1
dGhvcj48YXV0aG9yPkxpbiwgRC48L2F1dGhvcj48YXV0aG9yPllvdSwgVy48L2F1dGhvcj48L2F1
dGhvcnM+PC9jb250cmlidXRvcnM+PGF1dGgtYWRkcmVzcz5EZXBhcnRtZW50IG9mIENhbmNlciBF
cGlkZW1pb2xvZ3ksIFBla2luZyBVbml2ZXJzaXR5IFNjaG9vbCBvZiBPbmNvbG9neSwgQmVpamlu
ZyBJbnN0aXR1dGUgZm9yIENhbmNlciBSZXNlYXJjaCwgQmVpamluZyBDYW5jZXIgSG9zcGl0YWws
IEJlaWppbmcsIENoaW5hLjwvYXV0aC1hZGRyZXNzPjx0aXRsZXM+PHRpdGxlPkdlbmV0aWMgdmFy
aWFudHMgaW4gY3ljbG9veHlnZW5hc2UtMjogRXhwcmVzc2lvbiBhbmQgcmlzayBvZiBnYXN0cmlj
IGNhbmNlciBhbmQgaXRzIHByZWN1cnNvcnMgaW4gYSBDaGluZXNlIHBvcHVsYXRpb248L3RpdGxl
PjxzZWNvbmRhcnktdGl0bGU+R2FzdHJvZW50ZXJvbG9neTwvc2Vjb25kYXJ5LXRpdGxlPjwvdGl0
bGVzPjxwZXJpb2RpY2FsPjxmdWxsLXRpdGxlPkdhc3Ryb2VudGVyb2xvZ3k8L2Z1bGwtdGl0bGU+
PGFiYnItMT5HYXN0cm9lbnRlcm9sb2d5PC9hYmJyLTE+PC9wZXJpb2RpY2FsPjxwYWdlcz4xOTc1
LTg0PC9wYWdlcz48dm9sdW1lPjEzMDwvdm9sdW1lPjxudW1iZXI+NzwvbnVtYmVyPjxrZXl3b3Jk
cz48a2V5d29yZD5BZHVsdDwva2V5d29yZD48a2V5d29yZD5BZ2UgRGlzdHJpYnV0aW9uPC9rZXl3
b3JkPjxrZXl3b3JkPkJhc2UgU2VxdWVuY2U8L2tleXdvcmQ+PGtleXdvcmQ+Q2hpbmEvZXBpZGVt
aW9sb2d5PC9rZXl3b3JkPjxrZXl3b3JkPkNvbmZpZGVuY2UgSW50ZXJ2YWxzPC9rZXl3b3JkPjxr
ZXl3b3JkPkNyb3NzLVNlY3Rpb25hbCBTdHVkaWVzPC9rZXl3b3JkPjxrZXl3b3JkPkN5Y2xvb3h5
Z2VuYXNlIDIvKmdlbmV0aWNzPC9rZXl3b3JkPjxrZXl3b3JkPkZlbWFsZTwva2V5d29yZD48a2V5
d29yZD5HZW5lIEV4cHJlc3Npb24gUmVndWxhdGlvbiwgTmVvcGxhc3RpYzwva2V5d29yZD48a2V5
d29yZD5HZW5ldGljIFByZWRpc3Bvc2l0aW9uIHRvIERpc2Vhc2UvKmVwaWRlbWlvbG9neTwva2V5
d29yZD48a2V5d29yZD5HZW5ldGljIFRlc3Rpbmc8L2tleXdvcmQ+PGtleXdvcmQ+R2VuZXRpYyBW
YXJpYXRpb248L2tleXdvcmQ+PGtleXdvcmQ+R2Vub3R5cGU8L2tleXdvcmQ+PGtleXdvcmQ+SGVs
aWNvYmFjdGVyIEluZmVjdGlvbnMvZXBpZGVtaW9sb2d5LypnZW5ldGljcy9wYXRob2xvZ3k8L2tl
eXdvcmQ+PGtleXdvcmQ+SHVtYW5zPC9rZXl3b3JkPjxrZXl3b3JkPkltbXVub2hpc3RvY2hlbWlz
dHJ5PC9rZXl3b3JkPjxrZXl3b3JkPk1hbGU8L2tleXdvcmQ+PGtleXdvcmQ+TWlkZGxlIEFnZWQ8
L2tleXdvcmQ+PGtleXdvcmQ+TW9sZWN1bGFyIFNlcXVlbmNlIERhdGE8L2tleXdvcmQ+PGtleXdv
cmQ+TmVvcGxhc20gU3RhZ2luZzwva2V5d29yZD48a2V5d29yZD5PZGRzIFJhdGlvPC9rZXl3b3Jk
PjxrZXl3b3JkPlBvbHltZXJhc2UgQ2hhaW4gUmVhY3Rpb248L2tleXdvcmQ+PGtleXdvcmQ+UHJl
Y2FuY2Vyb3VzIENvbmRpdGlvbnMvZ2VuZXRpY3MvcGF0aG9sb2d5PC9rZXl3b3JkPjxrZXl3b3Jk
PlByZXZhbGVuY2U8L2tleXdvcmQ+PGtleXdvcmQ+UmlzayBBc3Nlc3NtZW50PC9rZXl3b3JkPjxr
ZXl3b3JkPlNleCBEaXN0cmlidXRpb248L2tleXdvcmQ+PGtleXdvcmQ+U3RvbWFjaCBOZW9wbGFz
bXMvKmVwaWRlbWlvbG9neS8qZ2VuZXRpY3MvcGF0aG9sb2d5PC9rZXl3b3JkPjwva2V5d29yZHM+
PGRhdGVzPjx5ZWFyPjIwMDY8L3llYXI+PHB1Yi1kYXRlcz48ZGF0ZT5KdW48L2RhdGU+PC9wdWIt
ZGF0ZXM+PC9kYXRlcz48aXNibj4wMDE2LTUwODUgKFByaW50KSYjeEQ7MDAxNi01MDg1IChMaW5r
aW5nKTwvaXNibj48YWNjZXNzaW9uLW51bT4xNjc2MjYyMDwvYWNjZXNzaW9uLW51bT48dXJscz48
cmVsYXRlZC11cmxzPjx1cmw+aHR0cDovL3d3dy5uY2JpLm5sbS5uaWguZ292L3B1Ym1lZC8xNjc2
MjYyMDwvdXJsPjwvcmVsYXRlZC11cmxzPjwvdXJscz48ZWxlY3Ryb25pYy1yZXNvdXJjZS1udW0+
MTAuMTA1My9qLmdhc3Ryby4yMDA2LjAzLjAyMTwvZWxlY3Ryb25pYy1yZXNvdXJjZS1udW0+PC9y
ZWNvcmQ+PC9DaXRlPjwvRW5kTm90ZT4A
</w:fldData>
              </w:fldChar>
            </w:r>
            <w:r w:rsidRPr="004E3E19">
              <w:rPr>
                <w:rFonts w:ascii="Book Antiqua" w:hAnsi="Book Antiqua" w:cs="Book Antiqua"/>
                <w:kern w:val="0"/>
                <w:sz w:val="24"/>
                <w:vertAlign w:val="superscript"/>
                <w:lang w:val="en-GB" w:bidi="ar"/>
              </w:rPr>
              <w:instrText xml:space="preserve"> ADDIN EN.CITE </w:instrTex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EN.CITE.DATA </w:instrText>
            </w:r>
            <w:r w:rsidRPr="004E3E19">
              <w:rPr>
                <w:rFonts w:ascii="Book Antiqua" w:hAnsi="Book Antiqua" w:cs="Book Antiqua"/>
                <w:kern w:val="0"/>
                <w:sz w:val="24"/>
                <w:vertAlign w:val="superscript"/>
                <w:lang w:val="en-GB" w:bidi="ar"/>
              </w:rPr>
              <w:fldChar w:fldCharType="end"/>
            </w:r>
            <w:r w:rsidRPr="004E3E19">
              <w:rPr>
                <w:rFonts w:ascii="Book Antiqua" w:hAnsi="Book Antiqua" w:cs="Book Antiqua"/>
                <w:kern w:val="0"/>
                <w:sz w:val="24"/>
                <w:vertAlign w:val="superscript"/>
                <w:lang w:val="en-GB" w:bidi="ar"/>
              </w:rPr>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[27]</w:t>
            </w:r>
            <w:r w:rsidRPr="004E3E19">
              <w:rPr>
                <w:rFonts w:ascii="Book Antiqua" w:hAnsi="Book Antiqua" w:cs="Book Antiqua"/>
                <w:kern w:val="0"/>
                <w:sz w:val="24"/>
                <w:vertAlign w:val="superscript"/>
                <w:lang w:val="en-GB" w:bidi="ar"/>
              </w:rPr>
              <w:fldChar w:fldCharType="end"/>
            </w:r>
          </w:p>
        </w:tc>
        <w:tc>
          <w:tcPr>
            <w:tcW w:w="749" w:type="dxa"/>
            <w:tcBorders>
              <w:top w:val="single" w:sz="4" w:space="0" w:color="auto"/>
            </w:tcBorders>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2006</w:t>
            </w:r>
          </w:p>
        </w:tc>
        <w:tc>
          <w:tcPr>
            <w:tcW w:w="1438" w:type="dxa"/>
            <w:tcBorders>
              <w:top w:val="single" w:sz="4" w:space="0" w:color="auto"/>
            </w:tcBorders>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China</w:t>
            </w:r>
          </w:p>
        </w:tc>
        <w:tc>
          <w:tcPr>
            <w:tcW w:w="2115" w:type="dxa"/>
            <w:tcBorders>
              <w:top w:val="single" w:sz="4" w:space="0" w:color="auto"/>
            </w:tcBorders>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Gastric cancer</w:t>
            </w:r>
          </w:p>
        </w:tc>
        <w:tc>
          <w:tcPr>
            <w:tcW w:w="1288" w:type="dxa"/>
            <w:tcBorders>
              <w:top w:val="single" w:sz="4" w:space="0" w:color="auto"/>
            </w:tcBorders>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PB</w:t>
            </w:r>
          </w:p>
        </w:tc>
        <w:tc>
          <w:tcPr>
            <w:tcW w:w="2204" w:type="dxa"/>
            <w:tcBorders>
              <w:top w:val="single" w:sz="4" w:space="0" w:color="auto"/>
            </w:tcBorders>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NA</w:t>
            </w:r>
          </w:p>
        </w:tc>
        <w:tc>
          <w:tcPr>
            <w:tcW w:w="1587" w:type="dxa"/>
            <w:tcBorders>
              <w:top w:val="single" w:sz="4" w:space="0" w:color="auto"/>
            </w:tcBorders>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DHPLC</w:t>
            </w:r>
          </w:p>
        </w:tc>
        <w:tc>
          <w:tcPr>
            <w:tcW w:w="629" w:type="dxa"/>
            <w:tcBorders>
              <w:top w:val="single" w:sz="4" w:space="0" w:color="auto"/>
            </w:tcBorders>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88</w:t>
            </w:r>
          </w:p>
        </w:tc>
        <w:tc>
          <w:tcPr>
            <w:tcW w:w="615" w:type="dxa"/>
            <w:tcBorders>
              <w:top w:val="single" w:sz="4" w:space="0" w:color="auto"/>
            </w:tcBorders>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116</w:t>
            </w:r>
          </w:p>
        </w:tc>
        <w:tc>
          <w:tcPr>
            <w:tcW w:w="674" w:type="dxa"/>
            <w:tcBorders>
              <w:top w:val="single" w:sz="4" w:space="0" w:color="auto"/>
            </w:tcBorders>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44</w:t>
            </w:r>
          </w:p>
        </w:tc>
        <w:tc>
          <w:tcPr>
            <w:tcW w:w="240" w:type="dxa"/>
            <w:tcBorders>
              <w:top w:val="single" w:sz="4" w:space="0" w:color="auto"/>
            </w:tcBorders>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tcBorders>
              <w:top w:val="single" w:sz="4" w:space="0" w:color="auto"/>
            </w:tcBorders>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375</w:t>
            </w:r>
          </w:p>
        </w:tc>
        <w:tc>
          <w:tcPr>
            <w:tcW w:w="615" w:type="dxa"/>
            <w:tcBorders>
              <w:top w:val="single" w:sz="4" w:space="0" w:color="auto"/>
            </w:tcBorders>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771</w:t>
            </w:r>
          </w:p>
        </w:tc>
        <w:tc>
          <w:tcPr>
            <w:tcW w:w="632" w:type="dxa"/>
            <w:tcBorders>
              <w:top w:val="single" w:sz="4" w:space="0" w:color="auto"/>
            </w:tcBorders>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377</w:t>
            </w:r>
          </w:p>
        </w:tc>
        <w:tc>
          <w:tcPr>
            <w:tcW w:w="985" w:type="dxa"/>
            <w:tcBorders>
              <w:top w:val="single" w:sz="4" w:space="0" w:color="auto"/>
            </w:tcBorders>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0.626</w:t>
            </w:r>
          </w:p>
        </w:tc>
        <w:tc>
          <w:tcPr>
            <w:tcW w:w="1119" w:type="dxa"/>
            <w:tcBorders>
              <w:top w:val="single" w:sz="4" w:space="0" w:color="auto"/>
            </w:tcBorders>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14</w:t>
            </w:r>
          </w:p>
        </w:tc>
      </w:tr>
      <w:tr w:rsidR="00D757F8" w:rsidRPr="004E3E19">
        <w:trPr>
          <w:trHeight w:val="452"/>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bookmarkStart w:id="27" w:name="OLE_LINK5"/>
            <w:r w:rsidRPr="004E3E19">
              <w:rPr>
                <w:rFonts w:ascii="Book Antiqua" w:hAnsi="Book Antiqua" w:cs="Book Antiqua"/>
                <w:color w:val="000000"/>
                <w:kern w:val="0"/>
                <w:sz w:val="24"/>
                <w:lang w:bidi="ar"/>
              </w:rPr>
              <w:t>Siezen</w:t>
            </w:r>
            <w:bookmarkEnd w:id="27"/>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 &lt;EndNote&gt;&lt;Cite&gt;&lt;Author&gt;Siezen&lt;/Author&gt;&lt;Year&gt;2006&lt;/Year&gt;&lt;RecNum&gt;176&lt;/RecNum&gt;&lt;DisplayText&gt;[28]&lt;/DisplayText&gt;&lt;record&gt;&lt;rec-number&gt;176&lt;/rec-number&gt;&lt;foreign-keys&gt;&lt;key app="EN" db-id="5rpep9vv49s5shewe5z55r0hrvre9fz5w5x0" timestamp="1467547214"&gt;176&lt;/key&gt;&lt;/foreign-keys&gt;&lt;ref-type name="Journal Article"&gt;17&lt;/ref-type&gt;&lt;contributors&gt;&lt;authors&gt;&lt;author&gt;Siezen, C. L.&lt;/author&gt;&lt;author&gt;Bueno-de-Mesquita, H. B.&lt;/author&gt;&lt;author&gt;Peeters, P. H.&lt;/author&gt;&lt;author&gt;Kram, N. R.&lt;/author&gt;&lt;author&gt;van Doeselaar, M.&lt;/author&gt;&lt;author&gt;van Kranen, H. J.&lt;/author&gt;&lt;/authors&gt;&lt;/contributors&gt;&lt;auth-address&gt;Department of Toxicology, Pathology and Genetics, National Institute for Public Health and the Environment (RIVM), Bilthoven, The Netherlands.&lt;/auth-address&gt;&lt;titles&gt;&lt;title&gt;Polymorphisms in the genes involved in the arachidonic acid-pathway, fish consumption and the risk of colorectal cancer&lt;/title&gt;&lt;secondary-title&gt;Int J Cancer&lt;/secondary-title&gt;&lt;/titles&gt;&lt;periodical&gt;&lt;full-title&gt;Int J Cancer&lt;/full-title&gt;&lt;/periodical&gt;&lt;pages&gt;297-303&lt;/pages&gt;&lt;volume&gt;119&lt;/volume&gt;&lt;number&gt;2&lt;/number&gt;&lt;keywords&gt;&lt;keyword&gt;Adult&lt;/keyword&gt;&lt;keyword&gt;Alleles&lt;/keyword&gt;&lt;keyword&gt;Animals&lt;/keyword&gt;&lt;keyword&gt;Arachidonic Acid/*genetics&lt;/keyword&gt;&lt;keyword&gt;Case-Control Studies&lt;/keyword&gt;&lt;keyword&gt;Colorectal Neoplasms/*epidemiology/*prevention &amp;amp; control&lt;/keyword&gt;&lt;keyword&gt;Female&lt;/keyword&gt;&lt;keyword&gt;*Fishes&lt;/keyword&gt;&lt;keyword&gt;*Food Habits&lt;/keyword&gt;&lt;keyword&gt;Haplotypes&lt;/keyword&gt;&lt;keyword&gt;Humans&lt;/keyword&gt;&lt;keyword&gt;Male&lt;/keyword&gt;&lt;keyword&gt;Middle Aged&lt;/keyword&gt;&lt;keyword&gt;Odds Ratio&lt;/keyword&gt;&lt;keyword&gt;Polymorphism, Genetic&lt;/keyword&gt;&lt;keyword&gt;*Polymorphism, Single Nucleotide&lt;/keyword&gt;&lt;keyword&gt;Risk Assessment&lt;/keyword&gt;&lt;/keywords&gt;&lt;dates&gt;&lt;year&gt;2006&lt;/year&gt;&lt;pub-dates&gt;&lt;date&gt;Jul 15&lt;/date&gt;&lt;/pub-dates&gt;&lt;/dates&gt;&lt;isbn&gt;0020-7136 (Print)&amp;#xD;0020-7136 (Linking)&lt;/isbn&gt;&lt;accession-num&gt;16482563&lt;/accession-num&gt;&lt;urls&gt;&lt;related-urls&gt;&lt;url&gt;http://www.ncbi.nlm.nih.gov/pubmed/16482563&lt;/url&gt;&lt;/related-urls&gt;&lt;/urls&gt;&lt;electronic-resource-num&gt;10.1002/ijc.21858&lt;/electronic-resource-num&gt;&lt;/record&gt;&lt;/Cite&gt;&lt;/EndNote&gt;</w:instrText>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[28]</w:t>
            </w:r>
            <w:r w:rsidRPr="004E3E19">
              <w:rPr>
                <w:rFonts w:ascii="Book Antiqua" w:hAnsi="Book Antiqua" w:cs="Book Antiqua"/>
                <w:kern w:val="0"/>
                <w:sz w:val="24"/>
                <w:vertAlign w:val="superscript"/>
                <w:lang w:val="en-GB"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2006</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Netherland</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Colorectal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Age, Sex, Center</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PCR-RFLP</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127</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59</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10</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243</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128</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0.558</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17</w:t>
            </w:r>
          </w:p>
        </w:tc>
      </w:tr>
      <w:tr w:rsidR="00D757F8" w:rsidRPr="004E3E19">
        <w:trPr>
          <w:trHeight w:val="452"/>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r w:rsidRPr="004E3E19">
              <w:rPr>
                <w:rFonts w:ascii="Book Antiqua" w:hAnsi="Book Antiqua" w:cs="Book Antiqua"/>
                <w:color w:val="000000"/>
                <w:kern w:val="0"/>
                <w:sz w:val="24"/>
                <w:lang w:bidi="ar"/>
              </w:rPr>
              <w:t>Siezen</w:t>
            </w:r>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 &lt;EndNote&gt;&lt;Cite&gt;&lt;Author&gt;Siezen&lt;/Author&gt;&lt;Year&gt;2006&lt;/Year&gt;&lt;RecNum&gt;176&lt;/RecNum&gt;&lt;DisplayText&gt;[28]&lt;/DisplayText&gt;&lt;record&gt;&lt;rec-number&gt;176&lt;/rec-number&gt;&lt;foreign-keys&gt;&lt;key app="EN" db-id="5rpep9vv49s5shewe5z55r0hrvre9fz5w5x0" timestamp="1467547214"&gt;176&lt;/key&gt;&lt;/foreign-keys&gt;&lt;ref-type name="Journal Article"&gt;17&lt;/ref-type&gt;&lt;contributors&gt;&lt;authors&gt;&lt;author&gt;Siezen, C. L.&lt;/author&gt;&lt;author&gt;Bueno-de-Mesquita, H. B.&lt;/author&gt;&lt;author&gt;Peeters, P. H.&lt;/author&gt;&lt;author&gt;Kram, N. R.&lt;/author&gt;&lt;author&gt;van Doeselaar, M.&lt;/author&gt;&lt;author&gt;van Kranen, H. J.&lt;/author&gt;&lt;/authors&gt;&lt;/contributors&gt;&lt;auth-address&gt;Department of Toxicology, Pathology and Genetics, National Institute for Public Health and the Environment (RIVM), Bilthoven, The Netherlands.&lt;/auth-address&gt;&lt;titles&gt;&lt;title&gt;Polymorphisms in the genes involved in the arachidonic acid-pathway, fish consumption and the risk of colorectal cancer&lt;/title&gt;&lt;secondary-title&gt;Int J Cancer&lt;/secondary-title&gt;&lt;/titles&gt;&lt;periodical&gt;&lt;full-title&gt;Int J Cancer&lt;/full-title&gt;&lt;/periodical&gt;&lt;pages&gt;297-303&lt;/pages&gt;&lt;volume&gt;119&lt;/volume&gt;&lt;number&gt;2&lt;/number&gt;&lt;keywords&gt;&lt;keyword&gt;Adult&lt;/keyword&gt;&lt;keyword&gt;Alleles&lt;/keyword&gt;&lt;keyword&gt;Animals&lt;/keyword&gt;&lt;keyword&gt;Arachidonic Acid/*genetics&lt;/keyword&gt;&lt;keyword&gt;Case-Control Studies&lt;/keyword&gt;&lt;keyword&gt;Colorectal Neoplasms/*epidemiology/*prevention &amp;amp; control&lt;/keyword&gt;&lt;keyword&gt;Female&lt;/keyword&gt;&lt;keyword&gt;*Fishes&lt;/keyword&gt;&lt;keyword&gt;*Food Habits&lt;/keyword&gt;&lt;keyword&gt;Haplotypes&lt;/keyword&gt;&lt;keyword&gt;Humans&lt;/keyword&gt;&lt;keyword&gt;Male&lt;/keyword&gt;&lt;keyword&gt;Middle Aged&lt;/keyword&gt;&lt;keyword&gt;Odds Ratio&lt;/keyword&gt;&lt;keyword&gt;Polymorphism, Genetic&lt;/keyword&gt;&lt;keyword&gt;*Polymorphism, Single Nucleotide&lt;/keyword&gt;&lt;keyword&gt;Risk Assessment&lt;/keyword&gt;&lt;/keywords&gt;&lt;dates&gt;&lt;year&gt;2006&lt;/year&gt;&lt;pub-dates&gt;&lt;date&gt;Jul 15&lt;/date&gt;&lt;/pub-dates&gt;&lt;/dates&gt;&lt;isbn&gt;0020-7136 (Print)&amp;#xD;0020-7136 (Linking)&lt;/isbn&gt;&lt;accession-num&gt;16482563&lt;/accession-num&gt;&lt;urls&gt;&lt;related-urls&gt;&lt;url&gt;http://www.ncbi.nlm.nih.gov/pubmed/16482563&lt;/url&gt;&lt;/related-urls&gt;&lt;/urls&gt;&lt;electronic-resource-num&gt;10.1002/ijc.21858&lt;/electronic-resource-num&gt;&lt;/record&gt;&lt;/Cite&gt;&lt;/EndNote&gt;</w:instrText>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[28]</w:t>
            </w:r>
            <w:r w:rsidRPr="004E3E19">
              <w:rPr>
                <w:rFonts w:ascii="Book Antiqua" w:hAnsi="Book Antiqua" w:cs="Book Antiqua"/>
                <w:kern w:val="0"/>
                <w:sz w:val="24"/>
                <w:vertAlign w:val="superscript"/>
                <w:lang w:val="en-GB"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2006</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Netherland</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Colorectal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Age, Sex, Center</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PCR-RFLP</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283</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132</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19</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422</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226</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41</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0.149</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18</w:t>
            </w:r>
          </w:p>
        </w:tc>
      </w:tr>
      <w:tr w:rsidR="00D757F8" w:rsidRPr="004E3E19">
        <w:trPr>
          <w:trHeight w:val="228"/>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r w:rsidRPr="004E3E19">
              <w:rPr>
                <w:rFonts w:ascii="Book Antiqua" w:hAnsi="Book Antiqua" w:cs="Book Antiqua"/>
                <w:color w:val="000000"/>
                <w:kern w:val="0"/>
                <w:sz w:val="24"/>
                <w:lang w:bidi="ar"/>
              </w:rPr>
              <w:t>Jiang</w:t>
            </w:r>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 &lt;EndNote&gt;&lt;Cite&gt;&lt;Author&gt;Jiang&lt;/Author&gt;&lt;Year&gt;2007&lt;/Year&gt;&lt;RecNum&gt;179&lt;/RecNum&gt;&lt;DisplayText&gt;[29]&lt;/DisplayText&gt;&lt;record&gt;&lt;rec-number&gt;179&lt;/rec-number&gt;&lt;foreign-keys&gt;&lt;key app="EN" db-id="5rpep9vv49s5shewe5z55r0hrvre9fz5w5x0" timestamp="1467548491"&gt;179&lt;/key&gt;&lt;/foreign-keys&gt;&lt;ref-type name="Journal Article"&gt;17&lt;/ref-type&gt;&lt;contributors&gt;&lt;authors&gt;&lt;author&gt;Jiang, G. J.&lt;/author&gt;&lt;author&gt;Wang, H. M.&lt;/author&gt;&lt;author&gt;Zhou, Y.&lt;/author&gt;&lt;author&gt;Tan, Y. F.&lt;/author&gt;&lt;author&gt;Ding, W. L.&lt;/author&gt;&lt;author&gt;Gao, J.&lt;/author&gt;&lt;author&gt;Ke, Q.&lt;/author&gt;&lt;author&gt;Wang,Y.&lt;/author&gt;&lt;author&gt;Shen, Q.&lt;/author&gt;&lt;author&gt;Xu, Y. C.&lt;/author&gt;&lt;author&gt;Shen, H. B.&lt;/author&gt;&lt;/authors&gt;&lt;/contributors&gt;&lt;titles&gt;&lt;title&gt;The correlation study between the nucleotide polymorphisms of cyclooxygenase-2 gene and the susceptibility to gastric cancer&lt;/title&gt;&lt;secondary-title&gt;Acta Universitatis Medicinalis Nanjing (Natural Science)&lt;/secondary-title&gt;&lt;/titles&gt;&lt;periodical&gt;&lt;full-title&gt;Acta Universitatis Medicinalis Nanjing (Natural Science)&lt;/full-title&gt;&lt;/periodical&gt;&lt;pages&gt;890-894&lt;/pages&gt;&lt;volume&gt;27&lt;/volume&gt;&lt;number&gt;8&lt;/number&gt;&lt;dates&gt;&lt;year&gt;2007&lt;/year&gt;&lt;/dates&gt;&lt;urls&gt;&lt;/urls&gt;&lt;/record&gt;&lt;/Cite&gt;&lt;/EndNote&gt;</w:instrText>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[29]</w:t>
            </w:r>
            <w:r w:rsidRPr="004E3E19">
              <w:rPr>
                <w:rFonts w:ascii="Book Antiqua" w:hAnsi="Book Antiqua" w:cs="Book Antiqua"/>
                <w:kern w:val="0"/>
                <w:sz w:val="24"/>
                <w:vertAlign w:val="superscript"/>
                <w:lang w:val="en-GB"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2007</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China</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Gastric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Age, Sex</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PCR-RFLP</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74</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132</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48</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79</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163</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62</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0.187</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16</w:t>
            </w:r>
          </w:p>
        </w:tc>
      </w:tr>
      <w:tr w:rsidR="00D757F8" w:rsidRPr="004E3E19">
        <w:trPr>
          <w:trHeight w:val="228"/>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r w:rsidRPr="004E3E19">
              <w:rPr>
                <w:rFonts w:ascii="Book Antiqua" w:hAnsi="Book Antiqua" w:cs="Book Antiqua"/>
                <w:color w:val="000000"/>
                <w:kern w:val="0"/>
                <w:sz w:val="24"/>
                <w:lang w:bidi="ar"/>
              </w:rPr>
              <w:t>Tan</w:t>
            </w:r>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kern w:val="0"/>
                <w:sz w:val="24"/>
                <w:vertAlign w:val="superscript"/>
                <w:lang w:val="en-GB" w:bidi="ar"/>
              </w:rPr>
              <w:fldChar w:fldCharType="begin">
                <w:fldData xml:space="preserve">PEVuZE5vdGU+PENpdGU+PEF1dGhvcj5UYW48L0F1dGhvcj48WWVhcj4yMDA3PC9ZZWFyPjxSZWNO
dW0+MTg1PC9SZWNOdW0+PERpc3BsYXlUZXh0PlszMF08L0Rpc3BsYXlUZXh0PjxyZWNvcmQ+PHJl
Yy1udW1iZXI+MTg1PC9yZWMtbnVtYmVyPjxmb3JlaWduLWtleXM+PGtleSBhcHA9IkVOIiBkYi1p
ZD0iNXJwZXA5dnY0OXM1c2hld2U1ejU1cjBocnZyZTlmejV3NXgwIiB0aW1lc3RhbXA9IjE0Njc1
NTA2NTMiPjE4NTwva2V5PjwvZm9yZWlnbi1rZXlzPjxyZWYtdHlwZSBuYW1lPSJKb3VybmFsIEFy
dGljbGUiPjE3PC9yZWYtdHlwZT48Y29udHJpYnV0b3JzPjxhdXRob3JzPjxhdXRob3I+VGFuLCBX
LjwvYXV0aG9yPjxhdXRob3I+V3UsIEouPC9hdXRob3I+PGF1dGhvcj5aaGFuZywgWC48L2F1dGhv
cj48YXV0aG9yPkd1bywgWS48L2F1dGhvcj48YXV0aG9yPkxpdSwgSi48L2F1dGhvcj48YXV0aG9y
PlN1biwgVC48L2F1dGhvcj48YXV0aG9yPlpoYW5nLCBCLjwvYXV0aG9yPjxhdXRob3I+Wmhhbywg
RC48L2F1dGhvcj48YXV0aG9yPllhbmcsIE0uPC9hdXRob3I+PGF1dGhvcj5ZdSwgRC48L2F1dGhv
cj48YXV0aG9yPkxpbiwgRC48L2F1dGhvcj48L2F1dGhvcnM+PC9jb250cmlidXRvcnM+PGF1dGgt
YWRkcmVzcz5EZXBhcnRtZW50IG9mIEV0aW9sb2d5IGFuZCBDYXJjaW5vZ2VuZXNpcywgQ2FuY2Vy
IEluc3RpdHV0ZSBhbmQgSG9zcGl0YWwsIENoaW5lc2UgQWNhZGVteSBvZiBNZWRpY2FsIFNjaWVu
Y2VzIGFuZCBQZWtpbmcgVW5pb24gTWVkaWNhbCBDb2xsZWdlLCBCZWlqaW5nLCBDaGluYS48L2F1
dGgtYWRkcmVzcz48dGl0bGVzPjx0aXRsZT5Bc3NvY2lhdGlvbnMgb2YgZnVuY3Rpb25hbCBwb2x5
bW9ycGhpc21zIGluIGN5Y2xvb3h5Z2VuYXNlLTIgYW5kIHBsYXRlbGV0IDEyLWxpcG94eWdlbmFz
ZSB3aXRoIHJpc2sgb2Ygb2NjdXJyZW5jZSBhbmQgYWR2YW5jZWQgZGlzZWFzZSBzdGF0dXMgb2Yg
Y29sb3JlY3RhbCBjYW5jZXI8L3RpdGxlPjxzZWNvbmRhcnktdGl0bGU+Q2FyY2lub2dlbmVzaXM8
L3NlY29uZGFyeS10aXRsZT48L3RpdGxlcz48cGVyaW9kaWNhbD48ZnVsbC10aXRsZT5DYXJjaW5v
Z2VuZXNpczwvZnVsbC10aXRsZT48YWJici0xPkNhcmNpbm9nZW5lc2lzPC9hYmJyLTE+PC9wZXJp
b2RpY2FsPjxwYWdlcz4xMTk3LTIwMTwvcGFnZXM+PHZvbHVtZT4yODwvdm9sdW1lPjxudW1iZXI+
NjwvbnVtYmVyPjxrZXl3b3Jkcz48a2V5d29yZD5BZ2VkPC9rZXl3b3JkPjxrZXl3b3JkPkFyYWNo
aWRvbmF0ZSAxMi1MaXBveHlnZW5hc2UvKmJsb29kLypnZW5ldGljcy9waHlzaW9sb2d5PC9rZXl3
b3JkPjxrZXl3b3JkPkJsb29kIFBsYXRlbGV0cy8qZW56eW1vbG9neTwva2V5d29yZD48a2V5d29y
ZD5Db2xvcmVjdGFsIE5lb3BsYXNtcy8qZW56eW1vbG9neS9lcGlkZW1pb2xvZ3kvKmdlbmV0aWNz
L3BhdGhvbG9neTwva2V5d29yZD48a2V5d29yZD5DeWNsb294eWdlbmFzZSAyLypnZW5ldGljcy9w
aHlzaW9sb2d5PC9rZXl3b3JkPjxrZXl3b3JkPkZlbWFsZTwva2V5d29yZD48a2V5d29yZD4qR2Vu
ZXRpYyBQcmVkaXNwb3NpdGlvbiB0byBEaXNlYXNlPC9rZXl3b3JkPjxrZXl3b3JkPkh1bWFuczwv
a2V5d29yZD48a2V5d29yZD5NYWxlPC9rZXl3b3JkPjxrZXl3b3JkPk1pZGRsZSBBZ2VkPC9rZXl3
b3JkPjxrZXl3b3JkPipQb2x5bW9ycGhpc20sIEdlbmV0aWM8L2tleXdvcmQ+PGtleXdvcmQ+Umlz
ayBGYWN0b3JzPC9rZXl3b3JkPjxrZXl3b3JkPlNldmVyaXR5IG9mIElsbG5lc3MgSW5kZXg8L2tl
eXdvcmQ+PC9rZXl3b3Jkcz48ZGF0ZXM+PHllYXI+MjAwNzwveWVhcj48cHViLWRhdGVzPjxkYXRl
Pkp1bjwvZGF0ZT48L3B1Yi1kYXRlcz48L2RhdGVzPjxpc2JuPjAxNDMtMzMzNCAoUHJpbnQpJiN4
RDswMTQzLTMzMzQgKExpbmtpbmcpPC9pc2JuPjxhY2Nlc3Npb24tbnVtPjE3MTUxMDkxPC9hY2Nl
c3Npb24tbnVtPjx1cmxzPjxyZWxhdGVkLXVybHM+PHVybD5odHRwOi8vd3d3Lm5jYmkubmxtLm5p
aC5nb3YvcHVibWVkLzE3MTUxMDkxPC91cmw+PC9yZWxhdGVkLXVybHM+PC91cmxzPjxlbGVjdHJv
bmljLXJlc291cmNlLW51bT4xMC4xMDkzL2NhcmNpbi9iZ2wyNDI8L2VsZWN0cm9uaWMtcmVzb3Vy
Y2UtbnVtPjwvcmVjb3JkPjwvQ2l0ZT48L0VuZE5vdGU+
</w:fldData>
              </w:fldChar>
            </w:r>
            <w:r w:rsidRPr="004E3E19">
              <w:rPr>
                <w:rFonts w:ascii="Book Antiqua" w:hAnsi="Book Antiqua" w:cs="Book Antiqua"/>
                <w:kern w:val="0"/>
                <w:sz w:val="24"/>
                <w:vertAlign w:val="superscript"/>
                <w:lang w:val="en-GB" w:bidi="ar"/>
              </w:rPr>
              <w:instrText xml:space="preserve"> ADDIN EN.CITE </w:instrTex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EN.CITE.DATA </w:instrText>
            </w:r>
            <w:r w:rsidRPr="004E3E19">
              <w:rPr>
                <w:rFonts w:ascii="Book Antiqua" w:hAnsi="Book Antiqua" w:cs="Book Antiqua"/>
                <w:kern w:val="0"/>
                <w:sz w:val="24"/>
                <w:vertAlign w:val="superscript"/>
                <w:lang w:val="en-GB" w:bidi="ar"/>
              </w:rPr>
              <w:fldChar w:fldCharType="end"/>
            </w:r>
            <w:r w:rsidRPr="004E3E19">
              <w:rPr>
                <w:rFonts w:ascii="Book Antiqua" w:hAnsi="Book Antiqua" w:cs="Book Antiqua"/>
                <w:kern w:val="0"/>
                <w:sz w:val="24"/>
                <w:vertAlign w:val="superscript"/>
                <w:lang w:val="en-GB" w:bidi="ar"/>
              </w:rPr>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[30]</w:t>
            </w:r>
            <w:r w:rsidRPr="004E3E19">
              <w:rPr>
                <w:rFonts w:ascii="Book Antiqua" w:hAnsi="Book Antiqua" w:cs="Book Antiqua"/>
                <w:kern w:val="0"/>
                <w:sz w:val="24"/>
                <w:vertAlign w:val="superscript"/>
                <w:lang w:val="en-GB"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2007</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China</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Colorectal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Age, Sex</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PCR-RFLP</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320</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502</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178</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308</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692</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300</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0.020</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14</w:t>
            </w:r>
          </w:p>
        </w:tc>
      </w:tr>
      <w:tr w:rsidR="00D757F8" w:rsidRPr="004E3E19">
        <w:trPr>
          <w:trHeight w:val="228"/>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bookmarkStart w:id="28" w:name="OLE_LINK4"/>
            <w:r w:rsidRPr="004E3E19">
              <w:rPr>
                <w:rFonts w:ascii="Book Antiqua" w:hAnsi="Book Antiqua" w:cs="Book Antiqua"/>
                <w:color w:val="000000"/>
                <w:kern w:val="0"/>
                <w:sz w:val="24"/>
                <w:lang w:bidi="ar"/>
              </w:rPr>
              <w:t>Andersen</w:t>
            </w:r>
            <w:bookmarkEnd w:id="28"/>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kern w:val="0"/>
                <w:sz w:val="24"/>
                <w:vertAlign w:val="superscript"/>
                <w:lang w:val="en-GB" w:bidi="ar"/>
              </w:rPr>
              <w:fldChar w:fldCharType="begin">
                <w:fldData xml:space="preserve">PEVuZE5vdGU+PENpdGU+PEF1dGhvcj5BbmRlcnNlbjwvQXV0aG9yPjxZZWFyPjIwMDk8L1llYXI+
PFJlY051bT4xODY8L1JlY051bT48RGlzcGxheVRleHQ+WzMxXTwvRGlzcGxheVRleHQ+PHJlY29y
ZD48cmVjLW51bWJlcj4xODY8L3JlYy1udW1iZXI+PGZvcmVpZ24ta2V5cz48a2V5IGFwcD0iRU4i
IGRiLWlkPSI1cnBlcDl2djQ5czVzaGV3ZTV6NTVyMGhydnJlOWZ6NXc1eDAiIHRpbWVzdGFtcD0i
MTQ2NzU1MTIxOSI+MTg2PC9rZXk+PC9mb3JlaWduLWtleXM+PHJlZi10eXBlIG5hbWU9IkpvdXJu
YWwgQXJ0aWNsZSI+MTc8L3JlZi10eXBlPjxjb250cmlidXRvcnM+PGF1dGhvcnM+PGF1dGhvcj5B
bmRlcnNlbiwgVi48L2F1dGhvcj48YXV0aG9yPk9zdGVyZ2FhcmQsIE0uPC9hdXRob3I+PGF1dGhv
cj5DaHJpc3RlbnNlbiwgSi48L2F1dGhvcj48YXV0aG9yPk92ZXJ2YWQsIEsuPC9hdXRob3I+PGF1
dGhvcj5Uam9ubmVsYW5kLCBBLjwvYXV0aG9yPjxhdXRob3I+Vm9nZWwsIFUuPC9hdXRob3I+PC9h
dXRob3JzPjwvY29udHJpYnV0b3JzPjxhdXRoLWFkZHJlc3M+TWVkaWNhbCBEZXBhcnRtZW50LCBW
aWJvcmcgUmVnaW9uYWwgSG9zcGl0YWwsIERLLTg4MDAgVmlib3JnLCBEZW5tYXJrLiB2YTk3OTFA
Z21haWwuY29tPC9hdXRoLWFkZHJlc3M+PHRpdGxlcz48dGl0bGU+UG9seW1vcnBoaXNtcyBpbiB0
aGUgeGVub2Jpb3RpYyB0cmFuc3BvcnRlciBNdWx0aWRydWcgUmVzaXN0YW5jZSAxIChNRFIxKSBh
bmQgaW50ZXJhY3Rpb24gd2l0aCBtZWF0IGludGFrZSBpbiByZWxhdGlvbiB0byByaXNrIG9mIGNv
bG9yZWN0YWwgY2FuY2VyIGluIGEgRGFuaXNoIHByb3NwZWN0aXZlIGNhc2UtY29ob3J0IHN0dWR5
PC90aXRsZT48c2Vjb25kYXJ5LXRpdGxlPkJNQyBDYW5jZXI8L3NlY29uZGFyeS10aXRsZT48L3Rp
dGxlcz48cGVyaW9kaWNhbD48ZnVsbC10aXRsZT5CTUMgQ2FuY2VyPC9mdWxsLXRpdGxlPjxhYmJy
LTE+Qk1DIGNhbmNlcjwvYWJici0xPjwvcGVyaW9kaWNhbD48cGFnZXM+NDA3PC9wYWdlcz48dm9s
dW1lPjk8L3ZvbHVtZT48a2V5d29yZHM+PGtleXdvcmQ+QWRlbm9jYXJjaW5vbWEvKmV0aW9sb2d5
PC9rZXl3b3JkPjxrZXl3b3JkPkFuaW1hbHM8L2tleXdvcmQ+PGtleXdvcmQ+QW50aS1JbmZsYW1t
YXRvcnkgQWdlbnRzLCBOb24tU3Rlcm9pZGFsL2FkdmVyc2UgZWZmZWN0czwva2V5d29yZD48a2V5
d29yZD5DYXNlLUNvbnRyb2wgU3R1ZGllczwva2V5d29yZD48a2V5d29yZD5Db2hvcnQgU3R1ZGll
czwva2V5d29yZD48a2V5d29yZD5Db2xvcmVjdGFsIE5lb3BsYXNtcy8qZXRpb2xvZ3k8L2tleXdv
cmQ+PGtleXdvcmQ+Q3ljbG9veHlnZW5hc2UgMi9nZW5ldGljczwva2V5d29yZD48a2V5d29yZD5E
ZW5tYXJrPC9rZXl3b3JkPjxrZXl3b3JkPkRpZXQvKmFkdmVyc2UgZWZmZWN0czwva2V5d29yZD48
a2V5d29yZD5GZW1hbGU8L2tleXdvcmQ+PGtleXdvcmQ+KkdlbmV0aWMgUHJlZGlzcG9zaXRpb24g
dG8gRGlzZWFzZTwva2V5d29yZD48a2V5d29yZD5HZW5vdHlwZTwva2V5d29yZD48a2V5d29yZD5I
ZXRlcm96eWdvdGU8L2tleXdvcmQ+PGtleXdvcmQ+SHVtYW5zPC9rZXl3b3JkPjxrZXl3b3JkPk1h
bGU8L2tleXdvcmQ+PGtleXdvcmQ+TWVhdC8qYWR2ZXJzZSBlZmZlY3RzPC9rZXl3b3JkPjxrZXl3
b3JkPk1pZGRsZSBBZ2VkPC9rZXl3b3JkPjxrZXl3b3JkPlAtR2x5Y29wcm90ZWluLypnZW5ldGlj
czwva2V5d29yZD48a2V5d29yZD5QLUdseWNvcHJvdGVpbnM8L2tleXdvcmQ+PGtleXdvcmQ+UG9s
eW1vcnBoaXNtLCBTaW5nbGUgTnVjbGVvdGlkZTwva2V5d29yZD48a2V5d29yZD5SaXNrIEZhY3Rv
cnM8L2tleXdvcmQ+PC9rZXl3b3Jkcz48ZGF0ZXM+PHllYXI+MjAwOTwveWVhcj48L2RhdGVzPjxp
c2JuPjE0NzEtMjQwNyAoRWxlY3Ryb25pYykmI3hEOzE0NzEtMjQwNyAoTGlua2luZyk8L2lzYm4+
PGFjY2Vzc2lvbi1udW0+MTk5MzA1OTE8L2FjY2Vzc2lvbi1udW0+PHVybHM+PHJlbGF0ZWQtdXJs
cz48dXJsPmh0dHA6Ly93d3cubmNiaS5ubG0ubmloLmdvdi9wdWJtZWQvMTk5MzA1OTE8L3VybD48
L3JlbGF0ZWQtdXJscz48L3VybHM+PGN1c3RvbTI+UE1DMjc5NzUyNzwvY3VzdG9tMj48ZWxlY3Ry
b25pYy1yZXNvdXJjZS1udW0+MTAuMTE4Ni8xNDcxLTI0MDctOS00MDc8L2VsZWN0cm9uaWMtcmVz
b3VyY2UtbnVtPjwvcmVjb3JkPjwvQ2l0ZT48L0VuZE5vdGU+
</w:fldData>
              </w:fldChar>
            </w:r>
            <w:r w:rsidRPr="004E3E19">
              <w:rPr>
                <w:rFonts w:ascii="Book Antiqua" w:hAnsi="Book Antiqua" w:cs="Book Antiqua"/>
                <w:kern w:val="0"/>
                <w:sz w:val="24"/>
                <w:vertAlign w:val="superscript"/>
                <w:lang w:val="en-GB" w:bidi="ar"/>
              </w:rPr>
              <w:instrText xml:space="preserve"> ADDIN EN.CITE </w:instrTex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EN.CITE.DATA </w:instrText>
            </w:r>
            <w:r w:rsidRPr="004E3E19">
              <w:rPr>
                <w:rFonts w:ascii="Book Antiqua" w:hAnsi="Book Antiqua" w:cs="Book Antiqua"/>
                <w:kern w:val="0"/>
                <w:sz w:val="24"/>
                <w:vertAlign w:val="superscript"/>
                <w:lang w:val="en-GB" w:bidi="ar"/>
              </w:rPr>
              <w:fldChar w:fldCharType="end"/>
            </w:r>
            <w:r w:rsidRPr="004E3E19">
              <w:rPr>
                <w:rFonts w:ascii="Book Antiqua" w:hAnsi="Book Antiqua" w:cs="Book Antiqua"/>
                <w:kern w:val="0"/>
                <w:sz w:val="24"/>
                <w:vertAlign w:val="superscript"/>
                <w:lang w:val="en-GB" w:bidi="ar"/>
              </w:rPr>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[31]</w:t>
            </w:r>
            <w:r w:rsidRPr="004E3E19">
              <w:rPr>
                <w:rFonts w:ascii="Book Antiqua" w:hAnsi="Book Antiqua" w:cs="Book Antiqua"/>
                <w:kern w:val="0"/>
                <w:sz w:val="24"/>
                <w:vertAlign w:val="superscript"/>
                <w:lang w:val="en-GB"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2009</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Denmark</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Colorectal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Sex</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Taqman</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230</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116</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13</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482</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258</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25</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0.177</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15</w:t>
            </w:r>
          </w:p>
        </w:tc>
      </w:tr>
      <w:tr w:rsidR="00D757F8" w:rsidRPr="004E3E19">
        <w:trPr>
          <w:trHeight w:val="452"/>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r w:rsidRPr="004E3E19">
              <w:rPr>
                <w:rFonts w:ascii="Book Antiqua" w:hAnsi="Book Antiqua" w:cs="Book Antiqua"/>
                <w:color w:val="000000"/>
                <w:kern w:val="0"/>
                <w:sz w:val="24"/>
                <w:lang w:bidi="ar"/>
              </w:rPr>
              <w:t>Hoff</w:t>
            </w:r>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kern w:val="0"/>
                <w:sz w:val="24"/>
                <w:vertAlign w:val="superscript"/>
                <w:lang w:val="en-GB" w:bidi="ar"/>
              </w:rPr>
              <w:fldChar w:fldCharType="begin">
                <w:fldData xml:space="preserve">PEVuZE5vdGU+PENpdGU+PEF1dGhvcj5Ib2ZmPC9BdXRob3I+PFllYXI+MjAwOTwvWWVhcj48UmVj
TnVtPjIzPC9SZWNOdW0+PERpc3BsYXlUZXh0PlszMl08L0Rpc3BsYXlUZXh0PjxyZWNvcmQ+PHJl
Yy1udW1iZXI+MjM8L3JlYy1udW1iZXI+PGZvcmVpZ24ta2V5cz48a2V5IGFwcD0iRU4iIGRiLWlk
PSI1cnBlcDl2djQ5czVzaGV3ZTV6NTVyMGhydnJlOWZ6NXc1eDAiIHRpbWVzdGFtcD0iMTQ2NzQ2
NTMyMCI+MjM8L2tleT48L2ZvcmVpZ24ta2V5cz48cmVmLXR5cGUgbmFtZT0iSm91cm5hbCBBcnRp
Y2xlIj4xNzwvcmVmLXR5cGU+PGNvbnRyaWJ1dG9ycz48YXV0aG9ycz48YXV0aG9yPkhvZmYsIEou
IEguPC9hdXRob3I+PGF1dGhvcj50ZSBNb3JzY2hlLCBSLiBILjwvYXV0aG9yPjxhdXRob3I+Um9l
bG9mcywgSC4gTS48L2F1dGhvcj48YXV0aG9yPnZhbiBkZXIgTG9ndCwgRS4gTS48L2F1dGhvcj48
YXV0aG9yPk5hZ2VuZ2FzdCwgRi4gTS48L2F1dGhvcj48YXV0aG9yPlBldGVycywgVy4gSC48L2F1
dGhvcj48L2F1dGhvcnM+PC9jb250cmlidXRvcnM+PGF1dGgtYWRkcmVzcz5EZXBhcnRtZW50IG9m
IEdhc3Ryb2VudGVyb2xvZ3ksIFJhZGJvdWQgVW5pdmVyc2l0eSBOaWptZWdlbiBNZWRpY2FsIENl
bnRlciwgNjUwMCBIQiBOaWptZWdlbiwgVGhlIE5ldGhlcmxhbmRzLjwvYXV0aC1hZGRyZXNzPjx0
aXRsZXM+PHRpdGxlPkNPWC0yIHBvbHltb3JwaGlzbXMgLTc2NUctLSZndDtDIGFuZCAtMTE5NUEt
LSZndDtHIGFuZCBjb2xvcmVjdGFsIGNhbmNlciByaXNrPC90aXRsZT48c2Vjb25kYXJ5LXRpdGxl
PldvcmxkIEogR2FzdHJvZW50ZXJvbDwvc2Vjb25kYXJ5LXRpdGxlPjxhbHQtdGl0bGU+V29ybGQg
am91cm5hbCBvZiBnYXN0cm9lbnRlcm9sb2d5PC9hbHQtdGl0bGU+PC90aXRsZXM+PHBlcmlvZGlj
YWw+PGZ1bGwtdGl0bGU+V29ybGQgSiBHYXN0cm9lbnRlcm9sPC9mdWxsLXRpdGxlPjxhYmJyLTE+
V29ybGQgam91cm5hbCBvZiBnYXN0cm9lbnRlcm9sb2d5PC9hYmJyLTE+PC9wZXJpb2RpY2FsPjxh
bHQtcGVyaW9kaWNhbD48ZnVsbC10aXRsZT5Xb3JsZCBKIEdhc3Ryb2VudGVyb2w8L2Z1bGwtdGl0
bGU+PGFiYnItMT5Xb3JsZCBqb3VybmFsIG9mIGdhc3Ryb2VudGVyb2xvZ3k8L2FiYnItMT48L2Fs
dC1wZXJpb2RpY2FsPjxwYWdlcz40NTYxLTU8L3BhZ2VzPjx2b2x1bWU+MTU8L3ZvbHVtZT48bnVt
YmVyPjM2PC9udW1iZXI+PGVkaXRpb24+MjAwOS8wOS8yNTwvZWRpdGlvbj48a2V5d29yZHM+PGtl
eXdvcmQ+QWdlZDwva2V5d29yZD48a2V5d29yZD5DYXNlLUNvbnRyb2wgU3R1ZGllczwva2V5d29y
ZD48a2V5d29yZD5Db2xvcmVjdGFsIE5lb3BsYXNtcy8qZ2VuZXRpY3M8L2tleXdvcmQ+PGtleXdv
cmQ+Q3ljbG9veHlnZW5hc2UgMi8qZ2VuZXRpY3M8L2tleXdvcmQ+PGtleXdvcmQ+RE5BIEZpbmdl
cnByaW50aW5nPC9rZXl3b3JkPjxrZXl3b3JkPkZlbWFsZTwva2V5d29yZD48a2V5d29yZD5HZW5l
IEZyZXF1ZW5jeTwva2V5d29yZD48a2V5d29yZD5HZW5ldGljIFByZWRpc3Bvc2l0aW9uIHRvIERp
c2Vhc2U8L2tleXdvcmQ+PGtleXdvcmQ+SHVtYW5zPC9rZXl3b3JkPjxrZXl3b3JkPk1hbGU8L2tl
eXdvcmQ+PGtleXdvcmQ+TWlkZGxlIEFnZWQ8L2tleXdvcmQ+PGtleXdvcmQ+TmV0aGVybGFuZHM8
L2tleXdvcmQ+PGtleXdvcmQ+KlBvbHltb3JwaGlzbSwgU2luZ2xlIE51Y2xlb3RpZGU8L2tleXdv
cmQ+PGtleXdvcmQ+UmlzayBGYWN0b3JzPC9rZXl3b3JkPjwva2V5d29yZHM+PGRhdGVzPjx5ZWFy
PjIwMDk8L3llYXI+PHB1Yi1kYXRlcz48ZGF0ZT5TZXAgMjg8L2RhdGU+PC9wdWItZGF0ZXM+PC9k
YXRlcz48aXNibj4yMjE5LTI4NDAgKEVsZWN0cm9uaWMpJiN4RDsxMDA3LTkzMjcgKExpbmtpbmcp
PC9pc2JuPjxhY2Nlc3Npb24tbnVtPjE5Nzc3NjE1PC9hY2Nlc3Npb24tbnVtPjx1cmxzPjxyZWxh
dGVkLXVybHM+PHVybD5odHRwOi8vd3d3Lm5jYmkubmxtLm5paC5nb3YvcHVibWVkLzE5Nzc3NjE1
PC91cmw+PC9yZWxhdGVkLXVybHM+PC91cmxzPjxjdXN0b20yPlBNQzI3NTIwMDE8L2N1c3RvbTI+
PHJlbW90ZS1kYXRhYmFzZS1wcm92aWRlcj5OTE08L3JlbW90ZS1kYXRhYmFzZS1wcm92aWRlcj48
bGFuZ3VhZ2U+ZW5nPC9sYW5ndWFnZT48L3JlY29yZD48L0NpdGU+PC9FbmROb3RlPnAA
</w:fldData>
              </w:fldChar>
            </w:r>
            <w:r w:rsidRPr="004E3E19">
              <w:rPr>
                <w:rFonts w:ascii="Book Antiqua" w:hAnsi="Book Antiqua" w:cs="Book Antiqua"/>
                <w:kern w:val="0"/>
                <w:sz w:val="24"/>
                <w:vertAlign w:val="superscript"/>
                <w:lang w:val="en-GB" w:bidi="ar"/>
              </w:rPr>
              <w:instrText xml:space="preserve"> ADDIN EN.CITE </w:instrTex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EN.CITE.DATA </w:instrText>
            </w:r>
            <w:r w:rsidRPr="004E3E19">
              <w:rPr>
                <w:rFonts w:ascii="Book Antiqua" w:hAnsi="Book Antiqua" w:cs="Book Antiqua"/>
                <w:kern w:val="0"/>
                <w:sz w:val="24"/>
                <w:vertAlign w:val="superscript"/>
                <w:lang w:val="en-GB" w:bidi="ar"/>
              </w:rPr>
              <w:fldChar w:fldCharType="end"/>
            </w:r>
            <w:r w:rsidRPr="004E3E19">
              <w:rPr>
                <w:rFonts w:ascii="Book Antiqua" w:hAnsi="Book Antiqua" w:cs="Book Antiqua"/>
                <w:kern w:val="0"/>
                <w:sz w:val="24"/>
                <w:vertAlign w:val="superscript"/>
                <w:lang w:val="en-GB" w:bidi="ar"/>
              </w:rPr>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[32]</w:t>
            </w:r>
            <w:r w:rsidRPr="004E3E19">
              <w:rPr>
                <w:rFonts w:ascii="Book Antiqua" w:hAnsi="Book Antiqua" w:cs="Book Antiqua"/>
                <w:kern w:val="0"/>
                <w:sz w:val="24"/>
                <w:vertAlign w:val="superscript"/>
                <w:lang w:val="en-GB"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2009</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Netherland</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Colorectal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HB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Age, Sex</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PCR-RFLP</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213</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101</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12</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232</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124</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13</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0.471</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14</w:t>
            </w:r>
          </w:p>
        </w:tc>
      </w:tr>
      <w:tr w:rsidR="00D757F8" w:rsidRPr="004E3E19">
        <w:trPr>
          <w:trHeight w:val="228"/>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r w:rsidRPr="004E3E19">
              <w:rPr>
                <w:rFonts w:ascii="Book Antiqua" w:hAnsi="Book Antiqua" w:cs="Book Antiqua"/>
                <w:color w:val="000000"/>
                <w:kern w:val="0"/>
                <w:sz w:val="24"/>
                <w:lang w:bidi="ar"/>
              </w:rPr>
              <w:t>Thompson</w:t>
            </w:r>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 &lt;EndNote&gt;&lt;Cite&gt;&lt;Author&gt;Thompson&lt;/Author&gt;&lt;Year&gt;2009&lt;/Year&gt;&lt;RecNum&gt;174&lt;/RecNum&gt;&lt;DisplayText&gt;[33]&lt;/DisplayText&gt;&lt;record&gt;&lt;rec-number&gt;174&lt;/rec-number&gt;&lt;foreign-keys&gt;&lt;key app="EN" db-id="5rpep9vv49s5shewe5z55r0hrvre9fz5w5x0" timestamp="1467546520"&gt;174&lt;/key&gt;&lt;/foreign-keys&gt;&lt;ref-type name="Journal Article"&gt;17&lt;/ref-type&gt;&lt;contributors&gt;&lt;authors&gt;&lt;author&gt;Thompson, C. L.&lt;/author&gt;&lt;author&gt;Plummer, S. J.&lt;/author&gt;&lt;author&gt;Merkulova, A.&lt;/author&gt;&lt;author&gt;Cheng, I.&lt;/author&gt;&lt;author&gt;Tucker, T. C.&lt;/author&gt;&lt;author&gt;Casey, G.&lt;/author&gt;&lt;author&gt;Li, L.&lt;/author&gt;&lt;/authors&gt;&lt;/contributors&gt;&lt;auth-address&gt;Department of Family Medicine, Research Division, Case Western Reserve University, 11001 Cedar Ave., Suite 306, Cleveland, Ohio 44106-7136, United States.&lt;/auth-address&gt;&lt;titles&gt;&lt;title&gt;No association between cyclooxygenase-2 and uridine diphosphate glucuronosyltransferase 1A6 genetic polymorphisms and colon cancer risk&lt;/title&gt;&lt;secondary-title&gt;World J Gastroenterol&lt;/secondary-title&gt;&lt;/titles&gt;&lt;periodical&gt;&lt;full-title&gt;World J Gastroenterol&lt;/full-title&gt;&lt;abbr-1&gt;World journal of gastroenterology&lt;/abbr-1&gt;&lt;/periodical&gt;&lt;pages&gt;2240-4&lt;/pages&gt;&lt;volume&gt;15&lt;/volume&gt;&lt;number&gt;18&lt;/number&gt;&lt;keywords&gt;&lt;keyword&gt;Aged&lt;/keyword&gt;&lt;keyword&gt;Anti-Inflammatory Agents, Non-Steroidal/adverse effects&lt;/keyword&gt;&lt;keyword&gt;Colonic Neoplasms/*genetics&lt;/keyword&gt;&lt;keyword&gt;Cyclooxygenase 2/*genetics&lt;/keyword&gt;&lt;keyword&gt;Female&lt;/keyword&gt;&lt;keyword&gt;*Genetic Predisposition to Disease&lt;/keyword&gt;&lt;keyword&gt;Genotype&lt;/keyword&gt;&lt;keyword&gt;Glucuronosyltransferase/*genetics&lt;/keyword&gt;&lt;keyword&gt;Humans&lt;/keyword&gt;&lt;keyword&gt;Male&lt;/keyword&gt;&lt;keyword&gt;Middle Aged&lt;/keyword&gt;&lt;keyword&gt;*Polymorphism, Single Nucleotide&lt;/keyword&gt;&lt;keyword&gt;Risk Factors&lt;/keyword&gt;&lt;/keywords&gt;&lt;dates&gt;&lt;year&gt;2009&lt;/year&gt;&lt;pub-dates&gt;&lt;date&gt;May 14&lt;/date&gt;&lt;/pub-dates&gt;&lt;/dates&gt;&lt;isbn&gt;2219-2840 (Electronic)&amp;#xD;1007-9327 (Linking)&lt;/isbn&gt;&lt;accession-num&gt;19437564&lt;/accession-num&gt;&lt;urls&gt;&lt;related-urls&gt;&lt;url&gt;http://www.ncbi.nlm.nih.gov/pubmed/19437564&lt;/url&gt;&lt;/related-urls&gt;&lt;/urls&gt;&lt;custom2&gt;PMC2682239&lt;/custom2&gt;&lt;/record&gt;&lt;/Cite&gt;&lt;/EndNote&gt;</w:instrText>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[33]</w:t>
            </w:r>
            <w:r w:rsidRPr="004E3E19">
              <w:rPr>
                <w:rFonts w:ascii="Book Antiqua" w:hAnsi="Book Antiqua" w:cs="Book Antiqua"/>
                <w:kern w:val="0"/>
                <w:sz w:val="24"/>
                <w:vertAlign w:val="superscript"/>
                <w:lang w:val="en-GB"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2009</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USA</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Colorectal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NA</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Taqman</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275</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138</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9</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297</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168</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15</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0.131</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14</w:t>
            </w:r>
          </w:p>
        </w:tc>
      </w:tr>
      <w:tr w:rsidR="00D757F8" w:rsidRPr="004E3E19">
        <w:trPr>
          <w:trHeight w:val="228"/>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r w:rsidRPr="004E3E19">
              <w:rPr>
                <w:rFonts w:ascii="Book Antiqua" w:hAnsi="Book Antiqua" w:cs="Book Antiqua"/>
                <w:color w:val="000000"/>
                <w:kern w:val="0"/>
                <w:sz w:val="24"/>
                <w:lang w:bidi="ar"/>
              </w:rPr>
              <w:t>Pereira</w:t>
            </w:r>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kern w:val="0"/>
                <w:sz w:val="24"/>
                <w:vertAlign w:val="superscript"/>
                <w:lang w:val="en-GB" w:bidi="ar"/>
              </w:rPr>
              <w:fldChar w:fldCharType="begin">
                <w:fldData xml:space="preserve">PEVuZE5vdGU+PENpdGU+PEF1dGhvcj5QZXJlaXJhPC9BdXRob3I+PFllYXI+MjAxMDwvWWVhcj48
UmVjTnVtPjE4MTwvUmVjTnVtPjxEaXNwbGF5VGV4dD5bMzRdPC9EaXNwbGF5VGV4dD48cmVjb3Jk
PjxyZWMtbnVtYmVyPjE4MTwvcmVjLW51bWJlcj48Zm9yZWlnbi1rZXlzPjxrZXkgYXBwPSJFTiIg
ZGItaWQ9IjVycGVwOXZ2NDlzNXNoZXdlNXo1NXIwaHJ2cmU5Zno1dzV4MCIgdGltZXN0YW1wPSIx
NDY3NTQ4OTQ0Ij4xODE8L2tleT48L2ZvcmVpZ24ta2V5cz48cmVmLXR5cGUgbmFtZT0iSm91cm5h
bCBBcnRpY2xlIj4xNzwvcmVmLXR5cGU+PGNvbnRyaWJ1dG9ycz48YXV0aG9ycz48YXV0aG9yPlBl
cmVpcmEsIEMuPC9hdXRob3I+PGF1dGhvcj5QaW1lbnRlbC1OdW5lcywgUC48L2F1dGhvcj48YXV0
aG9yPkJyYW5kYW8sIEMuPC9hdXRob3I+PGF1dGhvcj5Nb3JlaXJhLURpYXMsIEwuPC9hdXRob3I+
PGF1dGhvcj5NZWRlaXJvcywgUi48L2F1dGhvcj48YXV0aG9yPkRpbmlzLVJpYmVpcm8sIE0uPC9h
dXRob3I+PC9hdXRob3JzPjwvY29udHJpYnV0b3JzPjxhdXRoLWFkZHJlc3M+UG9ydHVndWVzZSBJ
bnN0aXR1dGUgb2YgT25jb2xvZ3ksIFBvcnRvLCBQb3J0dWdhbC4gYW5hY21wZXJlaXJhQGdtYWls
LmNvbTwvYXV0aC1hZGRyZXNzPjx0aXRsZXM+PHRpdGxlPkNPWC0yIHBvbHltb3JwaGlzbXMgYW5k
IGNvbG9yZWN0YWwgY2FuY2VyIHJpc2s6IGEgc3RyYXRlZ3kgZm9yIGNoZW1vcHJldmVudGlvbjwv
dGl0bGU+PHNlY29uZGFyeS10aXRsZT5FdXIgSiBHYXN0cm9lbnRlcm9sIEhlcGF0b2w8L3NlY29u
ZGFyeS10aXRsZT48YWx0LXRpdGxlPkV1ciBKIEdhc3Ryb2VuIEhlcGF0PC9hbHQtdGl0bGU+PC90
aXRsZXM+PHBlcmlvZGljYWw+PGZ1bGwtdGl0bGU+RXVyIEogR2FzdHJvZW50ZXJvbCBIZXBhdG9s
PC9mdWxsLXRpdGxlPjxhYmJyLTE+RXVyb3BlYW4gam91cm5hbCBvZiBnYXN0cm9lbnRlcm9sb2d5
ICZhbXA7IGhlcGF0b2xvZ3k8L2FiYnItMT48L3BlcmlvZGljYWw+PHBhZ2VzPjYwNy0xMzwvcGFn
ZXM+PHZvbHVtZT4yMjwvdm9sdW1lPjxudW1iZXI+NTwvbnVtYmVyPjxrZXl3b3Jkcz48a2V5d29y
ZD4qQWRlbm9jYXJjaW5vbWEvZXBpZGVtaW9sb2d5L2dlbmV0aWNzL3ByZXZlbnRpb24gJmFtcDsg
Y29udHJvbDwva2V5d29yZD48a2V5d29yZD5BZ2VkPC9rZXl3b3JkPjxrZXl3b3JkPkNhc2UtQ29u
dHJvbCBTdHVkaWVzPC9rZXl3b3JkPjxrZXl3b3JkPipDb2xvcmVjdGFsIE5lb3BsYXNtcy9lcGlk
ZW1pb2xvZ3kvZ2VuZXRpY3MvcHJldmVudGlvbiAmYW1wOyBjb250cm9sPC9rZXl3b3JkPjxrZXl3
b3JkPkN5Y2xvb3h5Z2VuYXNlIDIvKmdlbmV0aWNzPC9rZXl3b3JkPjxrZXl3b3JkPkN5Y2xvb3h5
Z2VuYXNlIDIgSW5oaWJpdG9ycy8qdGhlcmFwZXV0aWMgdXNlPC9rZXl3b3JkPjxrZXl3b3JkPkVu
dmlyb25tZW50PC9rZXl3b3JkPjxrZXl3b3JkPkZlbWFsZTwva2V5d29yZD48a2V5d29yZD5HZW5l
dGljIFByZWRpc3Bvc2l0aW9uIHRvIERpc2Vhc2UvZXBpZGVtaW9sb2d5PC9rZXl3b3JkPjxrZXl3
b3JkPkdlbm90eXBlPC9rZXl3b3JkPjxrZXl3b3JkPkh1bWFuczwva2V5d29yZD48a2V5d29yZD5N
YWxlPC9rZXl3b3JkPjxrZXl3b3JkPk1pZGRsZSBBZ2VkPC9rZXl3b3JkPjxrZXl3b3JkPlBoZW5v
dHlwZTwva2V5d29yZD48a2V5d29yZD4qUG9seW1vcnBoaXNtLCBHZW5ldGljPC9rZXl3b3JkPjxr
ZXl3b3JkPlJpc2sgRmFjdG9yczwva2V5d29yZD48a2V5d29yZD5TbW9raW5nL2VwaWRlbWlvbG9n
eTwva2V5d29yZD48L2tleXdvcmRzPjxkYXRlcz48eWVhcj4yMDEwPC95ZWFyPjxwdWItZGF0ZXM+
PGRhdGU+TWF5PC9kYXRlPjwvcHViLWRhdGVzPjwvZGF0ZXM+PGlzYm4+MTQ3My01Njg3IChFbGVj
dHJvbmljKSYjeEQ7MDk1NC02OTFYIChMaW5raW5nKTwvaXNibj48YWNjZXNzaW9uLW51bT4yMDA3
NTc0MDwvYWNjZXNzaW9uLW51bT48dXJscz48cmVsYXRlZC11cmxzPjx1cmw+aHR0cDovL3d3dy5u
Y2JpLm5sbS5uaWguZ292L3B1Ym1lZC8yMDA3NTc0MDwvdXJsPjwvcmVsYXRlZC11cmxzPjwvdXJs
cz48ZWxlY3Ryb25pYy1yZXNvdXJjZS1udW0+MTAuMTA5Ny9NRUcuMGIwMTNlMzI4MzM1MmNiYjwv
ZWxlY3Ryb25pYy1yZXNvdXJjZS1udW0+PGxhbmd1YWdlPkVuZ2xpc2g8L2xhbmd1YWdlPjwvcmVj
b3JkPjwvQ2l0ZT48L0VuZE5vdGU+AGAA
</w:fldData>
              </w:fldChar>
            </w:r>
            <w:r w:rsidRPr="004E3E19">
              <w:rPr>
                <w:rFonts w:ascii="Book Antiqua" w:hAnsi="Book Antiqua" w:cs="Book Antiqua"/>
                <w:kern w:val="0"/>
                <w:sz w:val="24"/>
                <w:vertAlign w:val="superscript"/>
                <w:lang w:val="en-GB" w:bidi="ar"/>
              </w:rPr>
              <w:instrText xml:space="preserve"> ADDIN EN.CITE </w:instrTex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EN.CITE.DATA </w:instrText>
            </w:r>
            <w:r w:rsidRPr="004E3E19">
              <w:rPr>
                <w:rFonts w:ascii="Book Antiqua" w:hAnsi="Book Antiqua" w:cs="Book Antiqua"/>
                <w:kern w:val="0"/>
                <w:sz w:val="24"/>
                <w:vertAlign w:val="superscript"/>
                <w:lang w:val="en-GB" w:bidi="ar"/>
              </w:rPr>
              <w:fldChar w:fldCharType="end"/>
            </w:r>
            <w:r w:rsidRPr="004E3E19">
              <w:rPr>
                <w:rFonts w:ascii="Book Antiqua" w:hAnsi="Book Antiqua" w:cs="Book Antiqua"/>
                <w:kern w:val="0"/>
                <w:sz w:val="24"/>
                <w:vertAlign w:val="superscript"/>
                <w:lang w:val="en-GB" w:bidi="ar"/>
              </w:rPr>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[34]</w:t>
            </w:r>
            <w:r w:rsidRPr="004E3E19">
              <w:rPr>
                <w:rFonts w:ascii="Book Antiqua" w:hAnsi="Book Antiqua" w:cs="Book Antiqua"/>
                <w:kern w:val="0"/>
                <w:sz w:val="24"/>
                <w:vertAlign w:val="superscript"/>
                <w:lang w:val="en-GB"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2010</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Portugal</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Colorectal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HB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NA</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PCR-RFLP</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70</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43</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4</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177</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73</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6</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0.634</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10</w:t>
            </w:r>
          </w:p>
        </w:tc>
      </w:tr>
      <w:tr w:rsidR="00D757F8" w:rsidRPr="004E3E19">
        <w:trPr>
          <w:trHeight w:val="228"/>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r w:rsidRPr="004E3E19">
              <w:rPr>
                <w:rFonts w:ascii="Book Antiqua" w:hAnsi="Book Antiqua" w:cs="Book Antiqua"/>
                <w:color w:val="000000"/>
                <w:kern w:val="0"/>
                <w:sz w:val="24"/>
                <w:lang w:bidi="ar"/>
              </w:rPr>
              <w:t>Zhang</w:t>
            </w:r>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kern w:val="0"/>
                <w:sz w:val="24"/>
                <w:vertAlign w:val="superscript"/>
                <w:lang w:val="en-GB" w:bidi="ar"/>
              </w:rPr>
              <w:fldChar w:fldCharType="begin">
                <w:fldData xml:space="preserve">PEVuZE5vdGU+PENpdGU+PEF1dGhvcj5aaGFuZzwvQXV0aG9yPjxZZWFyPjIwMTE8L1llYXI+PFJl
Y051bT4xMDwvUmVjTnVtPjxEaXNwbGF5VGV4dD5bMzVdPC9EaXNwbGF5VGV4dD48cmVjb3JkPjxy
ZWMtbnVtYmVyPjEwPC9yZWMtbnVtYmVyPjxmb3JlaWduLWtleXM+PGtleSBhcHA9IkVOIiBkYi1p
ZD0iNXJwZXA5dnY0OXM1c2hld2U1ejU1cjBocnZyZTlmejV3NXgwIiB0aW1lc3RhbXA9IjE0Njc0
NjUzMjAiPjEwPC9rZXk+PC9mb3JlaWduLWtleXM+PHJlZi10eXBlIG5hbWU9IkpvdXJuYWwgQXJ0
aWNsZSI+MTc8L3JlZi10eXBlPjxjb250cmlidXRvcnM+PGF1dGhvcnM+PGF1dGhvcj5aaGFuZywg
WC48L2F1dGhvcj48YXV0aG9yPlpob25nLCBSLjwvYXV0aG9yPjxhdXRob3I+WmhhbmcsIFouPC9h
dXRob3I+PGF1dGhvcj5ZdWFuLCBKLjwvYXV0aG9yPjxhdXRob3I+TGl1LCBMLjwvYXV0aG9yPjxh
dXRob3I+V2FuZywgWS48L2F1dGhvcj48YXV0aG9yPkthZGx1YmFyLCBTLjwvYXV0aG9yPjxhdXRo
b3I+RmVuZywgRi48L2F1dGhvcj48YXV0aG9yPk1pYW8sIFguPC9hdXRob3I+PC9hdXRob3JzPjwv
Y29udHJpYnV0b3JzPjxhdXRoLWFkZHJlc3M+RGVwYXJ0bWVudCBvZiBNb2xlY3VsYXIgYmlvbG9n
eSwgQ29sbGVnZSBvZiBMaWZlIFNjaWVuY2VzLCBIZWJlaSBVbml0ZWQgVW5pdmVyc2l0eSwgVGFu
Z3NoYW4sIENoaW5hLjwvYXV0aC1hZGRyZXNzPjx0aXRsZXM+PHRpdGxlPkludGVyYWN0aW9uIG9m
IGN5Y2xvb3h5Z2VuYXNlLTIgcHJvbW90ZXIgcG9seW1vcnBoaXNtcyB3aXRoIEhlbGljb2JhY3Rl
ciBweWxvcmkgaW5mZWN0aW9uIGFuZCByaXNrIG9mIGdhc3RyaWMgY2FuY2VyPC90aXRsZT48c2Vj
b25kYXJ5LXRpdGxlPk1vbCBDYXJjaW5vZzwvc2Vjb25kYXJ5LXRpdGxlPjxhbHQtdGl0bGU+TW9s
ZWN1bGFyIGNhcmNpbm9nZW5lc2lzPC9hbHQtdGl0bGU+PC90aXRsZXM+PHBlcmlvZGljYWw+PGZ1
bGwtdGl0bGU+TW9sIENhcmNpbm9nPC9mdWxsLXRpdGxlPjxhYmJyLTE+TW9sZWN1bGFyIGNhcmNp
bm9nZW5lc2lzPC9hYmJyLTE+PC9wZXJpb2RpY2FsPjxhbHQtcGVyaW9kaWNhbD48ZnVsbC10aXRs
ZT5Nb2wgQ2FyY2lub2c8L2Z1bGwtdGl0bGU+PGFiYnItMT5Nb2xlY3VsYXIgY2FyY2lub2dlbmVz
aXM8L2FiYnItMT48L2FsdC1wZXJpb2RpY2FsPjxwYWdlcz44NzYtODM8L3BhZ2VzPjx2b2x1bWU+
NTA8L3ZvbHVtZT48bnVtYmVyPjExPC9udW1iZXI+PGVkaXRpb24+MjAxMS8wNS8wNDwvZWRpdGlv
bj48a2V5d29yZHM+PGtleXdvcmQ+QWdlZDwva2V5d29yZD48a2V5d29yZD5DeWNsb294eWdlbmFz
ZSAyLypnZW5ldGljczwva2V5d29yZD48a2V5d29yZD5GZW1hbGU8L2tleXdvcmQ+PGtleXdvcmQ+
R2VuZSBFeHByZXNzaW9uIFJlZ3VsYXRpb24sIE5lb3BsYXN0aWM8L2tleXdvcmQ+PGtleXdvcmQ+
SGFwbG90eXBlczwva2V5d29yZD48a2V5d29yZD5IZWxpY29iYWN0ZXIgSW5mZWN0aW9ucy8qY29t
cGxpY2F0aW9uczwva2V5d29yZD48a2V5d29yZD5IZWxpY29iYWN0ZXIgcHlsb3JpL2lzb2xhdGlv
biAmYW1wOyBwdXJpZmljYXRpb248L2tleXdvcmQ+PGtleXdvcmQ+SHVtYW5zPC9rZXl3b3JkPjxr
ZXl3b3JkPk1hbGU8L2tleXdvcmQ+PGtleXdvcmQ+TWlkZGxlIEFnZWQ8L2tleXdvcmQ+PGtleXdv
cmQ+KlBvbHltb3JwaGlzbSwgR2VuZXRpYzwva2V5d29yZD48a2V5d29yZD5Qcm9tb3RlciBSZWdp
b25zLCBHZW5ldGljPC9rZXl3b3JkPjxrZXl3b3JkPlJpc2sgRmFjdG9yczwva2V5d29yZD48a2V5
d29yZD5TdG9tYWNoIE5lb3BsYXNtcy8qZXRpb2xvZ3kvKmdlbmV0aWNzPC9rZXl3b3JkPjwva2V5
d29yZHM+PGRhdGVzPjx5ZWFyPjIwMTE8L3llYXI+PHB1Yi1kYXRlcz48ZGF0ZT5Ob3Y8L2RhdGU+
PC9wdWItZGF0ZXM+PC9kYXRlcz48aXNibj4xMDk4LTI3NDQgKEVsZWN0cm9uaWMpJiN4RDswODk5
LTE5ODcgKExpbmtpbmcpPC9pc2JuPjxhY2Nlc3Npb24tbnVtPjIxNTM4NTc0PC9hY2Nlc3Npb24t
bnVtPjx1cmxzPjxyZWxhdGVkLXVybHM+PHVybD5odHRwOi8vd3d3Lm5jYmkubmxtLm5paC5nb3Yv
cHVibWVkLzIxNTM4NTc0PC91cmw+PC9yZWxhdGVkLXVybHM+PC91cmxzPjxlbGVjdHJvbmljLXJl
c291cmNlLW51bT4xMC4xMDAyL21jLjIwNzg0PC9lbGVjdHJvbmljLXJlc291cmNlLW51bT48cmVt
b3RlLWRhdGFiYXNlLXByb3ZpZGVyPk5MTTwvcmVtb3RlLWRhdGFiYXNlLXByb3ZpZGVyPjxsYW5n
dWFnZT5lbmc8L2xhbmd1YWdlPjwvcmVjb3JkPjwvQ2l0ZT48L0VuZE5vdGU+
</w:fldData>
              </w:fldChar>
            </w:r>
            <w:r w:rsidRPr="004E3E19">
              <w:rPr>
                <w:rFonts w:ascii="Book Antiqua" w:hAnsi="Book Antiqua" w:cs="Book Antiqua"/>
                <w:kern w:val="0"/>
                <w:sz w:val="24"/>
                <w:vertAlign w:val="superscript"/>
                <w:lang w:val="en-GB" w:bidi="ar"/>
              </w:rPr>
              <w:instrText xml:space="preserve"> ADDIN EN.CITE </w:instrTex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EN.CITE.DATA </w:instrText>
            </w:r>
            <w:r w:rsidRPr="004E3E19">
              <w:rPr>
                <w:rFonts w:ascii="Book Antiqua" w:hAnsi="Book Antiqua" w:cs="Book Antiqua"/>
                <w:kern w:val="0"/>
                <w:sz w:val="24"/>
                <w:vertAlign w:val="superscript"/>
                <w:lang w:val="en-GB" w:bidi="ar"/>
              </w:rPr>
              <w:fldChar w:fldCharType="end"/>
            </w:r>
            <w:r w:rsidRPr="004E3E19">
              <w:rPr>
                <w:rFonts w:ascii="Book Antiqua" w:hAnsi="Book Antiqua" w:cs="Book Antiqua"/>
                <w:kern w:val="0"/>
                <w:sz w:val="24"/>
                <w:vertAlign w:val="superscript"/>
                <w:lang w:val="en-GB" w:bidi="ar"/>
              </w:rPr>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[35]</w:t>
            </w:r>
            <w:r w:rsidRPr="004E3E19">
              <w:rPr>
                <w:rFonts w:ascii="Book Antiqua" w:hAnsi="Book Antiqua" w:cs="Book Antiqua"/>
                <w:kern w:val="0"/>
                <w:sz w:val="24"/>
                <w:vertAlign w:val="superscript"/>
                <w:lang w:val="en-GB"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2011</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China</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Gastric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Age, Sex</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PCR-RFLP</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107</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184</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32</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256</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513</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175</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0.004</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14</w:t>
            </w:r>
          </w:p>
        </w:tc>
      </w:tr>
      <w:tr w:rsidR="00D757F8" w:rsidRPr="004E3E19">
        <w:trPr>
          <w:trHeight w:val="228"/>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r w:rsidRPr="004E3E19">
              <w:rPr>
                <w:rFonts w:ascii="Book Antiqua" w:hAnsi="Book Antiqua" w:cs="Book Antiqua"/>
                <w:color w:val="000000"/>
                <w:kern w:val="0"/>
                <w:sz w:val="24"/>
                <w:lang w:bidi="ar"/>
              </w:rPr>
              <w:t>Zhang</w:t>
            </w:r>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kern w:val="0"/>
                <w:sz w:val="24"/>
                <w:vertAlign w:val="superscript"/>
                <w:lang w:val="en-GB" w:bidi="ar"/>
              </w:rPr>
              <w:fldChar w:fldCharType="begin">
                <w:fldData xml:space="preserve">PEVuZE5vdGU+PENpdGU+PEF1dGhvcj5aaGFuZzwvQXV0aG9yPjxZZWFyPjIwMTE8L1llYXI+PFJl
Y051bT4xODI8L1JlY051bT48RGlzcGxheVRleHQ+WzM2XTwvRGlzcGxheVRleHQ+PHJlY29yZD48
cmVjLW51bWJlcj4xODI8L3JlYy1udW1iZXI+PGZvcmVpZ24ta2V5cz48a2V5IGFwcD0iRU4iIGRi
LWlkPSI1cnBlcDl2djQ5czVzaGV3ZTV6NTVyMGhydnJlOWZ6NXc1eDAiIHRpbWVzdGFtcD0iMTQ2
NzU0OTMyMyI+MTgyPC9rZXk+PC9mb3JlaWduLWtleXM+PHJlZi10eXBlIG5hbWU9IkpvdXJuYWwg
QXJ0aWNsZSI+MTc8L3JlZi10eXBlPjxjb250cmlidXRvcnM+PGF1dGhvcnM+PGF1dGhvcj5aaGFu
ZywgWC4gTS48L2F1dGhvcj48YXV0aG9yPlpob25nLCBSLjwvYXV0aG9yPjxhdXRob3I+TGl1LCBM
LjwvYXV0aG9yPjxhdXRob3I+V2FuZywgWS48L2F1dGhvcj48YXV0aG9yPll1YW4sIEouIFguPC9h
dXRob3I+PGF1dGhvcj5XYW5nLCBQLjwvYXV0aG9yPjxhdXRob3I+U3VuLCBDLjwvYXV0aG9yPjxh
dXRob3I+WmhhbmcsIFouPC9hdXRob3I+PGF1dGhvcj5Tb25nLCBXLiBHLjwvYXV0aG9yPjxhdXRo
b3I+TWlhbywgWC4gUC48L2F1dGhvcj48L2F1dGhvcnM+PC9jb250cmlidXRvcnM+PGF1dGgtYWRk
cmVzcz5EZXBhcnRtZW50IG9mIE1vbGVjdWxhciBCaW9sb2d5LCBDb2xsZWdlIG9mIExpZmUgU2Np
ZW5jZXMsIEhlYmVpIFVuaXRlZCBVbml2ZXJzaXR5LCBUYW5nc2hhbiwgQ2hpbmEuIGp5eHVlbWVp
QGdtYWlsLmNvbTwvYXV0aC1hZGRyZXNzPjx0aXRsZXM+PHRpdGxlPlNtb2tpbmcgYW5kIENPWC0y
IGZ1bmN0aW9uYWwgcG9seW1vcnBoaXNtcyBpbnRlcmFjdCB0byBpbmNyZWFzZSB0aGUgcmlzayBv
ZiBnYXN0cmljIGNhcmRpYSBhZGVub2NhcmNpbm9tYSBpbiBDaGluZXNlIHBvcHVsYXRpb248L3Rp
dGxlPjxzZWNvbmRhcnktdGl0bGU+UExvUyBPbmU8L3NlY29uZGFyeS10aXRsZT48L3RpdGxlcz48
cGVyaW9kaWNhbD48ZnVsbC10aXRsZT5QTG9TIE9uZTwvZnVsbC10aXRsZT48YWJici0xPlBsb1Mg
b25lPC9hYmJyLTE+PC9wZXJpb2RpY2FsPjxwYWdlcz5lMjE4OTQ8L3BhZ2VzPjx2b2x1bWU+Njwv
dm9sdW1lPjxudW1iZXI+NzwvbnVtYmVyPjxrZXl3b3Jkcz48a2V5d29yZD5BZGVub2NhcmNpbm9t
YS8qZXRpb2xvZ3kvKmdlbmV0aWNzPC9rZXl3b3JkPjxrZXl3b3JkPkFnZWQ8L2tleXdvcmQ+PGtl
eXdvcmQ+QXNpYW4gQ29udGluZW50YWwgQW5jZXN0cnkgR3JvdXAvZ2VuZXRpY3M8L2tleXdvcmQ+
PGtleXdvcmQ+Q2FyZGlhLypwYXRob2xvZ3k8L2tleXdvcmQ+PGtleXdvcmQ+Q3ljbG9veHlnZW5h
c2UgMi8qZ2VuZXRpY3M8L2tleXdvcmQ+PGtleXdvcmQ+RmVtYWxlPC9rZXl3b3JkPjxrZXl3b3Jk
PkdlbmV0aWMgUHJlZGlzcG9zaXRpb24gdG8gRGlzZWFzZS9nZW5ldGljczwva2V5d29yZD48a2V5
d29yZD5HZW5vdHlwZTwva2V5d29yZD48a2V5d29yZD5IdW1hbnM8L2tleXdvcmQ+PGtleXdvcmQ+
TWFsZTwva2V5d29yZD48a2V5d29yZD5NaWRkbGUgQWdlZDwva2V5d29yZD48a2V5d29yZD5Qb2x5
bW9ycGhpc20sIEdlbmV0aWMvKmdlbmV0aWNzPC9rZXl3b3JkPjxrZXl3b3JkPlJpc2sgRmFjdG9y
czwva2V5d29yZD48a2V5d29yZD5TbW9raW5nLyphZHZlcnNlIGVmZmVjdHM8L2tleXdvcmQ+PGtl
eXdvcmQ+U3RvbWFjaCBOZW9wbGFzbXMvKmV0aW9sb2d5LypnZW5ldGljczwva2V5d29yZD48L2tl
eXdvcmRzPjxkYXRlcz48eWVhcj4yMDExPC95ZWFyPjwvZGF0ZXM+PGlzYm4+MTkzMi02MjAzIChF
bGVjdHJvbmljKSYjeEQ7MTkzMi02MjAzIChMaW5raW5nKTwvaXNibj48YWNjZXNzaW9uLW51bT4y
MTc3OTM0OTwvYWNjZXNzaW9uLW51bT48dXJscz48cmVsYXRlZC11cmxzPjx1cmw+aHR0cDovL3d3
dy5uY2JpLm5sbS5uaWguZ292L3B1Ym1lZC8yMTc3OTM0OTwvdXJsPjwvcmVsYXRlZC11cmxzPjwv
dXJscz48Y3VzdG9tMj5QTUMzMTM2NDkyPC9jdXN0b20yPjxlbGVjdHJvbmljLXJlc291cmNlLW51
bT4xMC4xMzcxL2pvdXJuYWwucG9uZS4wMDIxODk0PC9lbGVjdHJvbmljLXJlc291cmNlLW51bT48
L3JlY29yZD48L0NpdGU+PC9FbmROb3RlPgBAAA==
</w:fldData>
              </w:fldChar>
            </w:r>
            <w:r w:rsidRPr="004E3E19">
              <w:rPr>
                <w:rFonts w:ascii="Book Antiqua" w:hAnsi="Book Antiqua" w:cs="Book Antiqua"/>
                <w:kern w:val="0"/>
                <w:sz w:val="24"/>
                <w:vertAlign w:val="superscript"/>
                <w:lang w:val="en-GB" w:bidi="ar"/>
              </w:rPr>
              <w:instrText xml:space="preserve"> ADDIN EN.CITE </w:instrTex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EN.CITE.DATA </w:instrText>
            </w:r>
            <w:r w:rsidRPr="004E3E19">
              <w:rPr>
                <w:rFonts w:ascii="Book Antiqua" w:hAnsi="Book Antiqua" w:cs="Book Antiqua"/>
                <w:kern w:val="0"/>
                <w:sz w:val="24"/>
                <w:vertAlign w:val="superscript"/>
                <w:lang w:val="en-GB" w:bidi="ar"/>
              </w:rPr>
              <w:fldChar w:fldCharType="end"/>
            </w:r>
            <w:r w:rsidRPr="004E3E19">
              <w:rPr>
                <w:rFonts w:ascii="Book Antiqua" w:hAnsi="Book Antiqua" w:cs="Book Antiqua"/>
                <w:kern w:val="0"/>
                <w:sz w:val="24"/>
                <w:vertAlign w:val="superscript"/>
                <w:lang w:val="en-GB" w:bidi="ar"/>
              </w:rPr>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[36]</w:t>
            </w:r>
            <w:r w:rsidRPr="004E3E19">
              <w:rPr>
                <w:rFonts w:ascii="Book Antiqua" w:hAnsi="Book Antiqua" w:cs="Book Antiqua"/>
                <w:kern w:val="0"/>
                <w:sz w:val="24"/>
                <w:vertAlign w:val="superscript"/>
                <w:lang w:val="en-GB"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2011</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China</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Gastric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Age, Sex</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PCR-RFLP</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113</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175</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69</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241</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527</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217</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0.027</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14</w:t>
            </w:r>
          </w:p>
        </w:tc>
      </w:tr>
      <w:tr w:rsidR="00D757F8" w:rsidRPr="004E3E19">
        <w:trPr>
          <w:trHeight w:val="228"/>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r w:rsidRPr="004E3E19">
              <w:rPr>
                <w:rFonts w:ascii="Book Antiqua" w:hAnsi="Book Antiqua" w:cs="Book Antiqua"/>
                <w:color w:val="000000"/>
                <w:kern w:val="0"/>
                <w:sz w:val="24"/>
                <w:lang w:bidi="ar"/>
              </w:rPr>
              <w:t>Jing</w:t>
            </w:r>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 &lt;EndNote&gt;&lt;Cite&gt;&lt;Author&gt;Jing&lt;/Author&gt;&lt;Year&gt;2012&lt;/Year&gt;&lt;RecNum&gt;276&lt;/RecNum&gt;&lt;DisplayText&gt;[37]&lt;/DisplayText&gt;&lt;record&gt;&lt;rec-number&gt;276&lt;/rec-number&gt;&lt;foreign-keys&gt;&lt;key app="EN" db-id="5rpep9vv49s5shewe5z55r0hrvre9fz5w5x0" timestamp="1467634851"&gt;276&lt;/key&gt;&lt;/foreign-keys&gt;&lt;ref-type name="Journal Article"&gt;17&lt;/ref-type&gt;&lt;contributors&gt;&lt;authors&gt;&lt;author&gt;Jing, Y. M.&lt;/author&gt;&lt;author&gt;Liu, J.&lt;/author&gt;&lt;author&gt;Li, S. J.&lt;/author&gt;&lt;author&gt;Shi, W. J.&lt;/author&gt;&lt;author&gt;Cheng, X. L.&lt;/author&gt;&lt;/authors&gt;&lt;/contributors&gt;&lt;titles&gt;&lt;title&gt;Genetic polymorphisms in the promoter of Cyclooxygenase-2 and their association with the risk of gastric cancer&lt;/title&gt;&lt;secondary-title&gt;Chinese Journal of Birth Health &amp;amp; Heredity&lt;/secondary-title&gt;&lt;/titles&gt;&lt;periodical&gt;&lt;full-title&gt;Chinese Journal of Birth Health &amp;amp; Heredity&lt;/full-title&gt;&lt;/periodical&gt;&lt;pages&gt;24-25&lt;/pages&gt;&lt;volume&gt;20&lt;/volume&gt;&lt;number&gt;5&lt;/number&gt;&lt;dates&gt;&lt;year&gt;2012&lt;/year&gt;&lt;/dates&gt;&lt;urls&gt;&lt;/urls&gt;&lt;/record&gt;&lt;/Cite&gt;&lt;/EndNote&gt;</w:instrText>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[37]</w:t>
            </w:r>
            <w:r w:rsidRPr="004E3E19">
              <w:rPr>
                <w:rFonts w:ascii="Book Antiqua" w:hAnsi="Book Antiqua" w:cs="Book Antiqua"/>
                <w:kern w:val="0"/>
                <w:sz w:val="24"/>
                <w:vertAlign w:val="superscript"/>
                <w:lang w:val="en-GB"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2012</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China</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Gastric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Age, Sex</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PCR-RFLP</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49</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87</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19</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51</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133</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53</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0.059</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15</w:t>
            </w:r>
          </w:p>
        </w:tc>
      </w:tr>
      <w:tr w:rsidR="00D757F8" w:rsidRPr="004E3E19">
        <w:trPr>
          <w:trHeight w:val="228"/>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r w:rsidRPr="004E3E19">
              <w:rPr>
                <w:rFonts w:ascii="Book Antiqua" w:hAnsi="Book Antiqua" w:cs="Book Antiqua"/>
                <w:color w:val="000000"/>
                <w:kern w:val="0"/>
                <w:sz w:val="24"/>
                <w:lang w:bidi="ar"/>
              </w:rPr>
              <w:t>Li</w:t>
            </w:r>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 &lt;EndNote&gt;&lt;Cite&gt;&lt;Author&gt;Li&lt;/Author&gt;&lt;Year&gt;2012&lt;/Year&gt;&lt;RecNum&gt;178&lt;/RecNum&gt;&lt;DisplayText&gt;[38]&lt;/DisplayText&gt;&lt;record&gt;&lt;rec-number&gt;178&lt;/rec-number&gt;&lt;foreign-keys&gt;&lt;key app="EN" db-id="5rpep9vv49s5shewe5z55r0hrvre9fz5w5x0" timestamp="1467547564"&gt;178&lt;/key&gt;&lt;/foreign-keys&gt;&lt;ref-type name="Journal Article"&gt;17&lt;/ref-type&gt;&lt;contributors&gt;&lt;authors&gt;&lt;author&gt;Li, Y.&lt;/author&gt;&lt;author&gt;Dai, L.&lt;/author&gt;&lt;author&gt;Zhang, J.&lt;/author&gt;&lt;author&gt;Wang, P.&lt;/author&gt;&lt;author&gt;Chai, Y.&lt;/author&gt;&lt;author&gt;Ye, H.&lt;/author&gt;&lt;author&gt;Zhang, J.&lt;/author&gt;&lt;author&gt;Wang, K.&lt;/author&gt;&lt;/authors&gt;&lt;/contributors&gt;&lt;auth-address&gt;Department of Epidemiology, College of Public Health, Zhengzhou 450001.&lt;/auth-address&gt;&lt;titles&gt;&lt;title&gt;Cyclooxygenase-2 polymorphisms and the risk of gastric cancer in various degrees of relationship in the Chinese Han population&lt;/title&gt;&lt;secondary-title&gt;Oncol Lett&lt;/secondary-title&gt;&lt;alt-title&gt;Oncol Lett&lt;/alt-title&gt;&lt;/titles&gt;&lt;periodical&gt;&lt;full-title&gt;Oncol Lett&lt;/full-title&gt;&lt;abbr-1&gt;Oncology letters&lt;/abbr-1&gt;&lt;/periodical&gt;&lt;alt-periodical&gt;&lt;full-title&gt;Oncol Lett&lt;/full-title&gt;&lt;abbr-1&gt;Oncology letters&lt;/abbr-1&gt;&lt;/alt-periodical&gt;&lt;pages&gt;107-112&lt;/pages&gt;&lt;volume&gt;3&lt;/volume&gt;&lt;number&gt;1&lt;/number&gt;&lt;keywords&gt;&lt;keyword&gt;cyclooxygenase-2&lt;/keyword&gt;&lt;keyword&gt;polymorphism&lt;/keyword&gt;&lt;keyword&gt;relative degree&lt;/keyword&gt;&lt;keyword&gt;gastric cancer&lt;/keyword&gt;&lt;keyword&gt;helicobacter-pylori infection&lt;/keyword&gt;&lt;keyword&gt;promoter polymorphism&lt;/keyword&gt;&lt;keyword&gt;gene polymorphisms&lt;/keyword&gt;&lt;keyword&gt;association&lt;/keyword&gt;&lt;keyword&gt;expression&lt;/keyword&gt;&lt;keyword&gt;cox-2&lt;/keyword&gt;&lt;keyword&gt;carcinogenesis&lt;/keyword&gt;&lt;keyword&gt;activation&lt;/keyword&gt;&lt;keyword&gt;precursors&lt;/keyword&gt;&lt;keyword&gt;variants&lt;/keyword&gt;&lt;/keywords&gt;&lt;dates&gt;&lt;year&gt;2012&lt;/year&gt;&lt;pub-dates&gt;&lt;date&gt;Jan&lt;/date&gt;&lt;/pub-dates&gt;&lt;/dates&gt;&lt;isbn&gt;1792-1074 (Print)&amp;#xD;1792-1074 (Linking)&lt;/isbn&gt;&lt;accession-num&gt;22740864&lt;/accession-num&gt;&lt;urls&gt;&lt;related-urls&gt;&lt;url&gt;http://www.ncbi.nlm.nih.gov/pubmed/22740864&lt;/url&gt;&lt;/related-urls&gt;&lt;/urls&gt;&lt;custom2&gt;PMC3464087&lt;/custom2&gt;&lt;electronic-resource-num&gt;10.3892/ol.2011.426&lt;/electronic-resource-num&gt;&lt;language&gt;English&lt;/language&gt;&lt;/record&gt;&lt;/Cite&gt;&lt;/EndNote&gt;</w:instrText>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[38]</w:t>
            </w:r>
            <w:r w:rsidRPr="004E3E19">
              <w:rPr>
                <w:rFonts w:ascii="Book Antiqua" w:hAnsi="Book Antiqua" w:cs="Book Antiqua"/>
                <w:kern w:val="0"/>
                <w:sz w:val="24"/>
                <w:vertAlign w:val="superscript"/>
                <w:lang w:val="en-GB"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2012</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China</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Gastric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NA</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PCR-RFLP</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98</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145</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53</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73</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166</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80</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0.461</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14</w:t>
            </w:r>
          </w:p>
        </w:tc>
      </w:tr>
      <w:tr w:rsidR="00D757F8" w:rsidRPr="004E3E19">
        <w:trPr>
          <w:trHeight w:val="228"/>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bookmarkStart w:id="29" w:name="OLE_LINK6"/>
            <w:r w:rsidRPr="004E3E19">
              <w:rPr>
                <w:rFonts w:ascii="Book Antiqua" w:hAnsi="Book Antiqua" w:cs="Book Antiqua"/>
                <w:color w:val="000000"/>
                <w:kern w:val="0"/>
                <w:sz w:val="24"/>
                <w:lang w:bidi="ar"/>
              </w:rPr>
              <w:t>Shin</w:t>
            </w:r>
            <w:bookmarkEnd w:id="29"/>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 &lt;EndNote&gt;&lt;Cite&gt;&lt;Author&gt;Shin&lt;/Author&gt;&lt;Year&gt;2012&lt;/Year&gt;&lt;RecNum&gt;177&lt;/RecNum&gt;&lt;DisplayText&gt;[39]&lt;/DisplayText&gt;&lt;record&gt;&lt;rec-number&gt;177&lt;/rec-number&gt;&lt;foreign-keys&gt;&lt;key app="EN" db-id="5rpep9vv49s5shewe5z55r0hrvre9fz5w5x0" timestamp="1467547481"&gt;177&lt;/key&gt;&lt;/foreign-keys&gt;&lt;ref-type name="Journal Article"&gt;17&lt;/ref-type&gt;&lt;contributors&gt;&lt;authors&gt;&lt;author&gt;Shin, W. G.&lt;/author&gt;&lt;author&gt;Kim, H. J.&lt;/author&gt;&lt;author&gt;Cho, S. J.&lt;/author&gt;&lt;author&gt;Kim, H. S.&lt;/author&gt;&lt;author&gt;Kim, K. H.&lt;/author&gt;&lt;author&gt;Jang, M. K.&lt;/author&gt;&lt;author&gt;Lee, J. H.&lt;/author&gt;&lt;author&gt;Kim, H. Y.&lt;/author&gt;&lt;/authors&gt;&lt;/contributors&gt;&lt;auth-address&gt;Department of Internal Medicine, Hallym University College of Medicine, Seoul, Korea.&lt;/auth-address&gt;&lt;titles&gt;&lt;title&gt;The COX-2-1195AA Genotype Is Associated with Diffuse-Type Gastric Cancer in Korea&lt;/title&gt;&lt;secondary-title&gt;Gut Liver&lt;/secondary-title&gt;&lt;alt-title&gt;Gut Liver&lt;/alt-title&gt;&lt;/titles&gt;&lt;periodical&gt;&lt;full-title&gt;Gut Liver&lt;/full-title&gt;&lt;abbr-1&gt;Gut and liver&lt;/abbr-1&gt;&lt;/periodical&gt;&lt;alt-periodical&gt;&lt;full-title&gt;Gut Liver&lt;/full-title&gt;&lt;abbr-1&gt;Gut and liver&lt;/abbr-1&gt;&lt;/alt-periodical&gt;&lt;pages&gt;321-7&lt;/pages&gt;&lt;volume&gt;6&lt;/volume&gt;&lt;number&gt;3&lt;/number&gt;&lt;keywords&gt;&lt;keyword&gt;Cox-2&lt;/keyword&gt;&lt;keyword&gt;Diffuse type&lt;/keyword&gt;&lt;keyword&gt;Polymorphism&lt;/keyword&gt;&lt;keyword&gt;Stomach neoplasms&lt;/keyword&gt;&lt;/keywords&gt;&lt;dates&gt;&lt;year&gt;2012&lt;/year&gt;&lt;pub-dates&gt;&lt;date&gt;Jul&lt;/date&gt;&lt;/pub-dates&gt;&lt;/dates&gt;&lt;isbn&gt;2005-1212 (Electronic)&amp;#xD;1976-2283 (Linking)&lt;/isbn&gt;&lt;accession-num&gt;22844559&lt;/accession-num&gt;&lt;urls&gt;&lt;related-urls&gt;&lt;url&gt;http://www.ncbi.nlm.nih.gov/pubmed/22844559&lt;/url&gt;&lt;/related-urls&gt;&lt;/urls&gt;&lt;custom2&gt;PMC3404168&lt;/custom2&gt;&lt;electronic-resource-num&gt;10.5009/gnl.2012.6.3.321&lt;/electronic-resource-num&gt;&lt;language&gt;English&lt;/language&gt;&lt;/record&gt;&lt;/Cite&gt;&lt;/EndNote&gt;</w:instrText>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[39]</w:t>
            </w:r>
            <w:r w:rsidRPr="004E3E19">
              <w:rPr>
                <w:rFonts w:ascii="Book Antiqua" w:hAnsi="Book Antiqua" w:cs="Book Antiqua"/>
                <w:kern w:val="0"/>
                <w:sz w:val="24"/>
                <w:vertAlign w:val="superscript"/>
                <w:lang w:val="en-GB"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2012</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Korea</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Gastric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NA</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PCR-RFLP</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32</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54</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14</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37</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41</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22</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0.107</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12</w:t>
            </w:r>
          </w:p>
        </w:tc>
      </w:tr>
      <w:tr w:rsidR="00D757F8" w:rsidRPr="004E3E19">
        <w:trPr>
          <w:trHeight w:val="228"/>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bookmarkStart w:id="30" w:name="OLE_LINK10"/>
            <w:r w:rsidRPr="004E3E19">
              <w:rPr>
                <w:rFonts w:ascii="Book Antiqua" w:hAnsi="Book Antiqua" w:cs="Book Antiqua"/>
                <w:color w:val="000000"/>
                <w:kern w:val="0"/>
                <w:sz w:val="24"/>
                <w:lang w:bidi="ar"/>
              </w:rPr>
              <w:t>Zhang</w:t>
            </w:r>
            <w:bookmarkEnd w:id="30"/>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 &lt;EndNote&gt;&lt;Cite&gt;&lt;Author&gt;Zhang&lt;/Author&gt;&lt;Year&gt;2012&lt;/Year&gt;&lt;RecNum&gt;169&lt;/RecNum&gt;&lt;DisplayText&gt;[40]&lt;/DisplayText&gt;&lt;record&gt;&lt;rec-number&gt;169&lt;/rec-number&gt;&lt;foreign-keys&gt;&lt;key app="EN" db-id="5rpep9vv49s5shewe5z55r0hrvre9fz5w5x0" timestamp="1467544915"&gt;169&lt;/key&gt;&lt;/foreign-keys&gt;&lt;ref-type name="Journal Article"&gt;17&lt;/ref-type&gt;&lt;contributors&gt;&lt;authors&gt;&lt;author&gt;&lt;style face="normal" font="default" size="100%"&gt;Zhang, Y&lt;/style&gt;&lt;style face="normal" font="default" charset="134" size="100%"&gt;.&lt;/style&gt;&lt;/author&gt;&lt;author&gt;Liu, C. M.&lt;/author&gt;&lt;author&gt;Peng, H. P.&lt;/author&gt;&lt;author&gt;Zhang, J. Z.&lt;/author&gt;&lt;author&gt;Cai, X. Q.&lt;/author&gt;&lt;author&gt;Feng, Q. L.&lt;/author&gt;&lt;/authors&gt;&lt;/contributors&gt;&lt;titles&gt;&lt;title&gt;Relationship between polymorphisms in the promoter region of the COX-2 gene and susceptibility to colorectal cancer&lt;/title&gt;&lt;secondary-title&gt;World Chinese Journal of Digestology&lt;/secondary-title&gt;&lt;/titles&gt;&lt;periodical&gt;&lt;full-title&gt;World Chinese Journal of Digestology&lt;/full-title&gt;&lt;/periodical&gt;&lt;pages&gt;1579-1584&lt;/pages&gt;&lt;volume&gt;20&lt;/volume&gt;&lt;number&gt;17&lt;/number&gt;&lt;dates&gt;&lt;year&gt;2012&lt;/year&gt;&lt;/dates&gt;&lt;urls&gt;&lt;/urls&gt;&lt;/record&gt;&lt;/Cite&gt;&lt;/EndNote&gt;</w:instrText>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[40]</w:t>
            </w:r>
            <w:r w:rsidRPr="004E3E19">
              <w:rPr>
                <w:rFonts w:ascii="Book Antiqua" w:hAnsi="Book Antiqua" w:cs="Book Antiqua"/>
                <w:kern w:val="0"/>
                <w:sz w:val="24"/>
                <w:vertAlign w:val="superscript"/>
                <w:lang w:val="en-GB"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2012</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China</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Colorectal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NA</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PCR-RFLP</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77</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216</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50</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62</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184</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94</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0.090</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12</w:t>
            </w:r>
          </w:p>
        </w:tc>
      </w:tr>
      <w:tr w:rsidR="00D757F8" w:rsidRPr="004E3E19">
        <w:trPr>
          <w:trHeight w:val="455"/>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r w:rsidRPr="004E3E19">
              <w:rPr>
                <w:rFonts w:ascii="Book Antiqua" w:hAnsi="Book Antiqua" w:cs="Book Antiqua"/>
                <w:color w:val="000000"/>
                <w:kern w:val="0"/>
                <w:sz w:val="24"/>
                <w:lang w:bidi="ar"/>
              </w:rPr>
              <w:t>Andersen</w:t>
            </w:r>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kern w:val="0"/>
                <w:sz w:val="24"/>
                <w:vertAlign w:val="superscript"/>
                <w:lang w:val="en-GB" w:bidi="ar"/>
              </w:rPr>
              <w:fldChar w:fldCharType="begin">
                <w:fldData xml:space="preserve">PEVuZE5vdGU+PENpdGU+PEF1dGhvcj5BbmRlcnNlbjwvQXV0aG9yPjxZZWFyPjIwMTM8L1llYXI+
PFJlY051bT4xMDU8L1JlY051bT48RGlzcGxheVRleHQ+WzQxXTwvRGlzcGxheVRleHQ+PHJlY29y
ZD48cmVjLW51bWJlcj4xMDU8L3JlYy1udW1iZXI+PGZvcmVpZ24ta2V5cz48a2V5IGFwcD0iRU4i
IGRiLWlkPSI1cnBlcDl2djQ5czVzaGV3ZTV6NTVyMGhydnJlOWZ6NXc1eDAiIHRpbWVzdGFtcD0i
MTQ2NzU0Mzc4NiI+MTA1PC9rZXk+PC9mb3JlaWduLWtleXM+PHJlZi10eXBlIG5hbWU9IkpvdXJu
YWwgQXJ0aWNsZSI+MTc8L3JlZi10eXBlPjxjb250cmlidXRvcnM+PGF1dGhvcnM+PGF1dGhvcj5B
bmRlcnNlbiwgVi48L2F1dGhvcj48YXV0aG9yPkhvbHN0LCBSLjwvYXV0aG9yPjxhdXRob3I+S29w
cCwgVC4gSS48L2F1dGhvcj48YXV0aG9yPlRqb25uZWxhbmQsIEEuPC9hdXRob3I+PGF1dGhvcj5W
b2dlbCwgVS48L2F1dGhvcj48L2F1dGhvcnM+PC9jb250cmlidXRvcnM+PGF1dGgtYWRkcmVzcz5P
cmdhbiBDZW50ZXIsIEhvc3BpdGFsIG9mIFNvdXRoZXJuIEp1dGxhbmQsIEFhYmVucmFhLCBEZW5t
YXJrIDsgSW5zdGl0dXRlIG9mIFJlZ2lvbmFsIEhlYWx0aCBSZXNlYXJjaCwgVW5pdmVyc2l0eSBv
ZiBTb3V0aGVybiBEZW5tYXJrLCBPZGVuc2UsIERlbm1hcmsgOyBNZWRpY2FsIERlcGFydG1lbnQs
IFJlZ2lvbmFsIEhvc3BpdGFsLCBWaWJvcmcsIFZpYm9yZywgRGVubWFyay48L2F1dGgtYWRkcmVz
cz48dGl0bGVzPjx0aXRsZT5JbnRlcmFjdGlvbnMgYmV0d2VlbiBkaWV0LCBsaWZlc3R5bGUgYW5k
IElMMTAsIElMMUIsIGFuZCBQVEdTMi9DT1gtMiBnZW5lIHBvbHltb3JwaGlzbXMgaW4gcmVsYXRp
b24gdG8gcmlzayBvZiBjb2xvcmVjdGFsIGNhbmNlciBpbiBhIHByb3NwZWN0aXZlIERhbmlzaCBj
YXNlLWNvaG9ydCBzdHVkeTwvdGl0bGU+PHNlY29uZGFyeS10aXRsZT5QTG9TIE9uZTwvc2Vjb25k
YXJ5LXRpdGxlPjwvdGl0bGVzPjxwZXJpb2RpY2FsPjxmdWxsLXRpdGxlPlBMb1MgT25lPC9mdWxs
LXRpdGxlPjxhYmJyLTE+UGxvUyBvbmU8L2FiYnItMT48L3BlcmlvZGljYWw+PHBhZ2VzPmU3ODM2
NjwvcGFnZXM+PHZvbHVtZT44PC92b2x1bWU+PG51bWJlcj4xMDwvbnVtYmVyPjxrZXl3b3Jkcz48
a2V5d29yZD5Db2hvcnQgU3R1ZGllczwva2V5d29yZD48a2V5d29yZD5Db2xvcmVjdGFsIE5lb3Bs
YXNtcy8qZXBpZGVtaW9sb2d5LypldGlvbG9neS9nZW5ldGljczwva2V5d29yZD48a2V5d29yZD5D
eWNsb294eWdlbmFzZSAyL2dlbmV0aWNzPC9rZXl3b3JkPjxrZXl3b3JkPkRlbm1hcmsvZXBpZGVt
aW9sb2d5PC9rZXl3b3JkPjxrZXl3b3JkPkRpZXQvKmFkdmVyc2UgZWZmZWN0czwva2V5d29yZD48
a2V5d29yZD5HZW5vdHlwZTwva2V5d29yZD48a2V5d29yZD5IdW1hbnM8L2tleXdvcmQ+PGtleXdv
cmQ+SW5jaWRlbmNlPC9rZXl3b3JkPjxrZXl3b3JkPkludGVybGV1a2luLTEwL2dlbmV0aWNzPC9r
ZXl3b3JkPjxrZXl3b3JkPkludGVybGV1a2luLTFiZXRhL2dlbmV0aWNzPC9rZXl3b3JkPjxrZXl3
b3JkPipMaWZlIFN0eWxlPC9rZXl3b3JkPjxrZXl3b3JkPlBvbHltb3JwaGlzbSwgR2VuZXRpYy8q
Z2VuZXRpY3M8L2tleXdvcmQ+PGtleXdvcmQ+UHJvc3BlY3RpdmUgU3R1ZGllczwva2V5d29yZD48
a2V5d29yZD5SaXNrIEZhY3RvcnM8L2tleXdvcmQ+PGtleXdvcmQ+U3VydmV5cyBhbmQgUXVlc3Rp
b25uYWlyZXM8L2tleXdvcmQ+PC9rZXl3b3Jkcz48ZGF0ZXM+PHllYXI+MjAxMzwveWVhcj48L2Rh
dGVzPjxpc2JuPjE5MzItNjIwMyAoRWxlY3Ryb25pYykmI3hEOzE5MzItNjIwMyAoTGlua2luZyk8
L2lzYm4+PGFjY2Vzc2lvbi1udW0+MjQxOTQ5MjM8L2FjY2Vzc2lvbi1udW0+PHVybHM+PHJlbGF0
ZWQtdXJscz48dXJsPmh0dHA6Ly93d3cubmNiaS5ubG0ubmloLmdvdi9wdWJtZWQvMjQxOTQ5MjM8
L3VybD48L3JlbGF0ZWQtdXJscz48L3VybHM+PGN1c3RvbTI+UE1DMzgwNjgzNjwvY3VzdG9tMj48
ZWxlY3Ryb25pYy1yZXNvdXJjZS1udW0+MTAuMTM3MS9qb3VybmFsLnBvbmUuMDA3ODM2NjwvZWxl
Y3Ryb25pYy1yZXNvdXJjZS1udW0+PC9yZWNvcmQ+PC9DaXRlPjwvRW5kTm90ZT4A
</w:fldData>
              </w:fldChar>
            </w:r>
            <w:r w:rsidRPr="004E3E19">
              <w:rPr>
                <w:rFonts w:ascii="Book Antiqua" w:hAnsi="Book Antiqua" w:cs="Book Antiqua"/>
                <w:kern w:val="0"/>
                <w:sz w:val="24"/>
                <w:vertAlign w:val="superscript"/>
                <w:lang w:val="en-GB" w:bidi="ar"/>
              </w:rPr>
              <w:instrText xml:space="preserve"> ADDIN EN.CITE </w:instrTex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EN.CITE.DATA </w:instrText>
            </w:r>
            <w:r w:rsidRPr="004E3E19">
              <w:rPr>
                <w:rFonts w:ascii="Book Antiqua" w:hAnsi="Book Antiqua" w:cs="Book Antiqua"/>
                <w:kern w:val="0"/>
                <w:sz w:val="24"/>
                <w:vertAlign w:val="superscript"/>
                <w:lang w:val="en-GB" w:bidi="ar"/>
              </w:rPr>
              <w:fldChar w:fldCharType="end"/>
            </w:r>
            <w:r w:rsidRPr="004E3E19">
              <w:rPr>
                <w:rFonts w:ascii="Book Antiqua" w:hAnsi="Book Antiqua" w:cs="Book Antiqua"/>
                <w:kern w:val="0"/>
                <w:sz w:val="24"/>
                <w:vertAlign w:val="superscript"/>
                <w:lang w:val="en-GB" w:bidi="ar"/>
              </w:rPr>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[41]</w:t>
            </w:r>
            <w:r w:rsidRPr="004E3E19">
              <w:rPr>
                <w:rFonts w:ascii="Book Antiqua" w:hAnsi="Book Antiqua" w:cs="Book Antiqua"/>
                <w:kern w:val="0"/>
                <w:sz w:val="24"/>
                <w:vertAlign w:val="superscript"/>
                <w:lang w:val="en-GB"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2013</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Denmark</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Colorectal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NA</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KASP™ genotyping</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587</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313</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47</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1126</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560</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61</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0.397</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15</w:t>
            </w:r>
          </w:p>
        </w:tc>
      </w:tr>
      <w:tr w:rsidR="00D757F8" w:rsidRPr="004E3E19">
        <w:trPr>
          <w:trHeight w:val="228"/>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r w:rsidRPr="004E3E19">
              <w:rPr>
                <w:rFonts w:ascii="Book Antiqua" w:hAnsi="Book Antiqua" w:cs="Book Antiqua"/>
                <w:color w:val="000000"/>
                <w:kern w:val="0"/>
                <w:sz w:val="24"/>
                <w:lang w:bidi="ar"/>
              </w:rPr>
              <w:t>Li</w:t>
            </w:r>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kern w:val="0"/>
                <w:sz w:val="24"/>
                <w:vertAlign w:val="superscript"/>
                <w:lang w:val="en-GB" w:bidi="ar"/>
              </w:rPr>
              <w:fldChar w:fldCharType="begin">
                <w:fldData xml:space="preserve">PEVuZE5vdGU+PENpdGU+PEF1dGhvcj5MaTwvQXV0aG9yPjxZZWFyPjIwMTM8L1llYXI+PFJlY051
bT4xODc8L1JlY051bT48RGlzcGxheVRleHQ+WzQyXTwvRGlzcGxheVRleHQ+PHJlY29yZD48cmVj
LW51bWJlcj4xODc8L3JlYy1udW1iZXI+PGZvcmVpZ24ta2V5cz48a2V5IGFwcD0iRU4iIGRiLWlk
PSI1cnBlcDl2djQ5czVzaGV3ZTV6NTVyMGhydnJlOWZ6NXc1eDAiIHRpbWVzdGFtcD0iMTQ2NzU1
MTQ3OSI+MTg3PC9rZXk+PC9mb3JlaWduLWtleXM+PHJlZi10eXBlIG5hbWU9IkpvdXJuYWwgQXJ0
aWNsZSI+MTc8L3JlZi10eXBlPjxjb250cmlidXRvcnM+PGF1dGhvcnM+PGF1dGhvcj5MaSwgUy48
L2F1dGhvcj48YXV0aG9yPlpoYW8sIFguPC9hdXRob3I+PGF1dGhvcj5XdSwgWi48L2F1dGhvcj48
YXV0aG9yPkxpLCBZLjwvYXV0aG9yPjxhdXRob3I+Wmh1LCBMLjwvYXV0aG9yPjxhdXRob3I+Q3Vp
LCBCLjwvYXV0aG9yPjxhdXRob3I+RG9uZywgWC48L2F1dGhvcj48YXV0aG9yPlRpYW4sIFMuPC9h
dXRob3I+PGF1dGhvcj5IdSwgRi48L2F1dGhvcj48YXV0aG9yPlpoYW8sIFkuPC9hdXRob3I+PC9h
dXRob3JzPjwvY29udHJpYnV0b3JzPjxhdXRoLWFkZHJlc3M+RGVwYXJ0bWVudCBvZiBFcGlkZW1p
b2xvZ3ksIFB1YmxpYyBIZWFsdGggQ29sbGVnZSwgSGFyYmluIE1lZGljYWwgVW5pdmVyc2l0eSwg
MTU3LCBCYW9qaWFuIFN0cmVldCwgTmFuZ2FuZyBEaXN0cmljdCwgSGFyYmluLCBIZWlsb25namlh
bmcgUHJvdmluY2UsIFBlb3BsZSZhcG9zO3MgUmVwdWJsaWMgb2YgQ2hpbmEuPC9hdXRoLWFkZHJl
c3M+PHRpdGxlcz48dGl0bGU+UG9seW1vcnBoaXNtcyBpbiBhcmFjaGlkb25pYyBhY2lkIG1ldGFi
b2xpc20tcmVsYXRlZCBnZW5lcyBhbmQgdGhlIHJpc2sgYW5kIHByb2dub3NpcyBvZiBjb2xvcmVj
dGFsIGNhbmNlcjwvdGl0bGU+PHNlY29uZGFyeS10aXRsZT5GYW0gQ2FuY2VyPC9zZWNvbmRhcnkt
dGl0bGU+PGFsdC10aXRsZT5GYW0gQ2FuY2VyPC9hbHQtdGl0bGU+PC90aXRsZXM+PHBlcmlvZGlj
YWw+PGZ1bGwtdGl0bGU+RmFtaWxpYWwgQ2FuY2VyPC9mdWxsLXRpdGxlPjxhYmJyLTE+RmFtIENh
bmNlcjwvYWJici0xPjwvcGVyaW9kaWNhbD48YWx0LXBlcmlvZGljYWw+PGZ1bGwtdGl0bGU+RmFt
aWxpYWwgQ2FuY2VyPC9mdWxsLXRpdGxlPjxhYmJyLTE+RmFtIENhbmNlcjwvYWJici0xPjwvYWx0
LXBlcmlvZGljYWw+PHBhZ2VzPjc1NS02NTwvcGFnZXM+PHZvbHVtZT4xMjwvdm9sdW1lPjxudW1i
ZXI+NDwvbnVtYmVyPjxrZXl3b3Jkcz48a2V5d29yZD5BbnRpZ2VucywgSHVtYW4gUGxhdGVsZXQv
KmdlbmV0aWNzPC9rZXl3b3JkPjxrZXl3b3JkPkFyYWNoaWRvbmF0ZSAxMi1MaXBveHlnZW5hc2Uv
KmdlbmV0aWNzPC9rZXl3b3JkPjxrZXl3b3JkPkFyYWNoaWRvbmljIEFjaWQvKm1ldGFib2xpc208
L2tleXdvcmQ+PGtleXdvcmQ+QmlvbWFya2VycywgVHVtb3IvKmdlbmV0aWNzPC9rZXl3b3JkPjxr
ZXl3b3JkPkNhc2UtQ29udHJvbCBTdHVkaWVzPC9rZXl3b3JkPjxrZXl3b3JkPkNvbG9yZWN0YWwg
TmVvcGxhc21zL2RpYWdub3Npcy8qZXRpb2xvZ3k8L2tleXdvcmQ+PGtleXdvcmQ+Q3ljbG9veHln
ZW5hc2UgMi8qZ2VuZXRpY3M8L2tleXdvcmQ+PGtleXdvcmQ+RmVtYWxlPC9rZXl3b3JkPjxrZXl3
b3JkPkZvbGxvdy1VcCBTdHVkaWVzPC9rZXl3b3JkPjxrZXl3b3JkPkdlbmUtRW52aXJvbm1lbnQg
SW50ZXJhY3Rpb248L2tleXdvcmQ+PGtleXdvcmQ+R2VuZXRpYyBQcmVkaXNwb3NpdGlvbiB0byBE
aXNlYXNlPC9rZXl3b3JkPjxrZXl3b3JkPkdlbm90eXBlPC9rZXl3b3JkPjxrZXl3b3JkPkh1bWFu
czwva2V5d29yZD48a2V5d29yZD5NYWxlPC9rZXl3b3JkPjxrZXl3b3JkPk1pZGRsZSBBZ2VkPC9r
ZXl3b3JkPjxrZXl3b3JkPk5lb3BsYXNtIFN0YWdpbmc8L2tleXdvcmQ+PGtleXdvcmQ+UG9seW1l
cmFzZSBDaGFpbiBSZWFjdGlvbjwva2V5d29yZD48a2V5d29yZD5Qb2x5bW9ycGhpc20sIFJlc3Ry
aWN0aW9uIEZyYWdtZW50IExlbmd0aDwva2V5d29yZD48a2V5d29yZD5Qb2x5bW9ycGhpc20sIFNp
bmdsZSBOdWNsZW90aWRlLypnZW5ldGljczwva2V5d29yZD48a2V5d29yZD5Qcm9nbm9zaXM8L2tl
eXdvcmQ+PGtleXdvcmQ+UmlzayBGYWN0b3JzPC9rZXl3b3JkPjwva2V5d29yZHM+PGRhdGVzPjx5
ZWFyPjIwMTM8L3llYXI+PHB1Yi1kYXRlcz48ZGF0ZT5EZWM8L2RhdGU+PC9wdWItZGF0ZXM+PC9k
YXRlcz48aXNibj4xNTczLTcyOTIgKEVsZWN0cm9uaWMpJiN4RDsxMzg5LTk2MDAgKExpbmtpbmcp
PC9pc2JuPjxhY2Nlc3Npb24tbnVtPjIzNzE1NzU3PC9hY2Nlc3Npb24tbnVtPjx1cmxzPjxyZWxh
dGVkLXVybHM+PHVybD5odHRwOi8vd3d3Lm5jYmkubmxtLm5paC5nb3YvcHVibWVkLzIzNzE1NzU3
PC91cmw+PC9yZWxhdGVkLXVybHM+PC91cmxzPjxlbGVjdHJvbmljLXJlc291cmNlLW51bT4xMC4x
MDA3L3MxMDY4OS0wMTMtOTY1OS0yPC9lbGVjdHJvbmljLXJlc291cmNlLW51bT48bGFuZ3VhZ2U+
RW5nbGlzaDwvbGFuZ3VhZ2U+PC9yZWNvcmQ+PC9DaXRlPjwvRW5kTm90ZT5AADAA
</w:fldData>
              </w:fldChar>
            </w:r>
            <w:r w:rsidRPr="004E3E19">
              <w:rPr>
                <w:rFonts w:ascii="Book Antiqua" w:hAnsi="Book Antiqua" w:cs="Book Antiqua"/>
                <w:kern w:val="0"/>
                <w:sz w:val="24"/>
                <w:vertAlign w:val="superscript"/>
                <w:lang w:val="en-GB" w:bidi="ar"/>
              </w:rPr>
              <w:instrText xml:space="preserve"> ADDIN EN.CITE </w:instrTex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EN.CITE.DATA </w:instrText>
            </w:r>
            <w:r w:rsidRPr="004E3E19">
              <w:rPr>
                <w:rFonts w:ascii="Book Antiqua" w:hAnsi="Book Antiqua" w:cs="Book Antiqua"/>
                <w:kern w:val="0"/>
                <w:sz w:val="24"/>
                <w:vertAlign w:val="superscript"/>
                <w:lang w:val="en-GB" w:bidi="ar"/>
              </w:rPr>
              <w:fldChar w:fldCharType="end"/>
            </w:r>
            <w:r w:rsidRPr="004E3E19">
              <w:rPr>
                <w:rFonts w:ascii="Book Antiqua" w:hAnsi="Book Antiqua" w:cs="Book Antiqua"/>
                <w:kern w:val="0"/>
                <w:sz w:val="24"/>
                <w:vertAlign w:val="superscript"/>
                <w:lang w:val="en-GB" w:bidi="ar"/>
              </w:rPr>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[42]</w:t>
            </w:r>
            <w:r w:rsidRPr="004E3E19">
              <w:rPr>
                <w:rFonts w:ascii="Book Antiqua" w:hAnsi="Book Antiqua" w:cs="Book Antiqua"/>
                <w:kern w:val="0"/>
                <w:sz w:val="24"/>
                <w:vertAlign w:val="superscript"/>
                <w:lang w:val="en-GB"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2013</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China</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Colorectal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HB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NA</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PCR-RFLP</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116</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248</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87</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179</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336</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114</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0.045</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9</w:t>
            </w:r>
          </w:p>
        </w:tc>
      </w:tr>
      <w:tr w:rsidR="00D757F8" w:rsidRPr="004E3E19">
        <w:trPr>
          <w:trHeight w:val="228"/>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r w:rsidRPr="004E3E19">
              <w:rPr>
                <w:rFonts w:ascii="Book Antiqua" w:hAnsi="Book Antiqua" w:cs="Book Antiqua"/>
                <w:color w:val="000000"/>
                <w:kern w:val="0"/>
                <w:sz w:val="24"/>
                <w:lang w:bidi="ar"/>
              </w:rPr>
              <w:t>Makar</w:t>
            </w:r>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kern w:val="0"/>
                <w:sz w:val="24"/>
                <w:vertAlign w:val="superscript"/>
                <w:lang w:val="en-GB" w:bidi="ar"/>
              </w:rPr>
              <w:fldChar w:fldCharType="begin">
                <w:fldData xml:space="preserve">PEVuZE5vdGU+PENpdGU+PEF1dGhvcj5NYWthcjwvQXV0aG9yPjxZZWFyPjIwMTM8L1llYXI+PFJl
Y051bT4xMDk8L1JlY051bT48RGlzcGxheVRleHQ+WzQzXTwvRGlzcGxheVRleHQ+PHJlY29yZD48
cmVjLW51bWJlcj4xMDk8L3JlYy1udW1iZXI+PGZvcmVpZ24ta2V5cz48a2V5IGFwcD0iRU4iIGRi
LWlkPSI1cnBlcDl2djQ5czVzaGV3ZTV6NTVyMGhydnJlOWZ6NXc1eDAiIHRpbWVzdGFtcD0iMTQ2
NzU0Mzk5OSI+MTA5PC9rZXk+PC9mb3JlaWduLWtleXM+PHJlZi10eXBlIG5hbWU9IkpvdXJuYWwg
QXJ0aWNsZSI+MTc8L3JlZi10eXBlPjxjb250cmlidXRvcnM+PGF1dGhvcnM+PGF1dGhvcj5NYWth
ciwgSy4gVy48L2F1dGhvcj48YXV0aG9yPlBvb2xlLCBFLiBNLjwvYXV0aG9yPjxhdXRob3I+UmVz
bGVyLCBBLiBKLjwvYXV0aG9yPjxhdXRob3I+U2V1ZmVydCwgQi48L2F1dGhvcj48YXV0aG9yPkN1
cnRpbiwgSy48L2F1dGhvcj48YXV0aG9yPktsZWluc3RlaW4sIFMuIEUuPC9hdXRob3I+PGF1dGhv
cj5EdWdnYW4sIEQuPC9hdXRob3I+PGF1dGhvcj5LdWxtYWN6LCBSLiBKLjwvYXV0aG9yPjxhdXRo
b3I+SHN1LCBMLjwvYXV0aG9yPjxhdXRob3I+V2hpdHRvbiwgSi48L2F1dGhvcj48YXV0aG9yPkNh
cmxzb24sIEMuIFMuPC9hdXRob3I+PGF1dGhvcj5SaW1vcmluLCBDLiBGLjwvYXV0aG9yPjxhdXRo
b3I+Q2FhbiwgQi4gSi48L2F1dGhvcj48YXV0aG9yPkJhcm9uLCBKLiBBLjwvYXV0aG9yPjxhdXRo
b3I+UG90dGVyLCBKLiBELjwvYXV0aG9yPjxhdXRob3I+U2xhdHRlcnksIE0uIEwuPC9hdXRob3I+
PGF1dGhvcj5VbHJpY2gsIEMuIE0uPC9hdXRob3I+PC9hdXRob3JzPjwvY29udHJpYnV0b3JzPjx0
aXRsZXM+PHRpdGxlPkNPWC0xIChQVEdTMSkgYW5kIENPWC0yIChQVEdTMikgcG9seW1vcnBoaXNt
cywgTlNBSUQgaW50ZXJhY3Rpb25zLCBhbmQgcmlzayBvZiBjb2xvbiBhbmQgcmVjdGFsIGNhbmNl
cnMgaW4gdHdvIGluZGVwZW5kZW50IHBvcHVsYXRpb25zPC90aXRsZT48c2Vjb25kYXJ5LXRpdGxl
PkNhbmNlciBDYXVzZXMgQ29udHJvbDwvc2Vjb25kYXJ5LXRpdGxlPjwvdGl0bGVzPjxwZXJpb2Rp
Y2FsPjxmdWxsLXRpdGxlPkNhbmNlciBDYXVzZXMgQ29udHJvbDwvZnVsbC10aXRsZT48L3Blcmlv
ZGljYWw+PHBhZ2VzPjIwNTktNzU8L3BhZ2VzPjx2b2x1bWU+MjQ8L3ZvbHVtZT48bnVtYmVyPjEy
PC9udW1iZXI+PGtleXdvcmRzPjxrZXl3b3JkPkFnZWQ8L2tleXdvcmQ+PGtleXdvcmQ+QW50aS1J
bmZsYW1tYXRvcnkgQWdlbnRzLCBOb24tU3Rlcm9pZGFsLypwaGFybWFjb2xvZ3k8L2tleXdvcmQ+
PGtleXdvcmQ+Q2FzZS1Db250cm9sIFN0dWRpZXM8L2tleXdvcmQ+PGtleXdvcmQ+Q29sb25pYyBO
ZW9wbGFzbXMvZHJ1ZyB0aGVyYXB5L2VwaWRlbWlvbG9neS8qZ2VuZXRpY3M8L2tleXdvcmQ+PGtl
eXdvcmQ+Q3ljbG9veHlnZW5hc2UgMS8qZ2VuZXRpY3MvbWV0YWJvbGlzbTwva2V5d29yZD48a2V5
d29yZD5DeWNsb294eWdlbmFzZSAyLypnZW5ldGljcy9tZXRhYm9saXNtPC9rZXl3b3JkPjxrZXl3
b3JkPkROQSwgTmVvcGxhc20vZ2VuZXRpY3M8L2tleXdvcmQ+PGtleXdvcmQ+RmVtYWxlPC9rZXl3
b3JkPjxrZXl3b3JkPkZvbGxvdy1VcCBTdHVkaWVzPC9rZXl3b3JkPjxrZXl3b3JkPkdlbm90eXBl
PC9rZXl3b3JkPjxrZXl3b3JkPkh1bWFuczwva2V5d29yZD48a2V5d29yZD5NYWxlPC9rZXl3b3Jk
PjxrZXl3b3JkPk1pZGRsZSBBZ2VkPC9rZXl3b3JkPjxrZXl3b3JkPlBvbHltZXJhc2UgQ2hhaW4g
UmVhY3Rpb248L2tleXdvcmQ+PGtleXdvcmQ+UG9seW1vcnBoaXNtLCBTaW5nbGUgTnVjbGVvdGlk
ZS8qZ2VuZXRpY3M8L2tleXdvcmQ+PGtleXdvcmQ+UHJvZ25vc2lzPC9rZXl3b3JkPjxrZXl3b3Jk
PlJlY3RhbCBOZW9wbGFzbXMvZHJ1ZyB0aGVyYXB5L2VwaWRlbWlvbG9neS8qZ2VuZXRpY3M8L2tl
eXdvcmQ+PGtleXdvcmQ+UmlzayBGYWN0b3JzPC9rZXl3b3JkPjxrZXl3b3JkPldhc2hpbmd0b24v
ZXBpZGVtaW9sb2d5PC9rZXl3b3JkPjwva2V5d29yZHM+PGRhdGVzPjx5ZWFyPjIwMTM8L3llYXI+
PHB1Yi1kYXRlcz48ZGF0ZT5EZWM8L2RhdGU+PC9wdWItZGF0ZXM+PC9kYXRlcz48aXNibj4xNTcz
LTcyMjUgKEVsZWN0cm9uaWMpJiN4RDswOTU3LTUyNDMgKExpbmtpbmcpPC9pc2JuPjxhY2Nlc3Np
b24tbnVtPjI0MDIyNDY3PC9hY2Nlc3Npb24tbnVtPjx1cmxzPjxyZWxhdGVkLXVybHM+PHVybD5o
dHRwOi8vd3d3Lm5jYmkubmxtLm5paC5nb3YvcHVibWVkLzI0MDIyNDY3PC91cmw+PC9yZWxhdGVk
LXVybHM+PC91cmxzPjxjdXN0b20yPlBNQzM5MTM1NjQ8L2N1c3RvbTI+PGVsZWN0cm9uaWMtcmVz
b3VyY2UtbnVtPjEwLjEwMDcvczEwNTUyLTAxMy0wMjgyLTE8L2VsZWN0cm9uaWMtcmVzb3VyY2Ut
bnVtPjwvcmVjb3JkPjwvQ2l0ZT48L0VuZE5vdGU+
</w:fldData>
              </w:fldChar>
            </w:r>
            <w:r w:rsidRPr="004E3E19">
              <w:rPr>
                <w:rFonts w:ascii="Book Antiqua" w:hAnsi="Book Antiqua" w:cs="Book Antiqua"/>
                <w:kern w:val="0"/>
                <w:sz w:val="24"/>
                <w:vertAlign w:val="superscript"/>
                <w:lang w:val="en-GB" w:bidi="ar"/>
              </w:rPr>
              <w:instrText xml:space="preserve"> ADDIN EN.CITE </w:instrTex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EN.CITE.DATA </w:instrText>
            </w:r>
            <w:r w:rsidRPr="004E3E19">
              <w:rPr>
                <w:rFonts w:ascii="Book Antiqua" w:hAnsi="Book Antiqua" w:cs="Book Antiqua"/>
                <w:kern w:val="0"/>
                <w:sz w:val="24"/>
                <w:vertAlign w:val="superscript"/>
                <w:lang w:val="en-GB" w:bidi="ar"/>
              </w:rPr>
              <w:fldChar w:fldCharType="end"/>
            </w:r>
            <w:r w:rsidRPr="004E3E19">
              <w:rPr>
                <w:rFonts w:ascii="Book Antiqua" w:hAnsi="Book Antiqua" w:cs="Book Antiqua"/>
                <w:kern w:val="0"/>
                <w:sz w:val="24"/>
                <w:vertAlign w:val="superscript"/>
                <w:lang w:val="en-GB" w:bidi="ar"/>
              </w:rPr>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[43]</w:t>
            </w:r>
            <w:r w:rsidRPr="004E3E19">
              <w:rPr>
                <w:rFonts w:ascii="Book Antiqua" w:hAnsi="Book Antiqua" w:cs="Book Antiqua"/>
                <w:kern w:val="0"/>
                <w:sz w:val="24"/>
                <w:vertAlign w:val="superscript"/>
                <w:lang w:val="en-GB"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2013</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USA</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Colorectal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Age, Location, Sex</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Taqman</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910</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455</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57</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1198</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509</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67</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0.162</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17</w:t>
            </w:r>
          </w:p>
        </w:tc>
      </w:tr>
      <w:tr w:rsidR="00D757F8" w:rsidRPr="004E3E19">
        <w:trPr>
          <w:trHeight w:val="228"/>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r w:rsidRPr="004E3E19">
              <w:rPr>
                <w:rFonts w:ascii="Book Antiqua" w:hAnsi="Book Antiqua" w:cs="Book Antiqua"/>
                <w:color w:val="000000"/>
                <w:kern w:val="0"/>
                <w:sz w:val="24"/>
                <w:lang w:bidi="ar"/>
              </w:rPr>
              <w:t>Makar</w:t>
            </w:r>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kern w:val="0"/>
                <w:sz w:val="24"/>
                <w:vertAlign w:val="superscript"/>
                <w:lang w:val="en-GB" w:bidi="ar"/>
              </w:rPr>
              <w:fldChar w:fldCharType="begin">
                <w:fldData xml:space="preserve">PEVuZE5vdGU+PENpdGU+PEF1dGhvcj5NYWthcjwvQXV0aG9yPjxZZWFyPjIwMTM8L1llYXI+PFJl
Y051bT4xMDk8L1JlY051bT48RGlzcGxheVRleHQ+WzQzXTwvRGlzcGxheVRleHQ+PHJlY29yZD48
cmVjLW51bWJlcj4xMDk8L3JlYy1udW1iZXI+PGZvcmVpZ24ta2V5cz48a2V5IGFwcD0iRU4iIGRi
LWlkPSI1cnBlcDl2djQ5czVzaGV3ZTV6NTVyMGhydnJlOWZ6NXc1eDAiIHRpbWVzdGFtcD0iMTQ2
NzU0Mzk5OSI+MTA5PC9rZXk+PC9mb3JlaWduLWtleXM+PHJlZi10eXBlIG5hbWU9IkpvdXJuYWwg
QXJ0aWNsZSI+MTc8L3JlZi10eXBlPjxjb250cmlidXRvcnM+PGF1dGhvcnM+PGF1dGhvcj5NYWth
ciwgSy4gVy48L2F1dGhvcj48YXV0aG9yPlBvb2xlLCBFLiBNLjwvYXV0aG9yPjxhdXRob3I+UmVz
bGVyLCBBLiBKLjwvYXV0aG9yPjxhdXRob3I+U2V1ZmVydCwgQi48L2F1dGhvcj48YXV0aG9yPkN1
cnRpbiwgSy48L2F1dGhvcj48YXV0aG9yPktsZWluc3RlaW4sIFMuIEUuPC9hdXRob3I+PGF1dGhv
cj5EdWdnYW4sIEQuPC9hdXRob3I+PGF1dGhvcj5LdWxtYWN6LCBSLiBKLjwvYXV0aG9yPjxhdXRo
b3I+SHN1LCBMLjwvYXV0aG9yPjxhdXRob3I+V2hpdHRvbiwgSi48L2F1dGhvcj48YXV0aG9yPkNh
cmxzb24sIEMuIFMuPC9hdXRob3I+PGF1dGhvcj5SaW1vcmluLCBDLiBGLjwvYXV0aG9yPjxhdXRo
b3I+Q2FhbiwgQi4gSi48L2F1dGhvcj48YXV0aG9yPkJhcm9uLCBKLiBBLjwvYXV0aG9yPjxhdXRo
b3I+UG90dGVyLCBKLiBELjwvYXV0aG9yPjxhdXRob3I+U2xhdHRlcnksIE0uIEwuPC9hdXRob3I+
PGF1dGhvcj5VbHJpY2gsIEMuIE0uPC9hdXRob3I+PC9hdXRob3JzPjwvY29udHJpYnV0b3JzPjx0
aXRsZXM+PHRpdGxlPkNPWC0xIChQVEdTMSkgYW5kIENPWC0yIChQVEdTMikgcG9seW1vcnBoaXNt
cywgTlNBSUQgaW50ZXJhY3Rpb25zLCBhbmQgcmlzayBvZiBjb2xvbiBhbmQgcmVjdGFsIGNhbmNl
cnMgaW4gdHdvIGluZGVwZW5kZW50IHBvcHVsYXRpb25zPC90aXRsZT48c2Vjb25kYXJ5LXRpdGxl
PkNhbmNlciBDYXVzZXMgQ29udHJvbDwvc2Vjb25kYXJ5LXRpdGxlPjwvdGl0bGVzPjxwZXJpb2Rp
Y2FsPjxmdWxsLXRpdGxlPkNhbmNlciBDYXVzZXMgQ29udHJvbDwvZnVsbC10aXRsZT48L3Blcmlv
ZGljYWw+PHBhZ2VzPjIwNTktNzU8L3BhZ2VzPjx2b2x1bWU+MjQ8L3ZvbHVtZT48bnVtYmVyPjEy
PC9udW1iZXI+PGtleXdvcmRzPjxrZXl3b3JkPkFnZWQ8L2tleXdvcmQ+PGtleXdvcmQ+QW50aS1J
bmZsYW1tYXRvcnkgQWdlbnRzLCBOb24tU3Rlcm9pZGFsLypwaGFybWFjb2xvZ3k8L2tleXdvcmQ+
PGtleXdvcmQ+Q2FzZS1Db250cm9sIFN0dWRpZXM8L2tleXdvcmQ+PGtleXdvcmQ+Q29sb25pYyBO
ZW9wbGFzbXMvZHJ1ZyB0aGVyYXB5L2VwaWRlbWlvbG9neS8qZ2VuZXRpY3M8L2tleXdvcmQ+PGtl
eXdvcmQ+Q3ljbG9veHlnZW5hc2UgMS8qZ2VuZXRpY3MvbWV0YWJvbGlzbTwva2V5d29yZD48a2V5
d29yZD5DeWNsb294eWdlbmFzZSAyLypnZW5ldGljcy9tZXRhYm9saXNtPC9rZXl3b3JkPjxrZXl3
b3JkPkROQSwgTmVvcGxhc20vZ2VuZXRpY3M8L2tleXdvcmQ+PGtleXdvcmQ+RmVtYWxlPC9rZXl3
b3JkPjxrZXl3b3JkPkZvbGxvdy1VcCBTdHVkaWVzPC9rZXl3b3JkPjxrZXl3b3JkPkdlbm90eXBl
PC9rZXl3b3JkPjxrZXl3b3JkPkh1bWFuczwva2V5d29yZD48a2V5d29yZD5NYWxlPC9rZXl3b3Jk
PjxrZXl3b3JkPk1pZGRsZSBBZ2VkPC9rZXl3b3JkPjxrZXl3b3JkPlBvbHltZXJhc2UgQ2hhaW4g
UmVhY3Rpb248L2tleXdvcmQ+PGtleXdvcmQ+UG9seW1vcnBoaXNtLCBTaW5nbGUgTnVjbGVvdGlk
ZS8qZ2VuZXRpY3M8L2tleXdvcmQ+PGtleXdvcmQ+UHJvZ25vc2lzPC9rZXl3b3JkPjxrZXl3b3Jk
PlJlY3RhbCBOZW9wbGFzbXMvZHJ1ZyB0aGVyYXB5L2VwaWRlbWlvbG9neS8qZ2VuZXRpY3M8L2tl
eXdvcmQ+PGtleXdvcmQ+UmlzayBGYWN0b3JzPC9rZXl3b3JkPjxrZXl3b3JkPldhc2hpbmd0b24v
ZXBpZGVtaW9sb2d5PC9rZXl3b3JkPjwva2V5d29yZHM+PGRhdGVzPjx5ZWFyPjIwMTM8L3llYXI+
PHB1Yi1kYXRlcz48ZGF0ZT5EZWM8L2RhdGU+PC9wdWItZGF0ZXM+PC9kYXRlcz48aXNibj4xNTcz
LTcyMjUgKEVsZWN0cm9uaWMpJiN4RDswOTU3LTUyNDMgKExpbmtpbmcpPC9pc2JuPjxhY2Nlc3Np
b24tbnVtPjI0MDIyNDY3PC9hY2Nlc3Npb24tbnVtPjx1cmxzPjxyZWxhdGVkLXVybHM+PHVybD5o
dHRwOi8vd3d3Lm5jYmkubmxtLm5paC5nb3YvcHVibWVkLzI0MDIyNDY3PC91cmw+PC9yZWxhdGVk
LXVybHM+PC91cmxzPjxjdXN0b20yPlBNQzM5MTM1NjQ8L2N1c3RvbTI+PGVsZWN0cm9uaWMtcmVz
b3VyY2UtbnVtPjEwLjEwMDcvczEwNTUyLTAxMy0wMjgyLTE8L2VsZWN0cm9uaWMtcmVzb3VyY2Ut
bnVtPjwvcmVjb3JkPjwvQ2l0ZT48L0VuZE5vdGU+
</w:fldData>
              </w:fldChar>
            </w:r>
            <w:r w:rsidRPr="004E3E19">
              <w:rPr>
                <w:rFonts w:ascii="Book Antiqua" w:hAnsi="Book Antiqua" w:cs="Book Antiqua"/>
                <w:kern w:val="0"/>
                <w:sz w:val="24"/>
                <w:vertAlign w:val="superscript"/>
                <w:lang w:val="en-GB" w:bidi="ar"/>
              </w:rPr>
              <w:instrText xml:space="preserve"> ADDIN EN.CITE </w:instrTex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EN.CITE.DATA </w:instrText>
            </w:r>
            <w:r w:rsidRPr="004E3E19">
              <w:rPr>
                <w:rFonts w:ascii="Book Antiqua" w:hAnsi="Book Antiqua" w:cs="Book Antiqua"/>
                <w:kern w:val="0"/>
                <w:sz w:val="24"/>
                <w:vertAlign w:val="superscript"/>
                <w:lang w:val="en-GB" w:bidi="ar"/>
              </w:rPr>
              <w:fldChar w:fldCharType="end"/>
            </w:r>
            <w:r w:rsidRPr="004E3E19">
              <w:rPr>
                <w:rFonts w:ascii="Book Antiqua" w:hAnsi="Book Antiqua" w:cs="Book Antiqua"/>
                <w:kern w:val="0"/>
                <w:sz w:val="24"/>
                <w:vertAlign w:val="superscript"/>
                <w:lang w:val="en-GB" w:bidi="ar"/>
              </w:rPr>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[43]</w:t>
            </w:r>
            <w:r w:rsidRPr="004E3E19">
              <w:rPr>
                <w:rFonts w:ascii="Book Antiqua" w:hAnsi="Book Antiqua" w:cs="Book Antiqua"/>
                <w:kern w:val="0"/>
                <w:sz w:val="24"/>
                <w:vertAlign w:val="superscript"/>
                <w:lang w:val="en-GB"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2013</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USA</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Colorectal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Age, Location, Sex</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Taqman</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619</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287</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33</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958</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496</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63</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0.905</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17</w:t>
            </w:r>
          </w:p>
        </w:tc>
      </w:tr>
      <w:tr w:rsidR="00D757F8" w:rsidRPr="004E3E19">
        <w:trPr>
          <w:trHeight w:val="228"/>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r w:rsidRPr="004E3E19">
              <w:rPr>
                <w:rFonts w:ascii="Book Antiqua" w:hAnsi="Book Antiqua" w:cs="Book Antiqua"/>
                <w:color w:val="000000"/>
                <w:kern w:val="0"/>
                <w:sz w:val="24"/>
                <w:lang w:bidi="ar"/>
              </w:rPr>
              <w:t>Makar</w:t>
            </w:r>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color w:val="000000"/>
                <w:kern w:val="0"/>
                <w:sz w:val="24"/>
                <w:lang w:bidi="ar"/>
              </w:rPr>
              <w:fldChar w:fldCharType="begin">
                <w:fldData xml:space="preserve">PEVuZE5vdGU+PENpdGU+PEF1dGhvcj5NYWthcjwvQXV0aG9yPjxZZWFyPjIwMTM8L1llYXI+PFJl
Y051bT4xMDk8L1JlY051bT48RGlzcGxheVRleHQ+WzQzXTwvRGlzcGxheVRleHQ+PHJlY29yZD48
cmVjLW51bWJlcj4xMDk8L3JlYy1udW1iZXI+PGZvcmVpZ24ta2V5cz48a2V5IGFwcD0iRU4iIGRi
LWlkPSI1cnBlcDl2djQ5czVzaGV3ZTV6NTVyMGhydnJlOWZ6NXc1eDAiIHRpbWVzdGFtcD0iMTQ2
NzU0Mzk5OSI+MTA5PC9rZXk+PC9mb3JlaWduLWtleXM+PHJlZi10eXBlIG5hbWU9IkpvdXJuYWwg
QXJ0aWNsZSI+MTc8L3JlZi10eXBlPjxjb250cmlidXRvcnM+PGF1dGhvcnM+PGF1dGhvcj5NYWth
ciwgSy4gVy48L2F1dGhvcj48YXV0aG9yPlBvb2xlLCBFLiBNLjwvYXV0aG9yPjxhdXRob3I+UmVz
bGVyLCBBLiBKLjwvYXV0aG9yPjxhdXRob3I+U2V1ZmVydCwgQi48L2F1dGhvcj48YXV0aG9yPkN1
cnRpbiwgSy48L2F1dGhvcj48YXV0aG9yPktsZWluc3RlaW4sIFMuIEUuPC9hdXRob3I+PGF1dGhv
cj5EdWdnYW4sIEQuPC9hdXRob3I+PGF1dGhvcj5LdWxtYWN6LCBSLiBKLjwvYXV0aG9yPjxhdXRo
b3I+SHN1LCBMLjwvYXV0aG9yPjxhdXRob3I+V2hpdHRvbiwgSi48L2F1dGhvcj48YXV0aG9yPkNh
cmxzb24sIEMuIFMuPC9hdXRob3I+PGF1dGhvcj5SaW1vcmluLCBDLiBGLjwvYXV0aG9yPjxhdXRo
b3I+Q2FhbiwgQi4gSi48L2F1dGhvcj48YXV0aG9yPkJhcm9uLCBKLiBBLjwvYXV0aG9yPjxhdXRo
b3I+UG90dGVyLCBKLiBELjwvYXV0aG9yPjxhdXRob3I+U2xhdHRlcnksIE0uIEwuPC9hdXRob3I+
PGF1dGhvcj5VbHJpY2gsIEMuIE0uPC9hdXRob3I+PC9hdXRob3JzPjwvY29udHJpYnV0b3JzPjx0
aXRsZXM+PHRpdGxlPkNPWC0xIChQVEdTMSkgYW5kIENPWC0yIChQVEdTMikgcG9seW1vcnBoaXNt
cywgTlNBSUQgaW50ZXJhY3Rpb25zLCBhbmQgcmlzayBvZiBjb2xvbiBhbmQgcmVjdGFsIGNhbmNl
cnMgaW4gdHdvIGluZGVwZW5kZW50IHBvcHVsYXRpb25zPC90aXRsZT48c2Vjb25kYXJ5LXRpdGxl
PkNhbmNlciBDYXVzZXMgQ29udHJvbDwvc2Vjb25kYXJ5LXRpdGxlPjwvdGl0bGVzPjxwZXJpb2Rp
Y2FsPjxmdWxsLXRpdGxlPkNhbmNlciBDYXVzZXMgQ29udHJvbDwvZnVsbC10aXRsZT48L3Blcmlv
ZGljYWw+PHBhZ2VzPjIwNTktNzU8L3BhZ2VzPjx2b2x1bWU+MjQ8L3ZvbHVtZT48bnVtYmVyPjEy
PC9udW1iZXI+PGtleXdvcmRzPjxrZXl3b3JkPkFnZWQ8L2tleXdvcmQ+PGtleXdvcmQ+QW50aS1J
bmZsYW1tYXRvcnkgQWdlbnRzLCBOb24tU3Rlcm9pZGFsLypwaGFybWFjb2xvZ3k8L2tleXdvcmQ+
PGtleXdvcmQ+Q2FzZS1Db250cm9sIFN0dWRpZXM8L2tleXdvcmQ+PGtleXdvcmQ+Q29sb25pYyBO
ZW9wbGFzbXMvZHJ1ZyB0aGVyYXB5L2VwaWRlbWlvbG9neS8qZ2VuZXRpY3M8L2tleXdvcmQ+PGtl
eXdvcmQ+Q3ljbG9veHlnZW5hc2UgMS8qZ2VuZXRpY3MvbWV0YWJvbGlzbTwva2V5d29yZD48a2V5
d29yZD5DeWNsb294eWdlbmFzZSAyLypnZW5ldGljcy9tZXRhYm9saXNtPC9rZXl3b3JkPjxrZXl3
b3JkPkROQSwgTmVvcGxhc20vZ2VuZXRpY3M8L2tleXdvcmQ+PGtleXdvcmQ+RmVtYWxlPC9rZXl3
b3JkPjxrZXl3b3JkPkZvbGxvdy1VcCBTdHVkaWVzPC9rZXl3b3JkPjxrZXl3b3JkPkdlbm90eXBl
PC9rZXl3b3JkPjxrZXl3b3JkPkh1bWFuczwva2V5d29yZD48a2V5d29yZD5NYWxlPC9rZXl3b3Jk
PjxrZXl3b3JkPk1pZGRsZSBBZ2VkPC9rZXl3b3JkPjxrZXl3b3JkPlBvbHltZXJhc2UgQ2hhaW4g
UmVhY3Rpb248L2tleXdvcmQ+PGtleXdvcmQ+UG9seW1vcnBoaXNtLCBTaW5nbGUgTnVjbGVvdGlk
ZS8qZ2VuZXRpY3M8L2tleXdvcmQ+PGtleXdvcmQ+UHJvZ25vc2lzPC9rZXl3b3JkPjxrZXl3b3Jk
PlJlY3RhbCBOZW9wbGFzbXMvZHJ1ZyB0aGVyYXB5L2VwaWRlbWlvbG9neS8qZ2VuZXRpY3M8L2tl
eXdvcmQ+PGtleXdvcmQ+UmlzayBGYWN0b3JzPC9rZXl3b3JkPjxrZXl3b3JkPldhc2hpbmd0b24v
ZXBpZGVtaW9sb2d5PC9rZXl3b3JkPjwva2V5d29yZHM+PGRhdGVzPjx5ZWFyPjIwMTM8L3llYXI+
PHB1Yi1kYXRlcz48ZGF0ZT5EZWM8L2RhdGU+PC9wdWItZGF0ZXM+PC9kYXRlcz48aXNibj4xNTcz
LTcyMjUgKEVsZWN0cm9uaWMpJiN4RDswOTU3LTUyNDMgKExpbmtpbmcpPC9pc2JuPjxhY2Nlc3Np
b24tbnVtPjI0MDIyNDY3PC9hY2Nlc3Npb24tbnVtPjx1cmxzPjxyZWxhdGVkLXVybHM+PHVybD5o
dHRwOi8vd3d3Lm5jYmkubmxtLm5paC5nb3YvcHVibWVkLzI0MDIyNDY3PC91cmw+PC9yZWxhdGVk
LXVybHM+PC91cmxzPjxjdXN0b20yPlBNQzM5MTM1NjQ8L2N1c3RvbTI+PGVsZWN0cm9uaWMtcmVz
b3VyY2UtbnVtPjEwLjEwMDcvczEwNTUyLTAxMy0wMjgyLTE8L2VsZWN0cm9uaWMtcmVzb3VyY2Ut
bnVtPjwvcmVjb3JkPjwvQ2l0ZT48L0VuZE5vdGU+
</w:fldData>
              </w:fldChar>
            </w:r>
            <w:r w:rsidRPr="004E3E19">
              <w:rPr>
                <w:rFonts w:ascii="Book Antiqua" w:hAnsi="Book Antiqua" w:cs="Book Antiqua"/>
                <w:color w:val="000000"/>
                <w:kern w:val="0"/>
                <w:sz w:val="24"/>
                <w:lang w:bidi="ar"/>
              </w:rPr>
              <w:instrText xml:space="preserve"> ADDIN EN.CITE </w:instrText>
            </w:r>
            <w:r w:rsidRPr="004E3E19">
              <w:rPr>
                <w:rFonts w:ascii="Book Antiqua" w:hAnsi="Book Antiqua" w:cs="Book Antiqua"/>
                <w:color w:val="000000"/>
                <w:kern w:val="0"/>
                <w:sz w:val="24"/>
                <w:lang w:bidi="ar"/>
              </w:rPr>
              <w:fldChar w:fldCharType="begin"/>
            </w:r>
            <w:r w:rsidRPr="004E3E19">
              <w:rPr>
                <w:rFonts w:ascii="Book Antiqua" w:hAnsi="Book Antiqua" w:cs="Book Antiqua"/>
                <w:color w:val="000000"/>
                <w:kern w:val="0"/>
                <w:sz w:val="24"/>
                <w:lang w:bidi="ar"/>
              </w:rPr>
              <w:instrText xml:space="preserve"> ADDIN EN.CITE.DATA </w:instrText>
            </w:r>
            <w:r w:rsidRPr="004E3E19">
              <w:rPr>
                <w:rFonts w:ascii="Book Antiqua" w:hAnsi="Book Antiqua" w:cs="Book Antiqua"/>
                <w:color w:val="000000"/>
                <w:kern w:val="0"/>
                <w:sz w:val="24"/>
                <w:lang w:bidi="ar"/>
              </w:rPr>
              <w:fldChar w:fldCharType="end"/>
            </w:r>
            <w:r w:rsidRPr="004E3E19">
              <w:rPr>
                <w:rFonts w:ascii="Book Antiqua" w:hAnsi="Book Antiqua" w:cs="Book Antiqua"/>
                <w:color w:val="000000"/>
                <w:kern w:val="0"/>
                <w:sz w:val="24"/>
                <w:lang w:bidi="ar"/>
              </w:rPr>
            </w:r>
            <w:r w:rsidRPr="004E3E19">
              <w:rPr>
                <w:rFonts w:ascii="Book Antiqua" w:hAnsi="Book Antiqua" w:cs="Book Antiqua"/>
                <w:color w:val="000000"/>
                <w:kern w:val="0"/>
                <w:sz w:val="24"/>
                <w:lang w:bidi="ar"/>
              </w:rPr>
              <w:fldChar w:fldCharType="separate"/>
            </w:r>
            <w:r w:rsidRPr="004E3E19">
              <w:rPr>
                <w:rFonts w:ascii="Book Antiqua" w:hAnsi="Book Antiqua" w:cs="Book Antiqua"/>
                <w:kern w:val="0"/>
                <w:sz w:val="24"/>
                <w:vertAlign w:val="superscript"/>
                <w:lang w:val="en-GB" w:bidi="ar"/>
              </w:rPr>
              <w:t>[43</w:t>
            </w:r>
            <w:r w:rsidRPr="004E3E19">
              <w:rPr>
                <w:rFonts w:ascii="Book Antiqua" w:hAnsi="Book Antiqua" w:cs="Book Antiqua"/>
                <w:color w:val="000000"/>
                <w:kern w:val="0"/>
                <w:sz w:val="24"/>
                <w:lang w:bidi="ar"/>
              </w:rPr>
              <w:t>]</w:t>
            </w:r>
            <w:r w:rsidRPr="004E3E19">
              <w:rPr>
                <w:rFonts w:ascii="Book Antiqua" w:hAnsi="Book Antiqua" w:cs="Book Antiqua"/>
                <w:color w:val="000000"/>
                <w:kern w:val="0"/>
                <w:sz w:val="24"/>
                <w:lang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2013</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USA</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Colorectal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Age, Location, Sex</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Taqman</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376</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185</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509</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237</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29</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0.829</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17</w:t>
            </w:r>
          </w:p>
        </w:tc>
      </w:tr>
      <w:tr w:rsidR="00D757F8" w:rsidRPr="004E3E19">
        <w:trPr>
          <w:trHeight w:val="228"/>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r w:rsidRPr="004E3E19">
              <w:rPr>
                <w:rFonts w:ascii="Book Antiqua" w:hAnsi="Book Antiqua" w:cs="Book Antiqua"/>
                <w:color w:val="000000"/>
                <w:kern w:val="0"/>
                <w:sz w:val="24"/>
                <w:lang w:bidi="ar"/>
              </w:rPr>
              <w:t>Makar</w:t>
            </w:r>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00985714" w:rsidRPr="004E3E19">
              <w:rPr>
                <w:rFonts w:ascii="Book Antiqua" w:hAnsi="Book Antiqua" w:cs="Book Antiqua"/>
                <w:kern w:val="0"/>
                <w:sz w:val="24"/>
                <w:vertAlign w:val="superscript"/>
                <w:lang w:val="en-GB" w:bidi="ar"/>
              </w:rPr>
              <w:t xml:space="preserve"> </w:t>
            </w:r>
            <w:r w:rsidRPr="004E3E19">
              <w:rPr>
                <w:rFonts w:ascii="Book Antiqua" w:hAnsi="Book Antiqua" w:cs="Book Antiqua"/>
                <w:kern w:val="0"/>
                <w:sz w:val="24"/>
                <w:vertAlign w:val="superscript"/>
                <w:lang w:val="en-GB" w:bidi="ar"/>
              </w:rPr>
              <w:fldChar w:fldCharType="begin">
                <w:fldData xml:space="preserve">PEVuZE5vdGU+PENpdGU+PEF1dGhvcj5NYWthcjwvQXV0aG9yPjxZZWFyPjIwMTM8L1llYXI+PFJl
Y051bT4xMDk8L1JlY051bT48RGlzcGxheVRleHQ+WzQzXTwvRGlzcGxheVRleHQ+PHJlY29yZD48
cmVjLW51bWJlcj4xMDk8L3JlYy1udW1iZXI+PGZvcmVpZ24ta2V5cz48a2V5IGFwcD0iRU4iIGRi
LWlkPSI1cnBlcDl2djQ5czVzaGV3ZTV6NTVyMGhydnJlOWZ6NXc1eDAiIHRpbWVzdGFtcD0iMTQ2
NzU0Mzk5OSI+MTA5PC9rZXk+PC9mb3JlaWduLWtleXM+PHJlZi10eXBlIG5hbWU9IkpvdXJuYWwg
QXJ0aWNsZSI+MTc8L3JlZi10eXBlPjxjb250cmlidXRvcnM+PGF1dGhvcnM+PGF1dGhvcj5NYWth
ciwgSy4gVy48L2F1dGhvcj48YXV0aG9yPlBvb2xlLCBFLiBNLjwvYXV0aG9yPjxhdXRob3I+UmVz
bGVyLCBBLiBKLjwvYXV0aG9yPjxhdXRob3I+U2V1ZmVydCwgQi48L2F1dGhvcj48YXV0aG9yPkN1
cnRpbiwgSy48L2F1dGhvcj48YXV0aG9yPktsZWluc3RlaW4sIFMuIEUuPC9hdXRob3I+PGF1dGhv
cj5EdWdnYW4sIEQuPC9hdXRob3I+PGF1dGhvcj5LdWxtYWN6LCBSLiBKLjwvYXV0aG9yPjxhdXRo
b3I+SHN1LCBMLjwvYXV0aG9yPjxhdXRob3I+V2hpdHRvbiwgSi48L2F1dGhvcj48YXV0aG9yPkNh
cmxzb24sIEMuIFMuPC9hdXRob3I+PGF1dGhvcj5SaW1vcmluLCBDLiBGLjwvYXV0aG9yPjxhdXRo
b3I+Q2FhbiwgQi4gSi48L2F1dGhvcj48YXV0aG9yPkJhcm9uLCBKLiBBLjwvYXV0aG9yPjxhdXRo
b3I+UG90dGVyLCBKLiBELjwvYXV0aG9yPjxhdXRob3I+U2xhdHRlcnksIE0uIEwuPC9hdXRob3I+
PGF1dGhvcj5VbHJpY2gsIEMuIE0uPC9hdXRob3I+PC9hdXRob3JzPjwvY29udHJpYnV0b3JzPjx0
aXRsZXM+PHRpdGxlPkNPWC0xIChQVEdTMSkgYW5kIENPWC0yIChQVEdTMikgcG9seW1vcnBoaXNt
cywgTlNBSUQgaW50ZXJhY3Rpb25zLCBhbmQgcmlzayBvZiBjb2xvbiBhbmQgcmVjdGFsIGNhbmNl
cnMgaW4gdHdvIGluZGVwZW5kZW50IHBvcHVsYXRpb25zPC90aXRsZT48c2Vjb25kYXJ5LXRpdGxl
PkNhbmNlciBDYXVzZXMgQ29udHJvbDwvc2Vjb25kYXJ5LXRpdGxlPjwvdGl0bGVzPjxwZXJpb2Rp
Y2FsPjxmdWxsLXRpdGxlPkNhbmNlciBDYXVzZXMgQ29udHJvbDwvZnVsbC10aXRsZT48L3Blcmlv
ZGljYWw+PHBhZ2VzPjIwNTktNzU8L3BhZ2VzPjx2b2x1bWU+MjQ8L3ZvbHVtZT48bnVtYmVyPjEy
PC9udW1iZXI+PGtleXdvcmRzPjxrZXl3b3JkPkFnZWQ8L2tleXdvcmQ+PGtleXdvcmQ+QW50aS1J
bmZsYW1tYXRvcnkgQWdlbnRzLCBOb24tU3Rlcm9pZGFsLypwaGFybWFjb2xvZ3k8L2tleXdvcmQ+
PGtleXdvcmQ+Q2FzZS1Db250cm9sIFN0dWRpZXM8L2tleXdvcmQ+PGtleXdvcmQ+Q29sb25pYyBO
ZW9wbGFzbXMvZHJ1ZyB0aGVyYXB5L2VwaWRlbWlvbG9neS8qZ2VuZXRpY3M8L2tleXdvcmQ+PGtl
eXdvcmQ+Q3ljbG9veHlnZW5hc2UgMS8qZ2VuZXRpY3MvbWV0YWJvbGlzbTwva2V5d29yZD48a2V5
d29yZD5DeWNsb294eWdlbmFzZSAyLypnZW5ldGljcy9tZXRhYm9saXNtPC9rZXl3b3JkPjxrZXl3
b3JkPkROQSwgTmVvcGxhc20vZ2VuZXRpY3M8L2tleXdvcmQ+PGtleXdvcmQ+RmVtYWxlPC9rZXl3
b3JkPjxrZXl3b3JkPkZvbGxvdy1VcCBTdHVkaWVzPC9rZXl3b3JkPjxrZXl3b3JkPkdlbm90eXBl
PC9rZXl3b3JkPjxrZXl3b3JkPkh1bWFuczwva2V5d29yZD48a2V5d29yZD5NYWxlPC9rZXl3b3Jk
PjxrZXl3b3JkPk1pZGRsZSBBZ2VkPC9rZXl3b3JkPjxrZXl3b3JkPlBvbHltZXJhc2UgQ2hhaW4g
UmVhY3Rpb248L2tleXdvcmQ+PGtleXdvcmQ+UG9seW1vcnBoaXNtLCBTaW5nbGUgTnVjbGVvdGlk
ZS8qZ2VuZXRpY3M8L2tleXdvcmQ+PGtleXdvcmQ+UHJvZ25vc2lzPC9rZXl3b3JkPjxrZXl3b3Jk
PlJlY3RhbCBOZW9wbGFzbXMvZHJ1ZyB0aGVyYXB5L2VwaWRlbWlvbG9neS8qZ2VuZXRpY3M8L2tl
eXdvcmQ+PGtleXdvcmQ+UmlzayBGYWN0b3JzPC9rZXl3b3JkPjxrZXl3b3JkPldhc2hpbmd0b24v
ZXBpZGVtaW9sb2d5PC9rZXl3b3JkPjwva2V5d29yZHM+PGRhdGVzPjx5ZWFyPjIwMTM8L3llYXI+
PHB1Yi1kYXRlcz48ZGF0ZT5EZWM8L2RhdGU+PC9wdWItZGF0ZXM+PC9kYXRlcz48aXNibj4xNTcz
LTcyMjUgKEVsZWN0cm9uaWMpJiN4RDswOTU3LTUyNDMgKExpbmtpbmcpPC9pc2JuPjxhY2Nlc3Np
b24tbnVtPjI0MDIyNDY3PC9hY2Nlc3Npb24tbnVtPjx1cmxzPjxyZWxhdGVkLXVybHM+PHVybD5o
dHRwOi8vd3d3Lm5jYmkubmxtLm5paC5nb3YvcHVibWVkLzI0MDIyNDY3PC91cmw+PC9yZWxhdGVk
LXVybHM+PC91cmxzPjxjdXN0b20yPlBNQzM5MTM1NjQ8L2N1c3RvbTI+PGVsZWN0cm9uaWMtcmVz
b3VyY2UtbnVtPjEwLjEwMDcvczEwNTUyLTAxMy0wMjgyLTE8L2VsZWN0cm9uaWMtcmVzb3VyY2Ut
bnVtPjwvcmVjb3JkPjwvQ2l0ZT48L0VuZE5vdGU+
</w:fldData>
              </w:fldChar>
            </w:r>
            <w:r w:rsidRPr="004E3E19">
              <w:rPr>
                <w:rFonts w:ascii="Book Antiqua" w:hAnsi="Book Antiqua" w:cs="Book Antiqua"/>
                <w:kern w:val="0"/>
                <w:sz w:val="24"/>
                <w:vertAlign w:val="superscript"/>
                <w:lang w:val="en-GB" w:bidi="ar"/>
              </w:rPr>
              <w:instrText xml:space="preserve"> ADDIN EN.CITE </w:instrTex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EN.CITE.DATA </w:instrText>
            </w:r>
            <w:r w:rsidRPr="004E3E19">
              <w:rPr>
                <w:rFonts w:ascii="Book Antiqua" w:hAnsi="Book Antiqua" w:cs="Book Antiqua"/>
                <w:kern w:val="0"/>
                <w:sz w:val="24"/>
                <w:vertAlign w:val="superscript"/>
                <w:lang w:val="en-GB" w:bidi="ar"/>
              </w:rPr>
              <w:fldChar w:fldCharType="end"/>
            </w:r>
            <w:r w:rsidRPr="004E3E19">
              <w:rPr>
                <w:rFonts w:ascii="Book Antiqua" w:hAnsi="Book Antiqua" w:cs="Book Antiqua"/>
                <w:kern w:val="0"/>
                <w:sz w:val="24"/>
                <w:vertAlign w:val="superscript"/>
                <w:lang w:val="en-GB" w:bidi="ar"/>
              </w:rPr>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43]</w:t>
            </w:r>
            <w:r w:rsidRPr="004E3E19">
              <w:rPr>
                <w:rFonts w:ascii="Book Antiqua" w:hAnsi="Book Antiqua" w:cs="Book Antiqua"/>
                <w:kern w:val="0"/>
                <w:sz w:val="24"/>
                <w:vertAlign w:val="superscript"/>
                <w:lang w:val="en-GB"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2013</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USA</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Colorectal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Age, Location, Sex</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Taqman</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338</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138</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21</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558</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249</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0.206</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17</w:t>
            </w:r>
          </w:p>
        </w:tc>
      </w:tr>
      <w:tr w:rsidR="00D757F8" w:rsidRPr="004E3E19">
        <w:trPr>
          <w:trHeight w:val="228"/>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r w:rsidRPr="004E3E19">
              <w:rPr>
                <w:rFonts w:ascii="Book Antiqua" w:hAnsi="Book Antiqua" w:cs="Book Antiqua"/>
                <w:color w:val="000000"/>
                <w:kern w:val="0"/>
                <w:sz w:val="24"/>
                <w:lang w:bidi="ar"/>
              </w:rPr>
              <w:lastRenderedPageBreak/>
              <w:t>Ruan</w:t>
            </w:r>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 &lt;EndNote&gt;&lt;Cite&gt;&lt;Author&gt;Ruan&lt;/Author&gt;&lt;Year&gt;2013&lt;/Year&gt;&lt;RecNum&gt;279&lt;/RecNum&gt;&lt;DisplayText&gt;[44]&lt;/DisplayText&gt;&lt;record&gt;&lt;rec-number&gt;279&lt;/rec-number&gt;&lt;foreign-keys&gt;&lt;key app="EN" db-id="5rpep9vv49s5shewe5z55r0hrvre9fz5w5x0" timestamp="1467643858"&gt;279&lt;/key&gt;&lt;/foreign-keys&gt;&lt;ref-type name="Journal Article"&gt;17&lt;/ref-type&gt;&lt;contributors&gt;&lt;authors&gt;&lt;author&gt;Ruan, Y. F.&lt;/author&gt;&lt;author&gt;Sun, J.&lt;/author&gt;&lt;author&gt;WU, F.&lt;/author&gt;&lt;author&gt;Jiang, S. H.&lt;/author&gt;&lt;/authors&gt;&lt;/contributors&gt;&lt;titles&gt;&lt;title&gt;Relationship between cyciooxygenase-2 polymorphisms and coiorectal cancer risk&lt;/title&gt;&lt;secondary-title&gt;Int J Dig Dis&lt;/secondary-title&gt;&lt;/titles&gt;&lt;periodical&gt;&lt;full-title&gt;Int J Dig Dis&lt;/full-title&gt;&lt;/periodical&gt;&lt;pages&gt;260-263&lt;/pages&gt;&lt;volume&gt;33&lt;/volume&gt;&lt;number&gt;4&lt;/number&gt;&lt;dates&gt;&lt;year&gt;2013&lt;/year&gt;&lt;/dates&gt;&lt;urls&gt;&lt;/urls&gt;&lt;/record&gt;&lt;/Cite&gt;&lt;/EndNote&gt;</w:instrText>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[44]</w:t>
            </w:r>
            <w:r w:rsidRPr="004E3E19">
              <w:rPr>
                <w:rFonts w:ascii="Book Antiqua" w:hAnsi="Book Antiqua" w:cs="Book Antiqua"/>
                <w:kern w:val="0"/>
                <w:sz w:val="24"/>
                <w:vertAlign w:val="superscript"/>
                <w:lang w:val="en-GB"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2013</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China</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Colorectal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NA</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PCR-RFLP</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34</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67</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29</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39</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53</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28</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0.232</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12</w:t>
            </w:r>
          </w:p>
        </w:tc>
      </w:tr>
      <w:tr w:rsidR="00D757F8" w:rsidRPr="004E3E19">
        <w:trPr>
          <w:trHeight w:val="228"/>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r w:rsidRPr="004E3E19">
              <w:rPr>
                <w:rFonts w:ascii="Book Antiqua" w:hAnsi="Book Antiqua" w:cs="Book Antiqua"/>
                <w:color w:val="000000"/>
                <w:kern w:val="0"/>
                <w:sz w:val="24"/>
                <w:lang w:bidi="ar"/>
              </w:rPr>
              <w:t>Pereira</w:t>
            </w:r>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kern w:val="0"/>
                <w:sz w:val="24"/>
                <w:vertAlign w:val="superscript"/>
                <w:lang w:val="en-GB" w:bidi="ar"/>
              </w:rPr>
              <w:fldChar w:fldCharType="begin">
                <w:fldData xml:space="preserve">PEVuZE5vdGU+PENpdGU+PEF1dGhvcj5QZXJlaXJhPC9BdXRob3I+PFllYXI+MjAxNDwvWWVhcj48
UmVjTnVtPjE5OTwvUmVjTnVtPjxEaXNwbGF5VGV4dD5bNDVdPC9EaXNwbGF5VGV4dD48cmVjb3Jk
PjxyZWMtbnVtYmVyPjE5OTwvcmVjLW51bWJlcj48Zm9yZWlnbi1rZXlzPjxrZXkgYXBwPSJFTiIg
ZGItaWQ9IjVycGVwOXZ2NDlzNXNoZXdlNXo1NXIwaHJ2cmU5Zno1dzV4MCIgdGltZXN0YW1wPSIx
NDY3NTk3MzM5Ij4xOTk8L2tleT48L2ZvcmVpZ24ta2V5cz48cmVmLXR5cGUgbmFtZT0iSm91cm5h
bCBBcnRpY2xlIj4xNzwvcmVmLXR5cGU+PGNvbnRyaWJ1dG9ycz48YXV0aG9ycz48YXV0aG9yPlBl
cmVpcmEsIEMuPC9hdXRob3I+PGF1dGhvcj5RdWVpcm9zLCBTLjwvYXV0aG9yPjxhdXRob3I+R2Fs
YWdoYXIsIEEuPC9hdXRob3I+PGF1dGhvcj5Tb3VzYSwgSC48L2F1dGhvcj48YXV0aG9yPlBpbWVu
dGVsLU51bmVzLCBQLjwvYXV0aG9yPjxhdXRob3I+QnJhbmRhbywgQy48L2F1dGhvcj48YXV0aG9y
Pk1vcmVpcmEtRGlhcywgTC48L2F1dGhvcj48YXV0aG9yPk1lZGVpcm9zLCBSLjwvYXV0aG9yPjxh
dXRob3I+RGluaXMtUmliZWlybywgTS48L2F1dGhvcj48L2F1dGhvcnM+PC9jb250cmlidXRvcnM+
PGF1dGgtYWRkcmVzcz5Nb2xlY3VsYXIgT25jb2xvZ3kgR3JvdXAsIEludmVzdGlnYXRpb24gQ2Vu
dHJlLCBQb3J0dWd1ZXNlIEluc3RpdHV0ZSBvZiBPbmNvbG9neSwgUG9ydG8sIFBvcnR1Z2FsOyBB
YmVsIFNhbGF6YXIgSW5zdGl0dXRlIG9mIEJpb21lZGljYWwgU2NpZW5jZXMsIFVuaXZlcnNpdHkg
b2YgUG9ydG8sIFBvcnRvLCBQb3J0dWdhbDsgUmVzZWFyY2ggRGVwYXJ0bWVudCwgUG9ydHVndWVz
ZSBMZWFndWUgQWdhaW5zdCBDYW5jZXIsIFBvcnRvLCBQb3J0dWdhbC4mI3hEO01vbGVjdWxhciBP
bmNvbG9neSBHcm91cCwgSW52ZXN0aWdhdGlvbiBDZW50cmUsIFBvcnR1Z3Vlc2UgSW5zdGl0dXRl
IG9mIE9uY29sb2d5LCBQb3J0bywgUG9ydHVnYWwuJiN4RDtQYXRob2xvZ3kgRGVwYXJ0bWVudCwg
UG9ydHVndWVzZSBJbnN0aXR1dGUgb2YgT25jb2xvZ3ksIFBvcnRvLCBQb3J0dWdhbC4mI3hEO0dh
c3Ryb2VudGVyb2xvZ3kgRGVwYXJ0bWVudCwgUG9ydHVndWVzZSBJbnN0aXR1dGUgb2YgT25jb2xv
Z3ksIFBvcnRvLCBQb3J0dWdhbDsgUGh5c2lvbG9neSBEZXBhcnRtZW50LCBGYWN1bHR5IG9mIE1l
ZGljaW5lLCBVbml2ZXJzaXR5IG9mIFBvcnRvLCBQb3J0bywgUG9ydHVnYWwuJiN4RDtHYXN0cm9l
bnRlcm9sb2d5IERlcGFydG1lbnQsIFBvcnR1Z3Vlc2UgSW5zdGl0dXRlIG9mIE9uY29sb2d5LCBQ
b3J0bywgUG9ydHVnYWwuJiN4RDtNb2xlY3VsYXIgT25jb2xvZ3kgR3JvdXAsIEludmVzdGlnYXRp
b24gQ2VudHJlLCBQb3J0dWd1ZXNlIEluc3RpdHV0ZSBvZiBPbmNvbG9neSwgUG9ydG8sIFBvcnR1
Z2FsOyBBYmVsIFNhbGF6YXIgSW5zdGl0dXRlIG9mIEJpb21lZGljYWwgU2NpZW5jZXMsIFVuaXZl
cnNpdHkgb2YgUG9ydG8sIFBvcnRvLCBQb3J0dWdhbDsgUmVzZWFyY2ggRGVwYXJ0bWVudCwgUG9y
dHVndWVzZSBMZWFndWUgQWdhaW5zdCBDYW5jZXIsIFBvcnRvLCBQb3J0dWdhbDsgQ0VCSU1FRCwg
RmFjdWx0eSBvZiBIZWFsdGggU2NpZW5jZXMgb2YgRmVybmFuZG8gUGVzc29hIFVuaXZlcnNpdHkg
b2YgUG9ydG8sIFBvcnRvLCBQb3J0dWdhbC4mI3hEO0dhc3Ryb2VudGVyb2xvZ3kgRGVwYXJ0bWVu
dCwgUG9ydHVndWVzZSBJbnN0aXR1dGUgb2YgT25jb2xvZ3ksIFBvcnRvLCBQb3J0dWdhbDsgQ0lO
VEVTSVMvRGVwYXJ0bWVudCBvZiBCaW9zdGF0aXN0aWNzIGFuZCBNZWRpY2FsIEluZm9ybWF0aWNz
LCBGYWN1bHR5IG9mIE1lZGljaW5lLCBVbml2ZXJzaXR5IG9mIFBvcnRvLCBQb3J0bywgUG9ydHVn
YWwuPC9hdXRoLWFkZHJlc3M+PHRpdGxlcz48dGl0bGU+R2VuZXRpYyB2YXJpYWJpbGl0eSBpbiBr
ZXkgZ2VuZXMgaW4gcHJvc3RhZ2xhbmRpbiBFMiBwYXRod2F5IChDT1gtMiwgSFBHRCwgQUJDQzQg
YW5kIFNMQ08yQTEpIGFuZCB0aGVpciBpbnZvbHZlbWVudCBpbiBjb2xvcmVjdGFsIGNhbmNlciBk
ZXZlbG9wbWVudDwvdGl0bGU+PHNlY29uZGFyeS10aXRsZT5QTG9TIE9uZTwvc2Vjb25kYXJ5LXRp
dGxlPjwvdGl0bGVzPjxwZXJpb2RpY2FsPjxmdWxsLXRpdGxlPlBMb1MgT25lPC9mdWxsLXRpdGxl
PjxhYmJyLTE+UGxvUyBvbmU8L2FiYnItMT48L3BlcmlvZGljYWw+PHBhZ2VzPmU5MjAwMDwvcGFn
ZXM+PHZvbHVtZT45PC92b2x1bWU+PG51bWJlcj40PC9udW1iZXI+PGtleXdvcmRzPjxrZXl3b3Jk
PkFnZWQ8L2tleXdvcmQ+PGtleXdvcmQ+QmlvbWFya2VycywgVHVtb3IvKmdlbmV0aWNzL21ldGFi
b2xpc208L2tleXdvcmQ+PGtleXdvcmQ+Q2FzZS1Db250cm9sIFN0dWRpZXM8L2tleXdvcmQ+PGtl
eXdvcmQ+Q29sb3JlY3RhbCBOZW9wbGFzbXMvKmdlbmV0aWNzL21ldGFib2xpc208L2tleXdvcmQ+
PGtleXdvcmQ+Q3ljbG9veHlnZW5hc2UgMi8qZ2VuZXRpY3MvbWV0YWJvbGlzbTwva2V5d29yZD48
a2V5d29yZD5EaW5vcHJvc3RvbmUvYmlvc3ludGhlc2lzLypnZW5ldGljczwva2V5d29yZD48a2V5
d29yZD5GZW1hbGU8L2tleXdvcmQ+PGtleXdvcmQ+KkdlbmV0aWMgUHJlZGlzcG9zaXRpb24gdG8g
RGlzZWFzZTwva2V5d29yZD48a2V5d29yZD5IdW1hbnM8L2tleXdvcmQ+PGtleXdvcmQ+SHlkcm94
eXByb3N0YWdsYW5kaW4gRGVoeWRyb2dlbmFzZXMvKmdlbmV0aWNzL21ldGFib2xpc208L2tleXdv
cmQ+PGtleXdvcmQ+TWFsZTwva2V5d29yZD48a2V5d29yZD5NaWRkbGUgQWdlZDwva2V5d29yZD48
a2V5d29yZD4qTW9kZWxzLCBHZW5ldGljPC9rZXl3b3JkPjxrZXl3b3JkPk11bHRpZHJ1ZyBSZXNp
c3RhbmNlLUFzc29jaWF0ZWQgUHJvdGVpbnMvKmdlbmV0aWNzL21ldGFib2xpc208L2tleXdvcmQ+
PGtleXdvcmQ+TmVvcGxhc20gUHJvdGVpbnMvKmdlbmV0aWNzL21ldGFib2xpc208L2tleXdvcmQ+
PGtleXdvcmQ+T3JnYW5pYyBBbmlvbiBUcmFuc3BvcnRlcnMvKmdlbmV0aWNzL21ldGFib2xpc208
L2tleXdvcmQ+PGtleXdvcmQ+KlBvbHltb3JwaGlzbSwgR2VuZXRpYzwva2V5d29yZD48a2V5d29y
ZD5SaXNrIEZhY3RvcnM8L2tleXdvcmQ+PC9rZXl3b3Jkcz48ZGF0ZXM+PHllYXI+MjAxNDwveWVh
cj48cHViLWRhdGVzPjxkYXRlPkFwciAyPC9kYXRlPjwvcHViLWRhdGVzPjwvZGF0ZXM+PGlzYm4+
MTkzMi02MjAzIChFbGVjdHJvbmljKSYjeEQ7MTkzMi02MjAzIChMaW5raW5nKTwvaXNibj48YWNj
ZXNzaW9uLW51bT4yNDY5NDc1NTwvYWNjZXNzaW9uLW51bT48dXJscz48cmVsYXRlZC11cmxzPjx1
cmw+aHR0cDovL3d3dy5uY2JpLm5sbS5uaWguZ292L3B1Ym1lZC8yNDY5NDc1NTwvdXJsPjwvcmVs
YXRlZC11cmxzPjwvdXJscz48Y3VzdG9tMj5QTUMzOTczNjYzPC9jdXN0b20yPjxjdXN0b203PmU5
MjAwMDwvY3VzdG9tNz48ZWxlY3Ryb25pYy1yZXNvdXJjZS1udW0+MTAuMTM3MS9qb3VybmFsLnBv
bmUuMDA5MjAwMDwvZWxlY3Ryb25pYy1yZXNvdXJjZS1udW0+PC9yZWNvcmQ+PC9DaXRlPjwvRW5k
Tm90ZT4A
</w:fldData>
              </w:fldChar>
            </w:r>
            <w:r w:rsidRPr="004E3E19">
              <w:rPr>
                <w:rFonts w:ascii="Book Antiqua" w:hAnsi="Book Antiqua" w:cs="Book Antiqua"/>
                <w:kern w:val="0"/>
                <w:sz w:val="24"/>
                <w:vertAlign w:val="superscript"/>
                <w:lang w:val="en-GB" w:bidi="ar"/>
              </w:rPr>
              <w:instrText xml:space="preserve"> ADDIN EN.CITE </w:instrTex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EN.CITE.DATA </w:instrText>
            </w:r>
            <w:r w:rsidRPr="004E3E19">
              <w:rPr>
                <w:rFonts w:ascii="Book Antiqua" w:hAnsi="Book Antiqua" w:cs="Book Antiqua"/>
                <w:kern w:val="0"/>
                <w:sz w:val="24"/>
                <w:vertAlign w:val="superscript"/>
                <w:lang w:val="en-GB" w:bidi="ar"/>
              </w:rPr>
              <w:fldChar w:fldCharType="end"/>
            </w:r>
            <w:r w:rsidRPr="004E3E19">
              <w:rPr>
                <w:rFonts w:ascii="Book Antiqua" w:hAnsi="Book Antiqua" w:cs="Book Antiqua"/>
                <w:kern w:val="0"/>
                <w:sz w:val="24"/>
                <w:vertAlign w:val="superscript"/>
                <w:lang w:val="en-GB" w:bidi="ar"/>
              </w:rPr>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[45]</w:t>
            </w:r>
            <w:r w:rsidRPr="004E3E19">
              <w:rPr>
                <w:rFonts w:ascii="Book Antiqua" w:hAnsi="Book Antiqua" w:cs="Book Antiqua"/>
                <w:kern w:val="0"/>
                <w:sz w:val="24"/>
                <w:vertAlign w:val="superscript"/>
                <w:lang w:val="en-GB"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2014</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Portugal</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Colorectal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HB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NA</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Taqman</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143</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85</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15</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323</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133</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16</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0.614</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11</w:t>
            </w:r>
          </w:p>
        </w:tc>
      </w:tr>
      <w:tr w:rsidR="00D757F8" w:rsidRPr="004E3E19">
        <w:trPr>
          <w:trHeight w:val="228"/>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r w:rsidRPr="004E3E19">
              <w:rPr>
                <w:rFonts w:ascii="Book Antiqua" w:hAnsi="Book Antiqua" w:cs="Book Antiqua"/>
                <w:color w:val="000000"/>
                <w:kern w:val="0"/>
                <w:sz w:val="24"/>
                <w:lang w:bidi="ar"/>
              </w:rPr>
              <w:t>Vogel</w:t>
            </w:r>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kern w:val="0"/>
                <w:sz w:val="24"/>
                <w:vertAlign w:val="superscript"/>
                <w:lang w:val="en-GB" w:bidi="ar"/>
              </w:rPr>
              <w:fldChar w:fldCharType="begin">
                <w:fldData xml:space="preserve">PEVuZE5vdGU+PENpdGU+PEF1dGhvcj5Wb2dlbDwvQXV0aG9yPjxZZWFyPjIwMTQ8L1llYXI+PFJl
Y051bT40PC9SZWNOdW0+PERpc3BsYXlUZXh0Pls0Nl08L0Rpc3BsYXlUZXh0PjxyZWNvcmQ+PHJl
Yy1udW1iZXI+NDwvcmVjLW51bWJlcj48Zm9yZWlnbi1rZXlzPjxrZXkgYXBwPSJFTiIgZGItaWQ9
IjVycGVwOXZ2NDlzNXNoZXdlNXo1NXIwaHJ2cmU5Zno1dzV4MCIgdGltZXN0YW1wPSIxNDY3NDY1
MzIwIj40PC9rZXk+PC9mb3JlaWduLWtleXM+PHJlZi10eXBlIG5hbWU9IkpvdXJuYWwgQXJ0aWNs
ZSI+MTc8L3JlZi10eXBlPjxjb250cmlidXRvcnM+PGF1dGhvcnM+PGF1dGhvcj5Wb2dlbCwgTC4g
Sy48L2F1dGhvcj48YXV0aG9yPlNhZWJvLCBNLjwvYXV0aG9yPjxhdXRob3I+SG95ZXIsIEguPC9h
dXRob3I+PGF1dGhvcj5Lb3BwLCBULiBJLjwvYXV0aG9yPjxhdXRob3I+Vm9nZWwsIFUuPC9hdXRo
b3I+PGF1dGhvcj5Hb2Rpa3NlbiwgUy48L2F1dGhvcj48YXV0aG9yPkZyZW56ZWwsIEYuIEIuPC9h
dXRob3I+PGF1dGhvcj5IYW1mam9yZCwgSi48L2F1dGhvcj48YXV0aG9yPkJvd2l0ei1Mb3RoZSwg
SS4gTS48L2F1dGhvcj48YXV0aG9yPkpvaG5zb24sIEUuPC9hdXRob3I+PGF1dGhvcj5LdXJlLCBF
LiBILjwvYXV0aG9yPjxhdXRob3I+QW5kZXJzZW4sIFYuPC9hdXRob3I+PC9hdXRob3JzPjwvY29u
dHJpYnV0b3JzPjxhdXRoLWFkZHJlc3M+RGVwYXJ0bWVudCBvZiBDZWxsdWxhciBhbmQgTW9sZWN1
bGFyIE1lZGljaW5lLCBVbml2ZXJzaXR5IG9mIENvcGVuaGFnZW4sIENvcGVuaGFnZW4sIERlbm1h
cmsuJiN4RDtEZXBhcnRtZW50IG9mIEVudmlyb25tZW50YWwgYW5kIEhlYWx0aCBTdHVkaWVzLCBU
ZWxlbWFyayBVbml2ZXJzaXR5IENvbGxlZ2UsIFRlbGVtYXJrLCBOb3J3YXkuJiN4RDtEZXBhcnRt
ZW50IG9mIEVudmlyb25tZW50YWwgYW5kIEhlYWx0aCBTdHVkaWVzLCBUZWxlbWFyayBVbml2ZXJz
aXR5IENvbGxlZ2UsIFRlbGVtYXJrLCBOb3J3YXk7IERlcGFydG1lbnQgb2YgTGFib3JhdG9yeSBN
ZWRpY2luZSwgVGVsZW1hcmsgSG9zcGl0YWwsIFNraWVuLCBOb3J3YXkuJiN4RDtOYXRpb25hbCBG
b29kIEluc3RpdHV0ZSwgVGVjaG5pY2FsIFVuaXZlcnNpdHkgb2YgRGVubWFyaywgU29ib3JnLCBE
ZW5tYXJrLiYjeEQ7TmF0aW9uYWwgUmVzZWFyY2ggQ2VudHJlIGZvciB0aGUgV29ya2luZyBFbnZp
cm9ubWVudCwgQ29wZW5oYWdlbiwgRGVubWFyay4mI3hEO0RlcGFydG1lbnQgb2YgR2VuZXRpY3Ms
IE9zbG8gVW5pdmVyc2l0eSBIb3NwaXRhbCwgT3NsbywgTm9yd2F5LiYjeEQ7RGVwYXJ0bWVudCBv
ZiBHZW5ldGljcywgT3NsbyBVbml2ZXJzaXR5IEhvc3BpdGFsLCBPc2xvLCBOb3J3YXk7IERlcGFy
dG1lbnQgb2YgUGF0aG9sb2d5LCBPc2xvIFVuaXZlcnNpdHkgSG9zcGl0YWwsIE9zbG8sIE5vcndh
eS4mI3hEO0RlcGFydG1lbnQgb2YgR2FzdHJvaW50ZXN0aW5hbCBhbmQgUGVkaWF0cmljIFN1cmdl
cnksIE9zbG8gVW5pdmVyc2l0eSBIb3NwaXRhbCwgT3NsbywgTm9yd2F5OyBJbnN0aXR1dGUgb2Yg
Q2xpbmljYWwgTWVkaWNpbmUsIFVuaXZlcnNpdHkgb2YgT3NsbywgT3NsbywgTm9yd2F5LiYjeEQ7
RGVwYXJ0bWVudCBvZiBFbnZpcm9ubWVudGFsIGFuZCBIZWFsdGggU3R1ZGllcywgVGVsZW1hcmsg
VW5pdmVyc2l0eSBDb2xsZWdlLCBUZWxlbWFyaywgTm9yd2F5OyBEZXBhcnRtZW50IG9mIEdlbmV0
aWNzLCBPc2xvIFVuaXZlcnNpdHkgSG9zcGl0YWwsIE9zbG8sIE5vcndheS4mI3hEO09yZ2FuIENl
bnRlciwgSG9zcGl0YWwgb2YgU291dGhlcm4gSnV0bGFuZCwgQWFiZW5yYWEsIERlbm1hcms7IElu
c3RpdHV0ZSBvZiBSZWdpb25hbCBIZWFsdGggUmVzZWFyY2gsIFVuaXZlcnNpdHkgb2YgU291dGhl
cm4gRGVubWFyaywgT2RlbnNlLCBEZW5tYXJrOyBNZWRpY2FsIERlcGFydG1lbnQsIFJlZ2lvbmFs
IEhvc3BpdGFsIFZpYm9yZywgVmlib3JnLCBEZW5tYXJrLjwvYXV0aC1hZGRyZXNzPjx0aXRsZXM+
PHRpdGxlPkludGVzdGluYWwgUFRHUzIgbVJOQSBsZXZlbHMsIFBUR1MyIGdlbmUgcG9seW1vcnBo
aXNtcywgYW5kIGNvbG9yZWN0YWwgY2FyY2lub2dlbmVzaXM8L3RpdGxlPjxzZWNvbmRhcnktdGl0
bGU+UExvUyBPbmU8L3NlY29uZGFyeS10aXRsZT48YWx0LXRpdGxlPlBsb1Mgb25lPC9hbHQtdGl0
bGU+PC90aXRsZXM+PHBlcmlvZGljYWw+PGZ1bGwtdGl0bGU+UExvUyBPbmU8L2Z1bGwtdGl0bGU+
PGFiYnItMT5QbG9TIG9uZTwvYWJici0xPjwvcGVyaW9kaWNhbD48YWx0LXBlcmlvZGljYWw+PGZ1
bGwtdGl0bGU+UExvUyBPbmU8L2Z1bGwtdGl0bGU+PGFiYnItMT5QbG9TIG9uZTwvYWJici0xPjwv
YWx0LXBlcmlvZGljYWw+PHBhZ2VzPmUxMDUyNTQ8L3BhZ2VzPjx2b2x1bWU+OTwvdm9sdW1lPjxu
dW1iZXI+ODwvbnVtYmVyPjxlZGl0aW9uPjIwMTQvMDgvMjk8L2VkaXRpb24+PGtleXdvcmRzPjxr
ZXl3b3JkPkFkZW5vY2FyY2lub21hLypnZW5ldGljcy9tZXRhYm9saXNtL3BhdGhvbG9neTwva2V5
d29yZD48a2V5d29yZD5BZGVub21hLypnZW5ldGljcy9tZXRhYm9saXNtL3BhdGhvbG9neTwva2V5
d29yZD48a2V5d29yZD5BZ2VkPC9rZXl3b3JkPjxrZXl3b3JkPkFsbGVsZXM8L2tleXdvcmQ+PGtl
eXdvcmQ+Q2FyY2lub2dlbmVzaXMvKmdlbmV0aWNzL21ldGFib2xpc20vcGF0aG9sb2d5PC9rZXl3
b3JkPjxrZXl3b3JkPkNhc2UtQ29udHJvbCBTdHVkaWVzPC9rZXl3b3JkPjxrZXl3b3JkPkNvbG9y
ZWN0YWwgTmVvcGxhc21zLypnZW5ldGljcy9tZXRhYm9saXNtL3BhdGhvbG9neTwva2V5d29yZD48
a2V5d29yZD5DeWNsb294eWdlbmFzZSAyLypnZW5ldGljcy9tZXRhYm9saXNtPC9rZXl3b3JkPjxr
ZXl3b3JkPkZlbWFsZTwva2V5d29yZD48a2V5d29yZD5HZW5vdHlwZTwva2V5d29yZD48a2V5d29y
ZD5IdW1hbnM8L2tleXdvcmQ+PGtleXdvcmQ+SW50ZXN0aW5lcy8qbWV0YWJvbGlzbS9wYXRob2xv
Z3k8L2tleXdvcmQ+PGtleXdvcmQ+TWFsZTwva2V5d29yZD48a2V5d29yZD5NaWRkbGUgQWdlZDwv
a2V5d29yZD48a2V5d29yZD4qUG9seW1vcnBoaXNtLCBHZW5ldGljPC9rZXl3b3JkPjxrZXl3b3Jk
PlJOQSwgTWVzc2VuZ2VyL2dlbmV0aWNzL21ldGFib2xpc208L2tleXdvcmQ+PC9rZXl3b3Jkcz48
ZGF0ZXM+PHllYXI+MjAxNDwveWVhcj48L2RhdGVzPjxpc2JuPjE5MzItNjIwMyAoRWxlY3Ryb25p
YykmI3hEOzE5MzItNjIwMyAoTGlua2luZyk8L2lzYm4+PGFjY2Vzc2lvbi1udW0+MjUxNjY1OTI8
L2FjY2Vzc2lvbi1udW0+PHVybHM+PHJlbGF0ZWQtdXJscz48dXJsPmh0dHA6Ly93d3cubmNiaS5u
bG0ubmloLmdvdi9wdWJtZWQvMjUxNjY1OTI8L3VybD48L3JlbGF0ZWQtdXJscz48L3VybHM+PGN1
c3RvbTI+UE1DNDE0ODIzMzwvY3VzdG9tMj48ZWxlY3Ryb25pYy1yZXNvdXJjZS1udW0+MTAuMTM3
MS9qb3VybmFsLnBvbmUuMDEwNTI1NDwvZWxlY3Ryb25pYy1yZXNvdXJjZS1udW0+PHJlbW90ZS1k
YXRhYmFzZS1wcm92aWRlcj5OTE08L3JlbW90ZS1kYXRhYmFzZS1wcm92aWRlcj48bGFuZ3VhZ2U+
ZW5nPC9sYW5ndWFnZT48L3JlY29yZD48L0NpdGU+PC9FbmROb3RlPnAA
</w:fldData>
              </w:fldChar>
            </w:r>
            <w:r w:rsidRPr="004E3E19">
              <w:rPr>
                <w:rFonts w:ascii="Book Antiqua" w:hAnsi="Book Antiqua" w:cs="Book Antiqua"/>
                <w:kern w:val="0"/>
                <w:sz w:val="24"/>
                <w:vertAlign w:val="superscript"/>
                <w:lang w:val="en-GB" w:bidi="ar"/>
              </w:rPr>
              <w:instrText xml:space="preserve"> ADDIN EN.CITE </w:instrTex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EN.CITE.DATA </w:instrText>
            </w:r>
            <w:r w:rsidRPr="004E3E19">
              <w:rPr>
                <w:rFonts w:ascii="Book Antiqua" w:hAnsi="Book Antiqua" w:cs="Book Antiqua"/>
                <w:kern w:val="0"/>
                <w:sz w:val="24"/>
                <w:vertAlign w:val="superscript"/>
                <w:lang w:val="en-GB" w:bidi="ar"/>
              </w:rPr>
              <w:fldChar w:fldCharType="end"/>
            </w:r>
            <w:r w:rsidRPr="004E3E19">
              <w:rPr>
                <w:rFonts w:ascii="Book Antiqua" w:hAnsi="Book Antiqua" w:cs="Book Antiqua"/>
                <w:kern w:val="0"/>
                <w:sz w:val="24"/>
                <w:vertAlign w:val="superscript"/>
                <w:lang w:val="en-GB" w:bidi="ar"/>
              </w:rPr>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[46]</w:t>
            </w:r>
            <w:r w:rsidRPr="004E3E19">
              <w:rPr>
                <w:rFonts w:ascii="Book Antiqua" w:hAnsi="Book Antiqua" w:cs="Book Antiqua"/>
                <w:kern w:val="0"/>
                <w:sz w:val="24"/>
                <w:vertAlign w:val="superscript"/>
                <w:lang w:val="en-GB"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2014</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Norseland</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Colorectal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NA</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KBioscience</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110</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24</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209</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114</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11</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0.337</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12</w:t>
            </w:r>
          </w:p>
        </w:tc>
      </w:tr>
      <w:tr w:rsidR="00D757F8" w:rsidRPr="004E3E19">
        <w:trPr>
          <w:trHeight w:val="228"/>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Gao</w:t>
            </w:r>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 &lt;EndNote&gt;&lt;Cite&gt;&lt;Author&gt;Gao&lt;/Author&gt;&lt;Year&gt;2015&lt;/Year&gt;&lt;RecNum&gt;275&lt;/RecNum&gt;&lt;DisplayText&gt;[47]&lt;/DisplayText&gt;&lt;record&gt;&lt;rec-number&gt;275&lt;/rec-number&gt;&lt;foreign-keys&gt;&lt;key app="EN" db-id="5rpep9vv49s5shewe5z55r0hrvre9fz5w5x0" timestamp="1467634104"&gt;275&lt;/key&gt;&lt;/foreign-keys&gt;&lt;ref-type name="Journal Article"&gt;17&lt;/ref-type&gt;&lt;contributors&gt;&lt;authors&gt;&lt;author&gt;Gao, F.&lt;/author&gt;&lt;author&gt;Lu, L.&lt;/author&gt;&lt;author&gt;Qin, J. D.&lt;/author&gt;&lt;author&gt;Zhang, B.&lt;/author&gt;&lt;author&gt;Li, J. J.&lt;/author&gt;&lt;author&gt;Zhou, C. J.&lt;/author&gt;&lt;author&gt;Jia, Y. B.&lt;/author&gt;&lt;/authors&gt;&lt;/contributors&gt;&lt;titles&gt;&lt;title&gt;Single Nucleotide Polymorphism in COX-2 Gene are Associated with Risk of Non-cardia Gastric Cancer&lt;/title&gt;&lt;secondary-title&gt;Cancer Res Prev Treat&lt;/secondary-title&gt;&lt;/titles&gt;&lt;periodical&gt;&lt;full-title&gt;Cancer Res Prev Treat&lt;/full-title&gt;&lt;/periodical&gt;&lt;pages&gt;470-473&lt;/pages&gt;&lt;volume&gt;42&lt;/volume&gt;&lt;number&gt;5&lt;/number&gt;&lt;dates&gt;&lt;year&gt;2015&lt;/year&gt;&lt;/dates&gt;&lt;urls&gt;&lt;/urls&gt;&lt;/record&gt;&lt;/Cite&gt;&lt;/EndNote&gt;</w:instrText>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[47]</w:t>
            </w:r>
            <w:r w:rsidRPr="004E3E19">
              <w:rPr>
                <w:rFonts w:ascii="Book Antiqua" w:hAnsi="Book Antiqua" w:cs="Book Antiqua"/>
                <w:kern w:val="0"/>
                <w:sz w:val="24"/>
                <w:vertAlign w:val="superscript"/>
                <w:lang w:val="en-GB"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2015</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China</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Gastric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PB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Age, Sex</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Taqman</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86</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137</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55</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74</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137</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57</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0.664</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16</w:t>
            </w:r>
          </w:p>
        </w:tc>
      </w:tr>
      <w:tr w:rsidR="00D757F8" w:rsidRPr="004E3E19">
        <w:trPr>
          <w:trHeight w:val="228"/>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r w:rsidRPr="004E3E19">
              <w:rPr>
                <w:rFonts w:ascii="Book Antiqua" w:hAnsi="Book Antiqua" w:cs="Book Antiqua"/>
                <w:color w:val="000000"/>
                <w:kern w:val="0"/>
                <w:sz w:val="24"/>
                <w:lang w:bidi="ar"/>
              </w:rPr>
              <w:t>Lu</w:t>
            </w:r>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 &lt;EndNote&gt;&lt;Cite&gt;&lt;Author&gt;Lu&lt;/Author&gt;&lt;Year&gt;2015&lt;/Year&gt;&lt;RecNum&gt;1&lt;/RecNum&gt;&lt;DisplayText&gt;[17]&lt;/DisplayText&gt;&lt;record&gt;&lt;rec-number&gt;1&lt;/rec-number&gt;&lt;foreign-keys&gt;&lt;key app="EN" db-id="5rpep9vv49s5shewe5z55r0hrvre9fz5w5x0" timestamp="1467465320"&gt;1&lt;/key&gt;&lt;/foreign-keys&gt;&lt;ref-type name="Journal Article"&gt;17&lt;/ref-type&gt;&lt;contributors&gt;&lt;authors&gt;&lt;author&gt;Lu, X.&lt;/author&gt;&lt;author&gt;Chen, F.&lt;/author&gt;&lt;author&gt;Liu, X.&lt;/author&gt;&lt;author&gt;Yuan, D.&lt;/author&gt;&lt;author&gt;Zi, Y.&lt;/author&gt;&lt;author&gt;He, X.&lt;/author&gt;&lt;author&gt;He, R.&lt;/author&gt;&lt;/authors&gt;&lt;/contributors&gt;&lt;auth-address&gt;Department of Clinical Laboratory, The People&amp;apos;s Hospital of Wenshan Prefecture, No. 228, Kaihua Middle Road, Wenshan City, 663000, Yunnan, China. drluxingre@163.com.&amp;#xD;Department of Clinical Laboratory, The People&amp;apos;s Hospital of Wenshan Prefecture, No. 228, Kaihua Middle Road, Wenshan City, 663000, Yunnan, China.&lt;/auth-address&gt;&lt;titles&gt;&lt;title&gt;Detection and Clinical Significance of COX-2 Gene SNPs in Gastric Cancer&lt;/title&gt;&lt;secondary-title&gt;Cell Biochem Biophys&lt;/secondary-title&gt;&lt;alt-title&gt;Cell biochemistry and biophysics&lt;/alt-title&gt;&lt;/titles&gt;&lt;periodical&gt;&lt;full-title&gt;Cell Biochem Biophys&lt;/full-title&gt;&lt;abbr-1&gt;Cell biochemistry and biophysics&lt;/abbr-1&gt;&lt;/periodical&gt;&lt;alt-periodical&gt;&lt;full-title&gt;Cell Biochem Biophys&lt;/full-title&gt;&lt;abbr-1&gt;Cell biochemistry and biophysics&lt;/abbr-1&gt;&lt;/alt-periodical&gt;&lt;pages&gt;657-60&lt;/pages&gt;&lt;volume&gt;72&lt;/volume&gt;&lt;number&gt;3&lt;/number&gt;&lt;edition&gt;2016/06/29&lt;/edition&gt;&lt;keywords&gt;&lt;keyword&gt;COX-2 gene&lt;/keyword&gt;&lt;keyword&gt;Gastric cancer&lt;/keyword&gt;&lt;keyword&gt;Genetic susceptibility&lt;/keyword&gt;&lt;keyword&gt;Single nucleotide polymorphism&lt;/keyword&gt;&lt;/keywords&gt;&lt;dates&gt;&lt;year&gt;2015&lt;/year&gt;&lt;pub-dates&gt;&lt;date&gt;Jul&lt;/date&gt;&lt;/pub-dates&gt;&lt;/dates&gt;&lt;isbn&gt;1559-0283 (Electronic)&amp;#xD;1085-9195 (Linking)&lt;/isbn&gt;&lt;accession-num&gt;27352184&lt;/accession-num&gt;&lt;urls&gt;&lt;related-urls&gt;&lt;url&gt;http://www.ncbi.nlm.nih.gov/pubmed/27352184&lt;/url&gt;&lt;/related-urls&gt;&lt;/urls&gt;&lt;electronic-resource-num&gt;10.1007/s12013-014-0465-8&lt;/electronic-resource-num&gt;&lt;remote-database-provider&gt;NLM&lt;/remote-database-provider&gt;&lt;language&gt;eng&lt;/language&gt;&lt;/record&gt;&lt;/Cite&gt;&lt;/EndNote&gt;</w:instrText>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[17]</w:t>
            </w:r>
            <w:r w:rsidRPr="004E3E19">
              <w:rPr>
                <w:rFonts w:ascii="Book Antiqua" w:hAnsi="Book Antiqua" w:cs="Book Antiqua"/>
                <w:kern w:val="0"/>
                <w:sz w:val="24"/>
                <w:vertAlign w:val="superscript"/>
                <w:lang w:val="en-GB"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2015</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China</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Gastric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HB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NA</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PCR-RFLP</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69</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39</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25</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27</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35</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72</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0.000</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7</w:t>
            </w:r>
          </w:p>
        </w:tc>
      </w:tr>
      <w:tr w:rsidR="00D757F8" w:rsidRPr="004E3E19">
        <w:trPr>
          <w:trHeight w:val="228"/>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r w:rsidRPr="004E3E19">
              <w:rPr>
                <w:rFonts w:ascii="Book Antiqua" w:hAnsi="Book Antiqua" w:cs="Book Antiqua"/>
                <w:color w:val="000000"/>
                <w:kern w:val="0"/>
                <w:sz w:val="24"/>
                <w:lang w:bidi="ar"/>
              </w:rPr>
              <w:t>Tao</w:t>
            </w:r>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 &lt;EndNote&gt;&lt;Cite&gt;&lt;Author&gt;Tao&lt;/Author&gt;&lt;Year&gt;2015&lt;/Year&gt;&lt;RecNum&gt;277&lt;/RecNum&gt;&lt;DisplayText&gt;[48]&lt;/DisplayText&gt;&lt;record&gt;&lt;rec-number&gt;277&lt;/rec-number&gt;&lt;foreign-keys&gt;&lt;key app="EN" db-id="5rpep9vv49s5shewe5z55r0hrvre9fz5w5x0" timestamp="1467635282"&gt;277&lt;/key&gt;&lt;/foreign-keys&gt;&lt;ref-type name="Journal Article"&gt;17&lt;/ref-type&gt;&lt;contributors&gt;&lt;authors&gt;&lt;author&gt;Tao, M.&lt;/author&gt;&lt;author&gt;Zhang, L. X.&lt;/author&gt;&lt;author&gt;Song, Y.&lt;/author&gt;&lt;author&gt;Zhuang, K.&lt;/author&gt;&lt;author&gt;Zhang, N. X.&lt;/author&gt;&lt;author&gt;Zhang, L.&lt;/author&gt;&lt;/authors&gt;&lt;/contributors&gt;&lt;titles&gt;&lt;title&gt;&lt;style face="normal" font="default" size="100%"&gt;Association of COX-2 genetic polymorphisms and &lt;/style&gt;&lt;style face="italic" font="default" size="100%"&gt;H.pylori&lt;/style&gt;&lt;style face="normal" font="default" size="100%"&gt; infection with susceptibility of gastric cancer in Shaanxi area&lt;/style&gt;&lt;/title&gt;&lt;secondary-title&gt;Journal of Shanxi Medical University&lt;/secondary-title&gt;&lt;/titles&gt;&lt;periodical&gt;&lt;full-title&gt;Journal of Shanxi Medical University&lt;/full-title&gt;&lt;/periodical&gt;&lt;pages&gt;17-20&lt;/pages&gt;&lt;volume&gt;46&lt;/volume&gt;&lt;number&gt;1&lt;/number&gt;&lt;dates&gt;&lt;year&gt;2015&lt;/year&gt;&lt;/dates&gt;&lt;urls&gt;&lt;/urls&gt;&lt;/record&gt;&lt;/Cite&gt;&lt;/EndNote&gt;</w:instrText>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[48]</w:t>
            </w:r>
            <w:r w:rsidRPr="004E3E19">
              <w:rPr>
                <w:rFonts w:ascii="Book Antiqua" w:hAnsi="Book Antiqua" w:cs="Book Antiqua"/>
                <w:kern w:val="0"/>
                <w:sz w:val="24"/>
                <w:vertAlign w:val="superscript"/>
                <w:lang w:val="en-GB"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2015</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China</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Gastric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Age, Sex</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PCR-RFLP</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39</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71</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26</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31</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65</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25</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0.397</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15</w:t>
            </w:r>
          </w:p>
        </w:tc>
      </w:tr>
      <w:tr w:rsidR="00D757F8" w:rsidRPr="004E3E19">
        <w:trPr>
          <w:trHeight w:val="268"/>
        </w:trPr>
        <w:tc>
          <w:tcPr>
            <w:tcW w:w="1671" w:type="dxa"/>
            <w:vAlign w:val="center"/>
          </w:tcPr>
          <w:p w:rsidR="00D757F8" w:rsidRPr="004E3E19" w:rsidRDefault="002905C9" w:rsidP="00424106">
            <w:pPr>
              <w:widowControl/>
              <w:adjustRightInd w:val="0"/>
              <w:snapToGrid w:val="0"/>
              <w:spacing w:after="0" w:line="360" w:lineRule="auto"/>
              <w:textAlignment w:val="center"/>
              <w:rPr>
                <w:rFonts w:ascii="Book Antiqua" w:hAnsi="Book Antiqua" w:cs="Book Antiqua"/>
                <w:sz w:val="24"/>
              </w:rPr>
            </w:pPr>
            <w:r w:rsidRPr="004E3E19">
              <w:rPr>
                <w:rFonts w:ascii="Book Antiqua" w:hAnsi="Book Antiqua" w:cs="Book Antiqua"/>
                <w:color w:val="000000"/>
                <w:kern w:val="0"/>
                <w:sz w:val="24"/>
                <w:lang w:bidi="ar"/>
              </w:rPr>
              <w:t>Zamudio</w:t>
            </w:r>
            <w:r w:rsidR="00985714">
              <w:rPr>
                <w:rFonts w:ascii="Book Antiqua" w:hAnsi="Book Antiqua" w:cs="Book Antiqua" w:hint="eastAsia"/>
                <w:color w:val="000000"/>
                <w:kern w:val="0"/>
                <w:sz w:val="24"/>
                <w:lang w:bidi="ar"/>
              </w:rPr>
              <w:t xml:space="preserve"> </w:t>
            </w:r>
            <w:r w:rsidR="004578D3" w:rsidRPr="004578D3">
              <w:rPr>
                <w:rFonts w:ascii="Book Antiqua" w:hAnsi="Book Antiqua" w:cs="Book Antiqua" w:hint="eastAsia"/>
                <w:i/>
                <w:color w:val="000000"/>
                <w:kern w:val="0"/>
                <w:sz w:val="24"/>
                <w:lang w:bidi="ar"/>
              </w:rPr>
              <w:t>et al</w:t>
            </w:r>
            <w:r w:rsidRPr="004E3E19">
              <w:rPr>
                <w:rFonts w:ascii="Book Antiqua" w:hAnsi="Book Antiqua" w:cs="Book Antiqua"/>
                <w:kern w:val="0"/>
                <w:sz w:val="24"/>
                <w:vertAlign w:val="superscript"/>
                <w:lang w:val="en-GB" w:bidi="ar"/>
              </w:rPr>
              <w:fldChar w:fldCharType="begin">
                <w:fldData xml:space="preserve">PEVuZE5vdGU+PENpdGU+PEF1dGhvcj5aYW11ZGlvPC9BdXRob3I+PFllYXI+MjAxNjwvWWVhcj48
UmVjTnVtPjM8L1JlY051bT48RGlzcGxheVRleHQ+WzQ5XTwvRGlzcGxheVRleHQ+PHJlY29yZD48
cmVjLW51bWJlcj4zPC9yZWMtbnVtYmVyPjxmb3JlaWduLWtleXM+PGtleSBhcHA9IkVOIiBkYi1p
ZD0iNXJwZXA5dnY0OXM1c2hld2U1ejU1cjBocnZyZTlmejV3NXgwIiB0aW1lc3RhbXA9IjE0Njc0
NjUzMjAiPjM8L2tleT48L2ZvcmVpZ24ta2V5cz48cmVmLXR5cGUgbmFtZT0iSm91cm5hbCBBcnRp
Y2xlIj4xNzwvcmVmLXR5cGU+PGNvbnRyaWJ1dG9ycz48YXV0aG9ycz48YXV0aG9yPlphbXVkaW8s
IFIuPC9hdXRob3I+PGF1dGhvcj5QZXJlaXJhLCBMLjwvYXV0aG9yPjxhdXRob3I+Um9jaGEsIEMu
IEQuPC9hdXRob3I+PGF1dGhvcj5CZXJnLCBELiBFLjwvYXV0aG9yPjxhdXRob3I+TXVuaXotUXVl
aXJveiwgVC48L2F1dGhvcj48YXV0aG9yPlNhbnQgQW5uYSwgSC4gUC48L2F1dGhvcj48YXV0aG9y
PkNhYnJlcmEsIEwuPC9hdXRob3I+PGF1dGhvcj5Db21iZSwgSi4gTS48L2F1dGhvcj48YXV0aG9y
PkhlcnJlcmEsIFAuPC9hdXRob3I+PGF1dGhvcj5KYWh1aXJhLCBNLiBILjwvYXV0aG9yPjxhdXRo
b3I+TGVhbywgRi4gQi48L2F1dGhvcj48YXV0aG9yPkx5b24sIEYuPC9hdXRob3I+PGF1dGhvcj5Q
cmFkbywgVy4gQS48L2F1dGhvcj48YXV0aG9yPlJvZHJpZ3VlcywgTS4gUi48L2F1dGhvcj48YXV0
aG9yPlJvZHJpZ3Vlcy1Tb2FyZXMsIEYuPC9hdXRob3I+PGF1dGhvcj5TYW50b2xhbGxhLCBNLiBM
LjwvYXV0aG9yPjxhdXRob3I+Wm9saW5pLCBDLjwvYXV0aG9yPjxhdXRob3I+U2lsdmEsIEEuIE0u
PC9hdXRob3I+PGF1dGhvcj5HaWxtYW4sIFIuIEguPC9hdXRob3I+PGF1dGhvcj5UYXJhem9uYS1T
YW50b3MsIEUuPC9hdXRob3I+PGF1dGhvcj5LZWhkeSwgRi4gUy48L2F1dGhvcj48L2F1dGhvcnM+
PC9jb250cmlidXRvcnM+PGF1dGgtYWRkcmVzcz5EZXBhcnRtZW50IG9mIEdlbmVyYWwgQmlvbG9n
eSwgSW5zdGl0dXRlIG9mIEJpb2xvZ2ljYWwgU2NpZW5jZXMsIEZlZGVyYWwgVW5pdmVyc2l0eSBv
ZiBNaW5hcyBHZXJhaXMsIEF2LiBBbnRvbmlvIENhcmxvcyA2NjI3LCBQYW1wdWxoYSwgQmVsbyBI
b3Jpem9udGUsIE1pbmFzIEdlcmFpcywgQ0VQIDMxMjcwLTkxMCwgQnJhemlsLiYjeEQ7TGFib3Jh
dG9yaW9zIGRlIEludmVzdGlnYWNpb24geSBEZXNhcnJvbGxvLCBGYWN1bHRhZCBkZSBDaWVuY2lh
cyB5IEZpbG9zb2ZpYSwgVW5pdmVyc2lkYWQgUGVydWFuYSBDYXlldGFubyBIZXJlZGlhLCBMaW1h
LCBQZXJ1LiYjeEQ7RGVwYXJ0bWVudCBvZiBNb3JwaG9sb2d5LCBJbnN0aXR1dGUgb2YgQmlvbG9n
aWNhbCBTY2llbmNlcywgRmVkZXJhbCBVbml2ZXJzaXR5IG9mIE1pbmFzIEdlcmFpcywgQmVsbyBI
b3Jpem9udGUsIE1HLCBCcmF6aWwuJiN4RDtEZXBhcnRtZW50IG9mIE1lZGljaW5lLCBVbml2ZXJz
aXR5IENhbGlmb3JuaWEgU2FuIERpZWdvLCBMYSBKb2xsYSwgQ0EsIFVTQS4mI3hEO0Fzb2NpYWNp
b24gQmVuZWZpY2EgUFJJU01BLCBMaW1hLCBQZXJ1LiYjeEQ7RGVwYXJ0YW1lbnRvIGRlIEdhc3Ry
b2VudGVyb2xvZ2lhLCBJbnN0aXR1dG8gTmFjaW9uYWwgZGUgRW5mZXJtZWRhZGVzIE5lb3BsYXNp
Y2FzLCBMaW1hLCBQZXJ1LiYjeEQ7U2VydmljaW8gZGUgR2FzdHJvZW50ZXJvbG9naWEsIEhvc3Bp
dGFsIERvcyBkZSBNYXlvLCBMaW1hLCBQZXJ1LiYjeEQ7RGVwYXJ0bWVudCBvZiBJbnRlcm5hdGlv
bmFsIEhlYWx0aCwgQmxvb21iZXJnIFNjaG9vbCBvZiBQdWJsaWMgSGVhbHRoLCBKb2hucyBIb3Br
aW5zIFVuaXZlcnNpdHksIEJhbHRpbW9yZSwgTUQsIFVTQS4mI3hEO0RlcGFydG1lbnQgb2YgR2Vu
ZXJhbCBCaW9sb2d5LCBJbnN0aXR1dGUgb2YgQmlvbG9naWNhbCBTY2llbmNlcywgRmVkZXJhbCBV
bml2ZXJzaXR5IG9mIE1pbmFzIEdlcmFpcywgQXYuIEFudG9uaW8gQ2FybG9zIDY2MjcsIFBhbXB1
bGhhLCBCZWxvIEhvcml6b250ZSwgTWluYXMgR2VyYWlzLCBDRVAgMzEyNzAtOTEwLCBCcmF6aWwu
IGZzZ2tlaGR5QGdtYWlsLmNvbS4mI3hEO0xhYm9yYXRvcmlvIGRlIEhhbnNlbmlhc2UsIEluc3Rp
dHV0byBPc3dhbGRvIENydXosIEZ1bmRhY2FvIE9zd2FsZG8gQ3J1eiwgRklPQ1JVWi1SSiwgUmlv
IGRlIEphbmVpcm8sIEJyYXppbC4gZnNna2VoZHlAZ21haWwuY29tLjwvYXV0aC1hZGRyZXNzPjx0
aXRsZXM+PHRpdGxlPlBvcHVsYXRpb24sIEVwaWRlbWlvbG9naWNhbCwgYW5kIEZ1bmN0aW9uYWwg
R2VuZXRpY3Mgb2YgR2FzdHJpYyBDYW5jZXIgQ2FuZGlkYXRlIEdlbmVzIGluIFBlcnV2aWFucyB3
aXRoIFByZWRvbWluYW50IEFtZXJpbmRpYW4gQW5jZXN0cnk8L3RpdGxlPjxzZWNvbmRhcnktdGl0
bGU+RGlnIERpcyBTY2k8L3NlY29uZGFyeS10aXRsZT48YWx0LXRpdGxlPkRpZ2VzdGl2ZSBkaXNl
YXNlcyBhbmQgc2NpZW5jZXM8L2FsdC10aXRsZT48L3RpdGxlcz48cGVyaW9kaWNhbD48ZnVsbC10
aXRsZT5EaWcgRGlzIFNjaTwvZnVsbC10aXRsZT48YWJici0xPkRpZ2VzdGl2ZSBkaXNlYXNlcyBh
bmQgc2NpZW5jZXM8L2FiYnItMT48L3BlcmlvZGljYWw+PGFsdC1wZXJpb2RpY2FsPjxmdWxsLXRp
dGxlPkRpZyBEaXMgU2NpPC9mdWxsLXRpdGxlPjxhYmJyLTE+RGlnZXN0aXZlIGRpc2Vhc2VzIGFu
ZCBzY2llbmNlczwvYWJici0xPjwvYWx0LXBlcmlvZGljYWw+PHBhZ2VzPjEwNy0xNjwvcGFnZXM+
PHZvbHVtZT42MTwvdm9sdW1lPjxudW1iZXI+MTwvbnVtYmVyPjxlZGl0aW9uPjIwMTUvMDkvMjQ8
L2VkaXRpb24+PGtleXdvcmRzPjxrZXl3b3JkPkFkZW5vY2FyY2lub21hLypldGhub2xvZ3kvKmdl
bmV0aWNzL21ldGFib2xpc208L2tleXdvcmQ+PGtleXdvcmQ+QWZyaWNhbiBDb250aW5lbnRhbCBB
bmNlc3RyeSBHcm91cC9nZW5ldGljczwva2V5d29yZD48a2V5d29yZD5Bc2lhbiBDb250aW5lbnRh
bCBBbmNlc3RyeSBHcm91cC9nZW5ldGljczwva2V5d29yZD48a2V5d29yZD5CaW5kaW5nIFNpdGVz
PC9rZXl3b3JkPjxrZXl3b3JkPkJpb21hcmtlcnMsIFR1bW9yLypnZW5ldGljczwva2V5d29yZD48
a2V5d29yZD5DYXNlLUNvbnRyb2wgU3R1ZGllczwva2V5d29yZD48a2V5d29yZD5Db21wdXRhdGlv
bmFsIEJpb2xvZ3k8L2tleXdvcmQ+PGtleXdvcmQ+Q3ljbG9veHlnZW5hc2UgMi8qZ2VuZXRpY3M8
L2tleXdvcmQ+PGtleXdvcmQ+RXVyb3BlYW4gQ29udGluZW50YWwgQW5jZXN0cnkgR3JvdXAvZ2Vu
ZXRpY3M8L2tleXdvcmQ+PGtleXdvcmQ+Rm9ya2hlYWQgVHJhbnNjcmlwdGlvbiBGYWN0b3JzL2dl
bmV0aWNzL21ldGFib2xpc208L2tleXdvcmQ+PGtleXdvcmQ+R2VuZSBFeHByZXNzaW9uIFJlZ3Vs
YXRpb24sIE5lb3BsYXN0aWM8L2tleXdvcmQ+PGtleXdvcmQ+R2VuZSBGcmVxdWVuY3k8L2tleXdv
cmQ+PGtleXdvcmQ+R2VuZXRpYyBBc3NvY2lhdGlvbiBTdHVkaWVzPC9rZXl3b3JkPjxrZXl3b3Jk
PkdlbmV0aWMgUHJlZGlzcG9zaXRpb24gdG8gRGlzZWFzZTwva2V5d29yZD48a2V5d29yZD5IRUsy
OTMgQ2VsbHM8L2tleXdvcmQ+PGtleXdvcmQ+SGFwbG90eXBlczwva2V5d29yZD48a2V5d29yZD5I
dW1hbnM8L2tleXdvcmQ+PGtleXdvcmQ+SW5kaWFucywgU291dGggQW1lcmljYW4vKmdlbmV0aWNz
PC9rZXl3b3JkPjxrZXl3b3JkPkludGVybGV1a2luLTgvKmdlbmV0aWNzPC9rZXl3b3JkPjxrZXl3
b3JkPlBlcnUvZXBpZGVtaW9sb2d5PC9rZXl3b3JkPjxrZXl3b3JkPlBoZW5vdHlwZTwva2V5d29y
ZD48a2V5d29yZD4qUG9seW1vcnBoaXNtLCBTaW5nbGUgTnVjbGVvdGlkZTwva2V5d29yZD48a2V5
d29yZD5Qcm9tb3RlciBSZWdpb25zLCBHZW5ldGljPC9rZXl3b3JkPjxrZXl3b3JkPlJpc2sgRmFj
dG9yczwva2V5d29yZD48a2V5d29yZD5TdG9tYWNoIE5lb3BsYXNtcy8qZXRobm9sb2d5LypnZW5l
dGljcy9tZXRhYm9saXNtPC9rZXl3b3JkPjxrZXl3b3JkPlRyYW5zZmVjdGlvbjwva2V5d29yZD48
a2V5d29yZD5BbWVyaW5kaWFuczwva2V5d29yZD48a2V5d29yZD5BbmNlc3RyeTwva2V5d29yZD48
a2V5d29yZD5Bc3NvY2lhdGlvbiBzdHVkaWVzPC9rZXl3b3JkPjxrZXl3b3JkPkdhc3RyaWMgY2Fu
Y2VyPC9rZXl3b3JkPjxrZXl3b3JkPk1ldGEtYW5hbHlzZXM8L2tleXdvcmQ+PGtleXdvcmQ+UHJv
aW5mbGFtbWF0b3J5IGdlbmVzPC9rZXl3b3JkPjwva2V5d29yZHM+PGRhdGVzPjx5ZWFyPjIwMTY8
L3llYXI+PHB1Yi1kYXRlcz48ZGF0ZT5KYW48L2RhdGU+PC9wdWItZGF0ZXM+PC9kYXRlcz48aXNi
bj4xNTczLTI1NjggKEVsZWN0cm9uaWMpJiN4RDswMTYzLTIxMTYgKExpbmtpbmcpPC9pc2JuPjxh
Y2Nlc3Npb24tbnVtPjI2MzkxMjY3PC9hY2Nlc3Npb24tbnVtPjx1cmxzPjxyZWxhdGVkLXVybHM+
PHVybD5odHRwOi8vd3d3Lm5jYmkubmxtLm5paC5nb3YvcHVibWVkLzI2MzkxMjY3PC91cmw+PC9y
ZWxhdGVkLXVybHM+PC91cmxzPjxlbGVjdHJvbmljLXJlc291cmNlLW51bT4xMC4xMDA3L3MxMDYy
MC0wMTUtMzg1OS02PC9lbGVjdHJvbmljLXJlc291cmNlLW51bT48cmVtb3RlLWRhdGFiYXNlLXBy
b3ZpZGVyPk5MTTwvcmVtb3RlLWRhdGFiYXNlLXByb3ZpZGVyPjxsYW5ndWFnZT5lbmc8L2xhbmd1
YWdlPjwvcmVjb3JkPjwvQ2l0ZT48L0VuZE5vdGU+AGAA
</w:fldData>
              </w:fldChar>
            </w:r>
            <w:r w:rsidRPr="004E3E19">
              <w:rPr>
                <w:rFonts w:ascii="Book Antiqua" w:hAnsi="Book Antiqua" w:cs="Book Antiqua"/>
                <w:kern w:val="0"/>
                <w:sz w:val="24"/>
                <w:vertAlign w:val="superscript"/>
                <w:lang w:val="en-GB" w:bidi="ar"/>
              </w:rPr>
              <w:instrText xml:space="preserve"> ADDIN EN.CITE </w:instrText>
            </w:r>
            <w:r w:rsidRPr="004E3E19">
              <w:rPr>
                <w:rFonts w:ascii="Book Antiqua" w:hAnsi="Book Antiqua" w:cs="Book Antiqua"/>
                <w:kern w:val="0"/>
                <w:sz w:val="24"/>
                <w:vertAlign w:val="superscript"/>
                <w:lang w:val="en-GB" w:bidi="ar"/>
              </w:rPr>
              <w:fldChar w:fldCharType="begin"/>
            </w:r>
            <w:r w:rsidRPr="004E3E19">
              <w:rPr>
                <w:rFonts w:ascii="Book Antiqua" w:hAnsi="Book Antiqua" w:cs="Book Antiqua"/>
                <w:kern w:val="0"/>
                <w:sz w:val="24"/>
                <w:vertAlign w:val="superscript"/>
                <w:lang w:val="en-GB" w:bidi="ar"/>
              </w:rPr>
              <w:instrText xml:space="preserve"> ADDIN EN.CITE.DATA </w:instrText>
            </w:r>
            <w:r w:rsidRPr="004E3E19">
              <w:rPr>
                <w:rFonts w:ascii="Book Antiqua" w:hAnsi="Book Antiqua" w:cs="Book Antiqua"/>
                <w:kern w:val="0"/>
                <w:sz w:val="24"/>
                <w:vertAlign w:val="superscript"/>
                <w:lang w:val="en-GB" w:bidi="ar"/>
              </w:rPr>
              <w:fldChar w:fldCharType="end"/>
            </w:r>
            <w:r w:rsidRPr="004E3E19">
              <w:rPr>
                <w:rFonts w:ascii="Book Antiqua" w:hAnsi="Book Antiqua" w:cs="Book Antiqua"/>
                <w:kern w:val="0"/>
                <w:sz w:val="24"/>
                <w:vertAlign w:val="superscript"/>
                <w:lang w:val="en-GB" w:bidi="ar"/>
              </w:rPr>
            </w:r>
            <w:r w:rsidRPr="004E3E19">
              <w:rPr>
                <w:rFonts w:ascii="Book Antiqua" w:hAnsi="Book Antiqua" w:cs="Book Antiqua"/>
                <w:kern w:val="0"/>
                <w:sz w:val="24"/>
                <w:vertAlign w:val="superscript"/>
                <w:lang w:val="en-GB" w:bidi="ar"/>
              </w:rPr>
              <w:fldChar w:fldCharType="separate"/>
            </w:r>
            <w:r w:rsidRPr="004E3E19">
              <w:rPr>
                <w:rFonts w:ascii="Book Antiqua" w:hAnsi="Book Antiqua" w:cs="Book Antiqua"/>
                <w:kern w:val="0"/>
                <w:sz w:val="24"/>
                <w:vertAlign w:val="superscript"/>
                <w:lang w:val="en-GB" w:bidi="ar"/>
              </w:rPr>
              <w:t>[49]</w:t>
            </w:r>
            <w:r w:rsidRPr="004E3E19">
              <w:rPr>
                <w:rFonts w:ascii="Book Antiqua" w:hAnsi="Book Antiqua" w:cs="Book Antiqua"/>
                <w:kern w:val="0"/>
                <w:sz w:val="24"/>
                <w:vertAlign w:val="superscript"/>
                <w:lang w:val="en-GB" w:bidi="ar"/>
              </w:rPr>
              <w:fldChar w:fldCharType="end"/>
            </w:r>
          </w:p>
        </w:tc>
        <w:tc>
          <w:tcPr>
            <w:tcW w:w="74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2016</w:t>
            </w:r>
          </w:p>
        </w:tc>
        <w:tc>
          <w:tcPr>
            <w:tcW w:w="143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Peru</w:t>
            </w:r>
          </w:p>
        </w:tc>
        <w:tc>
          <w:tcPr>
            <w:tcW w:w="21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Gastric cancer</w:t>
            </w:r>
          </w:p>
        </w:tc>
        <w:tc>
          <w:tcPr>
            <w:tcW w:w="1288"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HB</w:t>
            </w:r>
          </w:p>
        </w:tc>
        <w:tc>
          <w:tcPr>
            <w:tcW w:w="220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NA</w:t>
            </w:r>
          </w:p>
        </w:tc>
        <w:tc>
          <w:tcPr>
            <w:tcW w:w="1587"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Taqman</w:t>
            </w:r>
          </w:p>
        </w:tc>
        <w:tc>
          <w:tcPr>
            <w:tcW w:w="62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85</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103</w:t>
            </w:r>
          </w:p>
        </w:tc>
        <w:tc>
          <w:tcPr>
            <w:tcW w:w="674"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32</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color w:val="000000"/>
                <w:kern w:val="0"/>
                <w:sz w:val="24"/>
                <w:lang w:bidi="ar"/>
              </w:rPr>
            </w:pPr>
          </w:p>
        </w:tc>
        <w:tc>
          <w:tcPr>
            <w:tcW w:w="79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106</w:t>
            </w:r>
          </w:p>
        </w:tc>
        <w:tc>
          <w:tcPr>
            <w:tcW w:w="61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139</w:t>
            </w:r>
          </w:p>
        </w:tc>
        <w:tc>
          <w:tcPr>
            <w:tcW w:w="632"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sz w:val="24"/>
              </w:rPr>
            </w:pPr>
            <w:r w:rsidRPr="004E3E19">
              <w:rPr>
                <w:rFonts w:ascii="Book Antiqua" w:hAnsi="Book Antiqua" w:cs="Book Antiqua"/>
                <w:color w:val="000000"/>
                <w:kern w:val="0"/>
                <w:sz w:val="24"/>
                <w:lang w:bidi="ar"/>
              </w:rPr>
              <w:t>43</w:t>
            </w:r>
          </w:p>
        </w:tc>
        <w:tc>
          <w:tcPr>
            <w:tcW w:w="985"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0.815</w:t>
            </w:r>
          </w:p>
        </w:tc>
        <w:tc>
          <w:tcPr>
            <w:tcW w:w="1119" w:type="dxa"/>
            <w:vAlign w:val="center"/>
          </w:tcPr>
          <w:p w:rsidR="00D757F8" w:rsidRPr="004E3E19" w:rsidRDefault="002905C9" w:rsidP="00424106">
            <w:pPr>
              <w:widowControl/>
              <w:adjustRightInd w:val="0"/>
              <w:snapToGrid w:val="0"/>
              <w:spacing w:after="0" w:line="360" w:lineRule="auto"/>
              <w:jc w:val="center"/>
              <w:textAlignment w:val="center"/>
              <w:rPr>
                <w:rFonts w:ascii="Book Antiqua" w:hAnsi="Book Antiqua" w:cs="Book Antiqua"/>
                <w:color w:val="000000"/>
                <w:kern w:val="0"/>
                <w:sz w:val="24"/>
                <w:lang w:bidi="ar"/>
              </w:rPr>
            </w:pPr>
            <w:r w:rsidRPr="004E3E19">
              <w:rPr>
                <w:rFonts w:ascii="Book Antiqua" w:hAnsi="Book Antiqua" w:cs="Book Antiqua"/>
                <w:color w:val="000000"/>
                <w:kern w:val="0"/>
                <w:sz w:val="24"/>
                <w:lang w:bidi="ar"/>
              </w:rPr>
              <w:t>9</w:t>
            </w:r>
          </w:p>
        </w:tc>
      </w:tr>
    </w:tbl>
    <w:p w:rsidR="00D757F8" w:rsidRDefault="002905C9" w:rsidP="00424106">
      <w:pPr>
        <w:pStyle w:val="EndNoteBibliography"/>
        <w:adjustRightInd w:val="0"/>
        <w:snapToGrid w:val="0"/>
        <w:spacing w:after="0" w:line="360" w:lineRule="auto"/>
        <w:jc w:val="both"/>
        <w:rPr>
          <w:rFonts w:ascii="Book Antiqua" w:hAnsi="Book Antiqua" w:cs="Book Antiqua"/>
          <w:sz w:val="24"/>
        </w:rPr>
      </w:pPr>
      <w:r w:rsidRPr="004E3E19">
        <w:rPr>
          <w:rFonts w:ascii="Book Antiqua" w:hAnsi="Book Antiqua" w:cs="Book Antiqua"/>
          <w:sz w:val="24"/>
        </w:rPr>
        <w:t xml:space="preserve">HWE: Hardy–Weinberg equilibrium; PB: </w:t>
      </w:r>
      <w:r w:rsidRPr="00985714">
        <w:rPr>
          <w:rFonts w:ascii="Book Antiqua" w:hAnsi="Book Antiqua" w:cs="Book Antiqua"/>
          <w:caps/>
          <w:sz w:val="24"/>
        </w:rPr>
        <w:t>p</w:t>
      </w:r>
      <w:r w:rsidRPr="004E3E19">
        <w:rPr>
          <w:rFonts w:ascii="Book Antiqua" w:hAnsi="Book Antiqua" w:cs="Book Antiqua"/>
          <w:sz w:val="24"/>
        </w:rPr>
        <w:t xml:space="preserve">opulation-based; HB: </w:t>
      </w:r>
      <w:r w:rsidR="00985714" w:rsidRPr="004E3E19">
        <w:rPr>
          <w:rFonts w:ascii="Book Antiqua" w:hAnsi="Book Antiqua" w:cs="Book Antiqua"/>
          <w:sz w:val="24"/>
        </w:rPr>
        <w:t>Hospital</w:t>
      </w:r>
      <w:r w:rsidRPr="004E3E19">
        <w:rPr>
          <w:rFonts w:ascii="Book Antiqua" w:hAnsi="Book Antiqua" w:cs="Book Antiqua"/>
          <w:sz w:val="24"/>
        </w:rPr>
        <w:t xml:space="preserve">-based; DHPLC: </w:t>
      </w:r>
      <w:r w:rsidR="00985714" w:rsidRPr="004E3E19">
        <w:rPr>
          <w:rFonts w:ascii="Book Antiqua" w:hAnsi="Book Antiqua" w:cs="Book Antiqua"/>
          <w:sz w:val="24"/>
        </w:rPr>
        <w:t xml:space="preserve">Denaturing </w:t>
      </w:r>
      <w:r w:rsidRPr="004E3E19">
        <w:rPr>
          <w:rFonts w:ascii="Book Antiqua" w:hAnsi="Book Antiqua" w:cs="Book Antiqua"/>
          <w:sz w:val="24"/>
        </w:rPr>
        <w:t xml:space="preserve">high performance liquid chromatography; </w:t>
      </w:r>
      <w:r w:rsidRPr="004E3E19">
        <w:rPr>
          <w:rFonts w:ascii="Book Antiqua" w:hAnsi="Book Antiqua" w:cs="Book Antiqua"/>
          <w:color w:val="000000"/>
          <w:kern w:val="0"/>
          <w:sz w:val="24"/>
          <w:lang w:bidi="ar"/>
        </w:rPr>
        <w:t xml:space="preserve">PCR-RFLP: </w:t>
      </w:r>
      <w:r w:rsidR="00985714" w:rsidRPr="004E3E19">
        <w:rPr>
          <w:rFonts w:ascii="Book Antiqua" w:hAnsi="Book Antiqua" w:cs="Book Antiqua"/>
          <w:color w:val="000000"/>
          <w:kern w:val="0"/>
          <w:sz w:val="24"/>
          <w:lang w:bidi="ar"/>
        </w:rPr>
        <w:t xml:space="preserve">Polymerase </w:t>
      </w:r>
      <w:r w:rsidRPr="004E3E19">
        <w:rPr>
          <w:rFonts w:ascii="Book Antiqua" w:hAnsi="Book Antiqua" w:cs="Book Antiqua"/>
          <w:color w:val="000000"/>
          <w:kern w:val="0"/>
          <w:sz w:val="24"/>
          <w:lang w:bidi="ar"/>
        </w:rPr>
        <w:t xml:space="preserve">chain reaction-restriction fragment length polymorphism; </w:t>
      </w:r>
      <w:r w:rsidRPr="004E3E19">
        <w:rPr>
          <w:rFonts w:ascii="Book Antiqua" w:hAnsi="Book Antiqua" w:cs="Book Antiqua"/>
          <w:sz w:val="24"/>
        </w:rPr>
        <w:t xml:space="preserve">NA: </w:t>
      </w:r>
      <w:r w:rsidR="00985714" w:rsidRPr="004E3E19">
        <w:rPr>
          <w:rFonts w:ascii="Book Antiqua" w:hAnsi="Book Antiqua" w:cs="Book Antiqua"/>
          <w:sz w:val="24"/>
        </w:rPr>
        <w:t xml:space="preserve">Not </w:t>
      </w:r>
      <w:r w:rsidRPr="004E3E19">
        <w:rPr>
          <w:rFonts w:ascii="Book Antiqua" w:hAnsi="Book Antiqua" w:cs="Book Antiqua"/>
          <w:sz w:val="24"/>
        </w:rPr>
        <w:t>available</w:t>
      </w:r>
      <w:r w:rsidR="00985714">
        <w:rPr>
          <w:rFonts w:ascii="Book Antiqua" w:hAnsi="Book Antiqua" w:cs="Book Antiqua" w:hint="eastAsia"/>
          <w:sz w:val="24"/>
        </w:rPr>
        <w:t>.</w:t>
      </w:r>
    </w:p>
    <w:p w:rsidR="00985714" w:rsidRDefault="00985714" w:rsidP="00424106">
      <w:pPr>
        <w:pStyle w:val="EndNoteBibliography"/>
        <w:adjustRightInd w:val="0"/>
        <w:snapToGrid w:val="0"/>
        <w:spacing w:after="0" w:line="360" w:lineRule="auto"/>
        <w:jc w:val="both"/>
        <w:rPr>
          <w:rFonts w:ascii="Book Antiqua" w:hAnsi="Book Antiqua" w:cs="Book Antiqua"/>
          <w:sz w:val="24"/>
        </w:rPr>
      </w:pPr>
    </w:p>
    <w:p w:rsidR="00985714" w:rsidRPr="004E3E19" w:rsidRDefault="00985714" w:rsidP="00424106">
      <w:pPr>
        <w:pStyle w:val="EndNoteBibliography"/>
        <w:adjustRightInd w:val="0"/>
        <w:snapToGrid w:val="0"/>
        <w:spacing w:after="0" w:line="360" w:lineRule="auto"/>
        <w:jc w:val="both"/>
        <w:rPr>
          <w:rFonts w:ascii="Book Antiqua" w:hAnsi="Book Antiqua" w:cs="Book Antiqua"/>
          <w:sz w:val="24"/>
        </w:rPr>
        <w:sectPr w:rsidR="00985714" w:rsidRPr="004E3E19">
          <w:pgSz w:w="23760" w:h="16781" w:orient="landscape"/>
          <w:pgMar w:top="1803" w:right="1440" w:bottom="1803" w:left="1440" w:header="851" w:footer="992" w:gutter="0"/>
          <w:cols w:space="0"/>
          <w:docGrid w:type="lines" w:linePitch="321"/>
        </w:sectPr>
      </w:pPr>
    </w:p>
    <w:p w:rsidR="00D757F8" w:rsidRPr="004E3E19" w:rsidRDefault="002905C9" w:rsidP="00424106">
      <w:pPr>
        <w:pStyle w:val="EndNoteBibliography"/>
        <w:adjustRightInd w:val="0"/>
        <w:snapToGrid w:val="0"/>
        <w:spacing w:after="0" w:line="360" w:lineRule="auto"/>
        <w:ind w:left="504" w:hangingChars="209" w:hanging="504"/>
        <w:rPr>
          <w:rFonts w:ascii="Book Antiqua" w:hAnsi="Book Antiqua" w:cs="Book Antiqua"/>
          <w:b/>
          <w:bCs/>
          <w:sz w:val="24"/>
        </w:rPr>
      </w:pPr>
      <w:r w:rsidRPr="004E3E19">
        <w:rPr>
          <w:rFonts w:ascii="Book Antiqua" w:hAnsi="Book Antiqua" w:cs="Book Antiqua"/>
          <w:b/>
          <w:bCs/>
          <w:sz w:val="24"/>
        </w:rPr>
        <w:lastRenderedPageBreak/>
        <w:t xml:space="preserve">Table 3 Stratified analyses of the COX-2 -1195G&gt;A polymorphism with risk of gastrointestinal cancer </w:t>
      </w:r>
    </w:p>
    <w:tbl>
      <w:tblPr>
        <w:tblpPr w:leftFromText="180" w:rightFromText="180" w:vertAnchor="text" w:horzAnchor="page" w:tblpX="1672" w:tblpY="32"/>
        <w:tblOverlap w:val="never"/>
        <w:tblW w:w="21940" w:type="dxa"/>
        <w:tblBorders>
          <w:top w:val="single" w:sz="12" w:space="0" w:color="auto"/>
          <w:bottom w:val="single" w:sz="12" w:space="0" w:color="auto"/>
        </w:tblBorders>
        <w:tblLayout w:type="fixed"/>
        <w:tblLook w:val="04A0" w:firstRow="1" w:lastRow="0" w:firstColumn="1" w:lastColumn="0" w:noHBand="0" w:noVBand="1"/>
      </w:tblPr>
      <w:tblGrid>
        <w:gridCol w:w="2472"/>
        <w:gridCol w:w="460"/>
        <w:gridCol w:w="1936"/>
        <w:gridCol w:w="797"/>
        <w:gridCol w:w="819"/>
        <w:gridCol w:w="278"/>
        <w:gridCol w:w="1948"/>
        <w:gridCol w:w="826"/>
        <w:gridCol w:w="842"/>
        <w:gridCol w:w="239"/>
        <w:gridCol w:w="2014"/>
        <w:gridCol w:w="794"/>
        <w:gridCol w:w="872"/>
        <w:gridCol w:w="239"/>
        <w:gridCol w:w="1934"/>
        <w:gridCol w:w="800"/>
        <w:gridCol w:w="828"/>
        <w:gridCol w:w="240"/>
        <w:gridCol w:w="1968"/>
        <w:gridCol w:w="780"/>
        <w:gridCol w:w="854"/>
      </w:tblGrid>
      <w:tr w:rsidR="00D757F8" w:rsidRPr="004E3E19">
        <w:trPr>
          <w:trHeight w:val="237"/>
        </w:trPr>
        <w:tc>
          <w:tcPr>
            <w:tcW w:w="2472" w:type="dxa"/>
            <w:tcBorders>
              <w:bottom w:val="nil"/>
            </w:tcBorders>
          </w:tcPr>
          <w:p w:rsidR="00D757F8" w:rsidRPr="004E3E19" w:rsidRDefault="00D757F8" w:rsidP="00424106">
            <w:pPr>
              <w:adjustRightInd w:val="0"/>
              <w:snapToGrid w:val="0"/>
              <w:spacing w:after="0" w:line="360" w:lineRule="auto"/>
              <w:rPr>
                <w:rFonts w:ascii="Book Antiqua" w:hAnsi="Book Antiqua" w:cs="Book Antiqua"/>
                <w:b/>
                <w:bCs/>
                <w:sz w:val="24"/>
              </w:rPr>
            </w:pPr>
          </w:p>
        </w:tc>
        <w:tc>
          <w:tcPr>
            <w:tcW w:w="460" w:type="dxa"/>
            <w:tcBorders>
              <w:bottom w:val="nil"/>
            </w:tcBorders>
            <w:vAlign w:val="center"/>
          </w:tcPr>
          <w:p w:rsidR="00D757F8" w:rsidRPr="004E3E19" w:rsidRDefault="00D757F8" w:rsidP="00424106">
            <w:pPr>
              <w:adjustRightInd w:val="0"/>
              <w:snapToGrid w:val="0"/>
              <w:spacing w:after="0" w:line="360" w:lineRule="auto"/>
              <w:jc w:val="center"/>
              <w:rPr>
                <w:rFonts w:ascii="Book Antiqua" w:hAnsi="Book Antiqua" w:cs="Book Antiqua"/>
                <w:b/>
                <w:bCs/>
                <w:sz w:val="24"/>
              </w:rPr>
            </w:pPr>
          </w:p>
        </w:tc>
        <w:tc>
          <w:tcPr>
            <w:tcW w:w="3552" w:type="dxa"/>
            <w:gridSpan w:val="3"/>
            <w:tcBorders>
              <w:bottom w:val="single" w:sz="4" w:space="0" w:color="auto"/>
            </w:tcBorders>
            <w:vAlign w:val="center"/>
          </w:tcPr>
          <w:p w:rsidR="00D757F8" w:rsidRPr="004E3E19" w:rsidRDefault="002905C9" w:rsidP="00424106">
            <w:pPr>
              <w:adjustRightInd w:val="0"/>
              <w:snapToGrid w:val="0"/>
              <w:spacing w:after="0" w:line="360" w:lineRule="auto"/>
              <w:jc w:val="center"/>
              <w:rPr>
                <w:rFonts w:ascii="Book Antiqua" w:hAnsi="Book Antiqua" w:cs="Book Antiqua"/>
                <w:b/>
                <w:bCs/>
                <w:sz w:val="24"/>
              </w:rPr>
            </w:pPr>
            <w:r w:rsidRPr="004E3E19">
              <w:rPr>
                <w:rFonts w:ascii="Book Antiqua" w:hAnsi="Book Antiqua" w:cs="Book Antiqua"/>
                <w:b/>
                <w:bCs/>
                <w:sz w:val="24"/>
              </w:rPr>
              <w:t>Allele model</w:t>
            </w:r>
            <w:r w:rsidRPr="004E3E19">
              <w:rPr>
                <w:rFonts w:ascii="Book Antiqua" w:hAnsi="Book Antiqua" w:cs="Book Antiqua"/>
                <w:b/>
                <w:bCs/>
                <w:sz w:val="24"/>
              </w:rPr>
              <w:br/>
              <w:t xml:space="preserve"> (A </w:t>
            </w:r>
            <w:r w:rsidR="00670816" w:rsidRPr="004E3E19">
              <w:rPr>
                <w:rFonts w:ascii="Book Antiqua" w:hAnsi="Book Antiqua" w:cs="Book Antiqua"/>
                <w:b/>
                <w:bCs/>
                <w:i/>
                <w:sz w:val="24"/>
              </w:rPr>
              <w:t>vs</w:t>
            </w:r>
            <w:r w:rsidRPr="004E3E19">
              <w:rPr>
                <w:rFonts w:ascii="Book Antiqua" w:hAnsi="Book Antiqua" w:cs="Book Antiqua"/>
                <w:b/>
                <w:bCs/>
                <w:sz w:val="24"/>
              </w:rPr>
              <w:t xml:space="preserve"> G)</w:t>
            </w:r>
          </w:p>
        </w:tc>
        <w:tc>
          <w:tcPr>
            <w:tcW w:w="278" w:type="dxa"/>
            <w:tcBorders>
              <w:bottom w:val="nil"/>
            </w:tcBorders>
            <w:vAlign w:val="center"/>
          </w:tcPr>
          <w:p w:rsidR="00D757F8" w:rsidRPr="004E3E19" w:rsidRDefault="00D757F8" w:rsidP="00424106">
            <w:pPr>
              <w:adjustRightInd w:val="0"/>
              <w:snapToGrid w:val="0"/>
              <w:spacing w:after="0" w:line="360" w:lineRule="auto"/>
              <w:jc w:val="center"/>
              <w:rPr>
                <w:rFonts w:ascii="Book Antiqua" w:hAnsi="Book Antiqua" w:cs="Book Antiqua"/>
                <w:b/>
                <w:bCs/>
                <w:sz w:val="24"/>
              </w:rPr>
            </w:pPr>
          </w:p>
        </w:tc>
        <w:tc>
          <w:tcPr>
            <w:tcW w:w="3616" w:type="dxa"/>
            <w:gridSpan w:val="3"/>
            <w:tcBorders>
              <w:bottom w:val="single" w:sz="4" w:space="0" w:color="auto"/>
            </w:tcBorders>
            <w:vAlign w:val="center"/>
          </w:tcPr>
          <w:p w:rsidR="00D757F8" w:rsidRPr="004E3E19" w:rsidRDefault="002905C9" w:rsidP="00424106">
            <w:pPr>
              <w:adjustRightInd w:val="0"/>
              <w:snapToGrid w:val="0"/>
              <w:spacing w:after="0" w:line="360" w:lineRule="auto"/>
              <w:jc w:val="center"/>
              <w:rPr>
                <w:rFonts w:ascii="Book Antiqua" w:hAnsi="Book Antiqua" w:cs="Book Antiqua"/>
                <w:b/>
                <w:bCs/>
                <w:sz w:val="24"/>
              </w:rPr>
            </w:pPr>
            <w:r w:rsidRPr="004E3E19">
              <w:rPr>
                <w:rFonts w:ascii="Book Antiqua" w:hAnsi="Book Antiqua" w:cs="Book Antiqua"/>
                <w:b/>
                <w:bCs/>
                <w:sz w:val="24"/>
              </w:rPr>
              <w:t>Dominant model</w:t>
            </w:r>
            <w:r w:rsidRPr="004E3E19">
              <w:rPr>
                <w:rFonts w:ascii="Book Antiqua" w:hAnsi="Book Antiqua" w:cs="Book Antiqua"/>
                <w:b/>
                <w:bCs/>
                <w:sz w:val="24"/>
              </w:rPr>
              <w:br/>
              <w:t xml:space="preserve"> (AA/AG </w:t>
            </w:r>
            <w:r w:rsidR="00670816" w:rsidRPr="004E3E19">
              <w:rPr>
                <w:rFonts w:ascii="Book Antiqua" w:hAnsi="Book Antiqua" w:cs="Book Antiqua"/>
                <w:b/>
                <w:bCs/>
                <w:i/>
                <w:sz w:val="24"/>
              </w:rPr>
              <w:t>vs</w:t>
            </w:r>
            <w:r w:rsidRPr="004E3E19">
              <w:rPr>
                <w:rFonts w:ascii="Book Antiqua" w:hAnsi="Book Antiqua" w:cs="Book Antiqua"/>
                <w:b/>
                <w:bCs/>
                <w:sz w:val="24"/>
              </w:rPr>
              <w:t xml:space="preserve"> GG)</w:t>
            </w:r>
          </w:p>
        </w:tc>
        <w:tc>
          <w:tcPr>
            <w:tcW w:w="239" w:type="dxa"/>
            <w:tcBorders>
              <w:bottom w:val="nil"/>
            </w:tcBorders>
            <w:vAlign w:val="center"/>
          </w:tcPr>
          <w:p w:rsidR="00D757F8" w:rsidRPr="004E3E19" w:rsidRDefault="00D757F8" w:rsidP="00424106">
            <w:pPr>
              <w:adjustRightInd w:val="0"/>
              <w:snapToGrid w:val="0"/>
              <w:spacing w:after="0" w:line="360" w:lineRule="auto"/>
              <w:jc w:val="center"/>
              <w:rPr>
                <w:rFonts w:ascii="Book Antiqua" w:hAnsi="Book Antiqua" w:cs="Book Antiqua"/>
                <w:b/>
                <w:bCs/>
                <w:sz w:val="24"/>
              </w:rPr>
            </w:pPr>
          </w:p>
        </w:tc>
        <w:tc>
          <w:tcPr>
            <w:tcW w:w="3680" w:type="dxa"/>
            <w:gridSpan w:val="3"/>
            <w:tcBorders>
              <w:bottom w:val="single" w:sz="4" w:space="0" w:color="auto"/>
            </w:tcBorders>
            <w:vAlign w:val="center"/>
          </w:tcPr>
          <w:p w:rsidR="00D757F8" w:rsidRPr="004E3E19" w:rsidRDefault="002905C9" w:rsidP="00424106">
            <w:pPr>
              <w:adjustRightInd w:val="0"/>
              <w:snapToGrid w:val="0"/>
              <w:spacing w:after="0" w:line="360" w:lineRule="auto"/>
              <w:jc w:val="center"/>
              <w:rPr>
                <w:rFonts w:ascii="Book Antiqua" w:hAnsi="Book Antiqua" w:cs="Book Antiqua"/>
                <w:b/>
                <w:bCs/>
                <w:sz w:val="24"/>
              </w:rPr>
            </w:pPr>
            <w:r w:rsidRPr="004E3E19">
              <w:rPr>
                <w:rFonts w:ascii="Book Antiqua" w:hAnsi="Book Antiqua" w:cs="Book Antiqua"/>
                <w:b/>
                <w:bCs/>
                <w:sz w:val="24"/>
              </w:rPr>
              <w:t xml:space="preserve">Recessive model </w:t>
            </w:r>
            <w:r w:rsidRPr="004E3E19">
              <w:rPr>
                <w:rFonts w:ascii="Book Antiqua" w:hAnsi="Book Antiqua" w:cs="Book Antiqua"/>
                <w:b/>
                <w:bCs/>
                <w:sz w:val="24"/>
              </w:rPr>
              <w:br/>
              <w:t xml:space="preserve">(AA </w:t>
            </w:r>
            <w:r w:rsidR="00670816" w:rsidRPr="004E3E19">
              <w:rPr>
                <w:rFonts w:ascii="Book Antiqua" w:hAnsi="Book Antiqua" w:cs="Book Antiqua"/>
                <w:b/>
                <w:bCs/>
                <w:i/>
                <w:sz w:val="24"/>
              </w:rPr>
              <w:t>vs</w:t>
            </w:r>
            <w:r w:rsidRPr="004E3E19">
              <w:rPr>
                <w:rFonts w:ascii="Book Antiqua" w:hAnsi="Book Antiqua" w:cs="Book Antiqua"/>
                <w:b/>
                <w:bCs/>
                <w:sz w:val="24"/>
              </w:rPr>
              <w:t xml:space="preserve"> GG/AG)</w:t>
            </w:r>
          </w:p>
        </w:tc>
        <w:tc>
          <w:tcPr>
            <w:tcW w:w="239" w:type="dxa"/>
            <w:tcBorders>
              <w:bottom w:val="nil"/>
            </w:tcBorders>
            <w:vAlign w:val="center"/>
          </w:tcPr>
          <w:p w:rsidR="00D757F8" w:rsidRPr="004E3E19" w:rsidRDefault="00D757F8" w:rsidP="00424106">
            <w:pPr>
              <w:adjustRightInd w:val="0"/>
              <w:snapToGrid w:val="0"/>
              <w:spacing w:after="0" w:line="360" w:lineRule="auto"/>
              <w:jc w:val="center"/>
              <w:rPr>
                <w:rFonts w:ascii="Book Antiqua" w:hAnsi="Book Antiqua" w:cs="Book Antiqua"/>
                <w:b/>
                <w:bCs/>
                <w:sz w:val="24"/>
              </w:rPr>
            </w:pPr>
          </w:p>
        </w:tc>
        <w:tc>
          <w:tcPr>
            <w:tcW w:w="3562" w:type="dxa"/>
            <w:gridSpan w:val="3"/>
            <w:tcBorders>
              <w:bottom w:val="single" w:sz="4" w:space="0" w:color="auto"/>
            </w:tcBorders>
            <w:vAlign w:val="center"/>
          </w:tcPr>
          <w:p w:rsidR="00D757F8" w:rsidRPr="004E3E19" w:rsidRDefault="002905C9" w:rsidP="00424106">
            <w:pPr>
              <w:adjustRightInd w:val="0"/>
              <w:snapToGrid w:val="0"/>
              <w:spacing w:after="0" w:line="360" w:lineRule="auto"/>
              <w:jc w:val="center"/>
              <w:rPr>
                <w:rFonts w:ascii="Book Antiqua" w:hAnsi="Book Antiqua" w:cs="Book Antiqua"/>
                <w:b/>
                <w:bCs/>
                <w:sz w:val="24"/>
              </w:rPr>
            </w:pPr>
            <w:r w:rsidRPr="004E3E19">
              <w:rPr>
                <w:rFonts w:ascii="Book Antiqua" w:hAnsi="Book Antiqua" w:cs="Book Antiqua"/>
                <w:b/>
                <w:bCs/>
                <w:sz w:val="24"/>
              </w:rPr>
              <w:t xml:space="preserve">Homozygous comparison </w:t>
            </w:r>
            <w:r w:rsidRPr="004E3E19">
              <w:rPr>
                <w:rFonts w:ascii="Book Antiqua" w:hAnsi="Book Antiqua" w:cs="Book Antiqua"/>
                <w:b/>
                <w:bCs/>
                <w:sz w:val="24"/>
              </w:rPr>
              <w:br/>
              <w:t xml:space="preserve">(AA </w:t>
            </w:r>
            <w:r w:rsidR="00670816" w:rsidRPr="004E3E19">
              <w:rPr>
                <w:rFonts w:ascii="Book Antiqua" w:hAnsi="Book Antiqua" w:cs="Book Antiqua"/>
                <w:b/>
                <w:bCs/>
                <w:i/>
                <w:sz w:val="24"/>
              </w:rPr>
              <w:t>vs</w:t>
            </w:r>
            <w:r w:rsidRPr="004E3E19">
              <w:rPr>
                <w:rFonts w:ascii="Book Antiqua" w:hAnsi="Book Antiqua" w:cs="Book Antiqua"/>
                <w:b/>
                <w:bCs/>
                <w:sz w:val="24"/>
              </w:rPr>
              <w:t xml:space="preserve"> GG)</w:t>
            </w:r>
          </w:p>
        </w:tc>
        <w:tc>
          <w:tcPr>
            <w:tcW w:w="240" w:type="dxa"/>
            <w:tcBorders>
              <w:bottom w:val="nil"/>
            </w:tcBorders>
            <w:vAlign w:val="center"/>
          </w:tcPr>
          <w:p w:rsidR="00D757F8" w:rsidRPr="004E3E19" w:rsidRDefault="00D757F8" w:rsidP="00424106">
            <w:pPr>
              <w:adjustRightInd w:val="0"/>
              <w:snapToGrid w:val="0"/>
              <w:spacing w:after="0" w:line="360" w:lineRule="auto"/>
              <w:jc w:val="center"/>
              <w:rPr>
                <w:rFonts w:ascii="Book Antiqua" w:hAnsi="Book Antiqua" w:cs="Book Antiqua"/>
                <w:b/>
                <w:bCs/>
                <w:sz w:val="24"/>
              </w:rPr>
            </w:pPr>
          </w:p>
        </w:tc>
        <w:tc>
          <w:tcPr>
            <w:tcW w:w="3602" w:type="dxa"/>
            <w:gridSpan w:val="3"/>
            <w:tcBorders>
              <w:bottom w:val="single" w:sz="4" w:space="0" w:color="auto"/>
            </w:tcBorders>
            <w:vAlign w:val="center"/>
          </w:tcPr>
          <w:p w:rsidR="00D757F8" w:rsidRPr="004E3E19" w:rsidRDefault="002905C9" w:rsidP="00424106">
            <w:pPr>
              <w:adjustRightInd w:val="0"/>
              <w:snapToGrid w:val="0"/>
              <w:spacing w:after="0" w:line="360" w:lineRule="auto"/>
              <w:jc w:val="center"/>
              <w:rPr>
                <w:rFonts w:ascii="Book Antiqua" w:hAnsi="Book Antiqua" w:cs="Book Antiqua"/>
                <w:b/>
                <w:bCs/>
                <w:sz w:val="24"/>
              </w:rPr>
            </w:pPr>
            <w:r w:rsidRPr="004E3E19">
              <w:rPr>
                <w:rFonts w:ascii="Book Antiqua" w:hAnsi="Book Antiqua" w:cs="Book Antiqua"/>
                <w:b/>
                <w:bCs/>
                <w:sz w:val="24"/>
              </w:rPr>
              <w:t xml:space="preserve">Heterozygous comparison </w:t>
            </w:r>
            <w:r w:rsidRPr="004E3E19">
              <w:rPr>
                <w:rFonts w:ascii="Book Antiqua" w:hAnsi="Book Antiqua" w:cs="Book Antiqua"/>
                <w:b/>
                <w:bCs/>
                <w:sz w:val="24"/>
              </w:rPr>
              <w:br/>
              <w:t xml:space="preserve">(AG </w:t>
            </w:r>
            <w:r w:rsidR="00670816" w:rsidRPr="004E3E19">
              <w:rPr>
                <w:rFonts w:ascii="Book Antiqua" w:hAnsi="Book Antiqua" w:cs="Book Antiqua"/>
                <w:b/>
                <w:bCs/>
                <w:i/>
                <w:sz w:val="24"/>
              </w:rPr>
              <w:t>vs</w:t>
            </w:r>
            <w:r w:rsidRPr="004E3E19">
              <w:rPr>
                <w:rFonts w:ascii="Book Antiqua" w:hAnsi="Book Antiqua" w:cs="Book Antiqua"/>
                <w:b/>
                <w:bCs/>
                <w:sz w:val="24"/>
              </w:rPr>
              <w:t xml:space="preserve"> GG)</w:t>
            </w:r>
          </w:p>
        </w:tc>
      </w:tr>
      <w:tr w:rsidR="00D757F8" w:rsidRPr="004E3E19">
        <w:trPr>
          <w:trHeight w:val="117"/>
        </w:trPr>
        <w:tc>
          <w:tcPr>
            <w:tcW w:w="2472" w:type="dxa"/>
            <w:tcBorders>
              <w:top w:val="nil"/>
              <w:bottom w:val="single" w:sz="4" w:space="0" w:color="auto"/>
            </w:tcBorders>
          </w:tcPr>
          <w:p w:rsidR="00D757F8" w:rsidRPr="004E3E19" w:rsidRDefault="00D757F8" w:rsidP="00424106">
            <w:pPr>
              <w:adjustRightInd w:val="0"/>
              <w:snapToGrid w:val="0"/>
              <w:spacing w:after="0" w:line="360" w:lineRule="auto"/>
              <w:rPr>
                <w:rFonts w:ascii="Book Antiqua" w:hAnsi="Book Antiqua" w:cs="Book Antiqua"/>
                <w:b/>
                <w:bCs/>
                <w:sz w:val="24"/>
              </w:rPr>
            </w:pPr>
          </w:p>
        </w:tc>
        <w:tc>
          <w:tcPr>
            <w:tcW w:w="460" w:type="dxa"/>
            <w:tcBorders>
              <w:top w:val="nil"/>
              <w:bottom w:val="single" w:sz="4" w:space="0" w:color="auto"/>
            </w:tcBorders>
            <w:vAlign w:val="center"/>
          </w:tcPr>
          <w:p w:rsidR="00D757F8" w:rsidRPr="004578D3" w:rsidRDefault="004578D3" w:rsidP="00424106">
            <w:pPr>
              <w:adjustRightInd w:val="0"/>
              <w:snapToGrid w:val="0"/>
              <w:spacing w:after="0" w:line="360" w:lineRule="auto"/>
              <w:jc w:val="center"/>
              <w:rPr>
                <w:rFonts w:ascii="Book Antiqua" w:hAnsi="Book Antiqua" w:cs="Book Antiqua"/>
                <w:b/>
                <w:bCs/>
                <w:i/>
                <w:sz w:val="24"/>
              </w:rPr>
            </w:pPr>
            <w:r w:rsidRPr="004578D3">
              <w:rPr>
                <w:rFonts w:ascii="Book Antiqua" w:hAnsi="Book Antiqua" w:cs="Book Antiqua"/>
                <w:b/>
                <w:bCs/>
                <w:i/>
                <w:sz w:val="24"/>
              </w:rPr>
              <w:t>n</w:t>
            </w:r>
          </w:p>
        </w:tc>
        <w:tc>
          <w:tcPr>
            <w:tcW w:w="1936" w:type="dxa"/>
            <w:tcBorders>
              <w:top w:val="single" w:sz="4" w:space="0" w:color="auto"/>
              <w:bottom w:val="single" w:sz="4" w:space="0" w:color="auto"/>
            </w:tcBorders>
            <w:vAlign w:val="center"/>
          </w:tcPr>
          <w:p w:rsidR="00D757F8" w:rsidRPr="004E3E19" w:rsidRDefault="00985714" w:rsidP="00424106">
            <w:pPr>
              <w:adjustRightInd w:val="0"/>
              <w:snapToGrid w:val="0"/>
              <w:spacing w:after="0" w:line="360" w:lineRule="auto"/>
              <w:jc w:val="center"/>
              <w:rPr>
                <w:rFonts w:ascii="Book Antiqua" w:hAnsi="Book Antiqua" w:cs="Book Antiqua"/>
                <w:b/>
                <w:bCs/>
                <w:sz w:val="24"/>
              </w:rPr>
            </w:pPr>
            <w:r>
              <w:rPr>
                <w:rFonts w:ascii="Book Antiqua" w:hAnsi="Book Antiqua" w:cs="Book Antiqua"/>
                <w:b/>
                <w:bCs/>
                <w:sz w:val="24"/>
              </w:rPr>
              <w:t>OR (95%</w:t>
            </w:r>
            <w:r w:rsidR="002905C9" w:rsidRPr="004E3E19">
              <w:rPr>
                <w:rFonts w:ascii="Book Antiqua" w:hAnsi="Book Antiqua" w:cs="Book Antiqua"/>
                <w:b/>
                <w:bCs/>
                <w:sz w:val="24"/>
              </w:rPr>
              <w:t>CI)</w:t>
            </w:r>
          </w:p>
        </w:tc>
        <w:tc>
          <w:tcPr>
            <w:tcW w:w="797" w:type="dxa"/>
            <w:tcBorders>
              <w:top w:val="single" w:sz="4" w:space="0" w:color="auto"/>
              <w:bottom w:val="single" w:sz="4" w:space="0" w:color="auto"/>
            </w:tcBorders>
            <w:vAlign w:val="center"/>
          </w:tcPr>
          <w:p w:rsidR="00D757F8" w:rsidRPr="004E3E19" w:rsidRDefault="002905C9" w:rsidP="00424106">
            <w:pPr>
              <w:adjustRightInd w:val="0"/>
              <w:snapToGrid w:val="0"/>
              <w:spacing w:after="0" w:line="360" w:lineRule="auto"/>
              <w:jc w:val="center"/>
              <w:rPr>
                <w:rFonts w:ascii="Book Antiqua" w:hAnsi="Book Antiqua" w:cs="Book Antiqua"/>
                <w:b/>
                <w:bCs/>
                <w:sz w:val="24"/>
              </w:rPr>
            </w:pPr>
            <w:r w:rsidRPr="00985714">
              <w:rPr>
                <w:rFonts w:ascii="Book Antiqua" w:hAnsi="Book Antiqua" w:cs="Book Antiqua"/>
                <w:b/>
                <w:bCs/>
                <w:i/>
                <w:sz w:val="24"/>
              </w:rPr>
              <w:t>P</w:t>
            </w:r>
            <w:r w:rsidRPr="004E3E19">
              <w:rPr>
                <w:rFonts w:ascii="Book Antiqua" w:hAnsi="Book Antiqua" w:cs="Book Antiqua"/>
                <w:b/>
                <w:bCs/>
                <w:sz w:val="24"/>
                <w:vertAlign w:val="subscript"/>
              </w:rPr>
              <w:t>h</w:t>
            </w:r>
          </w:p>
        </w:tc>
        <w:tc>
          <w:tcPr>
            <w:tcW w:w="819" w:type="dxa"/>
            <w:tcBorders>
              <w:top w:val="single" w:sz="4" w:space="0" w:color="auto"/>
              <w:bottom w:val="single" w:sz="4" w:space="0" w:color="auto"/>
            </w:tcBorders>
            <w:vAlign w:val="center"/>
          </w:tcPr>
          <w:p w:rsidR="00D757F8" w:rsidRPr="004E3E19" w:rsidRDefault="002905C9" w:rsidP="00424106">
            <w:pPr>
              <w:adjustRightInd w:val="0"/>
              <w:snapToGrid w:val="0"/>
              <w:spacing w:after="0" w:line="360" w:lineRule="auto"/>
              <w:jc w:val="center"/>
              <w:rPr>
                <w:rFonts w:ascii="Book Antiqua" w:hAnsi="Book Antiqua" w:cs="Book Antiqua"/>
                <w:b/>
                <w:bCs/>
                <w:sz w:val="24"/>
              </w:rPr>
            </w:pPr>
            <w:r w:rsidRPr="004E3E19">
              <w:rPr>
                <w:rFonts w:ascii="Book Antiqua" w:hAnsi="Book Antiqua" w:cs="Book Antiqua"/>
                <w:b/>
                <w:bCs/>
                <w:sz w:val="24"/>
              </w:rPr>
              <w:t>FPRP</w:t>
            </w:r>
          </w:p>
        </w:tc>
        <w:tc>
          <w:tcPr>
            <w:tcW w:w="278" w:type="dxa"/>
            <w:tcBorders>
              <w:top w:val="nil"/>
              <w:bottom w:val="single" w:sz="4" w:space="0" w:color="auto"/>
            </w:tcBorders>
            <w:vAlign w:val="center"/>
          </w:tcPr>
          <w:p w:rsidR="00D757F8" w:rsidRPr="004E3E19" w:rsidRDefault="00D757F8" w:rsidP="00424106">
            <w:pPr>
              <w:adjustRightInd w:val="0"/>
              <w:snapToGrid w:val="0"/>
              <w:spacing w:after="0" w:line="360" w:lineRule="auto"/>
              <w:jc w:val="center"/>
              <w:rPr>
                <w:rFonts w:ascii="Book Antiqua" w:hAnsi="Book Antiqua" w:cs="Book Antiqua"/>
                <w:b/>
                <w:bCs/>
                <w:sz w:val="24"/>
              </w:rPr>
            </w:pPr>
          </w:p>
        </w:tc>
        <w:tc>
          <w:tcPr>
            <w:tcW w:w="1948" w:type="dxa"/>
            <w:tcBorders>
              <w:top w:val="single" w:sz="4" w:space="0" w:color="auto"/>
              <w:bottom w:val="single" w:sz="4" w:space="0" w:color="auto"/>
            </w:tcBorders>
            <w:vAlign w:val="center"/>
          </w:tcPr>
          <w:p w:rsidR="00D757F8" w:rsidRPr="004E3E19" w:rsidRDefault="00985714" w:rsidP="00424106">
            <w:pPr>
              <w:adjustRightInd w:val="0"/>
              <w:snapToGrid w:val="0"/>
              <w:spacing w:after="0" w:line="360" w:lineRule="auto"/>
              <w:jc w:val="center"/>
              <w:rPr>
                <w:rFonts w:ascii="Book Antiqua" w:hAnsi="Book Antiqua" w:cs="Book Antiqua"/>
                <w:b/>
                <w:bCs/>
                <w:sz w:val="24"/>
              </w:rPr>
            </w:pPr>
            <w:r>
              <w:rPr>
                <w:rFonts w:ascii="Book Antiqua" w:hAnsi="Book Antiqua" w:cs="Book Antiqua"/>
                <w:b/>
                <w:bCs/>
                <w:sz w:val="24"/>
              </w:rPr>
              <w:t>OR</w:t>
            </w:r>
            <w:r>
              <w:rPr>
                <w:rFonts w:ascii="Book Antiqua" w:hAnsi="Book Antiqua" w:cs="Book Antiqua" w:hint="eastAsia"/>
                <w:b/>
                <w:bCs/>
                <w:sz w:val="24"/>
              </w:rPr>
              <w:t xml:space="preserve"> </w:t>
            </w:r>
            <w:r>
              <w:rPr>
                <w:rFonts w:ascii="Book Antiqua" w:hAnsi="Book Antiqua" w:cs="Book Antiqua"/>
                <w:b/>
                <w:bCs/>
                <w:sz w:val="24"/>
              </w:rPr>
              <w:t>(95%</w:t>
            </w:r>
            <w:r w:rsidR="002905C9" w:rsidRPr="004E3E19">
              <w:rPr>
                <w:rFonts w:ascii="Book Antiqua" w:hAnsi="Book Antiqua" w:cs="Book Antiqua"/>
                <w:b/>
                <w:bCs/>
                <w:sz w:val="24"/>
              </w:rPr>
              <w:t>CI)</w:t>
            </w:r>
          </w:p>
        </w:tc>
        <w:tc>
          <w:tcPr>
            <w:tcW w:w="826" w:type="dxa"/>
            <w:tcBorders>
              <w:top w:val="single" w:sz="4" w:space="0" w:color="auto"/>
              <w:bottom w:val="single" w:sz="4" w:space="0" w:color="auto"/>
            </w:tcBorders>
            <w:vAlign w:val="center"/>
          </w:tcPr>
          <w:p w:rsidR="00D757F8" w:rsidRPr="004E3E19" w:rsidRDefault="002905C9" w:rsidP="00424106">
            <w:pPr>
              <w:adjustRightInd w:val="0"/>
              <w:snapToGrid w:val="0"/>
              <w:spacing w:after="0" w:line="360" w:lineRule="auto"/>
              <w:jc w:val="center"/>
              <w:rPr>
                <w:rFonts w:ascii="Book Antiqua" w:hAnsi="Book Antiqua" w:cs="Book Antiqua"/>
                <w:b/>
                <w:bCs/>
                <w:sz w:val="24"/>
              </w:rPr>
            </w:pPr>
            <w:r w:rsidRPr="00985714">
              <w:rPr>
                <w:rFonts w:ascii="Book Antiqua" w:hAnsi="Book Antiqua" w:cs="Book Antiqua"/>
                <w:b/>
                <w:bCs/>
                <w:i/>
                <w:sz w:val="24"/>
              </w:rPr>
              <w:t>P</w:t>
            </w:r>
            <w:r w:rsidRPr="004E3E19">
              <w:rPr>
                <w:rFonts w:ascii="Book Antiqua" w:hAnsi="Book Antiqua" w:cs="Book Antiqua"/>
                <w:b/>
                <w:bCs/>
                <w:sz w:val="24"/>
                <w:vertAlign w:val="subscript"/>
              </w:rPr>
              <w:t>h</w:t>
            </w:r>
          </w:p>
        </w:tc>
        <w:tc>
          <w:tcPr>
            <w:tcW w:w="842" w:type="dxa"/>
            <w:tcBorders>
              <w:top w:val="single" w:sz="4" w:space="0" w:color="auto"/>
              <w:bottom w:val="single" w:sz="4" w:space="0" w:color="auto"/>
            </w:tcBorders>
            <w:vAlign w:val="center"/>
          </w:tcPr>
          <w:p w:rsidR="00D757F8" w:rsidRPr="004E3E19" w:rsidRDefault="002905C9" w:rsidP="00424106">
            <w:pPr>
              <w:adjustRightInd w:val="0"/>
              <w:snapToGrid w:val="0"/>
              <w:spacing w:after="0" w:line="360" w:lineRule="auto"/>
              <w:jc w:val="center"/>
              <w:rPr>
                <w:rFonts w:ascii="Book Antiqua" w:hAnsi="Book Antiqua" w:cs="Book Antiqua"/>
                <w:b/>
                <w:bCs/>
                <w:sz w:val="24"/>
              </w:rPr>
            </w:pPr>
            <w:r w:rsidRPr="004E3E19">
              <w:rPr>
                <w:rFonts w:ascii="Book Antiqua" w:hAnsi="Book Antiqua" w:cs="Book Antiqua"/>
                <w:b/>
                <w:bCs/>
                <w:sz w:val="24"/>
              </w:rPr>
              <w:t>FPRP</w:t>
            </w:r>
          </w:p>
        </w:tc>
        <w:tc>
          <w:tcPr>
            <w:tcW w:w="239" w:type="dxa"/>
            <w:tcBorders>
              <w:top w:val="nil"/>
              <w:bottom w:val="single" w:sz="4" w:space="0" w:color="auto"/>
            </w:tcBorders>
            <w:vAlign w:val="center"/>
          </w:tcPr>
          <w:p w:rsidR="00D757F8" w:rsidRPr="004E3E19" w:rsidRDefault="00D757F8" w:rsidP="00424106">
            <w:pPr>
              <w:adjustRightInd w:val="0"/>
              <w:snapToGrid w:val="0"/>
              <w:spacing w:after="0" w:line="360" w:lineRule="auto"/>
              <w:jc w:val="center"/>
              <w:rPr>
                <w:rFonts w:ascii="Book Antiqua" w:hAnsi="Book Antiqua" w:cs="Book Antiqua"/>
                <w:b/>
                <w:bCs/>
                <w:sz w:val="24"/>
              </w:rPr>
            </w:pPr>
          </w:p>
        </w:tc>
        <w:tc>
          <w:tcPr>
            <w:tcW w:w="2014" w:type="dxa"/>
            <w:tcBorders>
              <w:top w:val="single" w:sz="4" w:space="0" w:color="auto"/>
              <w:bottom w:val="single" w:sz="4" w:space="0" w:color="auto"/>
            </w:tcBorders>
            <w:vAlign w:val="center"/>
          </w:tcPr>
          <w:p w:rsidR="00D757F8" w:rsidRPr="004E3E19" w:rsidRDefault="00985714" w:rsidP="00424106">
            <w:pPr>
              <w:adjustRightInd w:val="0"/>
              <w:snapToGrid w:val="0"/>
              <w:spacing w:after="0" w:line="360" w:lineRule="auto"/>
              <w:jc w:val="center"/>
              <w:rPr>
                <w:rFonts w:ascii="Book Antiqua" w:hAnsi="Book Antiqua" w:cs="Book Antiqua"/>
                <w:b/>
                <w:bCs/>
                <w:sz w:val="24"/>
              </w:rPr>
            </w:pPr>
            <w:r>
              <w:rPr>
                <w:rFonts w:ascii="Book Antiqua" w:hAnsi="Book Antiqua" w:cs="Book Antiqua"/>
                <w:b/>
                <w:bCs/>
                <w:sz w:val="24"/>
              </w:rPr>
              <w:t>OR (95%</w:t>
            </w:r>
            <w:r w:rsidR="002905C9" w:rsidRPr="004E3E19">
              <w:rPr>
                <w:rFonts w:ascii="Book Antiqua" w:hAnsi="Book Antiqua" w:cs="Book Antiqua"/>
                <w:b/>
                <w:bCs/>
                <w:sz w:val="24"/>
              </w:rPr>
              <w:t>CI)</w:t>
            </w:r>
          </w:p>
        </w:tc>
        <w:tc>
          <w:tcPr>
            <w:tcW w:w="794" w:type="dxa"/>
            <w:tcBorders>
              <w:top w:val="single" w:sz="4" w:space="0" w:color="auto"/>
              <w:bottom w:val="single" w:sz="4" w:space="0" w:color="auto"/>
            </w:tcBorders>
            <w:vAlign w:val="center"/>
          </w:tcPr>
          <w:p w:rsidR="00D757F8" w:rsidRPr="004E3E19" w:rsidRDefault="002905C9" w:rsidP="00424106">
            <w:pPr>
              <w:adjustRightInd w:val="0"/>
              <w:snapToGrid w:val="0"/>
              <w:spacing w:after="0" w:line="360" w:lineRule="auto"/>
              <w:jc w:val="center"/>
              <w:rPr>
                <w:rFonts w:ascii="Book Antiqua" w:hAnsi="Book Antiqua" w:cs="Book Antiqua"/>
                <w:b/>
                <w:bCs/>
                <w:sz w:val="24"/>
              </w:rPr>
            </w:pPr>
            <w:r w:rsidRPr="00985714">
              <w:rPr>
                <w:rFonts w:ascii="Book Antiqua" w:hAnsi="Book Antiqua" w:cs="Book Antiqua"/>
                <w:b/>
                <w:bCs/>
                <w:i/>
                <w:sz w:val="24"/>
              </w:rPr>
              <w:t>P</w:t>
            </w:r>
            <w:r w:rsidRPr="004E3E19">
              <w:rPr>
                <w:rFonts w:ascii="Book Antiqua" w:hAnsi="Book Antiqua" w:cs="Book Antiqua"/>
                <w:b/>
                <w:bCs/>
                <w:sz w:val="24"/>
                <w:vertAlign w:val="subscript"/>
              </w:rPr>
              <w:t>h</w:t>
            </w:r>
          </w:p>
        </w:tc>
        <w:tc>
          <w:tcPr>
            <w:tcW w:w="872" w:type="dxa"/>
            <w:tcBorders>
              <w:top w:val="single" w:sz="4" w:space="0" w:color="auto"/>
              <w:bottom w:val="single" w:sz="4" w:space="0" w:color="auto"/>
            </w:tcBorders>
            <w:vAlign w:val="center"/>
          </w:tcPr>
          <w:p w:rsidR="00D757F8" w:rsidRPr="004E3E19" w:rsidRDefault="002905C9" w:rsidP="00424106">
            <w:pPr>
              <w:adjustRightInd w:val="0"/>
              <w:snapToGrid w:val="0"/>
              <w:spacing w:after="0" w:line="360" w:lineRule="auto"/>
              <w:jc w:val="center"/>
              <w:rPr>
                <w:rFonts w:ascii="Book Antiqua" w:hAnsi="Book Antiqua" w:cs="Book Antiqua"/>
                <w:b/>
                <w:bCs/>
                <w:sz w:val="24"/>
              </w:rPr>
            </w:pPr>
            <w:r w:rsidRPr="004E3E19">
              <w:rPr>
                <w:rFonts w:ascii="Book Antiqua" w:hAnsi="Book Antiqua" w:cs="Book Antiqua"/>
                <w:b/>
                <w:bCs/>
                <w:sz w:val="24"/>
              </w:rPr>
              <w:t>FPRP</w:t>
            </w:r>
          </w:p>
        </w:tc>
        <w:tc>
          <w:tcPr>
            <w:tcW w:w="239" w:type="dxa"/>
            <w:tcBorders>
              <w:top w:val="nil"/>
              <w:bottom w:val="single" w:sz="4" w:space="0" w:color="auto"/>
            </w:tcBorders>
            <w:vAlign w:val="center"/>
          </w:tcPr>
          <w:p w:rsidR="00D757F8" w:rsidRPr="004E3E19" w:rsidRDefault="00D757F8" w:rsidP="00424106">
            <w:pPr>
              <w:adjustRightInd w:val="0"/>
              <w:snapToGrid w:val="0"/>
              <w:spacing w:after="0" w:line="360" w:lineRule="auto"/>
              <w:jc w:val="center"/>
              <w:rPr>
                <w:rFonts w:ascii="Book Antiqua" w:hAnsi="Book Antiqua" w:cs="Book Antiqua"/>
                <w:b/>
                <w:bCs/>
                <w:sz w:val="24"/>
              </w:rPr>
            </w:pPr>
          </w:p>
        </w:tc>
        <w:tc>
          <w:tcPr>
            <w:tcW w:w="1934" w:type="dxa"/>
            <w:tcBorders>
              <w:top w:val="single" w:sz="4" w:space="0" w:color="auto"/>
              <w:bottom w:val="single" w:sz="4" w:space="0" w:color="auto"/>
            </w:tcBorders>
            <w:vAlign w:val="center"/>
          </w:tcPr>
          <w:p w:rsidR="00D757F8" w:rsidRPr="004E3E19" w:rsidRDefault="00985714" w:rsidP="00424106">
            <w:pPr>
              <w:adjustRightInd w:val="0"/>
              <w:snapToGrid w:val="0"/>
              <w:spacing w:after="0" w:line="360" w:lineRule="auto"/>
              <w:jc w:val="center"/>
              <w:rPr>
                <w:rFonts w:ascii="Book Antiqua" w:hAnsi="Book Antiqua" w:cs="Book Antiqua"/>
                <w:b/>
                <w:bCs/>
                <w:sz w:val="24"/>
              </w:rPr>
            </w:pPr>
            <w:r>
              <w:rPr>
                <w:rFonts w:ascii="Book Antiqua" w:hAnsi="Book Antiqua" w:cs="Book Antiqua"/>
                <w:b/>
                <w:bCs/>
                <w:sz w:val="24"/>
              </w:rPr>
              <w:t>OR (95%</w:t>
            </w:r>
            <w:r w:rsidR="002905C9" w:rsidRPr="004E3E19">
              <w:rPr>
                <w:rFonts w:ascii="Book Antiqua" w:hAnsi="Book Antiqua" w:cs="Book Antiqua"/>
                <w:b/>
                <w:bCs/>
                <w:sz w:val="24"/>
              </w:rPr>
              <w:t>CI)</w:t>
            </w:r>
          </w:p>
        </w:tc>
        <w:tc>
          <w:tcPr>
            <w:tcW w:w="800" w:type="dxa"/>
            <w:tcBorders>
              <w:top w:val="single" w:sz="4" w:space="0" w:color="auto"/>
              <w:bottom w:val="single" w:sz="4" w:space="0" w:color="auto"/>
            </w:tcBorders>
            <w:vAlign w:val="center"/>
          </w:tcPr>
          <w:p w:rsidR="00D757F8" w:rsidRPr="004E3E19" w:rsidRDefault="002905C9" w:rsidP="00424106">
            <w:pPr>
              <w:adjustRightInd w:val="0"/>
              <w:snapToGrid w:val="0"/>
              <w:spacing w:after="0" w:line="360" w:lineRule="auto"/>
              <w:jc w:val="center"/>
              <w:rPr>
                <w:rFonts w:ascii="Book Antiqua" w:hAnsi="Book Antiqua" w:cs="Book Antiqua"/>
                <w:b/>
                <w:bCs/>
                <w:sz w:val="24"/>
              </w:rPr>
            </w:pPr>
            <w:r w:rsidRPr="00985714">
              <w:rPr>
                <w:rFonts w:ascii="Book Antiqua" w:hAnsi="Book Antiqua" w:cs="Book Antiqua"/>
                <w:b/>
                <w:bCs/>
                <w:i/>
                <w:sz w:val="24"/>
              </w:rPr>
              <w:t>P</w:t>
            </w:r>
            <w:r w:rsidRPr="004E3E19">
              <w:rPr>
                <w:rFonts w:ascii="Book Antiqua" w:hAnsi="Book Antiqua" w:cs="Book Antiqua"/>
                <w:b/>
                <w:bCs/>
                <w:sz w:val="24"/>
                <w:vertAlign w:val="subscript"/>
              </w:rPr>
              <w:t>h</w:t>
            </w:r>
          </w:p>
        </w:tc>
        <w:tc>
          <w:tcPr>
            <w:tcW w:w="828" w:type="dxa"/>
            <w:tcBorders>
              <w:top w:val="single" w:sz="4" w:space="0" w:color="auto"/>
              <w:bottom w:val="single" w:sz="4" w:space="0" w:color="auto"/>
            </w:tcBorders>
            <w:vAlign w:val="center"/>
          </w:tcPr>
          <w:p w:rsidR="00D757F8" w:rsidRPr="004E3E19" w:rsidRDefault="002905C9" w:rsidP="00424106">
            <w:pPr>
              <w:adjustRightInd w:val="0"/>
              <w:snapToGrid w:val="0"/>
              <w:spacing w:after="0" w:line="360" w:lineRule="auto"/>
              <w:jc w:val="center"/>
              <w:rPr>
                <w:rFonts w:ascii="Book Antiqua" w:hAnsi="Book Antiqua" w:cs="Book Antiqua"/>
                <w:b/>
                <w:bCs/>
                <w:sz w:val="24"/>
              </w:rPr>
            </w:pPr>
            <w:r w:rsidRPr="004E3E19">
              <w:rPr>
                <w:rFonts w:ascii="Book Antiqua" w:hAnsi="Book Antiqua" w:cs="Book Antiqua"/>
                <w:b/>
                <w:bCs/>
                <w:sz w:val="24"/>
              </w:rPr>
              <w:t>FPRP</w:t>
            </w:r>
          </w:p>
        </w:tc>
        <w:tc>
          <w:tcPr>
            <w:tcW w:w="240" w:type="dxa"/>
            <w:tcBorders>
              <w:top w:val="nil"/>
              <w:bottom w:val="single" w:sz="4" w:space="0" w:color="auto"/>
            </w:tcBorders>
            <w:vAlign w:val="center"/>
          </w:tcPr>
          <w:p w:rsidR="00D757F8" w:rsidRPr="004E3E19" w:rsidRDefault="00D757F8" w:rsidP="00424106">
            <w:pPr>
              <w:adjustRightInd w:val="0"/>
              <w:snapToGrid w:val="0"/>
              <w:spacing w:after="0" w:line="360" w:lineRule="auto"/>
              <w:jc w:val="center"/>
              <w:rPr>
                <w:rFonts w:ascii="Book Antiqua" w:hAnsi="Book Antiqua" w:cs="Book Antiqua"/>
                <w:b/>
                <w:bCs/>
                <w:sz w:val="24"/>
              </w:rPr>
            </w:pPr>
          </w:p>
        </w:tc>
        <w:tc>
          <w:tcPr>
            <w:tcW w:w="1968" w:type="dxa"/>
            <w:tcBorders>
              <w:top w:val="single" w:sz="4" w:space="0" w:color="auto"/>
              <w:bottom w:val="single" w:sz="4" w:space="0" w:color="auto"/>
            </w:tcBorders>
            <w:vAlign w:val="center"/>
          </w:tcPr>
          <w:p w:rsidR="00D757F8" w:rsidRPr="004E3E19" w:rsidRDefault="002905C9" w:rsidP="00424106">
            <w:pPr>
              <w:adjustRightInd w:val="0"/>
              <w:snapToGrid w:val="0"/>
              <w:spacing w:after="0" w:line="360" w:lineRule="auto"/>
              <w:jc w:val="center"/>
              <w:rPr>
                <w:rFonts w:ascii="Book Antiqua" w:hAnsi="Book Antiqua" w:cs="Book Antiqua"/>
                <w:b/>
                <w:bCs/>
                <w:sz w:val="24"/>
              </w:rPr>
            </w:pPr>
            <w:r w:rsidRPr="004E3E19">
              <w:rPr>
                <w:rFonts w:ascii="Book Antiqua" w:hAnsi="Book Antiqua" w:cs="Book Antiqua"/>
                <w:b/>
                <w:bCs/>
                <w:sz w:val="24"/>
              </w:rPr>
              <w:t>OR (95% CI)</w:t>
            </w:r>
          </w:p>
        </w:tc>
        <w:tc>
          <w:tcPr>
            <w:tcW w:w="780" w:type="dxa"/>
            <w:tcBorders>
              <w:top w:val="single" w:sz="4" w:space="0" w:color="auto"/>
              <w:bottom w:val="single" w:sz="4" w:space="0" w:color="auto"/>
            </w:tcBorders>
            <w:vAlign w:val="center"/>
          </w:tcPr>
          <w:p w:rsidR="00D757F8" w:rsidRPr="004E3E19" w:rsidRDefault="002905C9" w:rsidP="00424106">
            <w:pPr>
              <w:adjustRightInd w:val="0"/>
              <w:snapToGrid w:val="0"/>
              <w:spacing w:after="0" w:line="360" w:lineRule="auto"/>
              <w:jc w:val="center"/>
              <w:rPr>
                <w:rFonts w:ascii="Book Antiqua" w:hAnsi="Book Antiqua" w:cs="Book Antiqua"/>
                <w:b/>
                <w:bCs/>
                <w:sz w:val="24"/>
              </w:rPr>
            </w:pPr>
            <w:r w:rsidRPr="004E3E19">
              <w:rPr>
                <w:rFonts w:ascii="Book Antiqua" w:hAnsi="Book Antiqua" w:cs="Book Antiqua"/>
                <w:b/>
                <w:bCs/>
                <w:sz w:val="24"/>
              </w:rPr>
              <w:t>P</w:t>
            </w:r>
            <w:r w:rsidRPr="004E3E19">
              <w:rPr>
                <w:rFonts w:ascii="Book Antiqua" w:hAnsi="Book Antiqua" w:cs="Book Antiqua"/>
                <w:b/>
                <w:bCs/>
                <w:sz w:val="24"/>
                <w:vertAlign w:val="subscript"/>
              </w:rPr>
              <w:t>h</w:t>
            </w:r>
          </w:p>
        </w:tc>
        <w:tc>
          <w:tcPr>
            <w:tcW w:w="854" w:type="dxa"/>
            <w:tcBorders>
              <w:top w:val="single" w:sz="4" w:space="0" w:color="auto"/>
              <w:bottom w:val="single" w:sz="4" w:space="0" w:color="auto"/>
            </w:tcBorders>
            <w:vAlign w:val="center"/>
          </w:tcPr>
          <w:p w:rsidR="00D757F8" w:rsidRPr="004E3E19" w:rsidRDefault="002905C9" w:rsidP="00424106">
            <w:pPr>
              <w:adjustRightInd w:val="0"/>
              <w:snapToGrid w:val="0"/>
              <w:spacing w:after="0" w:line="360" w:lineRule="auto"/>
              <w:jc w:val="center"/>
              <w:rPr>
                <w:rFonts w:ascii="Book Antiqua" w:hAnsi="Book Antiqua" w:cs="Book Antiqua"/>
                <w:b/>
                <w:bCs/>
                <w:sz w:val="24"/>
              </w:rPr>
            </w:pPr>
            <w:r w:rsidRPr="004E3E19">
              <w:rPr>
                <w:rFonts w:ascii="Book Antiqua" w:hAnsi="Book Antiqua" w:cs="Book Antiqua"/>
                <w:b/>
                <w:bCs/>
                <w:sz w:val="24"/>
              </w:rPr>
              <w:t>FPRP</w:t>
            </w:r>
          </w:p>
        </w:tc>
      </w:tr>
      <w:tr w:rsidR="00D757F8" w:rsidRPr="004E3E19">
        <w:trPr>
          <w:trHeight w:val="117"/>
        </w:trPr>
        <w:tc>
          <w:tcPr>
            <w:tcW w:w="2472" w:type="dxa"/>
          </w:tcPr>
          <w:p w:rsidR="00D757F8" w:rsidRPr="004E3E19" w:rsidRDefault="002905C9" w:rsidP="00424106">
            <w:pPr>
              <w:adjustRightInd w:val="0"/>
              <w:snapToGrid w:val="0"/>
              <w:spacing w:after="0" w:line="360" w:lineRule="auto"/>
              <w:rPr>
                <w:rFonts w:ascii="Book Antiqua" w:hAnsi="Book Antiqua" w:cs="Book Antiqua"/>
                <w:sz w:val="24"/>
              </w:rPr>
            </w:pPr>
            <w:r w:rsidRPr="004E3E19">
              <w:rPr>
                <w:rFonts w:ascii="Book Antiqua" w:hAnsi="Book Antiqua" w:cs="Book Antiqua"/>
                <w:b/>
                <w:bCs/>
                <w:sz w:val="24"/>
              </w:rPr>
              <w:t>Total</w:t>
            </w:r>
          </w:p>
        </w:tc>
        <w:tc>
          <w:tcPr>
            <w:tcW w:w="46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28</w:t>
            </w:r>
          </w:p>
        </w:tc>
        <w:tc>
          <w:tcPr>
            <w:tcW w:w="1936"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1.15 (1.04, 1.26)</w:t>
            </w:r>
            <w:r w:rsidR="00985714" w:rsidRPr="00985714">
              <w:rPr>
                <w:rFonts w:ascii="Book Antiqua" w:hAnsi="Book Antiqua" w:cs="Book Antiqua" w:hint="eastAsia"/>
                <w:b/>
                <w:bCs/>
                <w:sz w:val="24"/>
                <w:vertAlign w:val="superscript"/>
              </w:rPr>
              <w:t>1</w:t>
            </w:r>
          </w:p>
        </w:tc>
        <w:tc>
          <w:tcPr>
            <w:tcW w:w="797"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19"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0.730</w:t>
            </w:r>
          </w:p>
        </w:tc>
        <w:tc>
          <w:tcPr>
            <w:tcW w:w="27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4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1.24 (1.06, 1.45)</w:t>
            </w:r>
            <w:r w:rsidR="00985714" w:rsidRPr="00985714">
              <w:rPr>
                <w:rFonts w:ascii="Book Antiqua" w:hAnsi="Book Antiqua" w:cs="Book Antiqua" w:hint="eastAsia"/>
                <w:b/>
                <w:bCs/>
                <w:sz w:val="24"/>
                <w:vertAlign w:val="superscript"/>
              </w:rPr>
              <w:t>1</w:t>
            </w:r>
          </w:p>
        </w:tc>
        <w:tc>
          <w:tcPr>
            <w:tcW w:w="826"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42"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0.876</w:t>
            </w: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01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1.16 (1.04, 1.30)</w:t>
            </w:r>
            <w:r w:rsidR="00985714" w:rsidRPr="00985714">
              <w:rPr>
                <w:rFonts w:ascii="Book Antiqua" w:hAnsi="Book Antiqua" w:cs="Book Antiqua" w:hint="eastAsia"/>
                <w:b/>
                <w:bCs/>
                <w:sz w:val="24"/>
                <w:vertAlign w:val="superscript"/>
              </w:rPr>
              <w:t>1</w:t>
            </w:r>
          </w:p>
        </w:tc>
        <w:tc>
          <w:tcPr>
            <w:tcW w:w="79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72"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0.914</w:t>
            </w: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3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1.31 (1.08, 1.59)</w:t>
            </w:r>
            <w:r w:rsidR="00985714" w:rsidRPr="00985714">
              <w:rPr>
                <w:rFonts w:ascii="Book Antiqua" w:hAnsi="Book Antiqua" w:cs="Book Antiqua" w:hint="eastAsia"/>
                <w:b/>
                <w:bCs/>
                <w:sz w:val="24"/>
                <w:vertAlign w:val="superscript"/>
              </w:rPr>
              <w:t>1</w:t>
            </w:r>
          </w:p>
        </w:tc>
        <w:tc>
          <w:tcPr>
            <w:tcW w:w="80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2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0.873</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6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1.18 (1.04, 1.34)</w:t>
            </w:r>
            <w:r w:rsidR="00985714" w:rsidRPr="00985714">
              <w:rPr>
                <w:rFonts w:ascii="Book Antiqua" w:hAnsi="Book Antiqua" w:cs="Book Antiqua" w:hint="eastAsia"/>
                <w:b/>
                <w:bCs/>
                <w:sz w:val="24"/>
                <w:vertAlign w:val="superscript"/>
              </w:rPr>
              <w:t>1</w:t>
            </w:r>
          </w:p>
        </w:tc>
        <w:tc>
          <w:tcPr>
            <w:tcW w:w="78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0.007</w:t>
            </w:r>
          </w:p>
        </w:tc>
        <w:tc>
          <w:tcPr>
            <w:tcW w:w="85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0.915</w:t>
            </w:r>
          </w:p>
        </w:tc>
      </w:tr>
      <w:tr w:rsidR="00D757F8" w:rsidRPr="004E3E19">
        <w:trPr>
          <w:trHeight w:val="114"/>
        </w:trPr>
        <w:tc>
          <w:tcPr>
            <w:tcW w:w="2472" w:type="dxa"/>
            <w:vAlign w:val="center"/>
          </w:tcPr>
          <w:p w:rsidR="00D757F8" w:rsidRPr="004E3E19" w:rsidRDefault="002905C9" w:rsidP="00424106">
            <w:pPr>
              <w:adjustRightInd w:val="0"/>
              <w:snapToGrid w:val="0"/>
              <w:spacing w:after="0" w:line="360" w:lineRule="auto"/>
              <w:rPr>
                <w:rFonts w:ascii="Book Antiqua" w:hAnsi="Book Antiqua" w:cs="Book Antiqua"/>
                <w:sz w:val="24"/>
              </w:rPr>
            </w:pPr>
            <w:r w:rsidRPr="004E3E19">
              <w:rPr>
                <w:rFonts w:ascii="Book Antiqua" w:hAnsi="Book Antiqua" w:cs="Book Antiqua"/>
                <w:b/>
                <w:bCs/>
                <w:sz w:val="24"/>
              </w:rPr>
              <w:t>Type of Cancer</w:t>
            </w:r>
          </w:p>
        </w:tc>
        <w:tc>
          <w:tcPr>
            <w:tcW w:w="46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36"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797"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1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7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4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26"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42"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014"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794"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72"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34"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0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2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6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78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54"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r>
      <w:tr w:rsidR="00D757F8" w:rsidRPr="004E3E19">
        <w:trPr>
          <w:trHeight w:val="114"/>
        </w:trPr>
        <w:tc>
          <w:tcPr>
            <w:tcW w:w="2472" w:type="dxa"/>
            <w:vAlign w:val="center"/>
          </w:tcPr>
          <w:p w:rsidR="00D757F8" w:rsidRPr="004E3E19" w:rsidRDefault="002905C9" w:rsidP="00424106">
            <w:pPr>
              <w:adjustRightInd w:val="0"/>
              <w:snapToGrid w:val="0"/>
              <w:spacing w:after="0" w:line="360" w:lineRule="auto"/>
              <w:rPr>
                <w:rFonts w:ascii="Book Antiqua" w:hAnsi="Book Antiqua" w:cs="Book Antiqua"/>
                <w:sz w:val="24"/>
              </w:rPr>
            </w:pPr>
            <w:r w:rsidRPr="004E3E19">
              <w:rPr>
                <w:rFonts w:ascii="Book Antiqua" w:hAnsi="Book Antiqua" w:cs="Book Antiqua"/>
                <w:sz w:val="24"/>
              </w:rPr>
              <w:t>Gastric cancer</w:t>
            </w:r>
          </w:p>
        </w:tc>
        <w:tc>
          <w:tcPr>
            <w:tcW w:w="46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11</w:t>
            </w:r>
          </w:p>
        </w:tc>
        <w:tc>
          <w:tcPr>
            <w:tcW w:w="1936"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1.35 (1.14, 1.59)</w:t>
            </w:r>
            <w:r w:rsidR="00985714" w:rsidRPr="00985714">
              <w:rPr>
                <w:rFonts w:ascii="Book Antiqua" w:hAnsi="Book Antiqua" w:cs="Book Antiqua" w:hint="eastAsia"/>
                <w:b/>
                <w:bCs/>
                <w:sz w:val="24"/>
                <w:vertAlign w:val="superscript"/>
              </w:rPr>
              <w:t>1</w:t>
            </w:r>
          </w:p>
        </w:tc>
        <w:tc>
          <w:tcPr>
            <w:tcW w:w="797"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19"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0.266</w:t>
            </w:r>
          </w:p>
        </w:tc>
        <w:tc>
          <w:tcPr>
            <w:tcW w:w="27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4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1.54 (1.20, 1.96)</w:t>
            </w:r>
            <w:r w:rsidR="00985714" w:rsidRPr="00985714">
              <w:rPr>
                <w:rFonts w:ascii="Book Antiqua" w:hAnsi="Book Antiqua" w:cs="Book Antiqua" w:hint="eastAsia"/>
                <w:b/>
                <w:bCs/>
                <w:sz w:val="24"/>
                <w:vertAlign w:val="superscript"/>
              </w:rPr>
              <w:t>1</w:t>
            </w:r>
          </w:p>
        </w:tc>
        <w:tc>
          <w:tcPr>
            <w:tcW w:w="826"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42"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0.519</w:t>
            </w: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01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1.43 (1.18, 1.72)</w:t>
            </w:r>
            <w:r w:rsidR="00985714" w:rsidRPr="00985714">
              <w:rPr>
                <w:rFonts w:ascii="Book Antiqua" w:hAnsi="Book Antiqua" w:cs="Book Antiqua" w:hint="eastAsia"/>
                <w:b/>
                <w:bCs/>
                <w:sz w:val="24"/>
                <w:vertAlign w:val="superscript"/>
              </w:rPr>
              <w:t>1</w:t>
            </w:r>
          </w:p>
        </w:tc>
        <w:tc>
          <w:tcPr>
            <w:tcW w:w="79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0.002</w:t>
            </w:r>
          </w:p>
        </w:tc>
        <w:tc>
          <w:tcPr>
            <w:tcW w:w="872"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0.174</w:t>
            </w: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3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1.80 (1.36, 2.39)</w:t>
            </w:r>
            <w:r w:rsidR="00985714" w:rsidRPr="00985714">
              <w:rPr>
                <w:rFonts w:ascii="Book Antiqua" w:hAnsi="Book Antiqua" w:cs="Book Antiqua" w:hint="eastAsia"/>
                <w:b/>
                <w:bCs/>
                <w:sz w:val="24"/>
                <w:vertAlign w:val="superscript"/>
              </w:rPr>
              <w:t>1</w:t>
            </w:r>
          </w:p>
        </w:tc>
        <w:tc>
          <w:tcPr>
            <w:tcW w:w="80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2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0.318</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6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1.35 (1.11, 1.65)</w:t>
            </w:r>
            <w:r w:rsidR="00985714" w:rsidRPr="00985714">
              <w:rPr>
                <w:rFonts w:ascii="Book Antiqua" w:hAnsi="Book Antiqua" w:cs="Book Antiqua" w:hint="eastAsia"/>
                <w:b/>
                <w:bCs/>
                <w:sz w:val="24"/>
                <w:vertAlign w:val="superscript"/>
              </w:rPr>
              <w:t>1</w:t>
            </w:r>
          </w:p>
        </w:tc>
        <w:tc>
          <w:tcPr>
            <w:tcW w:w="78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0.038</w:t>
            </w:r>
          </w:p>
        </w:tc>
        <w:tc>
          <w:tcPr>
            <w:tcW w:w="85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0.799</w:t>
            </w:r>
          </w:p>
        </w:tc>
      </w:tr>
      <w:tr w:rsidR="00D757F8" w:rsidRPr="004E3E19">
        <w:trPr>
          <w:trHeight w:val="114"/>
        </w:trPr>
        <w:tc>
          <w:tcPr>
            <w:tcW w:w="2472" w:type="dxa"/>
            <w:vAlign w:val="center"/>
          </w:tcPr>
          <w:p w:rsidR="00D757F8" w:rsidRPr="004E3E19" w:rsidRDefault="002905C9" w:rsidP="00424106">
            <w:pPr>
              <w:adjustRightInd w:val="0"/>
              <w:snapToGrid w:val="0"/>
              <w:spacing w:after="0" w:line="360" w:lineRule="auto"/>
              <w:rPr>
                <w:rFonts w:ascii="Book Antiqua" w:hAnsi="Book Antiqua" w:cs="Book Antiqua"/>
                <w:sz w:val="24"/>
              </w:rPr>
            </w:pPr>
            <w:r w:rsidRPr="004E3E19">
              <w:rPr>
                <w:rFonts w:ascii="Book Antiqua" w:hAnsi="Book Antiqua" w:cs="Book Antiqua"/>
                <w:sz w:val="24"/>
              </w:rPr>
              <w:t>Colorectal cancer</w:t>
            </w:r>
          </w:p>
        </w:tc>
        <w:tc>
          <w:tcPr>
            <w:tcW w:w="46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17</w:t>
            </w:r>
          </w:p>
        </w:tc>
        <w:tc>
          <w:tcPr>
            <w:tcW w:w="1936"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1.04 (0.94, 1.15)</w:t>
            </w:r>
          </w:p>
        </w:tc>
        <w:tc>
          <w:tcPr>
            <w:tcW w:w="797"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19"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0.998</w:t>
            </w:r>
          </w:p>
        </w:tc>
        <w:tc>
          <w:tcPr>
            <w:tcW w:w="27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4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1.05 (0.87, 1.28)</w:t>
            </w:r>
          </w:p>
        </w:tc>
        <w:tc>
          <w:tcPr>
            <w:tcW w:w="826"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0.002</w:t>
            </w:r>
          </w:p>
        </w:tc>
        <w:tc>
          <w:tcPr>
            <w:tcW w:w="842"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0.998</w:t>
            </w: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01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1.04 (0.93, 1.18)</w:t>
            </w:r>
          </w:p>
        </w:tc>
        <w:tc>
          <w:tcPr>
            <w:tcW w:w="79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72"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0.998</w:t>
            </w: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3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1.05 (0.83, 1.32)</w:t>
            </w:r>
          </w:p>
        </w:tc>
        <w:tc>
          <w:tcPr>
            <w:tcW w:w="80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2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0.999</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6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1.06 (0.90, 1.25)</w:t>
            </w:r>
          </w:p>
        </w:tc>
        <w:tc>
          <w:tcPr>
            <w:tcW w:w="78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0.060</w:t>
            </w:r>
          </w:p>
        </w:tc>
        <w:tc>
          <w:tcPr>
            <w:tcW w:w="85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0.998</w:t>
            </w:r>
          </w:p>
        </w:tc>
      </w:tr>
      <w:tr w:rsidR="00D757F8" w:rsidRPr="004E3E19">
        <w:trPr>
          <w:trHeight w:val="114"/>
        </w:trPr>
        <w:tc>
          <w:tcPr>
            <w:tcW w:w="2472" w:type="dxa"/>
            <w:vAlign w:val="center"/>
          </w:tcPr>
          <w:p w:rsidR="00D757F8" w:rsidRPr="004E3E19" w:rsidRDefault="002905C9" w:rsidP="00424106">
            <w:pPr>
              <w:adjustRightInd w:val="0"/>
              <w:snapToGrid w:val="0"/>
              <w:spacing w:after="0" w:line="360" w:lineRule="auto"/>
              <w:rPr>
                <w:rFonts w:ascii="Book Antiqua" w:hAnsi="Book Antiqua" w:cs="Book Antiqua"/>
                <w:color w:val="FF0000"/>
                <w:sz w:val="24"/>
              </w:rPr>
            </w:pPr>
            <w:r w:rsidRPr="004E3E19">
              <w:rPr>
                <w:rFonts w:ascii="Book Antiqua" w:hAnsi="Book Antiqua" w:cs="Book Antiqua"/>
                <w:b/>
                <w:bCs/>
                <w:sz w:val="24"/>
              </w:rPr>
              <w:t>Ethnicity</w:t>
            </w:r>
          </w:p>
        </w:tc>
        <w:tc>
          <w:tcPr>
            <w:tcW w:w="46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36"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797"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1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7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4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26"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42"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014"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794"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72"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34"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0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2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6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78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54"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r>
      <w:tr w:rsidR="00D757F8" w:rsidRPr="004E3E19">
        <w:trPr>
          <w:trHeight w:val="114"/>
        </w:trPr>
        <w:tc>
          <w:tcPr>
            <w:tcW w:w="2472" w:type="dxa"/>
          </w:tcPr>
          <w:p w:rsidR="00D757F8" w:rsidRPr="004E3E19" w:rsidRDefault="002905C9" w:rsidP="00424106">
            <w:pPr>
              <w:adjustRightInd w:val="0"/>
              <w:snapToGrid w:val="0"/>
              <w:spacing w:after="0" w:line="360" w:lineRule="auto"/>
              <w:rPr>
                <w:rFonts w:ascii="Book Antiqua" w:hAnsi="Book Antiqua" w:cs="Book Antiqua"/>
                <w:sz w:val="24"/>
              </w:rPr>
            </w:pPr>
            <w:r w:rsidRPr="004E3E19">
              <w:rPr>
                <w:rFonts w:ascii="Book Antiqua" w:hAnsi="Book Antiqua" w:cs="Book Antiqua"/>
                <w:sz w:val="24"/>
              </w:rPr>
              <w:t>Asian</w:t>
            </w:r>
          </w:p>
        </w:tc>
        <w:tc>
          <w:tcPr>
            <w:tcW w:w="46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14</w:t>
            </w:r>
          </w:p>
        </w:tc>
        <w:tc>
          <w:tcPr>
            <w:tcW w:w="1936"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1.30 (1.14, 1.48)</w:t>
            </w:r>
            <w:r w:rsidR="00985714" w:rsidRPr="00985714">
              <w:rPr>
                <w:rFonts w:ascii="Book Antiqua" w:hAnsi="Book Antiqua" w:cs="Book Antiqua" w:hint="eastAsia"/>
                <w:b/>
                <w:bCs/>
                <w:sz w:val="24"/>
                <w:vertAlign w:val="superscript"/>
              </w:rPr>
              <w:t>1</w:t>
            </w:r>
          </w:p>
        </w:tc>
        <w:tc>
          <w:tcPr>
            <w:tcW w:w="797"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19"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0.069</w:t>
            </w:r>
          </w:p>
        </w:tc>
        <w:tc>
          <w:tcPr>
            <w:tcW w:w="27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4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1.50 (1.23, 1.84)</w:t>
            </w:r>
            <w:r w:rsidR="00985714" w:rsidRPr="00985714">
              <w:rPr>
                <w:rFonts w:ascii="Book Antiqua" w:hAnsi="Book Antiqua" w:cs="Book Antiqua" w:hint="eastAsia"/>
                <w:b/>
                <w:bCs/>
                <w:sz w:val="24"/>
                <w:vertAlign w:val="superscript"/>
              </w:rPr>
              <w:t>1</w:t>
            </w:r>
          </w:p>
        </w:tc>
        <w:tc>
          <w:tcPr>
            <w:tcW w:w="826"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42"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0.167</w:t>
            </w: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01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1.35 (1.14, 1.60)</w:t>
            </w:r>
            <w:r w:rsidR="00985714" w:rsidRPr="00985714">
              <w:rPr>
                <w:rFonts w:ascii="Book Antiqua" w:hAnsi="Book Antiqua" w:cs="Book Antiqua" w:hint="eastAsia"/>
                <w:b/>
                <w:bCs/>
                <w:sz w:val="24"/>
                <w:vertAlign w:val="superscript"/>
              </w:rPr>
              <w:t>1</w:t>
            </w:r>
          </w:p>
        </w:tc>
        <w:tc>
          <w:tcPr>
            <w:tcW w:w="79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72"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0.376</w:t>
            </w: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3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1.71 (1.33, 2.18)</w:t>
            </w:r>
            <w:r w:rsidR="00985714" w:rsidRPr="00985714">
              <w:rPr>
                <w:rFonts w:ascii="Book Antiqua" w:hAnsi="Book Antiqua" w:cs="Book Antiqua" w:hint="eastAsia"/>
                <w:b/>
                <w:bCs/>
                <w:sz w:val="24"/>
                <w:vertAlign w:val="superscript"/>
              </w:rPr>
              <w:t>1</w:t>
            </w:r>
          </w:p>
        </w:tc>
        <w:tc>
          <w:tcPr>
            <w:tcW w:w="80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2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0.093</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6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1.37 (1.15, 1.62)</w:t>
            </w:r>
            <w:r w:rsidR="00985714" w:rsidRPr="00985714">
              <w:rPr>
                <w:rFonts w:ascii="Book Antiqua" w:hAnsi="Book Antiqua" w:cs="Book Antiqua" w:hint="eastAsia"/>
                <w:b/>
                <w:bCs/>
                <w:sz w:val="24"/>
                <w:vertAlign w:val="superscript"/>
              </w:rPr>
              <w:t>1</w:t>
            </w:r>
          </w:p>
        </w:tc>
        <w:tc>
          <w:tcPr>
            <w:tcW w:w="78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0.007</w:t>
            </w:r>
          </w:p>
        </w:tc>
        <w:tc>
          <w:tcPr>
            <w:tcW w:w="85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0.213</w:t>
            </w:r>
          </w:p>
        </w:tc>
      </w:tr>
      <w:tr w:rsidR="00D757F8" w:rsidRPr="004E3E19">
        <w:trPr>
          <w:trHeight w:val="114"/>
        </w:trPr>
        <w:tc>
          <w:tcPr>
            <w:tcW w:w="2472" w:type="dxa"/>
          </w:tcPr>
          <w:p w:rsidR="00D757F8" w:rsidRPr="004E3E19" w:rsidRDefault="002905C9" w:rsidP="00424106">
            <w:pPr>
              <w:adjustRightInd w:val="0"/>
              <w:snapToGrid w:val="0"/>
              <w:spacing w:after="0" w:line="360" w:lineRule="auto"/>
              <w:rPr>
                <w:rFonts w:ascii="Book Antiqua" w:hAnsi="Book Antiqua" w:cs="Book Antiqua"/>
                <w:sz w:val="24"/>
              </w:rPr>
            </w:pPr>
            <w:r w:rsidRPr="004E3E19">
              <w:rPr>
                <w:rFonts w:ascii="Book Antiqua" w:hAnsi="Book Antiqua" w:cs="Book Antiqua"/>
                <w:sz w:val="24"/>
              </w:rPr>
              <w:t>Caucasian</w:t>
            </w:r>
          </w:p>
        </w:tc>
        <w:tc>
          <w:tcPr>
            <w:tcW w:w="46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12</w:t>
            </w:r>
          </w:p>
        </w:tc>
        <w:tc>
          <w:tcPr>
            <w:tcW w:w="1936"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1.00 (0.89, 1.11)</w:t>
            </w:r>
          </w:p>
        </w:tc>
        <w:tc>
          <w:tcPr>
            <w:tcW w:w="797"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19"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0.999</w:t>
            </w:r>
          </w:p>
        </w:tc>
        <w:tc>
          <w:tcPr>
            <w:tcW w:w="27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4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0.91 (0.76, 1.08)</w:t>
            </w:r>
          </w:p>
        </w:tc>
        <w:tc>
          <w:tcPr>
            <w:tcW w:w="826"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0.360</w:t>
            </w:r>
          </w:p>
        </w:tc>
        <w:tc>
          <w:tcPr>
            <w:tcW w:w="842"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0.996</w:t>
            </w: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01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1.01 (0.89, 1.15)</w:t>
            </w:r>
          </w:p>
        </w:tc>
        <w:tc>
          <w:tcPr>
            <w:tcW w:w="79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72"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0.999</w:t>
            </w: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3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0.91 (0.74, 1.11)</w:t>
            </w:r>
          </w:p>
        </w:tc>
        <w:tc>
          <w:tcPr>
            <w:tcW w:w="80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0.186</w:t>
            </w:r>
          </w:p>
        </w:tc>
        <w:tc>
          <w:tcPr>
            <w:tcW w:w="82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0.997</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6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0.92 (0.77, 1.09)</w:t>
            </w:r>
          </w:p>
        </w:tc>
        <w:tc>
          <w:tcPr>
            <w:tcW w:w="78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0.749</w:t>
            </w:r>
          </w:p>
        </w:tc>
        <w:tc>
          <w:tcPr>
            <w:tcW w:w="85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0.997</w:t>
            </w:r>
          </w:p>
        </w:tc>
      </w:tr>
      <w:tr w:rsidR="00D757F8" w:rsidRPr="004E3E19">
        <w:trPr>
          <w:trHeight w:val="114"/>
        </w:trPr>
        <w:tc>
          <w:tcPr>
            <w:tcW w:w="2472" w:type="dxa"/>
          </w:tcPr>
          <w:p w:rsidR="00D757F8" w:rsidRPr="004E3E19" w:rsidRDefault="002905C9" w:rsidP="00424106">
            <w:pPr>
              <w:adjustRightInd w:val="0"/>
              <w:snapToGrid w:val="0"/>
              <w:spacing w:after="0" w:line="360" w:lineRule="auto"/>
              <w:rPr>
                <w:rFonts w:ascii="Book Antiqua" w:hAnsi="Book Antiqua" w:cs="Book Antiqua"/>
                <w:sz w:val="24"/>
              </w:rPr>
            </w:pPr>
            <w:r w:rsidRPr="004E3E19">
              <w:rPr>
                <w:rFonts w:ascii="Book Antiqua" w:hAnsi="Book Antiqua" w:cs="Book Antiqua"/>
                <w:sz w:val="24"/>
              </w:rPr>
              <w:t>Mixed</w:t>
            </w:r>
          </w:p>
        </w:tc>
        <w:tc>
          <w:tcPr>
            <w:tcW w:w="46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2</w:t>
            </w:r>
          </w:p>
        </w:tc>
        <w:tc>
          <w:tcPr>
            <w:tcW w:w="1936"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1.10 (0.93, 1.31)</w:t>
            </w:r>
          </w:p>
        </w:tc>
        <w:tc>
          <w:tcPr>
            <w:tcW w:w="797"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0.612</w:t>
            </w:r>
          </w:p>
        </w:tc>
        <w:tc>
          <w:tcPr>
            <w:tcW w:w="819"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0.997</w:t>
            </w:r>
          </w:p>
        </w:tc>
        <w:tc>
          <w:tcPr>
            <w:tcW w:w="27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4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1.13 (0.74, 1.73)</w:t>
            </w:r>
          </w:p>
        </w:tc>
        <w:tc>
          <w:tcPr>
            <w:tcW w:w="826"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0.466</w:t>
            </w:r>
          </w:p>
        </w:tc>
        <w:tc>
          <w:tcPr>
            <w:tcW w:w="842"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0.998</w:t>
            </w: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01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1.13 (0.91, 1.40)</w:t>
            </w:r>
          </w:p>
        </w:tc>
        <w:tc>
          <w:tcPr>
            <w:tcW w:w="79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0.781</w:t>
            </w:r>
          </w:p>
        </w:tc>
        <w:tc>
          <w:tcPr>
            <w:tcW w:w="872"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0.996</w:t>
            </w: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3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1.20 (0.76, 1.88)</w:t>
            </w:r>
          </w:p>
        </w:tc>
        <w:tc>
          <w:tcPr>
            <w:tcW w:w="80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0.482</w:t>
            </w:r>
          </w:p>
        </w:tc>
        <w:tc>
          <w:tcPr>
            <w:tcW w:w="82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0.998</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6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1.09 (0.69, 1.70)</w:t>
            </w:r>
          </w:p>
        </w:tc>
        <w:tc>
          <w:tcPr>
            <w:tcW w:w="78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0.534</w:t>
            </w:r>
          </w:p>
        </w:tc>
        <w:tc>
          <w:tcPr>
            <w:tcW w:w="85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0.999</w:t>
            </w:r>
          </w:p>
        </w:tc>
      </w:tr>
      <w:tr w:rsidR="00D757F8" w:rsidRPr="004E3E19">
        <w:trPr>
          <w:trHeight w:val="114"/>
        </w:trPr>
        <w:tc>
          <w:tcPr>
            <w:tcW w:w="2472" w:type="dxa"/>
          </w:tcPr>
          <w:p w:rsidR="00D757F8" w:rsidRPr="004E3E19" w:rsidRDefault="002905C9" w:rsidP="00424106">
            <w:pPr>
              <w:adjustRightInd w:val="0"/>
              <w:snapToGrid w:val="0"/>
              <w:spacing w:after="0" w:line="360" w:lineRule="auto"/>
              <w:rPr>
                <w:rFonts w:ascii="Book Antiqua" w:hAnsi="Book Antiqua" w:cs="Book Antiqua"/>
                <w:sz w:val="24"/>
                <w:lang w:bidi="ar"/>
              </w:rPr>
            </w:pPr>
            <w:r w:rsidRPr="004E3E19">
              <w:rPr>
                <w:rFonts w:ascii="Book Antiqua" w:hAnsi="Book Antiqua" w:cs="Book Antiqua"/>
                <w:b/>
                <w:bCs/>
                <w:sz w:val="24"/>
              </w:rPr>
              <w:t>Source of Controls</w:t>
            </w:r>
          </w:p>
        </w:tc>
        <w:tc>
          <w:tcPr>
            <w:tcW w:w="46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36"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797"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1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7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4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26"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42"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014"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794"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72"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34"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0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2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6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78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54"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r>
      <w:tr w:rsidR="00D757F8" w:rsidRPr="004E3E19">
        <w:trPr>
          <w:trHeight w:val="114"/>
        </w:trPr>
        <w:tc>
          <w:tcPr>
            <w:tcW w:w="2472" w:type="dxa"/>
          </w:tcPr>
          <w:p w:rsidR="00D757F8" w:rsidRPr="004E3E19" w:rsidRDefault="002905C9" w:rsidP="00424106">
            <w:pPr>
              <w:adjustRightInd w:val="0"/>
              <w:snapToGrid w:val="0"/>
              <w:spacing w:after="0" w:line="360" w:lineRule="auto"/>
              <w:rPr>
                <w:rFonts w:ascii="Book Antiqua" w:hAnsi="Book Antiqua" w:cs="Book Antiqua"/>
                <w:sz w:val="24"/>
                <w:lang w:bidi="ar"/>
              </w:rPr>
            </w:pPr>
            <w:r w:rsidRPr="004E3E19">
              <w:rPr>
                <w:rFonts w:ascii="Book Antiqua" w:hAnsi="Book Antiqua" w:cs="Book Antiqua"/>
                <w:sz w:val="24"/>
              </w:rPr>
              <w:t>PB</w:t>
            </w:r>
          </w:p>
        </w:tc>
        <w:tc>
          <w:tcPr>
            <w:tcW w:w="46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22</w:t>
            </w:r>
          </w:p>
        </w:tc>
        <w:tc>
          <w:tcPr>
            <w:tcW w:w="1936"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1.16 (1.06, 1.25)</w:t>
            </w:r>
            <w:r w:rsidR="00985714" w:rsidRPr="00985714">
              <w:rPr>
                <w:rFonts w:ascii="Book Antiqua" w:hAnsi="Book Antiqua" w:cs="Book Antiqua" w:hint="eastAsia"/>
                <w:b/>
                <w:bCs/>
                <w:sz w:val="24"/>
                <w:vertAlign w:val="superscript"/>
              </w:rPr>
              <w:t>1</w:t>
            </w:r>
          </w:p>
        </w:tc>
        <w:tc>
          <w:tcPr>
            <w:tcW w:w="797"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19"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0.090</w:t>
            </w:r>
          </w:p>
        </w:tc>
        <w:tc>
          <w:tcPr>
            <w:tcW w:w="27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4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1.26 (1.09, 1.45)</w:t>
            </w:r>
            <w:r w:rsidR="00985714" w:rsidRPr="00985714">
              <w:rPr>
                <w:rFonts w:ascii="Book Antiqua" w:hAnsi="Book Antiqua" w:cs="Book Antiqua" w:hint="eastAsia"/>
                <w:b/>
                <w:bCs/>
                <w:sz w:val="24"/>
                <w:vertAlign w:val="superscript"/>
              </w:rPr>
              <w:t>1</w:t>
            </w:r>
          </w:p>
        </w:tc>
        <w:tc>
          <w:tcPr>
            <w:tcW w:w="826"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0.003</w:t>
            </w:r>
          </w:p>
        </w:tc>
        <w:tc>
          <w:tcPr>
            <w:tcW w:w="842"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0.559</w:t>
            </w: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01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1.19 (1.07, 1.33)</w:t>
            </w:r>
            <w:r w:rsidR="00985714" w:rsidRPr="00985714">
              <w:rPr>
                <w:rFonts w:ascii="Book Antiqua" w:hAnsi="Book Antiqua" w:cs="Book Antiqua" w:hint="eastAsia"/>
                <w:b/>
                <w:bCs/>
                <w:sz w:val="24"/>
                <w:vertAlign w:val="superscript"/>
              </w:rPr>
              <w:t>1</w:t>
            </w:r>
          </w:p>
        </w:tc>
        <w:tc>
          <w:tcPr>
            <w:tcW w:w="79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72"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0.685</w:t>
            </w: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3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1.35 (1.13, 1.61)</w:t>
            </w:r>
            <w:r w:rsidR="00985714" w:rsidRPr="00985714">
              <w:rPr>
                <w:rFonts w:ascii="Book Antiqua" w:hAnsi="Book Antiqua" w:cs="Book Antiqua" w:hint="eastAsia"/>
                <w:b/>
                <w:bCs/>
                <w:sz w:val="24"/>
                <w:vertAlign w:val="superscript"/>
              </w:rPr>
              <w:t>1</w:t>
            </w:r>
          </w:p>
        </w:tc>
        <w:tc>
          <w:tcPr>
            <w:tcW w:w="80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2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0.488</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6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1.19 (1.04, 1.36)</w:t>
            </w:r>
            <w:r w:rsidR="00985714" w:rsidRPr="00985714">
              <w:rPr>
                <w:rFonts w:ascii="Book Antiqua" w:hAnsi="Book Antiqua" w:cs="Book Antiqua" w:hint="eastAsia"/>
                <w:b/>
                <w:bCs/>
                <w:sz w:val="24"/>
                <w:vertAlign w:val="superscript"/>
              </w:rPr>
              <w:t>1</w:t>
            </w:r>
          </w:p>
        </w:tc>
        <w:tc>
          <w:tcPr>
            <w:tcW w:w="78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0.031</w:t>
            </w:r>
          </w:p>
        </w:tc>
        <w:tc>
          <w:tcPr>
            <w:tcW w:w="85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0.914</w:t>
            </w:r>
          </w:p>
        </w:tc>
      </w:tr>
      <w:tr w:rsidR="00D757F8" w:rsidRPr="004E3E19">
        <w:trPr>
          <w:trHeight w:val="114"/>
        </w:trPr>
        <w:tc>
          <w:tcPr>
            <w:tcW w:w="2472" w:type="dxa"/>
          </w:tcPr>
          <w:p w:rsidR="00D757F8" w:rsidRPr="004E3E19" w:rsidRDefault="002905C9" w:rsidP="00424106">
            <w:pPr>
              <w:adjustRightInd w:val="0"/>
              <w:snapToGrid w:val="0"/>
              <w:spacing w:after="0" w:line="360" w:lineRule="auto"/>
              <w:rPr>
                <w:rFonts w:ascii="Book Antiqua" w:hAnsi="Book Antiqua" w:cs="Book Antiqua"/>
                <w:sz w:val="24"/>
                <w:lang w:bidi="ar"/>
              </w:rPr>
            </w:pPr>
            <w:r w:rsidRPr="004E3E19">
              <w:rPr>
                <w:rFonts w:ascii="Book Antiqua" w:hAnsi="Book Antiqua" w:cs="Book Antiqua"/>
                <w:sz w:val="24"/>
              </w:rPr>
              <w:t>HB</w:t>
            </w:r>
          </w:p>
        </w:tc>
        <w:tc>
          <w:tcPr>
            <w:tcW w:w="46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6</w:t>
            </w:r>
          </w:p>
        </w:tc>
        <w:tc>
          <w:tcPr>
            <w:tcW w:w="1936"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1.12 (0.75, 1.67)</w:t>
            </w:r>
          </w:p>
        </w:tc>
        <w:tc>
          <w:tcPr>
            <w:tcW w:w="797"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19"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0.998</w:t>
            </w:r>
          </w:p>
        </w:tc>
        <w:tc>
          <w:tcPr>
            <w:tcW w:w="27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4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1.14 (0.60, 2.15)</w:t>
            </w:r>
          </w:p>
        </w:tc>
        <w:tc>
          <w:tcPr>
            <w:tcW w:w="826"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42"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0.999</w:t>
            </w: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01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1.08 (0.72, 1.63)</w:t>
            </w:r>
          </w:p>
        </w:tc>
        <w:tc>
          <w:tcPr>
            <w:tcW w:w="79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72"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0.999</w:t>
            </w: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3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1.15 (0.54, 2.45)</w:t>
            </w:r>
          </w:p>
        </w:tc>
        <w:tc>
          <w:tcPr>
            <w:tcW w:w="80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2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0.999</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6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1.12 (0.73, 1.71)</w:t>
            </w:r>
          </w:p>
        </w:tc>
        <w:tc>
          <w:tcPr>
            <w:tcW w:w="78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0.021</w:t>
            </w:r>
          </w:p>
        </w:tc>
        <w:tc>
          <w:tcPr>
            <w:tcW w:w="85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0.998</w:t>
            </w:r>
          </w:p>
        </w:tc>
      </w:tr>
      <w:tr w:rsidR="00D757F8" w:rsidRPr="004E3E19">
        <w:trPr>
          <w:trHeight w:val="114"/>
        </w:trPr>
        <w:tc>
          <w:tcPr>
            <w:tcW w:w="2472" w:type="dxa"/>
          </w:tcPr>
          <w:p w:rsidR="00D757F8" w:rsidRPr="004E3E19" w:rsidRDefault="002905C9" w:rsidP="00424106">
            <w:pPr>
              <w:adjustRightInd w:val="0"/>
              <w:snapToGrid w:val="0"/>
              <w:spacing w:after="0" w:line="360" w:lineRule="auto"/>
              <w:rPr>
                <w:rFonts w:ascii="Book Antiqua" w:hAnsi="Book Antiqua" w:cs="Book Antiqua"/>
                <w:sz w:val="24"/>
              </w:rPr>
            </w:pPr>
            <w:r w:rsidRPr="004E3E19">
              <w:rPr>
                <w:rFonts w:ascii="Book Antiqua" w:hAnsi="Book Antiqua" w:cs="Book Antiqua"/>
                <w:b/>
                <w:bCs/>
                <w:sz w:val="24"/>
              </w:rPr>
              <w:t>Study quality</w:t>
            </w:r>
          </w:p>
        </w:tc>
        <w:tc>
          <w:tcPr>
            <w:tcW w:w="46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36"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797"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1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7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4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26"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42"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014"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794"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72"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34"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0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2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6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78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54"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r>
      <w:tr w:rsidR="00D757F8" w:rsidRPr="004E3E19">
        <w:trPr>
          <w:trHeight w:val="114"/>
        </w:trPr>
        <w:tc>
          <w:tcPr>
            <w:tcW w:w="2472" w:type="dxa"/>
          </w:tcPr>
          <w:p w:rsidR="00D757F8" w:rsidRPr="004E3E19" w:rsidRDefault="002905C9" w:rsidP="00424106">
            <w:pPr>
              <w:adjustRightInd w:val="0"/>
              <w:snapToGrid w:val="0"/>
              <w:spacing w:after="0" w:line="360" w:lineRule="auto"/>
              <w:rPr>
                <w:rFonts w:ascii="Book Antiqua" w:hAnsi="Book Antiqua" w:cs="Book Antiqua"/>
                <w:sz w:val="24"/>
              </w:rPr>
            </w:pPr>
            <w:r w:rsidRPr="004E3E19">
              <w:rPr>
                <w:rFonts w:ascii="Book Antiqua" w:hAnsi="Book Antiqua" w:cs="Book Antiqua"/>
                <w:sz w:val="24"/>
              </w:rPr>
              <w:t>High (&gt;</w:t>
            </w:r>
            <w:r w:rsidR="004578D3">
              <w:rPr>
                <w:rFonts w:ascii="Book Antiqua" w:hAnsi="Book Antiqua" w:cs="Book Antiqua" w:hint="eastAsia"/>
                <w:sz w:val="24"/>
              </w:rPr>
              <w:t xml:space="preserve"> </w:t>
            </w:r>
            <w:r w:rsidRPr="004E3E19">
              <w:rPr>
                <w:rFonts w:ascii="Book Antiqua" w:hAnsi="Book Antiqua" w:cs="Book Antiqua"/>
                <w:sz w:val="24"/>
              </w:rPr>
              <w:t>9)</w:t>
            </w:r>
          </w:p>
        </w:tc>
        <w:tc>
          <w:tcPr>
            <w:tcW w:w="46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23</w:t>
            </w:r>
          </w:p>
        </w:tc>
        <w:tc>
          <w:tcPr>
            <w:tcW w:w="1936"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1.15 (1.06, 1.25)</w:t>
            </w:r>
            <w:r w:rsidR="00985714" w:rsidRPr="00985714">
              <w:rPr>
                <w:rFonts w:ascii="Book Antiqua" w:hAnsi="Book Antiqua" w:cs="Book Antiqua" w:hint="eastAsia"/>
                <w:b/>
                <w:bCs/>
                <w:sz w:val="24"/>
                <w:vertAlign w:val="superscript"/>
              </w:rPr>
              <w:t>1</w:t>
            </w:r>
          </w:p>
        </w:tc>
        <w:tc>
          <w:tcPr>
            <w:tcW w:w="797"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19"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0.504</w:t>
            </w:r>
          </w:p>
        </w:tc>
        <w:tc>
          <w:tcPr>
            <w:tcW w:w="27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4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1.25 (1.09, 1.44)</w:t>
            </w:r>
            <w:r w:rsidR="00985714" w:rsidRPr="00985714">
              <w:rPr>
                <w:rFonts w:ascii="Book Antiqua" w:hAnsi="Book Antiqua" w:cs="Book Antiqua" w:hint="eastAsia"/>
                <w:b/>
                <w:bCs/>
                <w:sz w:val="24"/>
                <w:vertAlign w:val="superscript"/>
              </w:rPr>
              <w:t>1</w:t>
            </w:r>
          </w:p>
        </w:tc>
        <w:tc>
          <w:tcPr>
            <w:tcW w:w="826"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0.004</w:t>
            </w:r>
          </w:p>
        </w:tc>
        <w:tc>
          <w:tcPr>
            <w:tcW w:w="842"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0.667</w:t>
            </w: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01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1.19 (1.07, 1.32)</w:t>
            </w:r>
            <w:r w:rsidR="00985714" w:rsidRPr="00985714">
              <w:rPr>
                <w:rFonts w:ascii="Book Antiqua" w:hAnsi="Book Antiqua" w:cs="Book Antiqua" w:hint="eastAsia"/>
                <w:b/>
                <w:bCs/>
                <w:sz w:val="24"/>
                <w:vertAlign w:val="superscript"/>
              </w:rPr>
              <w:t>1</w:t>
            </w:r>
          </w:p>
        </w:tc>
        <w:tc>
          <w:tcPr>
            <w:tcW w:w="79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72"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0.502</w:t>
            </w: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3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1.34 (1.12, 1.59)</w:t>
            </w:r>
            <w:r w:rsidR="00985714" w:rsidRPr="00985714">
              <w:rPr>
                <w:rFonts w:ascii="Book Antiqua" w:hAnsi="Book Antiqua" w:cs="Book Antiqua" w:hint="eastAsia"/>
                <w:b/>
                <w:bCs/>
                <w:sz w:val="24"/>
                <w:vertAlign w:val="superscript"/>
              </w:rPr>
              <w:t>1</w:t>
            </w:r>
          </w:p>
        </w:tc>
        <w:tc>
          <w:tcPr>
            <w:tcW w:w="80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2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0.469</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6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1.19 (1.04, 1.35)</w:t>
            </w:r>
            <w:r w:rsidR="00985714" w:rsidRPr="00985714">
              <w:rPr>
                <w:rFonts w:ascii="Book Antiqua" w:hAnsi="Book Antiqua" w:cs="Book Antiqua" w:hint="eastAsia"/>
                <w:b/>
                <w:bCs/>
                <w:sz w:val="24"/>
                <w:vertAlign w:val="superscript"/>
              </w:rPr>
              <w:t>1</w:t>
            </w:r>
          </w:p>
        </w:tc>
        <w:tc>
          <w:tcPr>
            <w:tcW w:w="78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0.038</w:t>
            </w:r>
          </w:p>
        </w:tc>
        <w:tc>
          <w:tcPr>
            <w:tcW w:w="85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0.873</w:t>
            </w:r>
          </w:p>
        </w:tc>
      </w:tr>
      <w:tr w:rsidR="00D757F8" w:rsidRPr="004E3E19">
        <w:trPr>
          <w:trHeight w:val="114"/>
        </w:trPr>
        <w:tc>
          <w:tcPr>
            <w:tcW w:w="2472" w:type="dxa"/>
          </w:tcPr>
          <w:p w:rsidR="00D757F8" w:rsidRPr="004E3E19" w:rsidRDefault="002905C9" w:rsidP="00424106">
            <w:pPr>
              <w:adjustRightInd w:val="0"/>
              <w:snapToGrid w:val="0"/>
              <w:spacing w:after="0" w:line="360" w:lineRule="auto"/>
              <w:rPr>
                <w:rFonts w:ascii="Book Antiqua" w:hAnsi="Book Antiqua" w:cs="Book Antiqua"/>
                <w:sz w:val="24"/>
              </w:rPr>
            </w:pPr>
            <w:r w:rsidRPr="004E3E19">
              <w:rPr>
                <w:rFonts w:ascii="Book Antiqua" w:hAnsi="Book Antiqua" w:cs="Book Antiqua"/>
                <w:sz w:val="24"/>
              </w:rPr>
              <w:t>Low (≤</w:t>
            </w:r>
            <w:r w:rsidR="004578D3">
              <w:rPr>
                <w:rFonts w:ascii="Book Antiqua" w:hAnsi="Book Antiqua" w:cs="Book Antiqua" w:hint="eastAsia"/>
                <w:sz w:val="24"/>
              </w:rPr>
              <w:t xml:space="preserve"> </w:t>
            </w:r>
            <w:r w:rsidRPr="004E3E19">
              <w:rPr>
                <w:rFonts w:ascii="Book Antiqua" w:hAnsi="Book Antiqua" w:cs="Book Antiqua"/>
                <w:sz w:val="24"/>
              </w:rPr>
              <w:t>9)</w:t>
            </w:r>
          </w:p>
        </w:tc>
        <w:tc>
          <w:tcPr>
            <w:tcW w:w="46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5</w:t>
            </w:r>
          </w:p>
        </w:tc>
        <w:tc>
          <w:tcPr>
            <w:tcW w:w="1936"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1.13 (0.68, 1.86)</w:t>
            </w:r>
          </w:p>
        </w:tc>
        <w:tc>
          <w:tcPr>
            <w:tcW w:w="797" w:type="dxa"/>
            <w:vAlign w:val="center"/>
          </w:tcPr>
          <w:p w:rsidR="00D757F8" w:rsidRPr="004E3E19" w:rsidRDefault="002905C9" w:rsidP="00424106">
            <w:pPr>
              <w:adjustRightInd w:val="0"/>
              <w:snapToGrid w:val="0"/>
              <w:spacing w:after="0" w:line="360" w:lineRule="auto"/>
              <w:rPr>
                <w:rFonts w:ascii="Book Antiqua" w:hAnsi="Book Antiqua" w:cs="Book Antiqua"/>
                <w:sz w:val="24"/>
              </w:rPr>
            </w:pPr>
            <w:r w:rsidRPr="004E3E19">
              <w:rPr>
                <w:rFonts w:ascii="Book Antiqua" w:hAnsi="Book Antiqua" w:cs="Book Antiqua"/>
                <w:sz w:val="24"/>
              </w:rPr>
              <w:t>0.000</w:t>
            </w:r>
          </w:p>
        </w:tc>
        <w:tc>
          <w:tcPr>
            <w:tcW w:w="819"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0.999</w:t>
            </w:r>
          </w:p>
        </w:tc>
        <w:tc>
          <w:tcPr>
            <w:tcW w:w="27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4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1.17 (0.56, 2.45)</w:t>
            </w:r>
          </w:p>
        </w:tc>
        <w:tc>
          <w:tcPr>
            <w:tcW w:w="826"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42"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0.999</w:t>
            </w: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01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1.09 (0.65, 1.81)</w:t>
            </w:r>
          </w:p>
        </w:tc>
        <w:tc>
          <w:tcPr>
            <w:tcW w:w="79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72"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0.999</w:t>
            </w: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3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1.17 (0.48, 2.88)</w:t>
            </w:r>
          </w:p>
        </w:tc>
        <w:tc>
          <w:tcPr>
            <w:tcW w:w="80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2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0.999</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6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1.16 (0.71, 1.90)</w:t>
            </w:r>
          </w:p>
        </w:tc>
        <w:tc>
          <w:tcPr>
            <w:tcW w:w="78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0.011</w:t>
            </w:r>
          </w:p>
        </w:tc>
        <w:tc>
          <w:tcPr>
            <w:tcW w:w="85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0.998</w:t>
            </w:r>
          </w:p>
        </w:tc>
      </w:tr>
      <w:tr w:rsidR="00D757F8" w:rsidRPr="004E3E19">
        <w:trPr>
          <w:trHeight w:val="114"/>
        </w:trPr>
        <w:tc>
          <w:tcPr>
            <w:tcW w:w="2472" w:type="dxa"/>
          </w:tcPr>
          <w:p w:rsidR="00D757F8" w:rsidRPr="004E3E19" w:rsidRDefault="002905C9" w:rsidP="00424106">
            <w:pPr>
              <w:adjustRightInd w:val="0"/>
              <w:snapToGrid w:val="0"/>
              <w:spacing w:after="0" w:line="360" w:lineRule="auto"/>
              <w:rPr>
                <w:rFonts w:ascii="Book Antiqua" w:hAnsi="Book Antiqua" w:cs="Book Antiqua"/>
                <w:sz w:val="24"/>
              </w:rPr>
            </w:pPr>
            <w:r w:rsidRPr="004E3E19">
              <w:rPr>
                <w:rFonts w:ascii="Book Antiqua" w:hAnsi="Book Antiqua" w:cs="Book Antiqua"/>
                <w:b/>
                <w:bCs/>
                <w:sz w:val="24"/>
                <w:lang w:bidi="ar"/>
              </w:rPr>
              <w:t xml:space="preserve">Genotyping </w:t>
            </w:r>
            <w:r w:rsidRPr="004E3E19">
              <w:rPr>
                <w:rFonts w:ascii="Book Antiqua" w:hAnsi="Book Antiqua" w:cs="Book Antiqua"/>
                <w:b/>
                <w:bCs/>
                <w:color w:val="000000"/>
                <w:kern w:val="0"/>
                <w:sz w:val="24"/>
                <w:lang w:bidi="ar"/>
              </w:rPr>
              <w:t>Method</w:t>
            </w:r>
          </w:p>
        </w:tc>
        <w:tc>
          <w:tcPr>
            <w:tcW w:w="46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36"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797"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1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7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4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26"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42"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014"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794"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72"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34"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0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2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6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78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854"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r>
      <w:tr w:rsidR="00D757F8" w:rsidRPr="004E3E19">
        <w:trPr>
          <w:trHeight w:val="114"/>
        </w:trPr>
        <w:tc>
          <w:tcPr>
            <w:tcW w:w="2472" w:type="dxa"/>
          </w:tcPr>
          <w:p w:rsidR="00D757F8" w:rsidRPr="004E3E19" w:rsidRDefault="002905C9" w:rsidP="00424106">
            <w:pPr>
              <w:adjustRightInd w:val="0"/>
              <w:snapToGrid w:val="0"/>
              <w:spacing w:after="0" w:line="360" w:lineRule="auto"/>
              <w:rPr>
                <w:rFonts w:ascii="Book Antiqua" w:hAnsi="Book Antiqua" w:cs="Book Antiqua"/>
                <w:sz w:val="24"/>
              </w:rPr>
            </w:pPr>
            <w:r w:rsidRPr="004E3E19">
              <w:rPr>
                <w:rFonts w:ascii="Book Antiqua" w:hAnsi="Book Antiqua" w:cs="Book Antiqua"/>
                <w:sz w:val="24"/>
                <w:lang w:bidi="ar"/>
              </w:rPr>
              <w:t>PCR-RFLP</w:t>
            </w:r>
          </w:p>
        </w:tc>
        <w:tc>
          <w:tcPr>
            <w:tcW w:w="46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16</w:t>
            </w:r>
          </w:p>
        </w:tc>
        <w:tc>
          <w:tcPr>
            <w:tcW w:w="1936"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1.23 (1.08, 1.40)</w:t>
            </w:r>
            <w:r w:rsidR="00985714" w:rsidRPr="00985714">
              <w:rPr>
                <w:rFonts w:ascii="Book Antiqua" w:hAnsi="Book Antiqua" w:cs="Book Antiqua" w:hint="eastAsia"/>
                <w:b/>
                <w:bCs/>
                <w:sz w:val="24"/>
                <w:vertAlign w:val="superscript"/>
              </w:rPr>
              <w:t>1</w:t>
            </w:r>
          </w:p>
        </w:tc>
        <w:tc>
          <w:tcPr>
            <w:tcW w:w="797"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19"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0.633</w:t>
            </w:r>
          </w:p>
        </w:tc>
        <w:tc>
          <w:tcPr>
            <w:tcW w:w="27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4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1.46 (1.19, 1.78)</w:t>
            </w:r>
            <w:r w:rsidR="00985714" w:rsidRPr="00985714">
              <w:rPr>
                <w:rFonts w:ascii="Book Antiqua" w:hAnsi="Book Antiqua" w:cs="Book Antiqua" w:hint="eastAsia"/>
                <w:b/>
                <w:bCs/>
                <w:sz w:val="24"/>
                <w:vertAlign w:val="superscript"/>
              </w:rPr>
              <w:t>1</w:t>
            </w:r>
          </w:p>
        </w:tc>
        <w:tc>
          <w:tcPr>
            <w:tcW w:w="826"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42"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0.231</w:t>
            </w: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01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1.24 (1.06, 1.46)</w:t>
            </w:r>
            <w:r w:rsidR="00985714" w:rsidRPr="00985714">
              <w:rPr>
                <w:rFonts w:ascii="Book Antiqua" w:hAnsi="Book Antiqua" w:cs="Book Antiqua" w:hint="eastAsia"/>
                <w:b/>
                <w:bCs/>
                <w:sz w:val="24"/>
                <w:vertAlign w:val="superscript"/>
              </w:rPr>
              <w:t>1</w:t>
            </w:r>
          </w:p>
        </w:tc>
        <w:tc>
          <w:tcPr>
            <w:tcW w:w="79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72"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0.909</w:t>
            </w: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3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1.58 (1.23, 2.02)</w:t>
            </w:r>
            <w:r w:rsidR="00985714" w:rsidRPr="00985714">
              <w:rPr>
                <w:rFonts w:ascii="Book Antiqua" w:hAnsi="Book Antiqua" w:cs="Book Antiqua" w:hint="eastAsia"/>
                <w:b/>
                <w:bCs/>
                <w:sz w:val="24"/>
                <w:vertAlign w:val="superscript"/>
              </w:rPr>
              <w:t>1</w:t>
            </w:r>
          </w:p>
        </w:tc>
        <w:tc>
          <w:tcPr>
            <w:tcW w:w="80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2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0.436</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6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b/>
                <w:bCs/>
                <w:sz w:val="24"/>
              </w:rPr>
              <w:t>1.35 (1.14, 1.60)</w:t>
            </w:r>
            <w:r w:rsidR="00985714" w:rsidRPr="00985714">
              <w:rPr>
                <w:rFonts w:ascii="Book Antiqua" w:hAnsi="Book Antiqua" w:cs="Book Antiqua" w:hint="eastAsia"/>
                <w:b/>
                <w:bCs/>
                <w:sz w:val="24"/>
                <w:vertAlign w:val="superscript"/>
              </w:rPr>
              <w:t>1</w:t>
            </w:r>
          </w:p>
        </w:tc>
        <w:tc>
          <w:tcPr>
            <w:tcW w:w="78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0.014</w:t>
            </w:r>
          </w:p>
        </w:tc>
        <w:tc>
          <w:tcPr>
            <w:tcW w:w="85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0.376</w:t>
            </w:r>
          </w:p>
        </w:tc>
      </w:tr>
      <w:tr w:rsidR="00D757F8" w:rsidRPr="004E3E19">
        <w:trPr>
          <w:trHeight w:val="114"/>
        </w:trPr>
        <w:tc>
          <w:tcPr>
            <w:tcW w:w="2472" w:type="dxa"/>
          </w:tcPr>
          <w:p w:rsidR="00D757F8" w:rsidRPr="004E3E19" w:rsidRDefault="002905C9" w:rsidP="00424106">
            <w:pPr>
              <w:adjustRightInd w:val="0"/>
              <w:snapToGrid w:val="0"/>
              <w:spacing w:after="0" w:line="360" w:lineRule="auto"/>
              <w:rPr>
                <w:rFonts w:ascii="Book Antiqua" w:hAnsi="Book Antiqua" w:cs="Book Antiqua"/>
                <w:sz w:val="24"/>
              </w:rPr>
            </w:pPr>
            <w:r w:rsidRPr="004E3E19">
              <w:rPr>
                <w:rFonts w:ascii="Book Antiqua" w:hAnsi="Book Antiqua" w:cs="Book Antiqua"/>
                <w:sz w:val="24"/>
                <w:lang w:bidi="ar"/>
              </w:rPr>
              <w:t>Taqman</w:t>
            </w:r>
          </w:p>
        </w:tc>
        <w:tc>
          <w:tcPr>
            <w:tcW w:w="46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9</w:t>
            </w:r>
          </w:p>
        </w:tc>
        <w:tc>
          <w:tcPr>
            <w:tcW w:w="1936"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 (0.90, 1.08)</w:t>
            </w:r>
          </w:p>
        </w:tc>
        <w:tc>
          <w:tcPr>
            <w:tcW w:w="797"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0.049</w:t>
            </w:r>
          </w:p>
        </w:tc>
        <w:tc>
          <w:tcPr>
            <w:tcW w:w="819"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0.999</w:t>
            </w:r>
          </w:p>
        </w:tc>
        <w:tc>
          <w:tcPr>
            <w:tcW w:w="27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4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0.97 (0.82, 1.15)</w:t>
            </w:r>
          </w:p>
        </w:tc>
        <w:tc>
          <w:tcPr>
            <w:tcW w:w="826"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0.428</w:t>
            </w:r>
          </w:p>
        </w:tc>
        <w:tc>
          <w:tcPr>
            <w:tcW w:w="842"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0.999</w:t>
            </w: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01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 (0.89, 1.11)</w:t>
            </w:r>
          </w:p>
        </w:tc>
        <w:tc>
          <w:tcPr>
            <w:tcW w:w="79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0.063</w:t>
            </w:r>
          </w:p>
        </w:tc>
        <w:tc>
          <w:tcPr>
            <w:tcW w:w="872"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0.999</w:t>
            </w: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3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0.97 (0.79, 1.19)</w:t>
            </w:r>
          </w:p>
        </w:tc>
        <w:tc>
          <w:tcPr>
            <w:tcW w:w="80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0.268</w:t>
            </w:r>
          </w:p>
        </w:tc>
        <w:tc>
          <w:tcPr>
            <w:tcW w:w="82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0.999</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6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0.98 (0.82, 1.17)</w:t>
            </w:r>
          </w:p>
        </w:tc>
        <w:tc>
          <w:tcPr>
            <w:tcW w:w="78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0.669</w:t>
            </w:r>
          </w:p>
        </w:tc>
        <w:tc>
          <w:tcPr>
            <w:tcW w:w="85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0.999</w:t>
            </w:r>
          </w:p>
        </w:tc>
      </w:tr>
      <w:tr w:rsidR="00D757F8" w:rsidRPr="004E3E19">
        <w:trPr>
          <w:trHeight w:val="124"/>
        </w:trPr>
        <w:tc>
          <w:tcPr>
            <w:tcW w:w="2472" w:type="dxa"/>
          </w:tcPr>
          <w:p w:rsidR="00D757F8" w:rsidRPr="004E3E19" w:rsidRDefault="002905C9" w:rsidP="00424106">
            <w:pPr>
              <w:adjustRightInd w:val="0"/>
              <w:snapToGrid w:val="0"/>
              <w:spacing w:after="0" w:line="360" w:lineRule="auto"/>
              <w:rPr>
                <w:rFonts w:ascii="Book Antiqua" w:hAnsi="Book Antiqua" w:cs="Book Antiqua"/>
                <w:sz w:val="24"/>
              </w:rPr>
            </w:pPr>
            <w:r w:rsidRPr="004E3E19">
              <w:rPr>
                <w:rFonts w:ascii="Book Antiqua" w:hAnsi="Book Antiqua" w:cs="Book Antiqua"/>
                <w:sz w:val="24"/>
                <w:lang w:bidi="ar"/>
              </w:rPr>
              <w:t>Other technologies</w:t>
            </w:r>
          </w:p>
        </w:tc>
        <w:tc>
          <w:tcPr>
            <w:tcW w:w="46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3</w:t>
            </w:r>
          </w:p>
        </w:tc>
        <w:tc>
          <w:tcPr>
            <w:tcW w:w="1936"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1.36 (0.86, 2.17)</w:t>
            </w:r>
          </w:p>
        </w:tc>
        <w:tc>
          <w:tcPr>
            <w:tcW w:w="797"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19"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0.997</w:t>
            </w:r>
          </w:p>
        </w:tc>
        <w:tc>
          <w:tcPr>
            <w:tcW w:w="278"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4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1.16 (0.58, 2.31)</w:t>
            </w:r>
          </w:p>
        </w:tc>
        <w:tc>
          <w:tcPr>
            <w:tcW w:w="826"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0.008</w:t>
            </w:r>
          </w:p>
        </w:tc>
        <w:tc>
          <w:tcPr>
            <w:tcW w:w="842"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0.999</w:t>
            </w: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201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1.52 (0.84, 2.75)</w:t>
            </w:r>
          </w:p>
        </w:tc>
        <w:tc>
          <w:tcPr>
            <w:tcW w:w="79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72"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0.997</w:t>
            </w:r>
          </w:p>
        </w:tc>
        <w:tc>
          <w:tcPr>
            <w:tcW w:w="239"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3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1.40 (0.55, 3.53)</w:t>
            </w:r>
          </w:p>
        </w:tc>
        <w:tc>
          <w:tcPr>
            <w:tcW w:w="80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0.000</w:t>
            </w:r>
          </w:p>
        </w:tc>
        <w:tc>
          <w:tcPr>
            <w:tcW w:w="82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0.999</w:t>
            </w:r>
          </w:p>
        </w:tc>
        <w:tc>
          <w:tcPr>
            <w:tcW w:w="240" w:type="dxa"/>
            <w:vAlign w:val="center"/>
          </w:tcPr>
          <w:p w:rsidR="00D757F8" w:rsidRPr="004E3E19" w:rsidRDefault="00D757F8" w:rsidP="00424106">
            <w:pPr>
              <w:adjustRightInd w:val="0"/>
              <w:snapToGrid w:val="0"/>
              <w:spacing w:after="0" w:line="360" w:lineRule="auto"/>
              <w:jc w:val="center"/>
              <w:rPr>
                <w:rFonts w:ascii="Book Antiqua" w:hAnsi="Book Antiqua" w:cs="Book Antiqua"/>
                <w:sz w:val="24"/>
              </w:rPr>
            </w:pPr>
          </w:p>
        </w:tc>
        <w:tc>
          <w:tcPr>
            <w:tcW w:w="1968"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 (0.62, 1.57)</w:t>
            </w:r>
          </w:p>
        </w:tc>
        <w:tc>
          <w:tcPr>
            <w:tcW w:w="780"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0.118</w:t>
            </w:r>
          </w:p>
        </w:tc>
        <w:tc>
          <w:tcPr>
            <w:tcW w:w="854" w:type="dxa"/>
            <w:vAlign w:val="center"/>
          </w:tcPr>
          <w:p w:rsidR="00D757F8" w:rsidRPr="004E3E19" w:rsidRDefault="002905C9" w:rsidP="00424106">
            <w:pPr>
              <w:adjustRightInd w:val="0"/>
              <w:snapToGrid w:val="0"/>
              <w:spacing w:after="0" w:line="360" w:lineRule="auto"/>
              <w:jc w:val="center"/>
              <w:rPr>
                <w:rFonts w:ascii="Book Antiqua" w:hAnsi="Book Antiqua" w:cs="Book Antiqua"/>
                <w:sz w:val="24"/>
              </w:rPr>
            </w:pPr>
            <w:r w:rsidRPr="004E3E19">
              <w:rPr>
                <w:rFonts w:ascii="Book Antiqua" w:hAnsi="Book Antiqua" w:cs="Book Antiqua"/>
                <w:sz w:val="24"/>
              </w:rPr>
              <w:t>0.999</w:t>
            </w:r>
          </w:p>
        </w:tc>
      </w:tr>
    </w:tbl>
    <w:p w:rsidR="00D757F8" w:rsidRPr="004E3E19" w:rsidRDefault="00985714" w:rsidP="00424106">
      <w:pPr>
        <w:pStyle w:val="EndNoteBibliography"/>
        <w:adjustRightInd w:val="0"/>
        <w:snapToGrid w:val="0"/>
        <w:spacing w:after="0" w:line="360" w:lineRule="auto"/>
        <w:ind w:left="502" w:hangingChars="209" w:hanging="502"/>
        <w:jc w:val="both"/>
        <w:rPr>
          <w:rFonts w:ascii="Book Antiqua" w:hAnsi="Book Antiqua" w:cs="Book Antiqua"/>
          <w:sz w:val="24"/>
        </w:rPr>
      </w:pPr>
      <w:r w:rsidRPr="00985714">
        <w:rPr>
          <w:rFonts w:ascii="Book Antiqua" w:hAnsi="Book Antiqua" w:cs="Book Antiqua" w:hint="eastAsia"/>
          <w:sz w:val="24"/>
          <w:vertAlign w:val="superscript"/>
        </w:rPr>
        <w:t>1</w:t>
      </w:r>
      <w:r w:rsidRPr="004E3E19">
        <w:rPr>
          <w:rFonts w:ascii="Book Antiqua" w:hAnsi="Book Antiqua" w:cs="Book Antiqua"/>
          <w:sz w:val="24"/>
        </w:rPr>
        <w:t>OR with statistical significance</w:t>
      </w:r>
      <w:r>
        <w:rPr>
          <w:rFonts w:ascii="Book Antiqua" w:hAnsi="Book Antiqua" w:cs="Book Antiqua" w:hint="eastAsia"/>
          <w:sz w:val="24"/>
        </w:rPr>
        <w:t>.</w:t>
      </w:r>
      <w:r w:rsidRPr="004E3E19">
        <w:rPr>
          <w:rFonts w:ascii="Book Antiqua" w:hAnsi="Book Antiqua" w:cs="Book Antiqua"/>
          <w:sz w:val="24"/>
        </w:rPr>
        <w:t xml:space="preserve"> </w:t>
      </w:r>
      <w:r w:rsidR="004578D3" w:rsidRPr="004578D3">
        <w:rPr>
          <w:rFonts w:ascii="Book Antiqua" w:hAnsi="Book Antiqua" w:cs="Book Antiqua"/>
          <w:bCs/>
          <w:i/>
          <w:sz w:val="24"/>
        </w:rPr>
        <w:t>n</w:t>
      </w:r>
      <w:r w:rsidR="002905C9" w:rsidRPr="004E3E19">
        <w:rPr>
          <w:rFonts w:ascii="Book Antiqua" w:hAnsi="Book Antiqua" w:cs="Book Antiqua"/>
          <w:sz w:val="24"/>
        </w:rPr>
        <w:t xml:space="preserve">: </w:t>
      </w:r>
      <w:r w:rsidR="002905C9" w:rsidRPr="00985714">
        <w:rPr>
          <w:rFonts w:ascii="Book Antiqua" w:hAnsi="Book Antiqua" w:cs="Book Antiqua"/>
          <w:caps/>
          <w:sz w:val="24"/>
        </w:rPr>
        <w:t>n</w:t>
      </w:r>
      <w:r w:rsidR="002905C9" w:rsidRPr="004E3E19">
        <w:rPr>
          <w:rFonts w:ascii="Book Antiqua" w:hAnsi="Book Antiqua" w:cs="Book Antiqua"/>
          <w:sz w:val="24"/>
        </w:rPr>
        <w:t xml:space="preserve">umber of studies included; </w:t>
      </w:r>
      <w:r w:rsidR="002905C9" w:rsidRPr="00985714">
        <w:rPr>
          <w:rFonts w:ascii="Book Antiqua" w:hAnsi="Book Antiqua" w:cs="Book Antiqua"/>
          <w:i/>
          <w:sz w:val="24"/>
        </w:rPr>
        <w:t>P</w:t>
      </w:r>
      <w:r w:rsidR="002905C9" w:rsidRPr="004E3E19">
        <w:rPr>
          <w:rFonts w:ascii="Book Antiqua" w:hAnsi="Book Antiqua" w:cs="Book Antiqua"/>
          <w:sz w:val="24"/>
          <w:vertAlign w:val="subscript"/>
        </w:rPr>
        <w:t>h</w:t>
      </w:r>
      <w:r w:rsidR="002905C9" w:rsidRPr="004E3E19">
        <w:rPr>
          <w:rFonts w:ascii="Book Antiqua" w:hAnsi="Book Antiqua" w:cs="Book Antiqua"/>
          <w:sz w:val="24"/>
        </w:rPr>
        <w:t xml:space="preserve">: </w:t>
      </w:r>
      <w:r w:rsidR="002905C9" w:rsidRPr="00985714">
        <w:rPr>
          <w:rFonts w:ascii="Book Antiqua" w:hAnsi="Book Antiqua" w:cs="Book Antiqua"/>
          <w:i/>
          <w:caps/>
          <w:sz w:val="24"/>
        </w:rPr>
        <w:t>p</w:t>
      </w:r>
      <w:r w:rsidR="002905C9" w:rsidRPr="004E3E19">
        <w:rPr>
          <w:rFonts w:ascii="Book Antiqua" w:hAnsi="Book Antiqua" w:cs="Book Antiqua"/>
          <w:sz w:val="24"/>
        </w:rPr>
        <w:t xml:space="preserve"> value for heterogeneity; FPRP: </w:t>
      </w:r>
      <w:r w:rsidR="002905C9" w:rsidRPr="00985714">
        <w:rPr>
          <w:rFonts w:ascii="Book Antiqua" w:hAnsi="Book Antiqua" w:cs="Book Antiqua"/>
          <w:caps/>
          <w:sz w:val="24"/>
        </w:rPr>
        <w:t>f</w:t>
      </w:r>
      <w:r w:rsidR="002905C9" w:rsidRPr="004E3E19">
        <w:rPr>
          <w:rFonts w:ascii="Book Antiqua" w:hAnsi="Book Antiqua" w:cs="Book Antiqua"/>
          <w:sz w:val="24"/>
        </w:rPr>
        <w:t>a</w:t>
      </w:r>
      <w:r>
        <w:rPr>
          <w:rFonts w:ascii="Book Antiqua" w:hAnsi="Book Antiqua" w:cs="Book Antiqua"/>
          <w:sz w:val="24"/>
        </w:rPr>
        <w:t>lse positive report probability</w:t>
      </w:r>
      <w:r>
        <w:rPr>
          <w:rFonts w:ascii="Book Antiqua" w:hAnsi="Book Antiqua" w:cs="Book Antiqua" w:hint="eastAsia"/>
          <w:sz w:val="24"/>
        </w:rPr>
        <w:t>.</w:t>
      </w:r>
    </w:p>
    <w:sectPr w:rsidR="00D757F8" w:rsidRPr="004E3E19">
      <w:pgSz w:w="23760" w:h="16781" w:orient="landscape"/>
      <w:pgMar w:top="1803" w:right="1440" w:bottom="1803" w:left="1440" w:header="851" w:footer="992" w:gutter="0"/>
      <w:cols w:space="0"/>
      <w:docGrid w:type="lines" w:linePitch="32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64D33" w:rsidRDefault="00764D33">
      <w:pPr>
        <w:spacing w:after="0" w:line="240" w:lineRule="auto"/>
      </w:pPr>
      <w:r>
        <w:separator/>
      </w:r>
    </w:p>
  </w:endnote>
  <w:endnote w:type="continuationSeparator" w:id="0">
    <w:p w:rsidR="00764D33" w:rsidRDefault="00764D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05C9" w:rsidRDefault="002905C9">
    <w:pPr>
      <w:pStyle w:val="a6"/>
    </w:pPr>
    <w:r>
      <w:rPr>
        <w:noProof/>
      </w:rPr>
      <mc:AlternateContent>
        <mc:Choice Requires="wps">
          <w:drawing>
            <wp:anchor distT="0" distB="0" distL="114300" distR="114300" simplePos="0" relativeHeight="251658240" behindDoc="0" locked="0" layoutInCell="1" allowOverlap="1" wp14:anchorId="7F9B4474" wp14:editId="029E045D">
              <wp:simplePos x="0" y="0"/>
              <wp:positionH relativeFrom="margin">
                <wp:align>right</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2905C9" w:rsidRDefault="002905C9">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sidR="00876272">
                            <w:rPr>
                              <w:noProof/>
                              <w:sz w:val="18"/>
                            </w:rPr>
                            <w:t>4</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8" o:spid="_x0000_s1042" type="#_x0000_t202" style="position:absolute;margin-left:92.8pt;margin-top:0;width:2in;height:2in;z-index:251658240;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0P4YAIAAAoFAAAOAAAAZHJzL2Uyb0RvYy54bWysVE1uEzEU3iNxB8t7OmkRVRRlUoVWRUgV&#10;rSiIteOxmxG2n2W7mQkHgBuwYtM95+o5+OzJpKiwKWLjeeP3/733eX7SW8M2KsSWXM0PDyacKSep&#10;ad1NzT9+OH8x5Swm4RphyKmab1XkJ4vnz+adn6kjWpNpVGAI4uKs8zVfp+RnVRXlWlkRD8grB6Wm&#10;YEXCb7ipmiA6RLemOppMjquOQuMDSRUjbs8GJV+U+FormS61jioxU3PUlsoZyrnKZ7WYi9lNEH7d&#10;yl0Z4h+qsKJ1SLoPdSaSYLeh/SOUbWWgSDodSLIVad1KVXpAN4eTR91cr4VXpReAE/0epvj/wsp3&#10;m6vA2qbmGJQTFiO6//7t/sfP+7uvbJrh6Xycwerawy71r6nHmMf7iMvcda+DzV/0w6AH0Ns9uKpP&#10;TGan6dF0OoFKQjf+IH714O5DTG8UWZaFmgdMr4AqNhcxDaajSc7m6Lw1pkzQONbV/Pjlq0lx2GsQ&#10;3DjkyE0MxRYpbY3KEYx7rzS6LzXni7J36tQEthHYGCGlcqm0WyLBOltppH2K484+u6qyk09x3nuU&#10;zOTS3tm2jkLp91HZzeexZD3YjwgMfWcIUr/qd8NdUbPFbAMN5IhenrfA/0LEdCUC2ICZgeHpEoc2&#10;BJxpJ3G2pvDlb/fZHksKLWcd2FVzB/pzZt46LG8m4iiEUViNgru1pwTwD/FyeFlEOIRkRlEHsp9A&#10;+2XOAZVwEplqnkbxNA0Mx7Mh1XJZjEA3L9KFu/Yyhy7D9svbhB0qq5VBGZDYgQXCleXcPQ6Z0b//&#10;F6uHJ2zxCwAA//8DAFBLAwQUAAYACAAAACEAcarRudcAAAAFAQAADwAAAGRycy9kb3ducmV2Lnht&#10;bEyPQU/DMAyF75P2HyIjcdtSBkJVaTqxiXJEYuXAMWtMW0icKsm68u8xCAkulp+e9fy9cjs7KyYM&#10;cfCk4GqdgUBqvRmoU/DS1KscREyajLaeUMEnRthWy0WpC+PP9IzTIXWCQygWWkGf0lhIGdsenY5r&#10;PyKx9+aD04ll6KQJ+szhzspNlt1KpwfiD70ecd9j+3E4OQX7umnChDHYV3ysr9+fdjf4MCt1eTHf&#10;34FIOKe/Y/jGZ3SomOnoT2SisAq4SPqZ7G3ynOXxd5FVKf/TV18AAAD//wMAUEsBAi0AFAAGAAgA&#10;AAAhALaDOJL+AAAA4QEAABMAAAAAAAAAAAAAAAAAAAAAAFtDb250ZW50X1R5cGVzXS54bWxQSwEC&#10;LQAUAAYACAAAACEAOP0h/9YAAACUAQAACwAAAAAAAAAAAAAAAAAvAQAAX3JlbHMvLnJlbHNQSwEC&#10;LQAUAAYACAAAACEAgYdD+GACAAAKBQAADgAAAAAAAAAAAAAAAAAuAgAAZHJzL2Uyb0RvYy54bWxQ&#10;SwECLQAUAAYACAAAACEAcarRudcAAAAFAQAADwAAAAAAAAAAAAAAAAC6BAAAZHJzL2Rvd25yZXYu&#10;eG1sUEsFBgAAAAAEAAQA8wAAAL4FAAAAAA==&#10;" filled="f" stroked="f" strokeweight=".5pt">
              <v:textbox style="mso-fit-shape-to-text:t" inset="0,0,0,0">
                <w:txbxContent>
                  <w:p w:rsidR="002905C9" w:rsidRDefault="002905C9">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sidR="00876272">
                      <w:rPr>
                        <w:noProof/>
                        <w:sz w:val="18"/>
                      </w:rPr>
                      <w:t>4</w:t>
                    </w:r>
                    <w:r>
                      <w:rPr>
                        <w:rFonts w:hint="eastAsia"/>
                        <w:sz w:val="18"/>
                      </w:rP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64D33" w:rsidRDefault="00764D33">
      <w:pPr>
        <w:spacing w:after="0" w:line="240" w:lineRule="auto"/>
      </w:pPr>
      <w:r>
        <w:separator/>
      </w:r>
    </w:p>
  </w:footnote>
  <w:footnote w:type="continuationSeparator" w:id="0">
    <w:p w:rsidR="00764D33" w:rsidRDefault="00764D3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bordersDoNotSurroundHeader/>
  <w:bordersDoNotSurroundFooter/>
  <w:defaultTabStop w:val="420"/>
  <w:drawingGridVerticalSpacing w:val="16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172A27"/>
    <w:rsid w:val="00026B6C"/>
    <w:rsid w:val="00094F25"/>
    <w:rsid w:val="00127A2C"/>
    <w:rsid w:val="00172A27"/>
    <w:rsid w:val="001A1C1A"/>
    <w:rsid w:val="0027090D"/>
    <w:rsid w:val="002905C9"/>
    <w:rsid w:val="002F1764"/>
    <w:rsid w:val="003260D1"/>
    <w:rsid w:val="0033330E"/>
    <w:rsid w:val="00365EF9"/>
    <w:rsid w:val="00414CD0"/>
    <w:rsid w:val="00424106"/>
    <w:rsid w:val="00425A29"/>
    <w:rsid w:val="004578D3"/>
    <w:rsid w:val="004756DB"/>
    <w:rsid w:val="004E3E19"/>
    <w:rsid w:val="004F78E0"/>
    <w:rsid w:val="005E7F61"/>
    <w:rsid w:val="00656A7F"/>
    <w:rsid w:val="00670816"/>
    <w:rsid w:val="00675FB0"/>
    <w:rsid w:val="006B1DF6"/>
    <w:rsid w:val="006F0F85"/>
    <w:rsid w:val="00764D33"/>
    <w:rsid w:val="007C4471"/>
    <w:rsid w:val="00876272"/>
    <w:rsid w:val="008E7C75"/>
    <w:rsid w:val="00985714"/>
    <w:rsid w:val="00A52615"/>
    <w:rsid w:val="00AB2857"/>
    <w:rsid w:val="00AE6C7D"/>
    <w:rsid w:val="00B65FCD"/>
    <w:rsid w:val="00B83AE1"/>
    <w:rsid w:val="00BB386D"/>
    <w:rsid w:val="00C40D2E"/>
    <w:rsid w:val="00C96D02"/>
    <w:rsid w:val="00D02E4D"/>
    <w:rsid w:val="00D033BE"/>
    <w:rsid w:val="00D25248"/>
    <w:rsid w:val="00D57671"/>
    <w:rsid w:val="00D74F24"/>
    <w:rsid w:val="00D757F8"/>
    <w:rsid w:val="00D93997"/>
    <w:rsid w:val="00E52495"/>
    <w:rsid w:val="00E94633"/>
    <w:rsid w:val="00EB28B1"/>
    <w:rsid w:val="0107132D"/>
    <w:rsid w:val="02D05FF8"/>
    <w:rsid w:val="03D550AB"/>
    <w:rsid w:val="050C7AAE"/>
    <w:rsid w:val="05B434DA"/>
    <w:rsid w:val="05F303D1"/>
    <w:rsid w:val="06A40CAB"/>
    <w:rsid w:val="08C433D9"/>
    <w:rsid w:val="09BB18B1"/>
    <w:rsid w:val="0A6444A3"/>
    <w:rsid w:val="0AD86BCD"/>
    <w:rsid w:val="0C9952F4"/>
    <w:rsid w:val="0E1E7039"/>
    <w:rsid w:val="10E2708C"/>
    <w:rsid w:val="11622D43"/>
    <w:rsid w:val="11D220FD"/>
    <w:rsid w:val="12CF00B4"/>
    <w:rsid w:val="13B7075E"/>
    <w:rsid w:val="13DC102B"/>
    <w:rsid w:val="15863C08"/>
    <w:rsid w:val="165F40E1"/>
    <w:rsid w:val="16672E4B"/>
    <w:rsid w:val="1778648F"/>
    <w:rsid w:val="18857925"/>
    <w:rsid w:val="19A8431C"/>
    <w:rsid w:val="1A412474"/>
    <w:rsid w:val="1A412658"/>
    <w:rsid w:val="1CB449C7"/>
    <w:rsid w:val="1CF93888"/>
    <w:rsid w:val="1D532A4D"/>
    <w:rsid w:val="1E141FFD"/>
    <w:rsid w:val="1E913CD0"/>
    <w:rsid w:val="1E9369F0"/>
    <w:rsid w:val="207B7AB9"/>
    <w:rsid w:val="2396201D"/>
    <w:rsid w:val="2A394A03"/>
    <w:rsid w:val="2B3A6C04"/>
    <w:rsid w:val="2F8E1CBA"/>
    <w:rsid w:val="2FC9453A"/>
    <w:rsid w:val="2FCB221D"/>
    <w:rsid w:val="30A64784"/>
    <w:rsid w:val="31052A78"/>
    <w:rsid w:val="322C4A24"/>
    <w:rsid w:val="33523B3E"/>
    <w:rsid w:val="34C821AB"/>
    <w:rsid w:val="35097C52"/>
    <w:rsid w:val="359179E0"/>
    <w:rsid w:val="35D42597"/>
    <w:rsid w:val="35DD404F"/>
    <w:rsid w:val="3874122F"/>
    <w:rsid w:val="38905973"/>
    <w:rsid w:val="391A6455"/>
    <w:rsid w:val="397D476F"/>
    <w:rsid w:val="39B9669F"/>
    <w:rsid w:val="3A60090B"/>
    <w:rsid w:val="3C5F353B"/>
    <w:rsid w:val="3CF529F5"/>
    <w:rsid w:val="3E124AA9"/>
    <w:rsid w:val="3F87740E"/>
    <w:rsid w:val="41902AC2"/>
    <w:rsid w:val="43174390"/>
    <w:rsid w:val="432979A5"/>
    <w:rsid w:val="43CD25D4"/>
    <w:rsid w:val="449C4DE0"/>
    <w:rsid w:val="46B67741"/>
    <w:rsid w:val="46D748E4"/>
    <w:rsid w:val="48891D5A"/>
    <w:rsid w:val="49B02E9D"/>
    <w:rsid w:val="4A9C2AB8"/>
    <w:rsid w:val="4AA21FDC"/>
    <w:rsid w:val="4AD22BF4"/>
    <w:rsid w:val="4B790A74"/>
    <w:rsid w:val="4C07723E"/>
    <w:rsid w:val="4CE34515"/>
    <w:rsid w:val="4D2E038A"/>
    <w:rsid w:val="4DFE2E89"/>
    <w:rsid w:val="506B6412"/>
    <w:rsid w:val="5077003F"/>
    <w:rsid w:val="50E9030A"/>
    <w:rsid w:val="50F20292"/>
    <w:rsid w:val="52472672"/>
    <w:rsid w:val="52C9406F"/>
    <w:rsid w:val="53FC73FA"/>
    <w:rsid w:val="5448034F"/>
    <w:rsid w:val="5595082E"/>
    <w:rsid w:val="57AD5E11"/>
    <w:rsid w:val="580C5F04"/>
    <w:rsid w:val="59AC31B6"/>
    <w:rsid w:val="5A442427"/>
    <w:rsid w:val="5AB64542"/>
    <w:rsid w:val="5C641703"/>
    <w:rsid w:val="5CBE1081"/>
    <w:rsid w:val="5D89414A"/>
    <w:rsid w:val="5E374E96"/>
    <w:rsid w:val="5E7E7998"/>
    <w:rsid w:val="5EF61281"/>
    <w:rsid w:val="61241FA7"/>
    <w:rsid w:val="643D5BDE"/>
    <w:rsid w:val="64F47F92"/>
    <w:rsid w:val="65701F51"/>
    <w:rsid w:val="663E55EA"/>
    <w:rsid w:val="67563843"/>
    <w:rsid w:val="68A900F8"/>
    <w:rsid w:val="6986125A"/>
    <w:rsid w:val="69AB4AC9"/>
    <w:rsid w:val="6C240EE9"/>
    <w:rsid w:val="6CBD5D6D"/>
    <w:rsid w:val="6D276AA4"/>
    <w:rsid w:val="6D4C30C5"/>
    <w:rsid w:val="6D6F1A67"/>
    <w:rsid w:val="6EC6456A"/>
    <w:rsid w:val="6F0822FB"/>
    <w:rsid w:val="6F8A54B7"/>
    <w:rsid w:val="6FF5658F"/>
    <w:rsid w:val="712021FF"/>
    <w:rsid w:val="72652E64"/>
    <w:rsid w:val="728071E9"/>
    <w:rsid w:val="72951972"/>
    <w:rsid w:val="72963004"/>
    <w:rsid w:val="73535E34"/>
    <w:rsid w:val="76050A46"/>
    <w:rsid w:val="762B580B"/>
    <w:rsid w:val="78CE304D"/>
    <w:rsid w:val="7A42618F"/>
    <w:rsid w:val="7B325278"/>
    <w:rsid w:val="7D727A89"/>
    <w:rsid w:val="7FD578E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qFormat="1"/>
    <w:lsdException w:name="header" w:semiHidden="0" w:qFormat="1"/>
    <w:lsdException w:name="footer" w:semiHidden="0" w:qFormat="1"/>
    <w:lsdException w:name="caption" w:uiPriority="35" w:qFormat="1"/>
    <w:lsdException w:name="annotation reference" w:semiHidden="0" w:qFormat="1"/>
    <w:lsdException w:name="page number" w:semiHidden="0" w:qFormat="1"/>
    <w:lsdException w:name="Title" w:semiHidden="0" w:uiPriority="10" w:unhideWhenUsed="0" w:qFormat="1"/>
    <w:lsdException w:name="Default Paragraph Font" w:semiHidden="0" w:uiPriority="1" w:qFormat="1"/>
    <w:lsdException w:name="Subtitle" w:semiHidden="0" w:uiPriority="11" w:unhideWhenUsed="0" w:qFormat="1"/>
    <w:lsdException w:name="Hyperlink" w:semiHidden="0" w:uiPriority="0" w:unhideWhenUsed="0" w:qFormat="1"/>
    <w:lsdException w:name="Strong" w:semiHidden="0" w:uiPriority="22" w:unhideWhenUsed="0" w:qFormat="1"/>
    <w:lsdException w:name="Emphasis" w:semiHidden="0" w:uiPriority="20" w:unhideWhenUsed="0" w:qFormat="1"/>
    <w:lsdException w:name="Normal (Web)" w:semiHidden="0" w:qFormat="1"/>
    <w:lsdException w:name="Normal Table" w:qFormat="1"/>
    <w:lsdException w:name="annotation subject" w:semiHidden="0" w:qFormat="1"/>
    <w:lsdException w:name="Balloon Text" w:semiHidden="0" w:qFormat="1"/>
    <w:lsdException w:name="Table Grid"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spacing w:after="200" w:line="276" w:lineRule="auto"/>
      <w:jc w:val="both"/>
    </w:pPr>
    <w:rPr>
      <w:rFonts w:ascii="Times New Roman" w:eastAsia="宋体" w:hAnsi="Times New Roman" w:cs="Times New Roman"/>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uiPriority w:val="99"/>
    <w:unhideWhenUsed/>
    <w:qFormat/>
    <w:rPr>
      <w:rFonts w:ascii="Times New Roman" w:hAnsi="Times New Roman" w:cs="Times New Roman"/>
      <w:b/>
      <w:bCs/>
      <w:sz w:val="21"/>
    </w:rPr>
  </w:style>
  <w:style w:type="paragraph" w:styleId="a4">
    <w:name w:val="annotation text"/>
    <w:basedOn w:val="a"/>
    <w:link w:val="Char0"/>
    <w:uiPriority w:val="99"/>
    <w:unhideWhenUsed/>
    <w:qFormat/>
    <w:pPr>
      <w:spacing w:line="240" w:lineRule="auto"/>
      <w:jc w:val="left"/>
    </w:pPr>
    <w:rPr>
      <w:rFonts w:ascii="Tahoma" w:hAnsi="Tahoma" w:cs="Tahoma"/>
      <w:color w:val="000000"/>
      <w:sz w:val="16"/>
    </w:rPr>
  </w:style>
  <w:style w:type="paragraph" w:styleId="a5">
    <w:name w:val="Balloon Text"/>
    <w:basedOn w:val="a"/>
    <w:link w:val="Char1"/>
    <w:uiPriority w:val="99"/>
    <w:unhideWhenUsed/>
    <w:qFormat/>
    <w:pPr>
      <w:spacing w:line="240" w:lineRule="auto"/>
      <w:jc w:val="left"/>
    </w:pPr>
    <w:rPr>
      <w:rFonts w:ascii="Tahoma" w:hAnsi="Tahoma" w:cs="Tahoma"/>
      <w:sz w:val="16"/>
      <w:szCs w:val="18"/>
    </w:rPr>
  </w:style>
  <w:style w:type="paragraph" w:styleId="a6">
    <w:name w:val="footer"/>
    <w:basedOn w:val="a"/>
    <w:link w:val="Char2"/>
    <w:uiPriority w:val="99"/>
    <w:unhideWhenUsed/>
    <w:qFormat/>
    <w:pPr>
      <w:tabs>
        <w:tab w:val="center" w:pos="4153"/>
        <w:tab w:val="right" w:pos="8306"/>
      </w:tabs>
      <w:snapToGrid w:val="0"/>
      <w:jc w:val="left"/>
    </w:pPr>
    <w:rPr>
      <w:sz w:val="18"/>
      <w:szCs w:val="18"/>
    </w:rPr>
  </w:style>
  <w:style w:type="paragraph" w:styleId="a7">
    <w:name w:val="header"/>
    <w:basedOn w:val="a"/>
    <w:link w:val="Char3"/>
    <w:uiPriority w:val="99"/>
    <w:unhideWhenUsed/>
    <w:qFormat/>
    <w:pPr>
      <w:pBdr>
        <w:bottom w:val="single" w:sz="6" w:space="1" w:color="auto"/>
      </w:pBdr>
      <w:tabs>
        <w:tab w:val="center" w:pos="4153"/>
        <w:tab w:val="right" w:pos="8306"/>
      </w:tabs>
      <w:snapToGrid w:val="0"/>
      <w:jc w:val="center"/>
    </w:pPr>
    <w:rPr>
      <w:sz w:val="18"/>
      <w:szCs w:val="18"/>
    </w:rPr>
  </w:style>
  <w:style w:type="paragraph" w:styleId="a8">
    <w:name w:val="Normal (Web)"/>
    <w:basedOn w:val="a"/>
    <w:uiPriority w:val="99"/>
    <w:unhideWhenUsed/>
    <w:qFormat/>
    <w:pPr>
      <w:widowControl/>
      <w:spacing w:before="100" w:beforeAutospacing="1" w:after="100" w:afterAutospacing="1" w:line="240" w:lineRule="auto"/>
      <w:jc w:val="left"/>
    </w:pPr>
    <w:rPr>
      <w:rFonts w:ascii="宋体" w:hAnsi="宋体" w:cs="宋体"/>
      <w:kern w:val="0"/>
      <w:sz w:val="24"/>
    </w:rPr>
  </w:style>
  <w:style w:type="character" w:styleId="a9">
    <w:name w:val="page number"/>
    <w:uiPriority w:val="99"/>
    <w:unhideWhenUsed/>
    <w:qFormat/>
    <w:rPr>
      <w:rFonts w:cs="Times New Roman"/>
    </w:rPr>
  </w:style>
  <w:style w:type="character" w:styleId="aa">
    <w:name w:val="Hyperlink"/>
    <w:qFormat/>
    <w:rPr>
      <w:color w:val="0000FF"/>
      <w:u w:val="single"/>
    </w:rPr>
  </w:style>
  <w:style w:type="character" w:styleId="ab">
    <w:name w:val="annotation reference"/>
    <w:uiPriority w:val="99"/>
    <w:unhideWhenUsed/>
    <w:qFormat/>
    <w:rPr>
      <w:sz w:val="21"/>
      <w:szCs w:val="21"/>
    </w:rPr>
  </w:style>
  <w:style w:type="table" w:styleId="ac">
    <w:name w:val="Table Grid"/>
    <w:basedOn w:val="a1"/>
    <w:uiPriority w:val="99"/>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0">
    <w:name w:val="批注文字 Char"/>
    <w:link w:val="a4"/>
    <w:uiPriority w:val="99"/>
    <w:qFormat/>
    <w:rPr>
      <w:rFonts w:ascii="Tahoma" w:eastAsia="宋体" w:hAnsi="Tahoma" w:cs="Tahoma"/>
      <w:color w:val="000000"/>
      <w:sz w:val="16"/>
      <w:szCs w:val="24"/>
    </w:rPr>
  </w:style>
  <w:style w:type="character" w:customStyle="1" w:styleId="Char1">
    <w:name w:val="批注框文本 Char"/>
    <w:link w:val="a5"/>
    <w:uiPriority w:val="99"/>
    <w:qFormat/>
    <w:rPr>
      <w:rFonts w:ascii="Tahoma" w:eastAsia="宋体" w:hAnsi="Tahoma" w:cs="Tahoma"/>
      <w:sz w:val="16"/>
      <w:szCs w:val="18"/>
    </w:rPr>
  </w:style>
  <w:style w:type="character" w:customStyle="1" w:styleId="Char3">
    <w:name w:val="页眉 Char"/>
    <w:link w:val="a7"/>
    <w:uiPriority w:val="99"/>
    <w:qFormat/>
    <w:rPr>
      <w:rFonts w:ascii="Times New Roman" w:eastAsia="宋体" w:hAnsi="Times New Roman" w:cs="Times New Roman"/>
      <w:sz w:val="18"/>
      <w:szCs w:val="18"/>
    </w:rPr>
  </w:style>
  <w:style w:type="character" w:customStyle="1" w:styleId="Char">
    <w:name w:val="批注主题 Char"/>
    <w:link w:val="a3"/>
    <w:uiPriority w:val="99"/>
    <w:qFormat/>
    <w:rPr>
      <w:rFonts w:ascii="Times New Roman" w:eastAsia="宋体" w:hAnsi="Times New Roman" w:cs="Times New Roman"/>
      <w:b/>
      <w:bCs/>
      <w:color w:val="000000"/>
      <w:szCs w:val="24"/>
    </w:rPr>
  </w:style>
  <w:style w:type="character" w:customStyle="1" w:styleId="Char2">
    <w:name w:val="页脚 Char"/>
    <w:link w:val="a6"/>
    <w:uiPriority w:val="99"/>
    <w:qFormat/>
    <w:rPr>
      <w:rFonts w:ascii="Times New Roman" w:eastAsia="宋体" w:hAnsi="Times New Roman" w:cs="Times New Roman"/>
      <w:sz w:val="18"/>
      <w:szCs w:val="18"/>
    </w:rPr>
  </w:style>
  <w:style w:type="character" w:customStyle="1" w:styleId="Char10">
    <w:name w:val="批注文字 Char1"/>
    <w:basedOn w:val="a0"/>
    <w:uiPriority w:val="99"/>
    <w:semiHidden/>
    <w:qFormat/>
    <w:rPr>
      <w:rFonts w:ascii="Times New Roman" w:eastAsia="宋体" w:hAnsi="Times New Roman" w:cs="Times New Roman"/>
      <w:szCs w:val="24"/>
    </w:rPr>
  </w:style>
  <w:style w:type="character" w:customStyle="1" w:styleId="Char11">
    <w:name w:val="批注主题 Char1"/>
    <w:basedOn w:val="Char10"/>
    <w:uiPriority w:val="99"/>
    <w:semiHidden/>
    <w:qFormat/>
    <w:rPr>
      <w:rFonts w:ascii="Times New Roman" w:eastAsia="宋体" w:hAnsi="Times New Roman" w:cs="Times New Roman"/>
      <w:b/>
      <w:bCs/>
      <w:szCs w:val="24"/>
    </w:rPr>
  </w:style>
  <w:style w:type="character" w:customStyle="1" w:styleId="Char12">
    <w:name w:val="批注框文本 Char1"/>
    <w:basedOn w:val="a0"/>
    <w:uiPriority w:val="99"/>
    <w:semiHidden/>
    <w:qFormat/>
    <w:rPr>
      <w:rFonts w:ascii="Times New Roman" w:eastAsia="宋体" w:hAnsi="Times New Roman" w:cs="Times New Roman"/>
      <w:sz w:val="18"/>
      <w:szCs w:val="18"/>
    </w:rPr>
  </w:style>
  <w:style w:type="character" w:customStyle="1" w:styleId="Char13">
    <w:name w:val="页眉 Char1"/>
    <w:basedOn w:val="a0"/>
    <w:uiPriority w:val="99"/>
    <w:semiHidden/>
    <w:qFormat/>
    <w:rPr>
      <w:rFonts w:ascii="Times New Roman" w:eastAsia="宋体" w:hAnsi="Times New Roman" w:cs="Times New Roman"/>
      <w:sz w:val="18"/>
      <w:szCs w:val="18"/>
    </w:rPr>
  </w:style>
  <w:style w:type="character" w:customStyle="1" w:styleId="Char14">
    <w:name w:val="页脚 Char1"/>
    <w:basedOn w:val="a0"/>
    <w:uiPriority w:val="99"/>
    <w:semiHidden/>
    <w:qFormat/>
    <w:rPr>
      <w:rFonts w:ascii="Times New Roman" w:eastAsia="宋体" w:hAnsi="Times New Roman" w:cs="Times New Roman"/>
      <w:sz w:val="18"/>
      <w:szCs w:val="18"/>
    </w:rPr>
  </w:style>
  <w:style w:type="paragraph" w:customStyle="1" w:styleId="EndNoteBibliography">
    <w:name w:val="EndNote Bibliography"/>
    <w:basedOn w:val="a"/>
    <w:qFormat/>
    <w:pPr>
      <w:spacing w:line="240" w:lineRule="auto"/>
      <w:jc w:val="left"/>
    </w:pPr>
    <w:rPr>
      <w:sz w:val="20"/>
    </w:rPr>
  </w:style>
  <w:style w:type="paragraph" w:customStyle="1" w:styleId="EndNoteBibliographyTitle">
    <w:name w:val="EndNote Bibliography Title"/>
    <w:basedOn w:val="a"/>
    <w:qFormat/>
    <w:pPr>
      <w:jc w:val="center"/>
    </w:pPr>
    <w:rPr>
      <w:sz w:val="20"/>
    </w:rPr>
  </w:style>
  <w:style w:type="paragraph" w:customStyle="1" w:styleId="1">
    <w:name w:val="列出段落1"/>
    <w:basedOn w:val="a"/>
    <w:uiPriority w:val="99"/>
    <w:unhideWhenUsed/>
    <w:qFormat/>
    <w:pPr>
      <w:ind w:firstLineChars="200" w:firstLine="420"/>
    </w:pPr>
  </w:style>
  <w:style w:type="character" w:customStyle="1" w:styleId="apple-converted-space">
    <w:name w:val="apple-converted-space"/>
    <w:basedOn w:val="a0"/>
    <w:rsid w:val="00D02E4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qFormat="1"/>
    <w:lsdException w:name="header" w:semiHidden="0" w:qFormat="1"/>
    <w:lsdException w:name="footer" w:semiHidden="0" w:qFormat="1"/>
    <w:lsdException w:name="caption" w:uiPriority="35" w:qFormat="1"/>
    <w:lsdException w:name="annotation reference" w:semiHidden="0" w:qFormat="1"/>
    <w:lsdException w:name="page number" w:semiHidden="0" w:qFormat="1"/>
    <w:lsdException w:name="Title" w:semiHidden="0" w:uiPriority="10" w:unhideWhenUsed="0" w:qFormat="1"/>
    <w:lsdException w:name="Default Paragraph Font" w:semiHidden="0" w:uiPriority="1" w:qFormat="1"/>
    <w:lsdException w:name="Subtitle" w:semiHidden="0" w:uiPriority="11" w:unhideWhenUsed="0" w:qFormat="1"/>
    <w:lsdException w:name="Hyperlink" w:semiHidden="0" w:uiPriority="0" w:unhideWhenUsed="0" w:qFormat="1"/>
    <w:lsdException w:name="Strong" w:semiHidden="0" w:uiPriority="22" w:unhideWhenUsed="0" w:qFormat="1"/>
    <w:lsdException w:name="Emphasis" w:semiHidden="0" w:uiPriority="20" w:unhideWhenUsed="0" w:qFormat="1"/>
    <w:lsdException w:name="Normal (Web)" w:semiHidden="0" w:qFormat="1"/>
    <w:lsdException w:name="Normal Table" w:qFormat="1"/>
    <w:lsdException w:name="annotation subject" w:semiHidden="0" w:qFormat="1"/>
    <w:lsdException w:name="Balloon Text" w:semiHidden="0" w:qFormat="1"/>
    <w:lsdException w:name="Table Grid"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spacing w:after="200" w:line="276" w:lineRule="auto"/>
      <w:jc w:val="both"/>
    </w:pPr>
    <w:rPr>
      <w:rFonts w:ascii="Times New Roman" w:eastAsia="宋体" w:hAnsi="Times New Roman" w:cs="Times New Roman"/>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uiPriority w:val="99"/>
    <w:unhideWhenUsed/>
    <w:qFormat/>
    <w:rPr>
      <w:rFonts w:ascii="Times New Roman" w:hAnsi="Times New Roman" w:cs="Times New Roman"/>
      <w:b/>
      <w:bCs/>
      <w:sz w:val="21"/>
    </w:rPr>
  </w:style>
  <w:style w:type="paragraph" w:styleId="a4">
    <w:name w:val="annotation text"/>
    <w:basedOn w:val="a"/>
    <w:link w:val="Char0"/>
    <w:uiPriority w:val="99"/>
    <w:unhideWhenUsed/>
    <w:qFormat/>
    <w:pPr>
      <w:spacing w:line="240" w:lineRule="auto"/>
      <w:jc w:val="left"/>
    </w:pPr>
    <w:rPr>
      <w:rFonts w:ascii="Tahoma" w:hAnsi="Tahoma" w:cs="Tahoma"/>
      <w:color w:val="000000"/>
      <w:sz w:val="16"/>
    </w:rPr>
  </w:style>
  <w:style w:type="paragraph" w:styleId="a5">
    <w:name w:val="Balloon Text"/>
    <w:basedOn w:val="a"/>
    <w:link w:val="Char1"/>
    <w:uiPriority w:val="99"/>
    <w:unhideWhenUsed/>
    <w:qFormat/>
    <w:pPr>
      <w:spacing w:line="240" w:lineRule="auto"/>
      <w:jc w:val="left"/>
    </w:pPr>
    <w:rPr>
      <w:rFonts w:ascii="Tahoma" w:hAnsi="Tahoma" w:cs="Tahoma"/>
      <w:sz w:val="16"/>
      <w:szCs w:val="18"/>
    </w:rPr>
  </w:style>
  <w:style w:type="paragraph" w:styleId="a6">
    <w:name w:val="footer"/>
    <w:basedOn w:val="a"/>
    <w:link w:val="Char2"/>
    <w:uiPriority w:val="99"/>
    <w:unhideWhenUsed/>
    <w:qFormat/>
    <w:pPr>
      <w:tabs>
        <w:tab w:val="center" w:pos="4153"/>
        <w:tab w:val="right" w:pos="8306"/>
      </w:tabs>
      <w:snapToGrid w:val="0"/>
      <w:jc w:val="left"/>
    </w:pPr>
    <w:rPr>
      <w:sz w:val="18"/>
      <w:szCs w:val="18"/>
    </w:rPr>
  </w:style>
  <w:style w:type="paragraph" w:styleId="a7">
    <w:name w:val="header"/>
    <w:basedOn w:val="a"/>
    <w:link w:val="Char3"/>
    <w:uiPriority w:val="99"/>
    <w:unhideWhenUsed/>
    <w:qFormat/>
    <w:pPr>
      <w:pBdr>
        <w:bottom w:val="single" w:sz="6" w:space="1" w:color="auto"/>
      </w:pBdr>
      <w:tabs>
        <w:tab w:val="center" w:pos="4153"/>
        <w:tab w:val="right" w:pos="8306"/>
      </w:tabs>
      <w:snapToGrid w:val="0"/>
      <w:jc w:val="center"/>
    </w:pPr>
    <w:rPr>
      <w:sz w:val="18"/>
      <w:szCs w:val="18"/>
    </w:rPr>
  </w:style>
  <w:style w:type="paragraph" w:styleId="a8">
    <w:name w:val="Normal (Web)"/>
    <w:basedOn w:val="a"/>
    <w:uiPriority w:val="99"/>
    <w:unhideWhenUsed/>
    <w:qFormat/>
    <w:pPr>
      <w:widowControl/>
      <w:spacing w:before="100" w:beforeAutospacing="1" w:after="100" w:afterAutospacing="1" w:line="240" w:lineRule="auto"/>
      <w:jc w:val="left"/>
    </w:pPr>
    <w:rPr>
      <w:rFonts w:ascii="宋体" w:hAnsi="宋体" w:cs="宋体"/>
      <w:kern w:val="0"/>
      <w:sz w:val="24"/>
    </w:rPr>
  </w:style>
  <w:style w:type="character" w:styleId="a9">
    <w:name w:val="page number"/>
    <w:uiPriority w:val="99"/>
    <w:unhideWhenUsed/>
    <w:qFormat/>
    <w:rPr>
      <w:rFonts w:cs="Times New Roman"/>
    </w:rPr>
  </w:style>
  <w:style w:type="character" w:styleId="aa">
    <w:name w:val="Hyperlink"/>
    <w:qFormat/>
    <w:rPr>
      <w:color w:val="0000FF"/>
      <w:u w:val="single"/>
    </w:rPr>
  </w:style>
  <w:style w:type="character" w:styleId="ab">
    <w:name w:val="annotation reference"/>
    <w:uiPriority w:val="99"/>
    <w:unhideWhenUsed/>
    <w:qFormat/>
    <w:rPr>
      <w:sz w:val="21"/>
      <w:szCs w:val="21"/>
    </w:rPr>
  </w:style>
  <w:style w:type="table" w:styleId="ac">
    <w:name w:val="Table Grid"/>
    <w:basedOn w:val="a1"/>
    <w:uiPriority w:val="99"/>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0">
    <w:name w:val="批注文字 Char"/>
    <w:link w:val="a4"/>
    <w:uiPriority w:val="99"/>
    <w:qFormat/>
    <w:rPr>
      <w:rFonts w:ascii="Tahoma" w:eastAsia="宋体" w:hAnsi="Tahoma" w:cs="Tahoma"/>
      <w:color w:val="000000"/>
      <w:sz w:val="16"/>
      <w:szCs w:val="24"/>
    </w:rPr>
  </w:style>
  <w:style w:type="character" w:customStyle="1" w:styleId="Char1">
    <w:name w:val="批注框文本 Char"/>
    <w:link w:val="a5"/>
    <w:uiPriority w:val="99"/>
    <w:qFormat/>
    <w:rPr>
      <w:rFonts w:ascii="Tahoma" w:eastAsia="宋体" w:hAnsi="Tahoma" w:cs="Tahoma"/>
      <w:sz w:val="16"/>
      <w:szCs w:val="18"/>
    </w:rPr>
  </w:style>
  <w:style w:type="character" w:customStyle="1" w:styleId="Char3">
    <w:name w:val="页眉 Char"/>
    <w:link w:val="a7"/>
    <w:uiPriority w:val="99"/>
    <w:qFormat/>
    <w:rPr>
      <w:rFonts w:ascii="Times New Roman" w:eastAsia="宋体" w:hAnsi="Times New Roman" w:cs="Times New Roman"/>
      <w:sz w:val="18"/>
      <w:szCs w:val="18"/>
    </w:rPr>
  </w:style>
  <w:style w:type="character" w:customStyle="1" w:styleId="Char">
    <w:name w:val="批注主题 Char"/>
    <w:link w:val="a3"/>
    <w:uiPriority w:val="99"/>
    <w:qFormat/>
    <w:rPr>
      <w:rFonts w:ascii="Times New Roman" w:eastAsia="宋体" w:hAnsi="Times New Roman" w:cs="Times New Roman"/>
      <w:b/>
      <w:bCs/>
      <w:color w:val="000000"/>
      <w:szCs w:val="24"/>
    </w:rPr>
  </w:style>
  <w:style w:type="character" w:customStyle="1" w:styleId="Char2">
    <w:name w:val="页脚 Char"/>
    <w:link w:val="a6"/>
    <w:uiPriority w:val="99"/>
    <w:qFormat/>
    <w:rPr>
      <w:rFonts w:ascii="Times New Roman" w:eastAsia="宋体" w:hAnsi="Times New Roman" w:cs="Times New Roman"/>
      <w:sz w:val="18"/>
      <w:szCs w:val="18"/>
    </w:rPr>
  </w:style>
  <w:style w:type="character" w:customStyle="1" w:styleId="Char10">
    <w:name w:val="批注文字 Char1"/>
    <w:basedOn w:val="a0"/>
    <w:uiPriority w:val="99"/>
    <w:semiHidden/>
    <w:qFormat/>
    <w:rPr>
      <w:rFonts w:ascii="Times New Roman" w:eastAsia="宋体" w:hAnsi="Times New Roman" w:cs="Times New Roman"/>
      <w:szCs w:val="24"/>
    </w:rPr>
  </w:style>
  <w:style w:type="character" w:customStyle="1" w:styleId="Char11">
    <w:name w:val="批注主题 Char1"/>
    <w:basedOn w:val="Char10"/>
    <w:uiPriority w:val="99"/>
    <w:semiHidden/>
    <w:qFormat/>
    <w:rPr>
      <w:rFonts w:ascii="Times New Roman" w:eastAsia="宋体" w:hAnsi="Times New Roman" w:cs="Times New Roman"/>
      <w:b/>
      <w:bCs/>
      <w:szCs w:val="24"/>
    </w:rPr>
  </w:style>
  <w:style w:type="character" w:customStyle="1" w:styleId="Char12">
    <w:name w:val="批注框文本 Char1"/>
    <w:basedOn w:val="a0"/>
    <w:uiPriority w:val="99"/>
    <w:semiHidden/>
    <w:qFormat/>
    <w:rPr>
      <w:rFonts w:ascii="Times New Roman" w:eastAsia="宋体" w:hAnsi="Times New Roman" w:cs="Times New Roman"/>
      <w:sz w:val="18"/>
      <w:szCs w:val="18"/>
    </w:rPr>
  </w:style>
  <w:style w:type="character" w:customStyle="1" w:styleId="Char13">
    <w:name w:val="页眉 Char1"/>
    <w:basedOn w:val="a0"/>
    <w:uiPriority w:val="99"/>
    <w:semiHidden/>
    <w:qFormat/>
    <w:rPr>
      <w:rFonts w:ascii="Times New Roman" w:eastAsia="宋体" w:hAnsi="Times New Roman" w:cs="Times New Roman"/>
      <w:sz w:val="18"/>
      <w:szCs w:val="18"/>
    </w:rPr>
  </w:style>
  <w:style w:type="character" w:customStyle="1" w:styleId="Char14">
    <w:name w:val="页脚 Char1"/>
    <w:basedOn w:val="a0"/>
    <w:uiPriority w:val="99"/>
    <w:semiHidden/>
    <w:qFormat/>
    <w:rPr>
      <w:rFonts w:ascii="Times New Roman" w:eastAsia="宋体" w:hAnsi="Times New Roman" w:cs="Times New Roman"/>
      <w:sz w:val="18"/>
      <w:szCs w:val="18"/>
    </w:rPr>
  </w:style>
  <w:style w:type="paragraph" w:customStyle="1" w:styleId="EndNoteBibliography">
    <w:name w:val="EndNote Bibliography"/>
    <w:basedOn w:val="a"/>
    <w:qFormat/>
    <w:pPr>
      <w:spacing w:line="240" w:lineRule="auto"/>
      <w:jc w:val="left"/>
    </w:pPr>
    <w:rPr>
      <w:sz w:val="20"/>
    </w:rPr>
  </w:style>
  <w:style w:type="paragraph" w:customStyle="1" w:styleId="EndNoteBibliographyTitle">
    <w:name w:val="EndNote Bibliography Title"/>
    <w:basedOn w:val="a"/>
    <w:qFormat/>
    <w:pPr>
      <w:jc w:val="center"/>
    </w:pPr>
    <w:rPr>
      <w:sz w:val="20"/>
    </w:rPr>
  </w:style>
  <w:style w:type="paragraph" w:customStyle="1" w:styleId="1">
    <w:name w:val="列出段落1"/>
    <w:basedOn w:val="a"/>
    <w:uiPriority w:val="99"/>
    <w:unhideWhenUsed/>
    <w:qFormat/>
    <w:pPr>
      <w:ind w:firstLineChars="200" w:firstLine="420"/>
    </w:pPr>
  </w:style>
  <w:style w:type="character" w:customStyle="1" w:styleId="apple-converted-space">
    <w:name w:val="apple-converted-space"/>
    <w:basedOn w:val="a0"/>
    <w:rsid w:val="00D02E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5.tiff"/><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tif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34</Pages>
  <Words>10394</Words>
  <Characters>59250</Characters>
  <Application>Microsoft Office Word</Application>
  <DocSecurity>0</DocSecurity>
  <Lines>493</Lines>
  <Paragraphs>139</Paragraphs>
  <ScaleCrop>false</ScaleCrop>
  <HeadingPairs>
    <vt:vector size="2" baseType="variant">
      <vt:variant>
        <vt:lpstr>Title</vt:lpstr>
      </vt:variant>
      <vt:variant>
        <vt:i4>1</vt:i4>
      </vt:variant>
    </vt:vector>
  </HeadingPairs>
  <TitlesOfParts>
    <vt:vector size="1" baseType="lpstr">
      <vt:lpstr/>
    </vt:vector>
  </TitlesOfParts>
  <Company>微软中国</Company>
  <LinksUpToDate>false</LinksUpToDate>
  <CharactersWithSpaces>69505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微软用户</dc:creator>
  <cp:lastModifiedBy>Ma, Ya-Juan (BPG)</cp:lastModifiedBy>
  <cp:revision>3</cp:revision>
  <dcterms:created xsi:type="dcterms:W3CDTF">2017-03-04T03:17:00Z</dcterms:created>
  <dcterms:modified xsi:type="dcterms:W3CDTF">2017-03-06T07:04:00Z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2052-10.1.0.6206</vt:lpwstr>
  </property>
</Properties>
</file>