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0BC" w:rsidRPr="009418BF" w:rsidRDefault="00EF70BC" w:rsidP="009418BF">
      <w:pPr>
        <w:spacing w:line="360" w:lineRule="auto"/>
        <w:jc w:val="both"/>
        <w:rPr>
          <w:rFonts w:ascii="Book Antiqua" w:hAnsi="Book Antiqua"/>
          <w:b/>
        </w:rPr>
      </w:pPr>
      <w:r w:rsidRPr="009418BF">
        <w:rPr>
          <w:rFonts w:ascii="Book Antiqua" w:hAnsi="Book Antiqua"/>
          <w:b/>
        </w:rPr>
        <w:t xml:space="preserve">Name of Journal: </w:t>
      </w:r>
      <w:r w:rsidRPr="009418BF">
        <w:rPr>
          <w:rFonts w:ascii="Book Antiqua" w:hAnsi="Book Antiqua"/>
          <w:b/>
          <w:i/>
          <w:iCs/>
        </w:rPr>
        <w:t>World Journal of Radiology</w:t>
      </w:r>
    </w:p>
    <w:p w:rsidR="00EF70BC" w:rsidRPr="009418BF" w:rsidRDefault="00EF70BC" w:rsidP="009418BF">
      <w:pPr>
        <w:spacing w:line="360" w:lineRule="auto"/>
        <w:jc w:val="both"/>
        <w:rPr>
          <w:rFonts w:ascii="Book Antiqua" w:hAnsi="Book Antiqua"/>
          <w:b/>
          <w:lang w:eastAsia="zh-CN"/>
        </w:rPr>
      </w:pPr>
      <w:r w:rsidRPr="009418BF">
        <w:rPr>
          <w:rFonts w:ascii="Book Antiqua" w:hAnsi="Book Antiqua"/>
          <w:b/>
        </w:rPr>
        <w:t xml:space="preserve">ESPS Manuscript NO: </w:t>
      </w:r>
      <w:r w:rsidRPr="009418BF">
        <w:rPr>
          <w:rFonts w:ascii="Book Antiqua" w:hAnsi="Book Antiqua"/>
          <w:b/>
          <w:lang w:eastAsia="zh-CN"/>
        </w:rPr>
        <w:t>31826</w:t>
      </w:r>
    </w:p>
    <w:p w:rsidR="00EF70BC" w:rsidRPr="009418BF" w:rsidRDefault="00EF70BC" w:rsidP="009418BF">
      <w:pPr>
        <w:spacing w:line="360" w:lineRule="auto"/>
        <w:jc w:val="both"/>
        <w:rPr>
          <w:rFonts w:ascii="Book Antiqua" w:hAnsi="Book Antiqua"/>
          <w:b/>
          <w:lang w:eastAsia="zh-CN"/>
        </w:rPr>
      </w:pPr>
      <w:r w:rsidRPr="009418BF">
        <w:rPr>
          <w:rFonts w:ascii="Book Antiqua" w:hAnsi="Book Antiqua"/>
          <w:b/>
        </w:rPr>
        <w:t>Manuscript Type: Original Article</w:t>
      </w:r>
    </w:p>
    <w:p w:rsidR="008910D0" w:rsidRPr="009418BF" w:rsidRDefault="008910D0" w:rsidP="009418BF">
      <w:pPr>
        <w:spacing w:line="360" w:lineRule="auto"/>
        <w:jc w:val="both"/>
        <w:rPr>
          <w:rFonts w:ascii="Book Antiqua" w:hAnsi="Book Antiqua"/>
          <w:b/>
          <w:lang w:eastAsia="zh-CN"/>
        </w:rPr>
      </w:pPr>
    </w:p>
    <w:p w:rsidR="00EF70BC" w:rsidRPr="009418BF" w:rsidRDefault="00EF70BC" w:rsidP="009418BF">
      <w:pPr>
        <w:spacing w:line="360" w:lineRule="auto"/>
        <w:jc w:val="both"/>
        <w:rPr>
          <w:rFonts w:ascii="Book Antiqua" w:hAnsi="Book Antiqua"/>
          <w:b/>
          <w:noProof/>
          <w:lang w:eastAsia="zh-CN"/>
        </w:rPr>
      </w:pPr>
      <w:r w:rsidRPr="009418BF">
        <w:rPr>
          <w:rFonts w:ascii="Book Antiqua" w:hAnsi="Book Antiqua"/>
          <w:b/>
          <w:i/>
        </w:rPr>
        <w:t>Retrospective Study</w:t>
      </w:r>
    </w:p>
    <w:p w:rsidR="009C4694" w:rsidRPr="009418BF" w:rsidRDefault="009C4694" w:rsidP="009418BF">
      <w:pPr>
        <w:spacing w:line="360" w:lineRule="auto"/>
        <w:jc w:val="both"/>
        <w:rPr>
          <w:rFonts w:ascii="Book Antiqua" w:hAnsi="Book Antiqua"/>
          <w:b/>
          <w:noProof/>
          <w:lang w:eastAsia="zh-CN"/>
        </w:rPr>
      </w:pPr>
      <w:r w:rsidRPr="009418BF">
        <w:rPr>
          <w:rFonts w:ascii="Book Antiqua" w:hAnsi="Book Antiqua"/>
          <w:b/>
          <w:noProof/>
        </w:rPr>
        <w:t xml:space="preserve">Transarterial </w:t>
      </w:r>
      <w:r w:rsidR="00A91D63" w:rsidRPr="009418BF">
        <w:rPr>
          <w:rFonts w:ascii="Book Antiqua" w:hAnsi="Book Antiqua"/>
          <w:b/>
          <w:noProof/>
        </w:rPr>
        <w:t>c</w:t>
      </w:r>
      <w:r w:rsidRPr="009418BF">
        <w:rPr>
          <w:rFonts w:ascii="Book Antiqua" w:hAnsi="Book Antiqua"/>
          <w:b/>
          <w:noProof/>
        </w:rPr>
        <w:t xml:space="preserve">hemoembolization using 40 µm </w:t>
      </w:r>
      <w:r w:rsidR="00A91D63" w:rsidRPr="009418BF">
        <w:rPr>
          <w:rFonts w:ascii="Book Antiqua" w:hAnsi="Book Antiqua"/>
          <w:b/>
          <w:noProof/>
        </w:rPr>
        <w:t>drug eluting beads for hepatocellular carcinoma</w:t>
      </w:r>
    </w:p>
    <w:p w:rsidR="00A91D63" w:rsidRPr="009418BF" w:rsidRDefault="00A91D63" w:rsidP="009418BF">
      <w:pPr>
        <w:spacing w:line="360" w:lineRule="auto"/>
        <w:jc w:val="both"/>
        <w:rPr>
          <w:rFonts w:ascii="Book Antiqua" w:hAnsi="Book Antiqua"/>
          <w:b/>
          <w:noProof/>
          <w:lang w:eastAsia="zh-CN"/>
        </w:rPr>
      </w:pPr>
    </w:p>
    <w:p w:rsidR="009C4694" w:rsidRPr="009418BF" w:rsidRDefault="007B3111" w:rsidP="009418BF">
      <w:pPr>
        <w:spacing w:line="360" w:lineRule="auto"/>
        <w:jc w:val="both"/>
        <w:rPr>
          <w:rFonts w:ascii="Book Antiqua" w:hAnsi="Book Antiqua"/>
          <w:lang w:val="it-IT"/>
        </w:rPr>
      </w:pPr>
      <w:r w:rsidRPr="009418BF">
        <w:rPr>
          <w:rFonts w:ascii="Book Antiqua" w:hAnsi="Book Antiqua"/>
          <w:lang w:val="it-IT"/>
        </w:rPr>
        <w:t xml:space="preserve">Giorgio G </w:t>
      </w:r>
      <w:r w:rsidRPr="009418BF">
        <w:rPr>
          <w:rFonts w:ascii="Book Antiqua" w:hAnsi="Book Antiqua"/>
          <w:i/>
          <w:lang w:val="it-IT"/>
        </w:rPr>
        <w:t>et al</w:t>
      </w:r>
      <w:r w:rsidRPr="009418BF">
        <w:rPr>
          <w:rFonts w:ascii="Book Antiqua" w:hAnsi="Book Antiqua"/>
          <w:lang w:val="it-IT"/>
        </w:rPr>
        <w:t xml:space="preserve">. 40 µm DEB-TACE for </w:t>
      </w:r>
      <w:r w:rsidR="00A41762" w:rsidRPr="009418BF">
        <w:rPr>
          <w:rFonts w:ascii="Book Antiqua" w:hAnsi="Book Antiqua"/>
          <w:lang w:val="it-IT"/>
        </w:rPr>
        <w:t>hepatocellular carcinoma</w:t>
      </w:r>
    </w:p>
    <w:p w:rsidR="007B3111" w:rsidRPr="009418BF" w:rsidRDefault="007B3111" w:rsidP="009418BF">
      <w:pPr>
        <w:spacing w:line="360" w:lineRule="auto"/>
        <w:jc w:val="both"/>
        <w:rPr>
          <w:rFonts w:ascii="Book Antiqua" w:hAnsi="Book Antiqua"/>
          <w:b/>
          <w:lang w:val="it-IT" w:eastAsia="zh-CN"/>
        </w:rPr>
      </w:pPr>
    </w:p>
    <w:p w:rsidR="00A21178" w:rsidRPr="009418BF" w:rsidRDefault="00A21178" w:rsidP="009418BF">
      <w:pPr>
        <w:spacing w:line="360" w:lineRule="auto"/>
        <w:jc w:val="both"/>
        <w:rPr>
          <w:rFonts w:ascii="Book Antiqua" w:hAnsi="Book Antiqua"/>
          <w:b/>
          <w:lang w:val="it-IT"/>
        </w:rPr>
      </w:pPr>
      <w:r w:rsidRPr="009418BF">
        <w:rPr>
          <w:rFonts w:ascii="Book Antiqua" w:hAnsi="Book Antiqua"/>
          <w:b/>
          <w:lang w:val="it-IT"/>
        </w:rPr>
        <w:t>Giorgio Greco, Tommaso Cascella, Antonio Facciorusso, Roberto Nani, Rodolfo Lanocita,</w:t>
      </w:r>
      <w:r w:rsidRPr="009418BF">
        <w:rPr>
          <w:rFonts w:ascii="Book Antiqua" w:hAnsi="Book Antiqua"/>
          <w:b/>
          <w:vertAlign w:val="superscript"/>
          <w:lang w:val="it-IT"/>
        </w:rPr>
        <w:t xml:space="preserve"> </w:t>
      </w:r>
      <w:r w:rsidRPr="009418BF">
        <w:rPr>
          <w:rFonts w:ascii="Book Antiqua" w:hAnsi="Book Antiqua"/>
          <w:b/>
          <w:lang w:val="it-IT"/>
        </w:rPr>
        <w:t>Carlo Morosi, Marta Vaiani, Giuseppina Calareso, Francesca G Greco, Antonio Ragnanese, Marco A Bongini, Alfonso V Marchianò, Vincenzo Mazzaferro, Carlo Spreafico</w:t>
      </w:r>
    </w:p>
    <w:p w:rsidR="008B4AE0" w:rsidRPr="009418BF" w:rsidRDefault="008B4AE0" w:rsidP="009418BF">
      <w:pPr>
        <w:spacing w:line="360" w:lineRule="auto"/>
        <w:jc w:val="both"/>
        <w:rPr>
          <w:rFonts w:ascii="Book Antiqua" w:hAnsi="Book Antiqua"/>
          <w:b/>
          <w:lang w:val="it-IT"/>
        </w:rPr>
      </w:pPr>
    </w:p>
    <w:p w:rsidR="007507DA" w:rsidRPr="009418BF" w:rsidRDefault="007507DA" w:rsidP="009418BF">
      <w:pPr>
        <w:spacing w:line="360" w:lineRule="auto"/>
        <w:jc w:val="both"/>
        <w:rPr>
          <w:rFonts w:ascii="Book Antiqua" w:hAnsi="Book Antiqua"/>
          <w:b/>
          <w:lang w:val="it-IT"/>
        </w:rPr>
      </w:pPr>
      <w:r w:rsidRPr="009418BF">
        <w:rPr>
          <w:rFonts w:ascii="Book Antiqua" w:hAnsi="Book Antiqua"/>
          <w:b/>
          <w:lang w:val="it-IT"/>
        </w:rPr>
        <w:t>Giorgio Greco, Tommaso Cascella, Rodolfo Lanocita, Carlo Morosi, Marta Vaiani, Giuseppina Calareso, Francesca G Greco, Alfonso V Marchianò, Carlo Spreafico</w:t>
      </w:r>
      <w:r w:rsidR="008B4AE0" w:rsidRPr="009418BF">
        <w:rPr>
          <w:rFonts w:ascii="Book Antiqua" w:hAnsi="Book Antiqua"/>
          <w:b/>
          <w:lang w:val="it-IT"/>
        </w:rPr>
        <w:t xml:space="preserve">, </w:t>
      </w:r>
      <w:r w:rsidR="008B4AE0" w:rsidRPr="009418BF">
        <w:rPr>
          <w:rFonts w:ascii="Book Antiqua" w:hAnsi="Book Antiqua"/>
          <w:lang w:val="it-IT"/>
        </w:rPr>
        <w:t>Department of Radiology, Interventional Radiology, Nuclear Medicine and Radiotherapy, National Cancer Institute, 20133 Milan, Italy</w:t>
      </w:r>
      <w:r w:rsidR="008B4AE0" w:rsidRPr="009418BF">
        <w:rPr>
          <w:rFonts w:ascii="Book Antiqua" w:hAnsi="Book Antiqua"/>
          <w:b/>
          <w:lang w:val="it-IT"/>
        </w:rPr>
        <w:t xml:space="preserve"> </w:t>
      </w:r>
    </w:p>
    <w:p w:rsidR="007B3111" w:rsidRPr="009418BF" w:rsidRDefault="007B3111" w:rsidP="009418BF">
      <w:pPr>
        <w:spacing w:line="360" w:lineRule="auto"/>
        <w:jc w:val="both"/>
        <w:rPr>
          <w:rFonts w:ascii="Book Antiqua" w:hAnsi="Book Antiqua"/>
          <w:b/>
          <w:lang w:val="it-IT" w:eastAsia="zh-CN"/>
        </w:rPr>
      </w:pPr>
    </w:p>
    <w:p w:rsidR="00134E90" w:rsidRPr="009418BF" w:rsidRDefault="00134E90" w:rsidP="009418BF">
      <w:pPr>
        <w:spacing w:line="360" w:lineRule="auto"/>
        <w:jc w:val="both"/>
        <w:rPr>
          <w:rFonts w:ascii="Book Antiqua" w:hAnsi="Book Antiqua"/>
          <w:lang w:val="it-IT"/>
        </w:rPr>
      </w:pPr>
      <w:r w:rsidRPr="009418BF">
        <w:rPr>
          <w:rFonts w:ascii="Book Antiqua" w:hAnsi="Book Antiqua"/>
          <w:b/>
          <w:lang w:val="it-IT"/>
        </w:rPr>
        <w:t>Antonio Facciorusso,</w:t>
      </w:r>
      <w:r w:rsidR="00ED71D5">
        <w:rPr>
          <w:rFonts w:ascii="Book Antiqua" w:hAnsi="Book Antiqua"/>
          <w:b/>
          <w:lang w:val="it-IT"/>
        </w:rPr>
        <w:t xml:space="preserve"> </w:t>
      </w:r>
      <w:r w:rsidRPr="009418BF">
        <w:rPr>
          <w:rFonts w:ascii="Book Antiqua" w:hAnsi="Book Antiqua"/>
          <w:lang w:val="it-IT"/>
        </w:rPr>
        <w:t>Gastroenterology Unit, Ospedali Riuniti Foggia, University of Foggia, 71122 Foggia, Italy</w:t>
      </w:r>
    </w:p>
    <w:p w:rsidR="00134E90" w:rsidRPr="009418BF" w:rsidRDefault="00134E90" w:rsidP="009418BF">
      <w:pPr>
        <w:spacing w:line="360" w:lineRule="auto"/>
        <w:jc w:val="both"/>
        <w:rPr>
          <w:rFonts w:ascii="Book Antiqua" w:hAnsi="Book Antiqua"/>
          <w:b/>
          <w:lang w:val="it-IT" w:eastAsia="zh-CN"/>
        </w:rPr>
      </w:pPr>
    </w:p>
    <w:p w:rsidR="00134E90" w:rsidRPr="009418BF" w:rsidRDefault="00134E90" w:rsidP="009418BF">
      <w:pPr>
        <w:spacing w:line="360" w:lineRule="auto"/>
        <w:jc w:val="both"/>
        <w:rPr>
          <w:rFonts w:ascii="Book Antiqua" w:hAnsi="Book Antiqua"/>
          <w:lang w:val="it-IT"/>
        </w:rPr>
      </w:pPr>
      <w:r w:rsidRPr="009418BF">
        <w:rPr>
          <w:rFonts w:ascii="Book Antiqua" w:hAnsi="Book Antiqua"/>
          <w:b/>
          <w:lang w:val="it-IT"/>
        </w:rPr>
        <w:t>Roberto Nani, Antonio Ragnanese,</w:t>
      </w:r>
      <w:r w:rsidRPr="009418BF">
        <w:rPr>
          <w:rFonts w:ascii="Book Antiqua" w:hAnsi="Book Antiqua"/>
          <w:lang w:val="it-IT"/>
        </w:rPr>
        <w:t xml:space="preserve"> Radiology and Interventional Radiology Unit, Azienda Ospedaliera Giovanni Paolo XXIII, 24128 Bergamo, Italy</w:t>
      </w:r>
    </w:p>
    <w:p w:rsidR="00134E90" w:rsidRPr="009418BF" w:rsidRDefault="00134E90" w:rsidP="009418BF">
      <w:pPr>
        <w:spacing w:line="360" w:lineRule="auto"/>
        <w:jc w:val="both"/>
        <w:rPr>
          <w:rFonts w:ascii="Book Antiqua" w:hAnsi="Book Antiqua"/>
          <w:b/>
          <w:lang w:val="it-IT" w:eastAsia="zh-CN"/>
        </w:rPr>
      </w:pPr>
    </w:p>
    <w:p w:rsidR="007B3111" w:rsidRPr="009418BF" w:rsidRDefault="008B4AE0" w:rsidP="009418BF">
      <w:pPr>
        <w:spacing w:line="360" w:lineRule="auto"/>
        <w:jc w:val="both"/>
        <w:rPr>
          <w:rFonts w:ascii="Book Antiqua" w:hAnsi="Book Antiqua"/>
          <w:lang w:val="it-IT" w:eastAsia="zh-CN"/>
        </w:rPr>
      </w:pPr>
      <w:r w:rsidRPr="009418BF">
        <w:rPr>
          <w:rFonts w:ascii="Book Antiqua" w:hAnsi="Book Antiqua"/>
          <w:b/>
          <w:lang w:val="it-IT"/>
        </w:rPr>
        <w:t xml:space="preserve">Marco A Bongini, Vincenzo Mazzaferro, </w:t>
      </w:r>
      <w:r w:rsidRPr="009418BF">
        <w:rPr>
          <w:rFonts w:ascii="Book Antiqua" w:hAnsi="Book Antiqua"/>
          <w:lang w:val="it-IT"/>
        </w:rPr>
        <w:t>Hepato-biliary Surgery and Liver Transplantation Unit, National Cancer Institute, 20133 Milan, Italy</w:t>
      </w:r>
    </w:p>
    <w:p w:rsidR="00AE3A11" w:rsidRPr="009418BF" w:rsidRDefault="00AE3A11" w:rsidP="009418BF">
      <w:pPr>
        <w:spacing w:line="360" w:lineRule="auto"/>
        <w:jc w:val="both"/>
        <w:rPr>
          <w:rFonts w:ascii="Book Antiqua" w:hAnsi="Book Antiqua"/>
          <w:lang w:val="it-IT" w:eastAsia="zh-CN"/>
        </w:rPr>
      </w:pPr>
    </w:p>
    <w:p w:rsidR="007507DA" w:rsidRPr="009418BF" w:rsidRDefault="00134E90" w:rsidP="009418BF">
      <w:pPr>
        <w:spacing w:line="360" w:lineRule="auto"/>
        <w:jc w:val="both"/>
        <w:rPr>
          <w:rFonts w:ascii="Book Antiqua" w:hAnsi="Book Antiqua"/>
          <w:lang w:val="it-IT" w:eastAsia="zh-CN"/>
        </w:rPr>
      </w:pPr>
      <w:r w:rsidRPr="009418BF">
        <w:rPr>
          <w:rFonts w:ascii="Book Antiqua" w:hAnsi="Book Antiqua"/>
          <w:b/>
        </w:rPr>
        <w:t>Author contributions:</w:t>
      </w:r>
      <w:r w:rsidRPr="009418BF">
        <w:rPr>
          <w:rFonts w:ascii="Book Antiqua" w:hAnsi="Book Antiqua"/>
          <w:lang w:val="it-IT" w:eastAsia="zh-CN"/>
        </w:rPr>
        <w:t xml:space="preserve"> </w:t>
      </w:r>
      <w:r w:rsidR="00A21178" w:rsidRPr="009418BF">
        <w:rPr>
          <w:rFonts w:ascii="Book Antiqua" w:hAnsi="Book Antiqua"/>
          <w:lang w:val="it-IT"/>
        </w:rPr>
        <w:t xml:space="preserve">Greco </w:t>
      </w:r>
      <w:r w:rsidR="00551428" w:rsidRPr="009418BF">
        <w:rPr>
          <w:rFonts w:ascii="Book Antiqua" w:hAnsi="Book Antiqua"/>
          <w:lang w:val="it-IT" w:eastAsia="zh-CN"/>
        </w:rPr>
        <w:t xml:space="preserve">G </w:t>
      </w:r>
      <w:r w:rsidR="00A21178" w:rsidRPr="009418BF">
        <w:rPr>
          <w:rFonts w:ascii="Book Antiqua" w:hAnsi="Book Antiqua"/>
          <w:lang w:val="it-IT"/>
        </w:rPr>
        <w:t xml:space="preserve">collected data, performed the research, wrote the manuscript and </w:t>
      </w:r>
      <w:r w:rsidR="007507DA" w:rsidRPr="009418BF">
        <w:rPr>
          <w:rFonts w:ascii="Book Antiqua" w:hAnsi="Book Antiqua"/>
          <w:lang w:val="it-IT"/>
        </w:rPr>
        <w:t xml:space="preserve">made the </w:t>
      </w:r>
      <w:r w:rsidR="00A21178" w:rsidRPr="009418BF">
        <w:rPr>
          <w:rFonts w:ascii="Book Antiqua" w:hAnsi="Book Antiqua"/>
          <w:lang w:val="it-IT"/>
        </w:rPr>
        <w:t>revision; Greco</w:t>
      </w:r>
      <w:r w:rsidR="00551428" w:rsidRPr="009418BF">
        <w:rPr>
          <w:rFonts w:ascii="Book Antiqua" w:hAnsi="Book Antiqua"/>
          <w:lang w:val="it-IT" w:eastAsia="zh-CN"/>
        </w:rPr>
        <w:t xml:space="preserve"> G</w:t>
      </w:r>
      <w:r w:rsidR="00A21178" w:rsidRPr="009418BF">
        <w:rPr>
          <w:rFonts w:ascii="Book Antiqua" w:hAnsi="Book Antiqua"/>
          <w:lang w:val="it-IT"/>
        </w:rPr>
        <w:t>, Cascella</w:t>
      </w:r>
      <w:r w:rsidR="00551428" w:rsidRPr="009418BF">
        <w:rPr>
          <w:rFonts w:ascii="Book Antiqua" w:hAnsi="Book Antiqua"/>
          <w:lang w:val="it-IT" w:eastAsia="zh-CN"/>
        </w:rPr>
        <w:t xml:space="preserve"> T</w:t>
      </w:r>
      <w:r w:rsidR="00A21178" w:rsidRPr="009418BF">
        <w:rPr>
          <w:rFonts w:ascii="Book Antiqua" w:hAnsi="Book Antiqua"/>
          <w:lang w:val="it-IT"/>
        </w:rPr>
        <w:t>, Lanocita</w:t>
      </w:r>
      <w:r w:rsidR="00551428" w:rsidRPr="009418BF">
        <w:rPr>
          <w:rFonts w:ascii="Book Antiqua" w:hAnsi="Book Antiqua"/>
          <w:lang w:val="it-IT" w:eastAsia="zh-CN"/>
        </w:rPr>
        <w:t xml:space="preserve"> R</w:t>
      </w:r>
      <w:r w:rsidR="00A21178" w:rsidRPr="009418BF">
        <w:rPr>
          <w:rFonts w:ascii="Book Antiqua" w:hAnsi="Book Antiqua"/>
          <w:lang w:val="it-IT"/>
        </w:rPr>
        <w:t>, Morosi</w:t>
      </w:r>
      <w:r w:rsidR="00551428" w:rsidRPr="009418BF">
        <w:rPr>
          <w:rFonts w:ascii="Book Antiqua" w:hAnsi="Book Antiqua"/>
          <w:lang w:val="it-IT" w:eastAsia="zh-CN"/>
        </w:rPr>
        <w:t xml:space="preserve"> C</w:t>
      </w:r>
      <w:r w:rsidR="00A21178" w:rsidRPr="009418BF">
        <w:rPr>
          <w:rFonts w:ascii="Book Antiqua" w:hAnsi="Book Antiqua"/>
          <w:lang w:val="it-IT"/>
        </w:rPr>
        <w:t>, Marchianò</w:t>
      </w:r>
      <w:r w:rsidR="00551428" w:rsidRPr="009418BF">
        <w:rPr>
          <w:rFonts w:ascii="Book Antiqua" w:hAnsi="Book Antiqua"/>
          <w:lang w:val="it-IT" w:eastAsia="zh-CN"/>
        </w:rPr>
        <w:t xml:space="preserve"> AV</w:t>
      </w:r>
      <w:r w:rsidR="00A21178" w:rsidRPr="009418BF">
        <w:rPr>
          <w:rFonts w:ascii="Book Antiqua" w:hAnsi="Book Antiqua"/>
          <w:lang w:val="it-IT"/>
        </w:rPr>
        <w:t>, Spreafico</w:t>
      </w:r>
      <w:r w:rsidR="00551428" w:rsidRPr="009418BF">
        <w:rPr>
          <w:rFonts w:ascii="Book Antiqua" w:hAnsi="Book Antiqua"/>
          <w:lang w:val="it-IT" w:eastAsia="zh-CN"/>
        </w:rPr>
        <w:t xml:space="preserve"> C and</w:t>
      </w:r>
      <w:r w:rsidR="00A21178" w:rsidRPr="009418BF">
        <w:rPr>
          <w:rFonts w:ascii="Book Antiqua" w:hAnsi="Book Antiqua"/>
          <w:lang w:val="it-IT"/>
        </w:rPr>
        <w:t xml:space="preserve"> Nani </w:t>
      </w:r>
      <w:r w:rsidR="00551428" w:rsidRPr="009418BF">
        <w:rPr>
          <w:rFonts w:ascii="Book Antiqua" w:hAnsi="Book Antiqua"/>
          <w:lang w:val="it-IT" w:eastAsia="zh-CN"/>
        </w:rPr>
        <w:t xml:space="preserve">R </w:t>
      </w:r>
      <w:r w:rsidR="00A21178" w:rsidRPr="009418BF">
        <w:rPr>
          <w:rFonts w:ascii="Book Antiqua" w:hAnsi="Book Antiqua"/>
          <w:lang w:val="it-IT"/>
        </w:rPr>
        <w:t>performed TACE</w:t>
      </w:r>
      <w:r w:rsidR="007507DA" w:rsidRPr="009418BF">
        <w:rPr>
          <w:rFonts w:ascii="Book Antiqua" w:hAnsi="Book Antiqua"/>
          <w:lang w:val="it-IT"/>
        </w:rPr>
        <w:t>s and designed the study</w:t>
      </w:r>
      <w:r w:rsidR="00A21178" w:rsidRPr="009418BF">
        <w:rPr>
          <w:rFonts w:ascii="Book Antiqua" w:hAnsi="Book Antiqua"/>
          <w:lang w:val="it-IT"/>
        </w:rPr>
        <w:t>; Ragnanese</w:t>
      </w:r>
      <w:r w:rsidR="00B112ED" w:rsidRPr="009418BF">
        <w:rPr>
          <w:rFonts w:ascii="Book Antiqua" w:hAnsi="Book Antiqua"/>
          <w:lang w:val="it-IT" w:eastAsia="zh-CN"/>
        </w:rPr>
        <w:t xml:space="preserve"> A</w:t>
      </w:r>
      <w:r w:rsidR="007507DA" w:rsidRPr="009418BF">
        <w:rPr>
          <w:rFonts w:ascii="Book Antiqua" w:hAnsi="Book Antiqua"/>
          <w:lang w:val="it-IT"/>
        </w:rPr>
        <w:t xml:space="preserve">, </w:t>
      </w:r>
      <w:r w:rsidR="007507DA" w:rsidRPr="009418BF">
        <w:rPr>
          <w:rFonts w:ascii="Book Antiqua" w:hAnsi="Book Antiqua"/>
          <w:lang w:val="it-IT"/>
        </w:rPr>
        <w:lastRenderedPageBreak/>
        <w:t>Calareso</w:t>
      </w:r>
      <w:r w:rsidR="00B112ED" w:rsidRPr="009418BF">
        <w:rPr>
          <w:rFonts w:ascii="Book Antiqua" w:hAnsi="Book Antiqua"/>
          <w:lang w:val="it-IT" w:eastAsia="zh-CN"/>
        </w:rPr>
        <w:t xml:space="preserve"> G</w:t>
      </w:r>
      <w:r w:rsidR="007507DA" w:rsidRPr="009418BF">
        <w:rPr>
          <w:rFonts w:ascii="Book Antiqua" w:hAnsi="Book Antiqua"/>
          <w:lang w:val="it-IT"/>
        </w:rPr>
        <w:t>, Vaiani</w:t>
      </w:r>
      <w:r w:rsidR="00B112ED" w:rsidRPr="009418BF">
        <w:rPr>
          <w:rFonts w:ascii="Book Antiqua" w:hAnsi="Book Antiqua"/>
          <w:lang w:val="it-IT" w:eastAsia="zh-CN"/>
        </w:rPr>
        <w:t xml:space="preserve"> M and </w:t>
      </w:r>
      <w:r w:rsidR="007507DA" w:rsidRPr="009418BF">
        <w:rPr>
          <w:rFonts w:ascii="Book Antiqua" w:hAnsi="Book Antiqua"/>
          <w:lang w:val="it-IT"/>
        </w:rPr>
        <w:t>Greco</w:t>
      </w:r>
      <w:r w:rsidR="00A21178" w:rsidRPr="009418BF">
        <w:rPr>
          <w:rFonts w:ascii="Book Antiqua" w:hAnsi="Book Antiqua"/>
          <w:lang w:val="it-IT"/>
        </w:rPr>
        <w:t xml:space="preserve"> </w:t>
      </w:r>
      <w:r w:rsidR="00B112ED" w:rsidRPr="009418BF">
        <w:rPr>
          <w:rFonts w:ascii="Book Antiqua" w:hAnsi="Book Antiqua"/>
          <w:lang w:val="it-IT" w:eastAsia="zh-CN"/>
        </w:rPr>
        <w:t xml:space="preserve">FG </w:t>
      </w:r>
      <w:r w:rsidR="00A21178" w:rsidRPr="009418BF">
        <w:rPr>
          <w:rFonts w:ascii="Book Antiqua" w:hAnsi="Book Antiqua"/>
          <w:lang w:val="it-IT"/>
        </w:rPr>
        <w:t>collect</w:t>
      </w:r>
      <w:r w:rsidR="007507DA" w:rsidRPr="009418BF">
        <w:rPr>
          <w:rFonts w:ascii="Book Antiqua" w:hAnsi="Book Antiqua"/>
          <w:lang w:val="it-IT"/>
        </w:rPr>
        <w:t>ed</w:t>
      </w:r>
      <w:r w:rsidR="00A21178" w:rsidRPr="009418BF">
        <w:rPr>
          <w:rFonts w:ascii="Book Antiqua" w:hAnsi="Book Antiqua"/>
          <w:lang w:val="it-IT"/>
        </w:rPr>
        <w:t xml:space="preserve"> data</w:t>
      </w:r>
      <w:r w:rsidR="00AE3A11" w:rsidRPr="009418BF">
        <w:rPr>
          <w:rFonts w:ascii="Book Antiqua" w:hAnsi="Book Antiqua"/>
          <w:lang w:val="it-IT" w:eastAsia="zh-CN"/>
        </w:rPr>
        <w:t xml:space="preserve">; </w:t>
      </w:r>
      <w:r w:rsidR="00A21178" w:rsidRPr="009418BF">
        <w:rPr>
          <w:rFonts w:ascii="Book Antiqua" w:hAnsi="Book Antiqua"/>
          <w:lang w:val="it-IT"/>
        </w:rPr>
        <w:t>Faccio</w:t>
      </w:r>
      <w:r w:rsidR="00EB52B5" w:rsidRPr="009418BF">
        <w:rPr>
          <w:rFonts w:ascii="Book Antiqua" w:hAnsi="Book Antiqua"/>
          <w:lang w:val="it-IT"/>
        </w:rPr>
        <w:t>r</w:t>
      </w:r>
      <w:r w:rsidR="00A21178" w:rsidRPr="009418BF">
        <w:rPr>
          <w:rFonts w:ascii="Book Antiqua" w:hAnsi="Book Antiqua"/>
          <w:lang w:val="it-IT"/>
        </w:rPr>
        <w:t xml:space="preserve">usso </w:t>
      </w:r>
      <w:r w:rsidR="00AE3A11" w:rsidRPr="009418BF">
        <w:rPr>
          <w:rFonts w:ascii="Book Antiqua" w:hAnsi="Book Antiqua"/>
          <w:lang w:val="it-IT" w:eastAsia="zh-CN"/>
        </w:rPr>
        <w:t xml:space="preserve">A </w:t>
      </w:r>
      <w:r w:rsidR="00A21178" w:rsidRPr="009418BF">
        <w:rPr>
          <w:rFonts w:ascii="Book Antiqua" w:hAnsi="Book Antiqua"/>
          <w:lang w:val="it-IT"/>
        </w:rPr>
        <w:t>performed statistical analysis</w:t>
      </w:r>
      <w:r w:rsidR="00AE3A11" w:rsidRPr="009418BF">
        <w:rPr>
          <w:rFonts w:ascii="Book Antiqua" w:hAnsi="Book Antiqua"/>
          <w:lang w:val="it-IT" w:eastAsia="zh-CN"/>
        </w:rPr>
        <w:t>;</w:t>
      </w:r>
      <w:r w:rsidR="00A21178" w:rsidRPr="009418BF">
        <w:rPr>
          <w:rFonts w:ascii="Book Antiqua" w:hAnsi="Book Antiqua"/>
          <w:lang w:val="it-IT"/>
        </w:rPr>
        <w:t xml:space="preserve"> Bongini</w:t>
      </w:r>
      <w:r w:rsidR="00AE3A11" w:rsidRPr="009418BF">
        <w:rPr>
          <w:rFonts w:ascii="Book Antiqua" w:hAnsi="Book Antiqua"/>
          <w:lang w:val="it-IT" w:eastAsia="zh-CN"/>
        </w:rPr>
        <w:t xml:space="preserve"> MA and </w:t>
      </w:r>
      <w:r w:rsidR="00A21178" w:rsidRPr="009418BF">
        <w:rPr>
          <w:rFonts w:ascii="Book Antiqua" w:hAnsi="Book Antiqua"/>
          <w:lang w:val="it-IT"/>
        </w:rPr>
        <w:t xml:space="preserve">Mazzaferro </w:t>
      </w:r>
      <w:r w:rsidR="00AE3A11" w:rsidRPr="009418BF">
        <w:rPr>
          <w:rFonts w:ascii="Book Antiqua" w:hAnsi="Book Antiqua"/>
          <w:lang w:val="it-IT" w:eastAsia="zh-CN"/>
        </w:rPr>
        <w:t xml:space="preserve">V </w:t>
      </w:r>
      <w:r w:rsidR="00A21178" w:rsidRPr="009418BF">
        <w:rPr>
          <w:rFonts w:ascii="Book Antiqua" w:hAnsi="Book Antiqua"/>
          <w:lang w:val="it-IT"/>
        </w:rPr>
        <w:t xml:space="preserve">selected </w:t>
      </w:r>
      <w:r w:rsidR="009441DB" w:rsidRPr="009418BF">
        <w:rPr>
          <w:rFonts w:ascii="Book Antiqua" w:hAnsi="Book Antiqua"/>
          <w:lang w:val="it-IT"/>
        </w:rPr>
        <w:t xml:space="preserve">the </w:t>
      </w:r>
      <w:r w:rsidR="00A21178" w:rsidRPr="009418BF">
        <w:rPr>
          <w:rFonts w:ascii="Book Antiqua" w:hAnsi="Book Antiqua"/>
          <w:lang w:val="it-IT"/>
        </w:rPr>
        <w:t>patients,</w:t>
      </w:r>
      <w:r w:rsidR="009441DB" w:rsidRPr="009418BF">
        <w:rPr>
          <w:rFonts w:ascii="Book Antiqua" w:hAnsi="Book Antiqua"/>
          <w:lang w:val="it-IT"/>
        </w:rPr>
        <w:t xml:space="preserve"> performed</w:t>
      </w:r>
      <w:r w:rsidR="00A21178" w:rsidRPr="009418BF">
        <w:rPr>
          <w:rFonts w:ascii="Book Antiqua" w:hAnsi="Book Antiqua"/>
          <w:lang w:val="it-IT"/>
        </w:rPr>
        <w:t xml:space="preserve"> clinical</w:t>
      </w:r>
      <w:r w:rsidR="009441DB" w:rsidRPr="009418BF">
        <w:rPr>
          <w:rFonts w:ascii="Book Antiqua" w:hAnsi="Book Antiqua"/>
          <w:lang w:val="it-IT"/>
        </w:rPr>
        <w:t xml:space="preserve"> support and follow-up, performed liver transplantation</w:t>
      </w:r>
      <w:r w:rsidR="00AE3A11" w:rsidRPr="009418BF">
        <w:rPr>
          <w:rFonts w:ascii="Book Antiqua" w:hAnsi="Book Antiqua"/>
          <w:lang w:val="it-IT" w:eastAsia="zh-CN"/>
        </w:rPr>
        <w:t>;</w:t>
      </w:r>
      <w:r w:rsidR="009441DB" w:rsidRPr="009418BF">
        <w:rPr>
          <w:rFonts w:ascii="Book Antiqua" w:hAnsi="Book Antiqua"/>
          <w:lang w:val="it-IT"/>
        </w:rPr>
        <w:t xml:space="preserve"> Greco </w:t>
      </w:r>
      <w:r w:rsidR="00AE3A11" w:rsidRPr="009418BF">
        <w:rPr>
          <w:rFonts w:ascii="Book Antiqua" w:hAnsi="Book Antiqua"/>
          <w:lang w:val="it-IT" w:eastAsia="zh-CN"/>
        </w:rPr>
        <w:t xml:space="preserve">G </w:t>
      </w:r>
      <w:r w:rsidR="009441DB" w:rsidRPr="009418BF">
        <w:rPr>
          <w:rFonts w:ascii="Book Antiqua" w:hAnsi="Book Antiqua"/>
          <w:lang w:val="it-IT"/>
        </w:rPr>
        <w:t>and Spreaf</w:t>
      </w:r>
      <w:r w:rsidR="007507DA" w:rsidRPr="009418BF">
        <w:rPr>
          <w:rFonts w:ascii="Book Antiqua" w:hAnsi="Book Antiqua"/>
          <w:lang w:val="it-IT"/>
        </w:rPr>
        <w:t xml:space="preserve">ico </w:t>
      </w:r>
      <w:r w:rsidR="00AE3A11" w:rsidRPr="009418BF">
        <w:rPr>
          <w:rFonts w:ascii="Book Antiqua" w:hAnsi="Book Antiqua"/>
          <w:lang w:val="it-IT" w:eastAsia="zh-CN"/>
        </w:rPr>
        <w:t xml:space="preserve">C </w:t>
      </w:r>
      <w:r w:rsidR="007507DA" w:rsidRPr="009418BF">
        <w:rPr>
          <w:rFonts w:ascii="Book Antiqua" w:hAnsi="Book Antiqua"/>
          <w:lang w:val="it-IT"/>
        </w:rPr>
        <w:t>evaluated imaging follow-up</w:t>
      </w:r>
      <w:r w:rsidR="00AE3A11" w:rsidRPr="009418BF">
        <w:rPr>
          <w:rFonts w:ascii="Book Antiqua" w:hAnsi="Book Antiqua"/>
          <w:lang w:val="it-IT" w:eastAsia="zh-CN"/>
        </w:rPr>
        <w:t>;</w:t>
      </w:r>
      <w:r w:rsidR="007507DA" w:rsidRPr="009418BF">
        <w:rPr>
          <w:rFonts w:ascii="Book Antiqua" w:hAnsi="Book Antiqua"/>
          <w:lang w:val="it-IT"/>
        </w:rPr>
        <w:t xml:space="preserve"> Spreafico </w:t>
      </w:r>
      <w:r w:rsidR="00AE3A11" w:rsidRPr="009418BF">
        <w:rPr>
          <w:rFonts w:ascii="Book Antiqua" w:hAnsi="Book Antiqua"/>
          <w:lang w:val="it-IT" w:eastAsia="zh-CN"/>
        </w:rPr>
        <w:t xml:space="preserve">C </w:t>
      </w:r>
      <w:r w:rsidR="007507DA" w:rsidRPr="009418BF">
        <w:rPr>
          <w:rFonts w:ascii="Book Antiqua" w:hAnsi="Book Antiqua"/>
          <w:lang w:val="it-IT"/>
        </w:rPr>
        <w:t>supervised the report</w:t>
      </w:r>
      <w:r w:rsidR="00AE3A11" w:rsidRPr="009418BF">
        <w:rPr>
          <w:rFonts w:ascii="Book Antiqua" w:hAnsi="Book Antiqua"/>
          <w:lang w:val="it-IT" w:eastAsia="zh-CN"/>
        </w:rPr>
        <w:t>.</w:t>
      </w:r>
    </w:p>
    <w:p w:rsidR="00EF70BC" w:rsidRPr="009418BF" w:rsidRDefault="00EF70BC" w:rsidP="009418BF">
      <w:pPr>
        <w:spacing w:line="360" w:lineRule="auto"/>
        <w:jc w:val="both"/>
        <w:rPr>
          <w:rFonts w:ascii="Book Antiqua" w:hAnsi="Book Antiqua"/>
          <w:b/>
          <w:lang w:val="it-IT" w:eastAsia="zh-CN"/>
        </w:rPr>
      </w:pPr>
    </w:p>
    <w:p w:rsidR="00AE3A11" w:rsidRPr="009418BF" w:rsidRDefault="00AE3A11" w:rsidP="009418BF">
      <w:pPr>
        <w:spacing w:line="360" w:lineRule="auto"/>
        <w:jc w:val="both"/>
        <w:rPr>
          <w:rFonts w:ascii="Book Antiqua" w:hAnsi="Book Antiqua"/>
          <w:bCs/>
          <w:iCs/>
          <w:lang w:eastAsia="zh-CN"/>
        </w:rPr>
      </w:pPr>
      <w:r w:rsidRPr="009418BF">
        <w:rPr>
          <w:rFonts w:ascii="Book Antiqua" w:hAnsi="Book Antiqua"/>
          <w:b/>
        </w:rPr>
        <w:t>Institutional review board statement</w:t>
      </w:r>
      <w:r w:rsidRPr="009418BF">
        <w:rPr>
          <w:rFonts w:ascii="Book Antiqua" w:hAnsi="Book Antiqua"/>
          <w:b/>
          <w:iCs/>
        </w:rPr>
        <w:t xml:space="preserve">: </w:t>
      </w:r>
      <w:r w:rsidRPr="009418BF">
        <w:rPr>
          <w:rFonts w:ascii="Book Antiqua" w:hAnsi="Book Antiqua"/>
          <w:bCs/>
          <w:iCs/>
        </w:rPr>
        <w:t>The study was reviewed and approved by the Ethics Committee of the National Cancer Institute of Milan</w:t>
      </w:r>
      <w:r w:rsidRPr="009418BF">
        <w:rPr>
          <w:rFonts w:ascii="Book Antiqua" w:hAnsi="Book Antiqua"/>
          <w:bCs/>
          <w:iCs/>
          <w:lang w:eastAsia="zh-CN"/>
        </w:rPr>
        <w:t>.</w:t>
      </w:r>
    </w:p>
    <w:p w:rsidR="00AE3A11" w:rsidRPr="009418BF" w:rsidRDefault="00AE3A11" w:rsidP="009418BF">
      <w:pPr>
        <w:spacing w:line="360" w:lineRule="auto"/>
        <w:jc w:val="both"/>
        <w:rPr>
          <w:rFonts w:ascii="Book Antiqua" w:hAnsi="Book Antiqua"/>
          <w:b/>
        </w:rPr>
      </w:pPr>
    </w:p>
    <w:p w:rsidR="00AE3A11" w:rsidRPr="009418BF" w:rsidRDefault="00AE3A11" w:rsidP="009418BF">
      <w:pPr>
        <w:spacing w:line="360" w:lineRule="auto"/>
        <w:jc w:val="both"/>
        <w:rPr>
          <w:rFonts w:ascii="Book Antiqua" w:hAnsi="Book Antiqua"/>
          <w:bCs/>
          <w:iCs/>
          <w:lang w:eastAsia="zh-CN"/>
        </w:rPr>
      </w:pPr>
      <w:r w:rsidRPr="009418BF">
        <w:rPr>
          <w:rFonts w:ascii="Book Antiqua" w:hAnsi="Book Antiqua"/>
          <w:b/>
        </w:rPr>
        <w:t>Informed consent statement</w:t>
      </w:r>
      <w:r w:rsidRPr="009418BF">
        <w:rPr>
          <w:rFonts w:ascii="Book Antiqua" w:hAnsi="Book Antiqua"/>
          <w:b/>
          <w:iCs/>
        </w:rPr>
        <w:t xml:space="preserve">: </w:t>
      </w:r>
      <w:r w:rsidRPr="009418BF">
        <w:rPr>
          <w:rFonts w:ascii="Book Antiqua" w:hAnsi="Book Antiqua"/>
          <w:bCs/>
          <w:iCs/>
        </w:rPr>
        <w:t>Patients were not required to give informed consent to the study because the analysis used anonymous clinical data that were obtained after each patient agreed to treatment by written consent.</w:t>
      </w:r>
    </w:p>
    <w:p w:rsidR="00AE3A11" w:rsidRPr="009418BF" w:rsidRDefault="00AE3A11" w:rsidP="009418BF">
      <w:pPr>
        <w:spacing w:line="360" w:lineRule="auto"/>
        <w:jc w:val="both"/>
        <w:rPr>
          <w:rFonts w:ascii="Book Antiqua" w:hAnsi="Book Antiqua"/>
          <w:b/>
          <w:lang w:eastAsia="zh-CN"/>
        </w:rPr>
      </w:pPr>
    </w:p>
    <w:p w:rsidR="00AE3A11" w:rsidRPr="009418BF" w:rsidRDefault="00AE3A11" w:rsidP="009418BF">
      <w:pPr>
        <w:spacing w:line="360" w:lineRule="auto"/>
        <w:jc w:val="both"/>
        <w:rPr>
          <w:rFonts w:ascii="Book Antiqua" w:hAnsi="Book Antiqua" w:cs="TimesNewRomanPS-BoldItalicMT"/>
          <w:b/>
          <w:iCs/>
          <w:lang w:eastAsia="zh-CN"/>
        </w:rPr>
      </w:pPr>
      <w:r w:rsidRPr="009418BF">
        <w:rPr>
          <w:rFonts w:ascii="Book Antiqua" w:hAnsi="Book Antiqua"/>
          <w:b/>
        </w:rPr>
        <w:t>Conflict-of-interest statement</w:t>
      </w:r>
      <w:r w:rsidRPr="009418BF">
        <w:rPr>
          <w:rFonts w:ascii="Book Antiqua" w:hAnsi="Book Antiqua" w:cs="TimesNewRomanPS-BoldItalicMT"/>
          <w:b/>
          <w:iCs/>
        </w:rPr>
        <w:t xml:space="preserve">: </w:t>
      </w:r>
      <w:r w:rsidRPr="009418BF">
        <w:rPr>
          <w:rFonts w:ascii="Book Antiqua" w:hAnsi="Book Antiqua" w:cs="TimesNewRomanPS-BoldItalicMT"/>
          <w:bCs/>
          <w:iCs/>
        </w:rPr>
        <w:t>We have no financial relationships to disclose</w:t>
      </w:r>
      <w:r w:rsidRPr="009418BF">
        <w:rPr>
          <w:rFonts w:ascii="Book Antiqua" w:hAnsi="Book Antiqua" w:cs="TimesNewRomanPS-BoldItalicMT"/>
          <w:bCs/>
          <w:iCs/>
          <w:lang w:eastAsia="zh-CN"/>
        </w:rPr>
        <w:t>.</w:t>
      </w:r>
    </w:p>
    <w:p w:rsidR="00AE3A11" w:rsidRPr="009418BF" w:rsidRDefault="00AE3A11" w:rsidP="009418BF">
      <w:pPr>
        <w:spacing w:line="360" w:lineRule="auto"/>
        <w:jc w:val="both"/>
        <w:rPr>
          <w:rFonts w:ascii="Book Antiqua" w:hAnsi="Book Antiqua"/>
          <w:b/>
          <w:lang w:eastAsia="zh-CN"/>
        </w:rPr>
      </w:pPr>
    </w:p>
    <w:p w:rsidR="00AE3A11" w:rsidRPr="009418BF" w:rsidRDefault="00AE3A11" w:rsidP="009418BF">
      <w:pPr>
        <w:spacing w:line="360" w:lineRule="auto"/>
        <w:jc w:val="both"/>
        <w:rPr>
          <w:rFonts w:ascii="Book Antiqua" w:hAnsi="Book Antiqua"/>
          <w:b/>
        </w:rPr>
      </w:pPr>
      <w:r w:rsidRPr="009418BF">
        <w:rPr>
          <w:rFonts w:ascii="Book Antiqua" w:hAnsi="Book Antiqua"/>
          <w:b/>
        </w:rPr>
        <w:t>Data sharing statement</w:t>
      </w:r>
      <w:r w:rsidRPr="009418BF">
        <w:rPr>
          <w:rFonts w:ascii="Book Antiqua" w:hAnsi="Book Antiqua" w:cs="TimesNewRomanPS-BoldItalicMT"/>
          <w:b/>
          <w:iCs/>
        </w:rPr>
        <w:t>:</w:t>
      </w:r>
      <w:r w:rsidRPr="009418BF">
        <w:rPr>
          <w:rFonts w:ascii="Book Antiqua" w:hAnsi="Book Antiqua"/>
          <w:b/>
        </w:rPr>
        <w:t xml:space="preserve"> </w:t>
      </w:r>
      <w:r w:rsidRPr="009418BF">
        <w:rPr>
          <w:rFonts w:ascii="Book Antiqua" w:hAnsi="Book Antiqua" w:cs="TimesNewRomanPS-BoldItalicMT"/>
          <w:bCs/>
          <w:iCs/>
        </w:rPr>
        <w:t>No additional data are available</w:t>
      </w:r>
      <w:r w:rsidRPr="009418BF">
        <w:rPr>
          <w:rFonts w:ascii="Book Antiqua" w:hAnsi="Book Antiqua" w:cs="TimesNewRomanPS-BoldItalicMT"/>
          <w:bCs/>
          <w:iCs/>
          <w:lang w:eastAsia="zh-CN"/>
        </w:rPr>
        <w:t>.</w:t>
      </w:r>
    </w:p>
    <w:p w:rsidR="00AE3A11" w:rsidRPr="009418BF" w:rsidRDefault="00AE3A11" w:rsidP="009418BF">
      <w:pPr>
        <w:adjustRightInd w:val="0"/>
        <w:snapToGrid w:val="0"/>
        <w:spacing w:line="360" w:lineRule="auto"/>
        <w:jc w:val="both"/>
        <w:rPr>
          <w:rFonts w:ascii="Book Antiqua" w:hAnsi="Book Antiqua"/>
        </w:rPr>
      </w:pPr>
    </w:p>
    <w:p w:rsidR="00AE3A11" w:rsidRPr="009418BF" w:rsidRDefault="00AE3A11" w:rsidP="009418BF">
      <w:pPr>
        <w:adjustRightInd w:val="0"/>
        <w:snapToGrid w:val="0"/>
        <w:spacing w:line="360" w:lineRule="auto"/>
        <w:jc w:val="both"/>
        <w:rPr>
          <w:rFonts w:ascii="Book Antiqua" w:hAnsi="Book Antiqua"/>
        </w:rPr>
      </w:pPr>
      <w:r w:rsidRPr="009418BF">
        <w:rPr>
          <w:rFonts w:ascii="Book Antiqua" w:hAnsi="Book Antiqua"/>
          <w:b/>
        </w:rPr>
        <w:t xml:space="preserve">Open-Access: </w:t>
      </w:r>
      <w:r w:rsidRPr="009418BF">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9418BF">
          <w:rPr>
            <w:rStyle w:val="Hyperlink"/>
            <w:rFonts w:ascii="Book Antiqua" w:hAnsi="Book Antiqua"/>
            <w:color w:val="auto"/>
            <w:u w:val="none"/>
          </w:rPr>
          <w:t>http://creativecommons.org/licenses/by-nc/4.0/</w:t>
        </w:r>
      </w:hyperlink>
    </w:p>
    <w:p w:rsidR="00EF70BC" w:rsidRPr="009418BF" w:rsidRDefault="00EF70BC" w:rsidP="009418BF">
      <w:pPr>
        <w:spacing w:line="360" w:lineRule="auto"/>
        <w:jc w:val="both"/>
        <w:rPr>
          <w:rFonts w:ascii="Book Antiqua" w:hAnsi="Book Antiqua"/>
          <w:b/>
          <w:lang w:eastAsia="zh-CN"/>
        </w:rPr>
      </w:pPr>
    </w:p>
    <w:p w:rsidR="00AE3A11" w:rsidRPr="009418BF" w:rsidRDefault="00AE3A11" w:rsidP="009418BF">
      <w:pPr>
        <w:spacing w:line="360" w:lineRule="auto"/>
        <w:jc w:val="both"/>
        <w:rPr>
          <w:rFonts w:ascii="Book Antiqua" w:eastAsia="宋体" w:hAnsi="Book Antiqua" w:cs="宋体"/>
          <w:lang w:eastAsia="zh-CN"/>
        </w:rPr>
      </w:pPr>
      <w:r w:rsidRPr="009418BF">
        <w:rPr>
          <w:rFonts w:ascii="Book Antiqua" w:eastAsia="宋体" w:hAnsi="Book Antiqua" w:cs="宋体"/>
          <w:b/>
        </w:rPr>
        <w:t>Manuscript source:</w:t>
      </w:r>
      <w:r w:rsidRPr="009418BF">
        <w:rPr>
          <w:rFonts w:ascii="Book Antiqua" w:eastAsia="宋体" w:hAnsi="Book Antiqua" w:cs="宋体"/>
        </w:rPr>
        <w:t> Unsolicited manuscript</w:t>
      </w:r>
    </w:p>
    <w:p w:rsidR="00AE3A11" w:rsidRPr="009418BF" w:rsidRDefault="00AE3A11" w:rsidP="009418BF">
      <w:pPr>
        <w:spacing w:line="360" w:lineRule="auto"/>
        <w:jc w:val="both"/>
        <w:rPr>
          <w:rFonts w:ascii="Book Antiqua" w:hAnsi="Book Antiqua"/>
          <w:b/>
          <w:lang w:eastAsia="zh-CN"/>
        </w:rPr>
      </w:pPr>
    </w:p>
    <w:p w:rsidR="00AE3A11" w:rsidRPr="009418BF" w:rsidRDefault="00AE3A11" w:rsidP="009418BF">
      <w:pPr>
        <w:spacing w:line="360" w:lineRule="auto"/>
        <w:jc w:val="both"/>
        <w:rPr>
          <w:rFonts w:ascii="Book Antiqua" w:hAnsi="Book Antiqua"/>
          <w:b/>
          <w:lang w:eastAsia="zh-CN"/>
        </w:rPr>
      </w:pPr>
      <w:r w:rsidRPr="009418BF">
        <w:rPr>
          <w:rFonts w:ascii="Book Antiqua" w:hAnsi="Book Antiqua"/>
          <w:b/>
        </w:rPr>
        <w:t>Correspondence to:</w:t>
      </w:r>
      <w:r w:rsidR="00103BB3" w:rsidRPr="009418BF">
        <w:rPr>
          <w:rFonts w:ascii="Book Antiqua" w:hAnsi="Book Antiqua"/>
          <w:b/>
          <w:lang w:eastAsia="zh-CN"/>
        </w:rPr>
        <w:t xml:space="preserve"> Giorgio Greco, MD, </w:t>
      </w:r>
      <w:r w:rsidRPr="009418BF">
        <w:rPr>
          <w:rFonts w:ascii="Book Antiqua" w:hAnsi="Book Antiqua"/>
          <w:lang w:val="it-IT"/>
        </w:rPr>
        <w:t>Department of Radiology, Interventional Radiology, Nuclear Medicine and Radiotherapy, National Cancer Institute,</w:t>
      </w:r>
      <w:r w:rsidRPr="009418BF">
        <w:rPr>
          <w:rFonts w:ascii="Book Antiqua" w:hAnsi="Book Antiqua"/>
          <w:lang w:eastAsia="zh-CN"/>
        </w:rPr>
        <w:t xml:space="preserve"> Via </w:t>
      </w:r>
      <w:proofErr w:type="spellStart"/>
      <w:r w:rsidRPr="009418BF">
        <w:rPr>
          <w:rFonts w:ascii="Book Antiqua" w:hAnsi="Book Antiqua"/>
          <w:lang w:eastAsia="zh-CN"/>
        </w:rPr>
        <w:t>Giacomo</w:t>
      </w:r>
      <w:proofErr w:type="spellEnd"/>
      <w:r w:rsidRPr="009418BF">
        <w:rPr>
          <w:rFonts w:ascii="Book Antiqua" w:hAnsi="Book Antiqua"/>
          <w:lang w:eastAsia="zh-CN"/>
        </w:rPr>
        <w:t xml:space="preserve"> </w:t>
      </w:r>
      <w:proofErr w:type="spellStart"/>
      <w:r w:rsidRPr="009418BF">
        <w:rPr>
          <w:rFonts w:ascii="Book Antiqua" w:hAnsi="Book Antiqua"/>
          <w:lang w:eastAsia="zh-CN"/>
        </w:rPr>
        <w:t>Venezian</w:t>
      </w:r>
      <w:proofErr w:type="spellEnd"/>
      <w:r w:rsidRPr="009418BF">
        <w:rPr>
          <w:rFonts w:ascii="Book Antiqua" w:hAnsi="Book Antiqua"/>
          <w:lang w:eastAsia="zh-CN"/>
        </w:rPr>
        <w:t xml:space="preserve"> 1,</w:t>
      </w:r>
      <w:r w:rsidRPr="009418BF">
        <w:rPr>
          <w:rFonts w:ascii="Book Antiqua" w:hAnsi="Book Antiqua"/>
          <w:lang w:val="it-IT"/>
        </w:rPr>
        <w:t xml:space="preserve"> 20133 Milan, Italy</w:t>
      </w:r>
      <w:r w:rsidRPr="009418BF">
        <w:rPr>
          <w:rFonts w:ascii="Book Antiqua" w:hAnsi="Book Antiqua"/>
          <w:lang w:val="it-IT" w:eastAsia="zh-CN"/>
        </w:rPr>
        <w:t>.</w:t>
      </w:r>
      <w:r w:rsidRPr="009418BF">
        <w:rPr>
          <w:rFonts w:ascii="Book Antiqua" w:hAnsi="Book Antiqua"/>
          <w:lang w:eastAsia="zh-CN"/>
        </w:rPr>
        <w:t xml:space="preserve"> giorgio.greco@istitutotumori.mi.it</w:t>
      </w:r>
    </w:p>
    <w:p w:rsidR="00103BB3" w:rsidRPr="009418BF" w:rsidRDefault="00103BB3" w:rsidP="009418BF">
      <w:pPr>
        <w:spacing w:line="360" w:lineRule="auto"/>
        <w:jc w:val="both"/>
        <w:rPr>
          <w:rFonts w:ascii="Book Antiqua" w:hAnsi="Book Antiqua"/>
          <w:lang w:eastAsia="zh-CN"/>
        </w:rPr>
      </w:pPr>
      <w:r w:rsidRPr="009418BF">
        <w:rPr>
          <w:rFonts w:ascii="Book Antiqua" w:hAnsi="Book Antiqua"/>
          <w:b/>
          <w:lang w:eastAsia="zh-CN"/>
        </w:rPr>
        <w:t xml:space="preserve">Telephone: </w:t>
      </w:r>
      <w:r w:rsidRPr="009418BF">
        <w:rPr>
          <w:rFonts w:ascii="Book Antiqua" w:hAnsi="Book Antiqua"/>
          <w:lang w:eastAsia="zh-CN"/>
        </w:rPr>
        <w:t>+39-02-23903384</w:t>
      </w:r>
    </w:p>
    <w:p w:rsidR="00103BB3" w:rsidRPr="009418BF" w:rsidRDefault="00103BB3" w:rsidP="009418BF">
      <w:pPr>
        <w:spacing w:line="360" w:lineRule="auto"/>
        <w:jc w:val="both"/>
        <w:rPr>
          <w:rFonts w:ascii="Book Antiqua" w:hAnsi="Book Antiqua"/>
          <w:b/>
          <w:lang w:eastAsia="zh-CN"/>
        </w:rPr>
      </w:pPr>
      <w:r w:rsidRPr="009418BF">
        <w:rPr>
          <w:rFonts w:ascii="Book Antiqua" w:hAnsi="Book Antiqua"/>
          <w:b/>
          <w:lang w:eastAsia="zh-CN"/>
        </w:rPr>
        <w:t xml:space="preserve">Fax: </w:t>
      </w:r>
      <w:r w:rsidRPr="009418BF">
        <w:rPr>
          <w:rFonts w:ascii="Book Antiqua" w:hAnsi="Book Antiqua"/>
          <w:lang w:eastAsia="zh-CN"/>
        </w:rPr>
        <w:t>+39-02-23902060</w:t>
      </w:r>
    </w:p>
    <w:p w:rsidR="00103BB3" w:rsidRPr="009418BF" w:rsidRDefault="00103BB3" w:rsidP="009418BF">
      <w:pPr>
        <w:spacing w:line="360" w:lineRule="auto"/>
        <w:jc w:val="both"/>
        <w:rPr>
          <w:rFonts w:ascii="Book Antiqua" w:hAnsi="Book Antiqua"/>
          <w:b/>
          <w:lang w:eastAsia="zh-CN"/>
        </w:rPr>
      </w:pPr>
    </w:p>
    <w:p w:rsidR="00AE3A11" w:rsidRPr="009418BF" w:rsidRDefault="00AE3A11" w:rsidP="009418BF">
      <w:pPr>
        <w:spacing w:line="360" w:lineRule="auto"/>
        <w:jc w:val="both"/>
        <w:rPr>
          <w:rFonts w:ascii="Book Antiqua" w:hAnsi="Book Antiqua"/>
          <w:b/>
        </w:rPr>
      </w:pPr>
      <w:r w:rsidRPr="009418BF">
        <w:rPr>
          <w:rFonts w:ascii="Book Antiqua" w:hAnsi="Book Antiqua"/>
          <w:b/>
        </w:rPr>
        <w:lastRenderedPageBreak/>
        <w:t>Received:</w:t>
      </w:r>
      <w:r w:rsidR="00A00C1C" w:rsidRPr="009418BF">
        <w:rPr>
          <w:rFonts w:ascii="Book Antiqua" w:hAnsi="Book Antiqua"/>
          <w:b/>
          <w:lang w:eastAsia="zh-CN"/>
        </w:rPr>
        <w:t xml:space="preserve"> </w:t>
      </w:r>
      <w:r w:rsidR="00A00C1C" w:rsidRPr="009418BF">
        <w:rPr>
          <w:rFonts w:ascii="Book Antiqua" w:hAnsi="Book Antiqua"/>
          <w:lang w:eastAsia="zh-CN"/>
        </w:rPr>
        <w:t>December 10, 2016</w:t>
      </w:r>
      <w:r w:rsidR="00ED71D5">
        <w:rPr>
          <w:rFonts w:ascii="Book Antiqua" w:hAnsi="Book Antiqua"/>
        </w:rPr>
        <w:t xml:space="preserve"> </w:t>
      </w:r>
    </w:p>
    <w:p w:rsidR="00AE3A11" w:rsidRPr="009418BF" w:rsidRDefault="00AE3A11" w:rsidP="009418BF">
      <w:pPr>
        <w:spacing w:line="360" w:lineRule="auto"/>
        <w:jc w:val="both"/>
        <w:rPr>
          <w:rFonts w:ascii="Book Antiqua" w:hAnsi="Book Antiqua"/>
          <w:b/>
        </w:rPr>
      </w:pPr>
      <w:r w:rsidRPr="009418BF">
        <w:rPr>
          <w:rFonts w:ascii="Book Antiqua" w:hAnsi="Book Antiqua"/>
          <w:b/>
        </w:rPr>
        <w:t>Peer-review started:</w:t>
      </w:r>
      <w:r w:rsidR="00A00C1C" w:rsidRPr="009418BF">
        <w:rPr>
          <w:rFonts w:ascii="Book Antiqua" w:hAnsi="Book Antiqua"/>
          <w:lang w:eastAsia="zh-CN"/>
        </w:rPr>
        <w:t xml:space="preserve"> December 13, 2016</w:t>
      </w:r>
      <w:r w:rsidR="00ED71D5">
        <w:rPr>
          <w:rFonts w:ascii="Book Antiqua" w:hAnsi="Book Antiqua"/>
        </w:rPr>
        <w:t xml:space="preserve"> </w:t>
      </w:r>
    </w:p>
    <w:p w:rsidR="00AE3A11" w:rsidRPr="009418BF" w:rsidRDefault="00AE3A11" w:rsidP="009418BF">
      <w:pPr>
        <w:spacing w:line="360" w:lineRule="auto"/>
        <w:jc w:val="both"/>
        <w:rPr>
          <w:rFonts w:ascii="Book Antiqua" w:hAnsi="Book Antiqua"/>
          <w:b/>
          <w:lang w:eastAsia="zh-CN"/>
        </w:rPr>
      </w:pPr>
      <w:r w:rsidRPr="009418BF">
        <w:rPr>
          <w:rFonts w:ascii="Book Antiqua" w:hAnsi="Book Antiqua"/>
          <w:b/>
        </w:rPr>
        <w:t>First decision:</w:t>
      </w:r>
      <w:r w:rsidR="00A00C1C" w:rsidRPr="009418BF">
        <w:rPr>
          <w:rFonts w:ascii="Book Antiqua" w:hAnsi="Book Antiqua"/>
          <w:b/>
          <w:lang w:eastAsia="zh-CN"/>
        </w:rPr>
        <w:t xml:space="preserve"> </w:t>
      </w:r>
      <w:r w:rsidR="00A00C1C" w:rsidRPr="009418BF">
        <w:rPr>
          <w:rFonts w:ascii="Book Antiqua" w:hAnsi="Book Antiqua"/>
          <w:lang w:eastAsia="zh-CN"/>
        </w:rPr>
        <w:t>January 16, 2017</w:t>
      </w:r>
    </w:p>
    <w:p w:rsidR="00AE3A11" w:rsidRPr="009418BF" w:rsidRDefault="00AE3A11" w:rsidP="009418BF">
      <w:pPr>
        <w:spacing w:line="360" w:lineRule="auto"/>
        <w:jc w:val="both"/>
        <w:rPr>
          <w:rFonts w:ascii="Book Antiqua" w:hAnsi="Book Antiqua"/>
          <w:b/>
        </w:rPr>
      </w:pPr>
      <w:r w:rsidRPr="009418BF">
        <w:rPr>
          <w:rFonts w:ascii="Book Antiqua" w:hAnsi="Book Antiqua"/>
          <w:b/>
        </w:rPr>
        <w:t xml:space="preserve">Revised: </w:t>
      </w:r>
      <w:r w:rsidR="00A00C1C" w:rsidRPr="009418BF">
        <w:rPr>
          <w:rFonts w:ascii="Book Antiqua" w:hAnsi="Book Antiqua"/>
          <w:lang w:eastAsia="zh-CN"/>
        </w:rPr>
        <w:t>February 23, 2017</w:t>
      </w:r>
      <w:r w:rsidRPr="009418BF">
        <w:rPr>
          <w:rFonts w:ascii="Book Antiqua" w:hAnsi="Book Antiqua"/>
          <w:b/>
        </w:rPr>
        <w:t xml:space="preserve"> </w:t>
      </w:r>
    </w:p>
    <w:p w:rsidR="00AE3A11" w:rsidRPr="006868AE" w:rsidRDefault="00AE3A11" w:rsidP="006868AE">
      <w:pPr>
        <w:rPr>
          <w:rFonts w:ascii="Book Antiqua" w:hAnsi="Book Antiqua"/>
          <w:iCs/>
        </w:rPr>
      </w:pPr>
      <w:r w:rsidRPr="009418BF">
        <w:rPr>
          <w:rFonts w:ascii="Book Antiqua" w:hAnsi="Book Antiqua"/>
          <w:b/>
        </w:rPr>
        <w:t>Accepted:</w:t>
      </w:r>
      <w:r w:rsidR="00ED71D5">
        <w:rPr>
          <w:rFonts w:ascii="Book Antiqua" w:hAnsi="Book Antiqua"/>
          <w:b/>
        </w:rPr>
        <w:t xml:space="preserve"> </w:t>
      </w:r>
      <w:r w:rsidR="006868AE">
        <w:rPr>
          <w:rStyle w:val="Emphasis"/>
        </w:rPr>
        <w:t>March 12</w:t>
      </w:r>
      <w:r w:rsidR="006868AE">
        <w:rPr>
          <w:rStyle w:val="Emphasis"/>
          <w:rFonts w:cs="宋体"/>
        </w:rPr>
        <w:t>,</w:t>
      </w:r>
      <w:r w:rsidR="006868AE">
        <w:rPr>
          <w:rStyle w:val="Emphasis"/>
        </w:rPr>
        <w:t xml:space="preserve"> 2017</w:t>
      </w:r>
    </w:p>
    <w:p w:rsidR="00AE3A11" w:rsidRPr="009418BF" w:rsidRDefault="00AE3A11" w:rsidP="009418BF">
      <w:pPr>
        <w:spacing w:line="360" w:lineRule="auto"/>
        <w:jc w:val="both"/>
        <w:rPr>
          <w:rFonts w:ascii="Book Antiqua" w:hAnsi="Book Antiqua"/>
        </w:rPr>
      </w:pPr>
      <w:r w:rsidRPr="009418BF">
        <w:rPr>
          <w:rFonts w:ascii="Book Antiqua" w:hAnsi="Book Antiqua"/>
          <w:b/>
        </w:rPr>
        <w:t>Article in press:</w:t>
      </w:r>
      <w:r w:rsidR="00ED71D5">
        <w:rPr>
          <w:rFonts w:ascii="Book Antiqua" w:hAnsi="Book Antiqua"/>
        </w:rPr>
        <w:t xml:space="preserve"> </w:t>
      </w:r>
    </w:p>
    <w:p w:rsidR="00AE3A11" w:rsidRPr="009418BF" w:rsidRDefault="00AE3A11" w:rsidP="009418BF">
      <w:pPr>
        <w:spacing w:line="360" w:lineRule="auto"/>
        <w:jc w:val="both"/>
        <w:rPr>
          <w:rFonts w:ascii="Book Antiqua" w:hAnsi="Book Antiqua"/>
          <w:b/>
        </w:rPr>
      </w:pPr>
      <w:r w:rsidRPr="009418BF">
        <w:rPr>
          <w:rFonts w:ascii="Book Antiqua" w:hAnsi="Book Antiqua"/>
          <w:b/>
        </w:rPr>
        <w:t xml:space="preserve">Published online: </w:t>
      </w:r>
    </w:p>
    <w:p w:rsidR="00AE3A11" w:rsidRPr="009418BF" w:rsidRDefault="00AE3A11" w:rsidP="009418BF">
      <w:pPr>
        <w:spacing w:line="360" w:lineRule="auto"/>
        <w:jc w:val="both"/>
        <w:rPr>
          <w:rFonts w:ascii="Book Antiqua" w:hAnsi="Book Antiqua"/>
          <w:b/>
          <w:lang w:eastAsia="zh-CN"/>
        </w:rPr>
      </w:pPr>
    </w:p>
    <w:p w:rsidR="00A00C1C" w:rsidRPr="009418BF" w:rsidRDefault="00A00C1C" w:rsidP="009418BF">
      <w:pPr>
        <w:spacing w:line="360" w:lineRule="auto"/>
        <w:jc w:val="both"/>
        <w:rPr>
          <w:rFonts w:ascii="Book Antiqua" w:hAnsi="Book Antiqua"/>
          <w:b/>
        </w:rPr>
      </w:pPr>
      <w:r w:rsidRPr="009418BF">
        <w:rPr>
          <w:rFonts w:ascii="Book Antiqua" w:hAnsi="Book Antiqua"/>
          <w:b/>
        </w:rPr>
        <w:br w:type="page"/>
      </w:r>
    </w:p>
    <w:p w:rsidR="009C4694" w:rsidRPr="009418BF" w:rsidRDefault="009C4694" w:rsidP="009418BF">
      <w:pPr>
        <w:spacing w:line="360" w:lineRule="auto"/>
        <w:jc w:val="both"/>
        <w:rPr>
          <w:rFonts w:ascii="Book Antiqua" w:hAnsi="Book Antiqua"/>
        </w:rPr>
      </w:pPr>
      <w:r w:rsidRPr="009418BF">
        <w:rPr>
          <w:rFonts w:ascii="Book Antiqua" w:hAnsi="Book Antiqua"/>
          <w:b/>
        </w:rPr>
        <w:lastRenderedPageBreak/>
        <w:t xml:space="preserve">Abstract </w:t>
      </w:r>
    </w:p>
    <w:p w:rsidR="009C4694" w:rsidRPr="009418BF" w:rsidRDefault="00A00C1C" w:rsidP="009418BF">
      <w:pPr>
        <w:spacing w:line="360" w:lineRule="auto"/>
        <w:jc w:val="both"/>
        <w:rPr>
          <w:rFonts w:ascii="Book Antiqua" w:hAnsi="Book Antiqua"/>
          <w:b/>
          <w:i/>
        </w:rPr>
      </w:pPr>
      <w:r w:rsidRPr="009418BF">
        <w:rPr>
          <w:rFonts w:ascii="Book Antiqua" w:hAnsi="Book Antiqua"/>
          <w:b/>
          <w:i/>
        </w:rPr>
        <w:t xml:space="preserve">AIM </w:t>
      </w:r>
    </w:p>
    <w:p w:rsidR="009C4694" w:rsidRPr="009418BF" w:rsidRDefault="00497133" w:rsidP="009418BF">
      <w:pPr>
        <w:spacing w:line="360" w:lineRule="auto"/>
        <w:jc w:val="both"/>
        <w:rPr>
          <w:rFonts w:ascii="Book Antiqua" w:hAnsi="Book Antiqua"/>
        </w:rPr>
      </w:pPr>
      <w:r w:rsidRPr="009418BF">
        <w:rPr>
          <w:rFonts w:ascii="Book Antiqua" w:hAnsi="Book Antiqua"/>
        </w:rPr>
        <w:t>T</w:t>
      </w:r>
      <w:r w:rsidR="009C4694" w:rsidRPr="009418BF">
        <w:rPr>
          <w:rFonts w:ascii="Book Antiqua" w:hAnsi="Book Antiqua"/>
        </w:rPr>
        <w:t xml:space="preserve">o assess the safety and efficacy of </w:t>
      </w:r>
      <w:proofErr w:type="spellStart"/>
      <w:r w:rsidR="009C4694" w:rsidRPr="009418BF">
        <w:rPr>
          <w:rFonts w:ascii="Book Antiqua" w:hAnsi="Book Antiqua"/>
        </w:rPr>
        <w:t>transarterial</w:t>
      </w:r>
      <w:proofErr w:type="spellEnd"/>
      <w:r w:rsidR="009C4694" w:rsidRPr="009418BF">
        <w:rPr>
          <w:rFonts w:ascii="Book Antiqua" w:hAnsi="Book Antiqua"/>
        </w:rPr>
        <w:t xml:space="preserve"> chemoembolization </w:t>
      </w:r>
      <w:r w:rsidR="00ED71D5">
        <w:rPr>
          <w:rFonts w:ascii="Book Antiqua" w:hAnsi="Book Antiqua" w:hint="eastAsia"/>
          <w:lang w:eastAsia="zh-CN"/>
        </w:rPr>
        <w:t>(</w:t>
      </w:r>
      <w:r w:rsidR="00ED71D5" w:rsidRPr="009418BF">
        <w:rPr>
          <w:rFonts w:ascii="Book Antiqua" w:hAnsi="Book Antiqua"/>
        </w:rPr>
        <w:t>TACE</w:t>
      </w:r>
      <w:r w:rsidR="00ED71D5">
        <w:rPr>
          <w:rFonts w:ascii="Book Antiqua" w:hAnsi="Book Antiqua" w:hint="eastAsia"/>
          <w:lang w:eastAsia="zh-CN"/>
        </w:rPr>
        <w:t xml:space="preserve">) </w:t>
      </w:r>
      <w:r w:rsidR="009C4694" w:rsidRPr="009418BF">
        <w:rPr>
          <w:rFonts w:ascii="Book Antiqua" w:hAnsi="Book Antiqua"/>
        </w:rPr>
        <w:t xml:space="preserve">of hepatocellular carcinoma </w:t>
      </w:r>
      <w:r w:rsidR="00A41762" w:rsidRPr="009418BF">
        <w:rPr>
          <w:rFonts w:ascii="Book Antiqua" w:hAnsi="Book Antiqua"/>
        </w:rPr>
        <w:t>(HCC)</w:t>
      </w:r>
      <w:r w:rsidR="00A41762" w:rsidRPr="009418BF">
        <w:rPr>
          <w:rFonts w:ascii="Book Antiqua" w:hAnsi="Book Antiqua"/>
          <w:lang w:eastAsia="zh-CN"/>
        </w:rPr>
        <w:t xml:space="preserve"> </w:t>
      </w:r>
      <w:r w:rsidR="009C4694" w:rsidRPr="009418BF">
        <w:rPr>
          <w:rFonts w:ascii="Book Antiqua" w:hAnsi="Book Antiqua"/>
        </w:rPr>
        <w:t xml:space="preserve">using a new generation of 40 µm </w:t>
      </w:r>
      <w:r w:rsidR="00557019" w:rsidRPr="009418BF">
        <w:rPr>
          <w:rFonts w:ascii="Book Antiqua" w:hAnsi="Book Antiqua"/>
        </w:rPr>
        <w:t>drug eluting beads</w:t>
      </w:r>
      <w:r w:rsidRPr="009418BF">
        <w:rPr>
          <w:rFonts w:ascii="Book Antiqua" w:hAnsi="Book Antiqua"/>
        </w:rPr>
        <w:t xml:space="preserve"> in patients not eligible for curative treatment</w:t>
      </w:r>
      <w:r w:rsidR="002F1AEA" w:rsidRPr="009418BF">
        <w:rPr>
          <w:rFonts w:ascii="Book Antiqua" w:hAnsi="Book Antiqua"/>
        </w:rPr>
        <w:t>.</w:t>
      </w:r>
      <w:r w:rsidR="00ED71D5">
        <w:rPr>
          <w:rFonts w:ascii="Book Antiqua" w:hAnsi="Book Antiqua"/>
        </w:rPr>
        <w:t xml:space="preserve"> </w:t>
      </w:r>
    </w:p>
    <w:p w:rsidR="009C4694" w:rsidRPr="009418BF" w:rsidRDefault="009C4694" w:rsidP="009418BF">
      <w:pPr>
        <w:spacing w:line="360" w:lineRule="auto"/>
        <w:jc w:val="both"/>
        <w:rPr>
          <w:rFonts w:ascii="Book Antiqua" w:hAnsi="Book Antiqua"/>
          <w:i/>
        </w:rPr>
      </w:pPr>
    </w:p>
    <w:p w:rsidR="009C4694" w:rsidRPr="009418BF" w:rsidRDefault="006607CE" w:rsidP="009418BF">
      <w:pPr>
        <w:spacing w:line="360" w:lineRule="auto"/>
        <w:jc w:val="both"/>
        <w:rPr>
          <w:rFonts w:ascii="Book Antiqua" w:hAnsi="Book Antiqua"/>
          <w:b/>
          <w:i/>
        </w:rPr>
      </w:pPr>
      <w:r w:rsidRPr="009418BF">
        <w:rPr>
          <w:rFonts w:ascii="Book Antiqua" w:hAnsi="Book Antiqua"/>
          <w:b/>
          <w:i/>
        </w:rPr>
        <w:t xml:space="preserve">METHODS </w:t>
      </w:r>
    </w:p>
    <w:p w:rsidR="0056287F" w:rsidRPr="009418BF" w:rsidRDefault="009C4694" w:rsidP="009418BF">
      <w:pPr>
        <w:spacing w:line="360" w:lineRule="auto"/>
        <w:jc w:val="both"/>
        <w:rPr>
          <w:rFonts w:ascii="Book Antiqua" w:hAnsi="Book Antiqua"/>
          <w:lang w:val="en-US"/>
        </w:rPr>
      </w:pPr>
      <w:r w:rsidRPr="009418BF">
        <w:rPr>
          <w:rFonts w:ascii="Book Antiqua" w:hAnsi="Book Antiqua"/>
        </w:rPr>
        <w:t>Drug</w:t>
      </w:r>
      <w:r w:rsidR="00E102D0" w:rsidRPr="009418BF">
        <w:rPr>
          <w:rFonts w:ascii="Book Antiqua" w:hAnsi="Book Antiqua"/>
          <w:lang w:eastAsia="zh-CN"/>
        </w:rPr>
        <w:t xml:space="preserve"> </w:t>
      </w:r>
      <w:r w:rsidR="00E102D0" w:rsidRPr="009418BF">
        <w:rPr>
          <w:rFonts w:ascii="Book Antiqua" w:hAnsi="Book Antiqua"/>
        </w:rPr>
        <w:t>e</w:t>
      </w:r>
      <w:r w:rsidRPr="009418BF">
        <w:rPr>
          <w:rFonts w:ascii="Book Antiqua" w:hAnsi="Book Antiqua"/>
        </w:rPr>
        <w:t xml:space="preserve">luting </w:t>
      </w:r>
      <w:r w:rsidR="00435826" w:rsidRPr="009418BF">
        <w:rPr>
          <w:rFonts w:ascii="Book Antiqua" w:hAnsi="Book Antiqua"/>
        </w:rPr>
        <w:t>b</w:t>
      </w:r>
      <w:r w:rsidRPr="009418BF">
        <w:rPr>
          <w:rFonts w:ascii="Book Antiqua" w:hAnsi="Book Antiqua"/>
        </w:rPr>
        <w:t xml:space="preserve">ead </w:t>
      </w:r>
      <w:r w:rsidR="00ED71D5" w:rsidRPr="009418BF">
        <w:rPr>
          <w:rFonts w:ascii="Book Antiqua" w:hAnsi="Book Antiqua"/>
        </w:rPr>
        <w:t>TACE</w:t>
      </w:r>
      <w:r w:rsidRPr="009418BF">
        <w:rPr>
          <w:rFonts w:ascii="Book Antiqua" w:hAnsi="Book Antiqua"/>
        </w:rPr>
        <w:t xml:space="preserve"> (DEB-TACE) using a new generation of micro</w:t>
      </w:r>
      <w:r w:rsidR="00435826" w:rsidRPr="009418BF">
        <w:rPr>
          <w:rFonts w:ascii="Book Antiqua" w:hAnsi="Book Antiqua"/>
        </w:rPr>
        <w:t>spheres</w:t>
      </w:r>
      <w:r w:rsidRPr="009418BF">
        <w:rPr>
          <w:rFonts w:ascii="Book Antiqua" w:hAnsi="Book Antiqua"/>
        </w:rPr>
        <w:t xml:space="preserve"> (</w:t>
      </w:r>
      <w:proofErr w:type="spellStart"/>
      <w:r w:rsidR="00ED71D5" w:rsidRPr="009418BF">
        <w:rPr>
          <w:rFonts w:ascii="Book Antiqua" w:hAnsi="Book Antiqua"/>
        </w:rPr>
        <w:t>e</w:t>
      </w:r>
      <w:r w:rsidRPr="009418BF">
        <w:rPr>
          <w:rFonts w:ascii="Book Antiqua" w:hAnsi="Book Antiqua"/>
        </w:rPr>
        <w:t>mbozene</w:t>
      </w:r>
      <w:proofErr w:type="spellEnd"/>
      <w:r w:rsidRPr="009418BF">
        <w:rPr>
          <w:rFonts w:ascii="Book Antiqua" w:hAnsi="Book Antiqua"/>
        </w:rPr>
        <w:t xml:space="preserve"> </w:t>
      </w:r>
      <w:r w:rsidR="00ED71D5" w:rsidRPr="009418BF">
        <w:rPr>
          <w:rFonts w:ascii="Book Antiqua" w:hAnsi="Book Antiqua"/>
        </w:rPr>
        <w:t>t</w:t>
      </w:r>
      <w:r w:rsidRPr="009418BF">
        <w:rPr>
          <w:rFonts w:ascii="Book Antiqua" w:hAnsi="Book Antiqua"/>
        </w:rPr>
        <w:t>andem</w:t>
      </w:r>
      <w:r w:rsidR="00435826" w:rsidRPr="009418BF">
        <w:rPr>
          <w:rFonts w:ascii="Book Antiqua" w:hAnsi="Book Antiqua"/>
        </w:rPr>
        <w:t>,</w:t>
      </w:r>
      <w:r w:rsidRPr="009418BF">
        <w:rPr>
          <w:rFonts w:ascii="Book Antiqua" w:hAnsi="Book Antiqua"/>
        </w:rPr>
        <w:t xml:space="preserve"> 40</w:t>
      </w:r>
      <w:r w:rsidR="00435826" w:rsidRPr="009418BF">
        <w:rPr>
          <w:rFonts w:ascii="Book Antiqua" w:hAnsi="Book Antiqua"/>
        </w:rPr>
        <w:t xml:space="preserve"> µm</w:t>
      </w:r>
      <w:r w:rsidRPr="009418BF">
        <w:rPr>
          <w:rFonts w:ascii="Book Antiqua" w:hAnsi="Book Antiqua"/>
        </w:rPr>
        <w:t xml:space="preserve">) preloaded with 100 mg of </w:t>
      </w:r>
      <w:r w:rsidR="00435826" w:rsidRPr="009418BF">
        <w:rPr>
          <w:rFonts w:ascii="Book Antiqua" w:hAnsi="Book Antiqua"/>
        </w:rPr>
        <w:t>d</w:t>
      </w:r>
      <w:r w:rsidRPr="009418BF">
        <w:rPr>
          <w:rFonts w:ascii="Book Antiqua" w:hAnsi="Book Antiqua"/>
        </w:rPr>
        <w:t>oxorubicin was performed on</w:t>
      </w:r>
      <w:r w:rsidR="005363F8" w:rsidRPr="009418BF">
        <w:rPr>
          <w:rFonts w:ascii="Book Antiqua" w:hAnsi="Book Antiqua"/>
        </w:rPr>
        <w:t xml:space="preserve"> 48</w:t>
      </w:r>
      <w:r w:rsidR="002F1AEA" w:rsidRPr="009418BF">
        <w:rPr>
          <w:rFonts w:ascii="Book Antiqua" w:hAnsi="Book Antiqua"/>
        </w:rPr>
        <w:t xml:space="preserve"> early or intermediate </w:t>
      </w:r>
      <w:r w:rsidR="00A41762" w:rsidRPr="009418BF">
        <w:rPr>
          <w:rFonts w:ascii="Book Antiqua" w:hAnsi="Book Antiqua"/>
        </w:rPr>
        <w:t>HCC</w:t>
      </w:r>
      <w:r w:rsidRPr="009418BF">
        <w:rPr>
          <w:rFonts w:ascii="Book Antiqua" w:hAnsi="Book Antiqua"/>
        </w:rPr>
        <w:t xml:space="preserve"> patients with compensated cirrhosis</w:t>
      </w:r>
      <w:r w:rsidR="000C2C0F" w:rsidRPr="009418BF">
        <w:rPr>
          <w:rFonts w:ascii="Book Antiqua" w:hAnsi="Book Antiqua"/>
        </w:rPr>
        <w:t>.</w:t>
      </w:r>
      <w:r w:rsidR="00ED71D5">
        <w:rPr>
          <w:rFonts w:ascii="Book Antiqua" w:hAnsi="Book Antiqua"/>
        </w:rPr>
        <w:t xml:space="preserve"> </w:t>
      </w:r>
      <w:r w:rsidR="0056287F" w:rsidRPr="009418BF">
        <w:rPr>
          <w:rFonts w:ascii="Book Antiqua" w:hAnsi="Book Antiqua"/>
        </w:rPr>
        <w:t xml:space="preserve">Response to therapy was assessed with </w:t>
      </w:r>
      <w:r w:rsidR="00D36FC9" w:rsidRPr="009418BF">
        <w:rPr>
          <w:rFonts w:ascii="Book Antiqua" w:hAnsi="Book Antiqua"/>
        </w:rPr>
        <w:t xml:space="preserve">Response Evaluation Criteria in Solid </w:t>
      </w:r>
      <w:proofErr w:type="spellStart"/>
      <w:r w:rsidR="00D36FC9" w:rsidRPr="009418BF">
        <w:rPr>
          <w:rFonts w:ascii="Book Antiqua" w:hAnsi="Book Antiqua"/>
        </w:rPr>
        <w:t>Tumors</w:t>
      </w:r>
      <w:proofErr w:type="spellEnd"/>
      <w:r w:rsidR="00D36FC9" w:rsidRPr="009418BF">
        <w:rPr>
          <w:rFonts w:ascii="Book Antiqua" w:hAnsi="Book Antiqua"/>
        </w:rPr>
        <w:t xml:space="preserve"> </w:t>
      </w:r>
      <w:r w:rsidR="0056287F" w:rsidRPr="009418BF">
        <w:rPr>
          <w:rFonts w:ascii="Book Antiqua" w:hAnsi="Book Antiqua"/>
        </w:rPr>
        <w:t>(</w:t>
      </w:r>
      <w:r w:rsidR="00D36FC9" w:rsidRPr="009418BF">
        <w:rPr>
          <w:rFonts w:ascii="Book Antiqua" w:hAnsi="Book Antiqua"/>
        </w:rPr>
        <w:t>RECIST</w:t>
      </w:r>
      <w:r w:rsidR="0056287F" w:rsidRPr="009418BF">
        <w:rPr>
          <w:rFonts w:ascii="Book Antiqua" w:hAnsi="Book Antiqua"/>
        </w:rPr>
        <w:t xml:space="preserve">) and </w:t>
      </w:r>
      <w:r w:rsidR="00D36FC9" w:rsidRPr="009418BF">
        <w:rPr>
          <w:rFonts w:ascii="Book Antiqua" w:hAnsi="Book Antiqua"/>
        </w:rPr>
        <w:t xml:space="preserve">modified RECIST </w:t>
      </w:r>
      <w:r w:rsidR="0056287F" w:rsidRPr="009418BF">
        <w:rPr>
          <w:rFonts w:ascii="Book Antiqua" w:hAnsi="Book Antiqua"/>
        </w:rPr>
        <w:t>(</w:t>
      </w:r>
      <w:proofErr w:type="spellStart"/>
      <w:r w:rsidR="00D36FC9" w:rsidRPr="009418BF">
        <w:rPr>
          <w:rFonts w:ascii="Book Antiqua" w:hAnsi="Book Antiqua"/>
        </w:rPr>
        <w:t>mRECIST</w:t>
      </w:r>
      <w:proofErr w:type="spellEnd"/>
      <w:r w:rsidR="0056287F" w:rsidRPr="009418BF">
        <w:rPr>
          <w:rFonts w:ascii="Book Antiqua" w:hAnsi="Book Antiqua"/>
        </w:rPr>
        <w:t xml:space="preserve">) </w:t>
      </w:r>
      <w:r w:rsidR="00435826" w:rsidRPr="009418BF">
        <w:rPr>
          <w:rFonts w:ascii="Book Antiqua" w:hAnsi="Book Antiqua"/>
        </w:rPr>
        <w:t>guidelines</w:t>
      </w:r>
      <w:r w:rsidR="0056287F" w:rsidRPr="009418BF">
        <w:rPr>
          <w:rFonts w:ascii="Book Antiqua" w:hAnsi="Book Antiqua"/>
        </w:rPr>
        <w:t xml:space="preserve"> applied to </w:t>
      </w:r>
      <w:r w:rsidR="00905688" w:rsidRPr="009418BF">
        <w:rPr>
          <w:rFonts w:ascii="Book Antiqua" w:hAnsi="Book Antiqua"/>
        </w:rPr>
        <w:t>computed tomography</w:t>
      </w:r>
      <w:r w:rsidR="0056287F" w:rsidRPr="009418BF">
        <w:rPr>
          <w:rFonts w:ascii="Book Antiqua" w:hAnsi="Book Antiqua"/>
        </w:rPr>
        <w:t xml:space="preserve"> or </w:t>
      </w:r>
      <w:r w:rsidR="00905688" w:rsidRPr="009418BF">
        <w:rPr>
          <w:rFonts w:ascii="Book Antiqua" w:hAnsi="Book Antiqua"/>
        </w:rPr>
        <w:t>magnetic resonance imaging</w:t>
      </w:r>
      <w:r w:rsidR="0056287F" w:rsidRPr="009418BF">
        <w:rPr>
          <w:rFonts w:ascii="Book Antiqua" w:hAnsi="Book Antiqua"/>
        </w:rPr>
        <w:t>.</w:t>
      </w:r>
      <w:r w:rsidR="00ED71D5">
        <w:rPr>
          <w:rFonts w:ascii="Book Antiqua" w:hAnsi="Book Antiqua"/>
        </w:rPr>
        <w:t xml:space="preserve"> </w:t>
      </w:r>
      <w:r w:rsidR="00A41762" w:rsidRPr="009418BF">
        <w:rPr>
          <w:rFonts w:ascii="Book Antiqua" w:hAnsi="Book Antiqua"/>
        </w:rPr>
        <w:t>Eleven</w:t>
      </w:r>
      <w:r w:rsidR="00203244" w:rsidRPr="009418BF">
        <w:rPr>
          <w:rFonts w:ascii="Book Antiqua" w:hAnsi="Book Antiqua"/>
        </w:rPr>
        <w:t xml:space="preserve"> </w:t>
      </w:r>
      <w:r w:rsidR="00435826" w:rsidRPr="009418BF">
        <w:rPr>
          <w:rFonts w:ascii="Book Antiqua" w:hAnsi="Book Antiqua"/>
        </w:rPr>
        <w:t xml:space="preserve">out </w:t>
      </w:r>
      <w:r w:rsidR="00203244" w:rsidRPr="009418BF">
        <w:rPr>
          <w:rFonts w:ascii="Book Antiqua" w:hAnsi="Book Antiqua"/>
        </w:rPr>
        <w:t xml:space="preserve">of </w:t>
      </w:r>
      <w:r w:rsidR="00435826" w:rsidRPr="009418BF">
        <w:rPr>
          <w:rFonts w:ascii="Book Antiqua" w:hAnsi="Book Antiqua"/>
        </w:rPr>
        <w:t xml:space="preserve">the </w:t>
      </w:r>
      <w:r w:rsidR="002F1AEA" w:rsidRPr="009418BF">
        <w:rPr>
          <w:rFonts w:ascii="Book Antiqua" w:hAnsi="Book Antiqua"/>
        </w:rPr>
        <w:t>48 treated p</w:t>
      </w:r>
      <w:r w:rsidR="0056287F" w:rsidRPr="009418BF">
        <w:rPr>
          <w:rFonts w:ascii="Book Antiqua" w:hAnsi="Book Antiqua"/>
        </w:rPr>
        <w:t xml:space="preserve">atients </w:t>
      </w:r>
      <w:r w:rsidR="00435826" w:rsidRPr="009418BF">
        <w:rPr>
          <w:rFonts w:ascii="Book Antiqua" w:hAnsi="Book Antiqua"/>
        </w:rPr>
        <w:t>treated progressed on to receive</w:t>
      </w:r>
      <w:r w:rsidR="00ED71D5">
        <w:rPr>
          <w:rFonts w:ascii="Book Antiqua" w:hAnsi="Book Antiqua"/>
        </w:rPr>
        <w:t xml:space="preserve"> </w:t>
      </w:r>
      <w:r w:rsidR="002F1AEA" w:rsidRPr="009418BF">
        <w:rPr>
          <w:rFonts w:ascii="Book Antiqua" w:hAnsi="Book Antiqua"/>
        </w:rPr>
        <w:t xml:space="preserve">liver </w:t>
      </w:r>
      <w:proofErr w:type="spellStart"/>
      <w:r w:rsidR="002F1AEA" w:rsidRPr="009418BF">
        <w:rPr>
          <w:rFonts w:ascii="Book Antiqua" w:hAnsi="Book Antiqua"/>
        </w:rPr>
        <w:t>orthotopic</w:t>
      </w:r>
      <w:proofErr w:type="spellEnd"/>
      <w:r w:rsidR="002F1AEA" w:rsidRPr="009418BF">
        <w:rPr>
          <w:rFonts w:ascii="Book Antiqua" w:hAnsi="Book Antiqua"/>
        </w:rPr>
        <w:t xml:space="preserve"> </w:t>
      </w:r>
      <w:r w:rsidR="0056287F" w:rsidRPr="009418BF">
        <w:rPr>
          <w:rFonts w:ascii="Book Antiqua" w:hAnsi="Book Antiqua"/>
        </w:rPr>
        <w:t>transplantation (OLT)</w:t>
      </w:r>
      <w:r w:rsidR="00435826" w:rsidRPr="009418BF">
        <w:rPr>
          <w:rFonts w:ascii="Book Antiqua" w:hAnsi="Book Antiqua"/>
        </w:rPr>
        <w:t>. This allowed for</w:t>
      </w:r>
      <w:r w:rsidR="0056287F" w:rsidRPr="009418BF">
        <w:rPr>
          <w:rFonts w:ascii="Book Antiqua" w:hAnsi="Book Antiqua"/>
        </w:rPr>
        <w:t xml:space="preserve"> histological analys</w:t>
      </w:r>
      <w:r w:rsidR="00435826" w:rsidRPr="009418BF">
        <w:rPr>
          <w:rFonts w:ascii="Book Antiqua" w:hAnsi="Book Antiqua"/>
        </w:rPr>
        <w:t>is</w:t>
      </w:r>
      <w:r w:rsidR="0056287F" w:rsidRPr="009418BF">
        <w:rPr>
          <w:rFonts w:ascii="Book Antiqua" w:hAnsi="Book Antiqua"/>
        </w:rPr>
        <w:t xml:space="preserve"> </w:t>
      </w:r>
      <w:r w:rsidR="00435826" w:rsidRPr="009418BF">
        <w:rPr>
          <w:rFonts w:ascii="Book Antiqua" w:hAnsi="Book Antiqua"/>
        </w:rPr>
        <w:t>on the treated explanted nodules</w:t>
      </w:r>
      <w:r w:rsidR="0056287F" w:rsidRPr="009418BF">
        <w:rPr>
          <w:rFonts w:ascii="Book Antiqua" w:hAnsi="Book Antiqua"/>
        </w:rPr>
        <w:t>.</w:t>
      </w:r>
    </w:p>
    <w:p w:rsidR="0056287F" w:rsidRPr="009418BF" w:rsidRDefault="0056287F" w:rsidP="009418BF">
      <w:pPr>
        <w:spacing w:line="360" w:lineRule="auto"/>
        <w:jc w:val="both"/>
        <w:rPr>
          <w:rFonts w:ascii="Book Antiqua" w:hAnsi="Book Antiqua"/>
          <w:lang w:val="en-US"/>
        </w:rPr>
      </w:pPr>
    </w:p>
    <w:p w:rsidR="009C4694" w:rsidRPr="009418BF" w:rsidRDefault="007940E3" w:rsidP="009418BF">
      <w:pPr>
        <w:spacing w:line="360" w:lineRule="auto"/>
        <w:jc w:val="both"/>
        <w:rPr>
          <w:rFonts w:ascii="Book Antiqua" w:hAnsi="Book Antiqua"/>
          <w:b/>
          <w:i/>
        </w:rPr>
      </w:pPr>
      <w:r w:rsidRPr="009418BF">
        <w:rPr>
          <w:rFonts w:ascii="Book Antiqua" w:hAnsi="Book Antiqua"/>
          <w:b/>
          <w:i/>
        </w:rPr>
        <w:t xml:space="preserve">RESULTS </w:t>
      </w:r>
    </w:p>
    <w:p w:rsidR="009C4694" w:rsidRPr="009418BF" w:rsidRDefault="00435826" w:rsidP="009418BF">
      <w:pPr>
        <w:spacing w:line="360" w:lineRule="auto"/>
        <w:jc w:val="both"/>
        <w:rPr>
          <w:rFonts w:ascii="Book Antiqua" w:hAnsi="Book Antiqua"/>
        </w:rPr>
      </w:pPr>
      <w:r w:rsidRPr="009418BF">
        <w:rPr>
          <w:rFonts w:ascii="Book Antiqua" w:hAnsi="Book Antiqua"/>
        </w:rPr>
        <w:t>DEB-</w:t>
      </w:r>
      <w:r w:rsidR="009C4694" w:rsidRPr="009418BF">
        <w:rPr>
          <w:rFonts w:ascii="Book Antiqua" w:hAnsi="Book Antiqua"/>
        </w:rPr>
        <w:t>TACE with 40 µm showed a good safety profile</w:t>
      </w:r>
      <w:r w:rsidR="003F78B9" w:rsidRPr="009418BF">
        <w:rPr>
          <w:rFonts w:ascii="Book Antiqua" w:hAnsi="Book Antiqua"/>
        </w:rPr>
        <w:t xml:space="preserve"> without </w:t>
      </w:r>
      <w:r w:rsidR="00397DFA">
        <w:rPr>
          <w:rFonts w:ascii="Book Antiqua" w:hAnsi="Book Antiqua"/>
        </w:rPr>
        <w:t>major complications or 30-d</w:t>
      </w:r>
      <w:r w:rsidR="009C4694" w:rsidRPr="009418BF">
        <w:rPr>
          <w:rFonts w:ascii="Book Antiqua" w:hAnsi="Book Antiqua"/>
        </w:rPr>
        <w:t xml:space="preserve"> mortality. The objective response rate of treated </w:t>
      </w:r>
      <w:r w:rsidR="0056287F" w:rsidRPr="009418BF">
        <w:rPr>
          <w:rFonts w:ascii="Book Antiqua" w:hAnsi="Book Antiqua"/>
        </w:rPr>
        <w:t>tumor</w:t>
      </w:r>
      <w:r w:rsidR="009C4694" w:rsidRPr="009418BF">
        <w:rPr>
          <w:rFonts w:ascii="Book Antiqua" w:hAnsi="Book Antiqua"/>
        </w:rPr>
        <w:t>s was 7</w:t>
      </w:r>
      <w:r w:rsidR="00461391" w:rsidRPr="009418BF">
        <w:rPr>
          <w:rFonts w:ascii="Book Antiqua" w:hAnsi="Book Antiqua"/>
        </w:rPr>
        <w:t>2</w:t>
      </w:r>
      <w:r w:rsidR="009C4694" w:rsidRPr="009418BF">
        <w:rPr>
          <w:rFonts w:ascii="Book Antiqua" w:hAnsi="Book Antiqua"/>
        </w:rPr>
        <w:t>.</w:t>
      </w:r>
      <w:r w:rsidR="00461391" w:rsidRPr="009418BF">
        <w:rPr>
          <w:rFonts w:ascii="Book Antiqua" w:hAnsi="Book Antiqua"/>
        </w:rPr>
        <w:t>6</w:t>
      </w:r>
      <w:r w:rsidR="009C4694" w:rsidRPr="009418BF">
        <w:rPr>
          <w:rFonts w:ascii="Book Antiqua" w:hAnsi="Book Antiqua"/>
        </w:rPr>
        <w:t>% and 2</w:t>
      </w:r>
      <w:r w:rsidR="00461391" w:rsidRPr="009418BF">
        <w:rPr>
          <w:rFonts w:ascii="Book Antiqua" w:hAnsi="Book Antiqua"/>
        </w:rPr>
        <w:t>6.7</w:t>
      </w:r>
      <w:r w:rsidR="009C4694" w:rsidRPr="009418BF">
        <w:rPr>
          <w:rFonts w:ascii="Book Antiqua" w:hAnsi="Book Antiqua"/>
        </w:rPr>
        <w:t>% according</w:t>
      </w:r>
      <w:r w:rsidR="00103BB3" w:rsidRPr="009418BF">
        <w:rPr>
          <w:rFonts w:ascii="Book Antiqua" w:hAnsi="Book Antiqua"/>
        </w:rPr>
        <w:t xml:space="preserve"> </w:t>
      </w:r>
      <w:r w:rsidR="009C4694" w:rsidRPr="009418BF">
        <w:rPr>
          <w:rFonts w:ascii="Book Antiqua" w:hAnsi="Book Antiqua"/>
        </w:rPr>
        <w:t xml:space="preserve">to mRECIST and RECIST </w:t>
      </w:r>
      <w:r w:rsidRPr="009418BF">
        <w:rPr>
          <w:rFonts w:ascii="Book Antiqua" w:hAnsi="Book Antiqua"/>
        </w:rPr>
        <w:t>respectively</w:t>
      </w:r>
      <w:r w:rsidR="009C4694" w:rsidRPr="009418BF">
        <w:rPr>
          <w:rFonts w:ascii="Book Antiqua" w:hAnsi="Book Antiqua"/>
        </w:rPr>
        <w:t xml:space="preserve">. Histological examination in 11 patients </w:t>
      </w:r>
      <w:r w:rsidR="00A26BD3" w:rsidRPr="009418BF">
        <w:rPr>
          <w:rFonts w:ascii="Book Antiqua" w:hAnsi="Book Antiqua"/>
        </w:rPr>
        <w:t>assigned</w:t>
      </w:r>
      <w:r w:rsidR="009C4694" w:rsidRPr="009418BF">
        <w:rPr>
          <w:rFonts w:ascii="Book Antiqua" w:hAnsi="Book Antiqua"/>
        </w:rPr>
        <w:t xml:space="preserve"> to OLT showed a necrosis degree &gt;</w:t>
      </w:r>
      <w:r w:rsidR="004B3C8F" w:rsidRPr="009418BF">
        <w:rPr>
          <w:rFonts w:ascii="Book Antiqua" w:hAnsi="Book Antiqua"/>
          <w:lang w:eastAsia="zh-CN"/>
        </w:rPr>
        <w:t xml:space="preserve"> </w:t>
      </w:r>
      <w:r w:rsidR="009C4694" w:rsidRPr="009418BF">
        <w:rPr>
          <w:rFonts w:ascii="Book Antiqua" w:hAnsi="Book Antiqua"/>
        </w:rPr>
        <w:t xml:space="preserve">90% in </w:t>
      </w:r>
      <w:r w:rsidR="00461391" w:rsidRPr="009418BF">
        <w:rPr>
          <w:rFonts w:ascii="Book Antiqua" w:hAnsi="Book Antiqua"/>
        </w:rPr>
        <w:t>78.6</w:t>
      </w:r>
      <w:r w:rsidR="009C4694" w:rsidRPr="009418BF">
        <w:rPr>
          <w:rFonts w:ascii="Book Antiqua" w:hAnsi="Book Antiqua"/>
        </w:rPr>
        <w:t xml:space="preserve">% of cases. The overall </w:t>
      </w:r>
      <w:r w:rsidR="00A26BD3" w:rsidRPr="009418BF">
        <w:rPr>
          <w:rFonts w:ascii="Book Antiqua" w:hAnsi="Book Antiqua"/>
        </w:rPr>
        <w:t>t</w:t>
      </w:r>
      <w:r w:rsidR="009C4694" w:rsidRPr="009418BF">
        <w:rPr>
          <w:rFonts w:ascii="Book Antiqua" w:hAnsi="Book Antiqua"/>
        </w:rPr>
        <w:t xml:space="preserve">ime </w:t>
      </w:r>
      <w:r w:rsidR="00A26BD3" w:rsidRPr="009418BF">
        <w:rPr>
          <w:rFonts w:ascii="Book Antiqua" w:hAnsi="Book Antiqua"/>
        </w:rPr>
        <w:t>t</w:t>
      </w:r>
      <w:r w:rsidR="009C4694" w:rsidRPr="009418BF">
        <w:rPr>
          <w:rFonts w:ascii="Book Antiqua" w:hAnsi="Book Antiqua"/>
        </w:rPr>
        <w:t xml:space="preserve">o </w:t>
      </w:r>
      <w:r w:rsidR="00A26BD3" w:rsidRPr="009418BF">
        <w:rPr>
          <w:rFonts w:ascii="Book Antiqua" w:hAnsi="Book Antiqua"/>
        </w:rPr>
        <w:t>p</w:t>
      </w:r>
      <w:r w:rsidR="009C4694" w:rsidRPr="009418BF">
        <w:rPr>
          <w:rFonts w:ascii="Book Antiqua" w:hAnsi="Book Antiqua"/>
        </w:rPr>
        <w:t xml:space="preserve">rogression (TTP) was </w:t>
      </w:r>
      <w:proofErr w:type="gramStart"/>
      <w:r w:rsidR="009C4694" w:rsidRPr="009418BF">
        <w:rPr>
          <w:rFonts w:ascii="Book Antiqua" w:hAnsi="Book Antiqua"/>
        </w:rPr>
        <w:t xml:space="preserve">13 </w:t>
      </w:r>
      <w:proofErr w:type="spellStart"/>
      <w:r w:rsidR="009C4694" w:rsidRPr="009418BF">
        <w:rPr>
          <w:rFonts w:ascii="Book Antiqua" w:hAnsi="Book Antiqua"/>
        </w:rPr>
        <w:t>mo</w:t>
      </w:r>
      <w:proofErr w:type="spellEnd"/>
      <w:proofErr w:type="gramEnd"/>
      <w:r w:rsidR="009C4694" w:rsidRPr="009418BF">
        <w:rPr>
          <w:rFonts w:ascii="Book Antiqua" w:hAnsi="Book Antiqua"/>
        </w:rPr>
        <w:t xml:space="preserve"> (11-21).</w:t>
      </w:r>
    </w:p>
    <w:p w:rsidR="009C4694" w:rsidRPr="009418BF" w:rsidRDefault="009C4694" w:rsidP="009418BF">
      <w:pPr>
        <w:spacing w:line="360" w:lineRule="auto"/>
        <w:jc w:val="both"/>
        <w:rPr>
          <w:rFonts w:ascii="Book Antiqua" w:hAnsi="Book Antiqua"/>
        </w:rPr>
      </w:pPr>
    </w:p>
    <w:p w:rsidR="009C4694" w:rsidRPr="009418BF" w:rsidRDefault="004B3C8F" w:rsidP="009418BF">
      <w:pPr>
        <w:spacing w:line="360" w:lineRule="auto"/>
        <w:jc w:val="both"/>
        <w:rPr>
          <w:rFonts w:ascii="Book Antiqua" w:hAnsi="Book Antiqua"/>
          <w:b/>
          <w:i/>
        </w:rPr>
      </w:pPr>
      <w:r w:rsidRPr="009418BF">
        <w:rPr>
          <w:rFonts w:ascii="Book Antiqua" w:hAnsi="Book Antiqua"/>
          <w:b/>
          <w:i/>
        </w:rPr>
        <w:t xml:space="preserve">CONCLUSION </w:t>
      </w:r>
    </w:p>
    <w:p w:rsidR="009C4694" w:rsidRPr="009418BF" w:rsidRDefault="009C4694" w:rsidP="009418BF">
      <w:pPr>
        <w:spacing w:line="360" w:lineRule="auto"/>
        <w:jc w:val="both"/>
        <w:rPr>
          <w:rFonts w:ascii="Book Antiqua" w:hAnsi="Book Antiqua"/>
        </w:rPr>
      </w:pPr>
      <w:r w:rsidRPr="009418BF">
        <w:rPr>
          <w:rFonts w:ascii="Book Antiqua" w:hAnsi="Book Antiqua"/>
        </w:rPr>
        <w:t>DEB-TACE with 40 µm particles is a</w:t>
      </w:r>
      <w:r w:rsidR="00203244" w:rsidRPr="009418BF">
        <w:rPr>
          <w:rFonts w:ascii="Book Antiqua" w:hAnsi="Book Antiqua"/>
        </w:rPr>
        <w:t>n effective treatment</w:t>
      </w:r>
      <w:r w:rsidRPr="009418BF">
        <w:rPr>
          <w:rFonts w:ascii="Book Antiqua" w:hAnsi="Book Antiqua"/>
        </w:rPr>
        <w:t xml:space="preserve"> for </w:t>
      </w:r>
      <w:r w:rsidR="00203244" w:rsidRPr="009418BF">
        <w:rPr>
          <w:rFonts w:ascii="Book Antiqua" w:hAnsi="Book Antiqua"/>
        </w:rPr>
        <w:t xml:space="preserve">the treatment of </w:t>
      </w:r>
      <w:r w:rsidRPr="009418BF">
        <w:rPr>
          <w:rFonts w:ascii="Book Antiqua" w:hAnsi="Book Antiqua"/>
        </w:rPr>
        <w:t>HCC</w:t>
      </w:r>
      <w:r w:rsidR="00203244" w:rsidRPr="009418BF">
        <w:rPr>
          <w:rFonts w:ascii="Book Antiqua" w:hAnsi="Book Antiqua"/>
        </w:rPr>
        <w:t xml:space="preserve"> in early-intermediate patients (B</w:t>
      </w:r>
      <w:r w:rsidR="00A26BD3" w:rsidRPr="009418BF">
        <w:rPr>
          <w:rFonts w:ascii="Book Antiqua" w:hAnsi="Book Antiqua"/>
        </w:rPr>
        <w:t xml:space="preserve">arcelona </w:t>
      </w:r>
      <w:r w:rsidR="00203244" w:rsidRPr="009418BF">
        <w:rPr>
          <w:rFonts w:ascii="Book Antiqua" w:hAnsi="Book Antiqua"/>
        </w:rPr>
        <w:t>C</w:t>
      </w:r>
      <w:r w:rsidR="00A26BD3" w:rsidRPr="009418BF">
        <w:rPr>
          <w:rFonts w:ascii="Book Antiqua" w:hAnsi="Book Antiqua"/>
        </w:rPr>
        <w:t xml:space="preserve">linic </w:t>
      </w:r>
      <w:r w:rsidR="00203244" w:rsidRPr="009418BF">
        <w:rPr>
          <w:rFonts w:ascii="Book Antiqua" w:hAnsi="Book Antiqua"/>
        </w:rPr>
        <w:t>L</w:t>
      </w:r>
      <w:r w:rsidR="00A26BD3" w:rsidRPr="009418BF">
        <w:rPr>
          <w:rFonts w:ascii="Book Antiqua" w:hAnsi="Book Antiqua"/>
        </w:rPr>
        <w:t xml:space="preserve">iver </w:t>
      </w:r>
      <w:r w:rsidR="00203244" w:rsidRPr="009418BF">
        <w:rPr>
          <w:rFonts w:ascii="Book Antiqua" w:hAnsi="Book Antiqua"/>
        </w:rPr>
        <w:t>C</w:t>
      </w:r>
      <w:r w:rsidR="00A26BD3" w:rsidRPr="009418BF">
        <w:rPr>
          <w:rFonts w:ascii="Book Antiqua" w:hAnsi="Book Antiqua"/>
        </w:rPr>
        <w:t>ancer stage</w:t>
      </w:r>
      <w:r w:rsidR="00203244" w:rsidRPr="009418BF">
        <w:rPr>
          <w:rFonts w:ascii="Book Antiqua" w:hAnsi="Book Antiqua"/>
        </w:rPr>
        <w:t xml:space="preserve"> A/B) with a good safety profile and good results in term of objective response rate and necrosis.</w:t>
      </w:r>
      <w:r w:rsidR="002F1AEA" w:rsidRPr="009418BF">
        <w:rPr>
          <w:rFonts w:ascii="Book Antiqua" w:hAnsi="Book Antiqua"/>
        </w:rPr>
        <w:t xml:space="preserve"> </w:t>
      </w:r>
    </w:p>
    <w:p w:rsidR="009C4694" w:rsidRPr="009418BF" w:rsidRDefault="009C4694" w:rsidP="009418BF">
      <w:pPr>
        <w:spacing w:line="360" w:lineRule="auto"/>
        <w:jc w:val="both"/>
        <w:rPr>
          <w:rFonts w:ascii="Book Antiqua" w:hAnsi="Book Antiqua"/>
        </w:rPr>
      </w:pPr>
    </w:p>
    <w:p w:rsidR="0056287F" w:rsidRPr="009418BF" w:rsidRDefault="009C4694" w:rsidP="009418BF">
      <w:pPr>
        <w:spacing w:line="360" w:lineRule="auto"/>
        <w:jc w:val="both"/>
        <w:rPr>
          <w:rFonts w:ascii="Book Antiqua" w:hAnsi="Book Antiqua"/>
        </w:rPr>
      </w:pPr>
      <w:r w:rsidRPr="009418BF">
        <w:rPr>
          <w:rFonts w:ascii="Book Antiqua" w:hAnsi="Book Antiqua"/>
          <w:b/>
        </w:rPr>
        <w:t>Key</w:t>
      </w:r>
      <w:r w:rsidR="00103BB3" w:rsidRPr="009418BF">
        <w:rPr>
          <w:rFonts w:ascii="Book Antiqua" w:hAnsi="Book Antiqua"/>
          <w:b/>
        </w:rPr>
        <w:t xml:space="preserve"> </w:t>
      </w:r>
      <w:r w:rsidRPr="009418BF">
        <w:rPr>
          <w:rFonts w:ascii="Book Antiqua" w:hAnsi="Book Antiqua"/>
          <w:b/>
        </w:rPr>
        <w:t>words:</w:t>
      </w:r>
      <w:r w:rsidRPr="009418BF">
        <w:rPr>
          <w:rFonts w:ascii="Book Antiqua" w:hAnsi="Book Antiqua"/>
        </w:rPr>
        <w:t xml:space="preserve"> </w:t>
      </w:r>
      <w:proofErr w:type="spellStart"/>
      <w:r w:rsidRPr="009418BF">
        <w:rPr>
          <w:rFonts w:ascii="Book Antiqua" w:hAnsi="Book Antiqua"/>
        </w:rPr>
        <w:t>Transarterial</w:t>
      </w:r>
      <w:proofErr w:type="spellEnd"/>
      <w:r w:rsidRPr="009418BF">
        <w:rPr>
          <w:rFonts w:ascii="Book Antiqua" w:hAnsi="Book Antiqua"/>
        </w:rPr>
        <w:t xml:space="preserve"> chemoembolization; </w:t>
      </w:r>
      <w:r w:rsidR="00014E4E" w:rsidRPr="009418BF">
        <w:rPr>
          <w:rFonts w:ascii="Book Antiqua" w:hAnsi="Book Antiqua"/>
        </w:rPr>
        <w:t>Drug</w:t>
      </w:r>
      <w:r w:rsidR="00014E4E" w:rsidRPr="009418BF">
        <w:rPr>
          <w:rFonts w:ascii="Book Antiqua" w:hAnsi="Book Antiqua"/>
          <w:lang w:eastAsia="zh-CN"/>
        </w:rPr>
        <w:t xml:space="preserve"> </w:t>
      </w:r>
      <w:r w:rsidR="00014E4E" w:rsidRPr="009418BF">
        <w:rPr>
          <w:rFonts w:ascii="Book Antiqua" w:hAnsi="Book Antiqua"/>
        </w:rPr>
        <w:t xml:space="preserve">eluting bead </w:t>
      </w:r>
      <w:proofErr w:type="spellStart"/>
      <w:r w:rsidR="00014E4E" w:rsidRPr="009418BF">
        <w:rPr>
          <w:rFonts w:ascii="Book Antiqua" w:hAnsi="Book Antiqua"/>
        </w:rPr>
        <w:t>transarterial</w:t>
      </w:r>
      <w:proofErr w:type="spellEnd"/>
      <w:r w:rsidR="00014E4E" w:rsidRPr="009418BF">
        <w:rPr>
          <w:rFonts w:ascii="Book Antiqua" w:hAnsi="Book Antiqua"/>
        </w:rPr>
        <w:t xml:space="preserve"> chemoembolization</w:t>
      </w:r>
      <w:r w:rsidRPr="009418BF">
        <w:rPr>
          <w:rFonts w:ascii="Book Antiqua" w:hAnsi="Book Antiqua"/>
        </w:rPr>
        <w:t xml:space="preserve">; Hepatocellular </w:t>
      </w:r>
      <w:r w:rsidR="00014E4E" w:rsidRPr="009418BF">
        <w:rPr>
          <w:rFonts w:ascii="Book Antiqua" w:hAnsi="Book Antiqua"/>
        </w:rPr>
        <w:t>c</w:t>
      </w:r>
      <w:r w:rsidRPr="009418BF">
        <w:rPr>
          <w:rFonts w:ascii="Book Antiqua" w:hAnsi="Book Antiqua"/>
        </w:rPr>
        <w:t xml:space="preserve">arcinoma; </w:t>
      </w:r>
      <w:proofErr w:type="spellStart"/>
      <w:r w:rsidRPr="009418BF">
        <w:rPr>
          <w:rFonts w:ascii="Book Antiqua" w:hAnsi="Book Antiqua"/>
        </w:rPr>
        <w:t>Embozene</w:t>
      </w:r>
      <w:proofErr w:type="spellEnd"/>
      <w:r w:rsidRPr="009418BF">
        <w:rPr>
          <w:rFonts w:ascii="Book Antiqua" w:hAnsi="Book Antiqua"/>
        </w:rPr>
        <w:t xml:space="preserve"> </w:t>
      </w:r>
      <w:r w:rsidR="00014E4E" w:rsidRPr="009418BF">
        <w:rPr>
          <w:rFonts w:ascii="Book Antiqua" w:hAnsi="Book Antiqua"/>
        </w:rPr>
        <w:t>t</w:t>
      </w:r>
      <w:r w:rsidRPr="009418BF">
        <w:rPr>
          <w:rFonts w:ascii="Book Antiqua" w:hAnsi="Book Antiqua"/>
        </w:rPr>
        <w:t xml:space="preserve">andem; </w:t>
      </w:r>
      <w:r w:rsidR="00014E4E" w:rsidRPr="009418BF">
        <w:rPr>
          <w:rFonts w:ascii="Book Antiqua" w:hAnsi="Book Antiqua"/>
        </w:rPr>
        <w:t>D</w:t>
      </w:r>
      <w:r w:rsidRPr="009418BF">
        <w:rPr>
          <w:rFonts w:ascii="Book Antiqua" w:hAnsi="Book Antiqua"/>
        </w:rPr>
        <w:t xml:space="preserve">rug eluting beads </w:t>
      </w:r>
    </w:p>
    <w:p w:rsidR="00D12D6E" w:rsidRPr="009418BF" w:rsidRDefault="00D12D6E" w:rsidP="009418BF">
      <w:pPr>
        <w:spacing w:line="360" w:lineRule="auto"/>
        <w:jc w:val="both"/>
        <w:rPr>
          <w:rFonts w:ascii="Book Antiqua" w:hAnsi="Book Antiqua"/>
        </w:rPr>
      </w:pPr>
    </w:p>
    <w:p w:rsidR="00914A51" w:rsidRPr="009418BF" w:rsidRDefault="00914A51" w:rsidP="009418BF">
      <w:pPr>
        <w:spacing w:line="360" w:lineRule="auto"/>
        <w:jc w:val="both"/>
        <w:rPr>
          <w:rFonts w:ascii="Book Antiqua" w:hAnsi="Book Antiqua" w:cs="Arial"/>
        </w:rPr>
      </w:pPr>
      <w:proofErr w:type="gramStart"/>
      <w:r w:rsidRPr="009418BF">
        <w:rPr>
          <w:rFonts w:ascii="Book Antiqua" w:hAnsi="Book Antiqua"/>
          <w:b/>
        </w:rPr>
        <w:t xml:space="preserve">© </w:t>
      </w:r>
      <w:r w:rsidRPr="009418BF">
        <w:rPr>
          <w:rFonts w:ascii="Book Antiqua" w:hAnsi="Book Antiqua" w:cs="Arial"/>
          <w:b/>
        </w:rPr>
        <w:t>The Author(s) 2017.</w:t>
      </w:r>
      <w:proofErr w:type="gramEnd"/>
      <w:r w:rsidRPr="009418BF">
        <w:rPr>
          <w:rFonts w:ascii="Book Antiqua" w:hAnsi="Book Antiqua" w:cs="Arial"/>
        </w:rPr>
        <w:t xml:space="preserve"> Published by </w:t>
      </w:r>
      <w:proofErr w:type="spellStart"/>
      <w:r w:rsidRPr="009418BF">
        <w:rPr>
          <w:rFonts w:ascii="Book Antiqua" w:hAnsi="Book Antiqua" w:cs="Arial"/>
        </w:rPr>
        <w:t>Baishideng</w:t>
      </w:r>
      <w:proofErr w:type="spellEnd"/>
      <w:r w:rsidRPr="009418BF">
        <w:rPr>
          <w:rFonts w:ascii="Book Antiqua" w:hAnsi="Book Antiqua" w:cs="Arial"/>
        </w:rPr>
        <w:t xml:space="preserve"> Publishing Group Inc. All rights reserved.</w:t>
      </w:r>
    </w:p>
    <w:p w:rsidR="003F78B9" w:rsidRPr="009418BF" w:rsidRDefault="003F78B9" w:rsidP="009418BF">
      <w:pPr>
        <w:spacing w:line="360" w:lineRule="auto"/>
        <w:jc w:val="both"/>
        <w:rPr>
          <w:rFonts w:ascii="Book Antiqua" w:hAnsi="Book Antiqua"/>
          <w:lang w:eastAsia="zh-CN"/>
        </w:rPr>
      </w:pPr>
    </w:p>
    <w:p w:rsidR="00EF70BC" w:rsidRPr="009418BF" w:rsidRDefault="00EF70BC" w:rsidP="009418BF">
      <w:pPr>
        <w:spacing w:line="360" w:lineRule="auto"/>
        <w:jc w:val="both"/>
        <w:rPr>
          <w:rFonts w:ascii="Book Antiqua" w:eastAsia="Arial Unicode MS" w:hAnsi="Book Antiqua" w:cs="Arial Unicode MS"/>
        </w:rPr>
      </w:pPr>
      <w:r w:rsidRPr="009418BF">
        <w:rPr>
          <w:rFonts w:ascii="Book Antiqua" w:eastAsia="Arial Unicode MS" w:hAnsi="Book Antiqua" w:cs="Arial Unicode MS"/>
          <w:b/>
        </w:rPr>
        <w:t>C</w:t>
      </w:r>
      <w:r w:rsidR="00103BB3" w:rsidRPr="009418BF">
        <w:rPr>
          <w:rFonts w:ascii="Book Antiqua" w:eastAsia="Arial Unicode MS" w:hAnsi="Book Antiqua" w:cs="Arial Unicode MS"/>
          <w:b/>
        </w:rPr>
        <w:t xml:space="preserve">ore tip: </w:t>
      </w:r>
      <w:r w:rsidR="007F651A" w:rsidRPr="009418BF">
        <w:rPr>
          <w:rFonts w:ascii="Book Antiqua" w:eastAsia="Arial Unicode MS" w:hAnsi="Book Antiqua" w:cs="Arial Unicode MS"/>
        </w:rPr>
        <w:t>This is the f</w:t>
      </w:r>
      <w:r w:rsidR="005363F8" w:rsidRPr="009418BF">
        <w:rPr>
          <w:rFonts w:ascii="Book Antiqua" w:eastAsia="Arial Unicode MS" w:hAnsi="Book Antiqua" w:cs="Arial Unicode MS"/>
        </w:rPr>
        <w:t xml:space="preserve">irst </w:t>
      </w:r>
      <w:r w:rsidR="004F0B83" w:rsidRPr="009418BF">
        <w:rPr>
          <w:rFonts w:ascii="Book Antiqua" w:eastAsia="Arial Unicode MS" w:hAnsi="Book Antiqua" w:cs="Arial Unicode MS"/>
        </w:rPr>
        <w:t xml:space="preserve">study </w:t>
      </w:r>
      <w:r w:rsidR="00A26BD3" w:rsidRPr="009418BF">
        <w:rPr>
          <w:rFonts w:ascii="Book Antiqua" w:eastAsia="Arial Unicode MS" w:hAnsi="Book Antiqua" w:cs="Arial Unicode MS"/>
        </w:rPr>
        <w:t>exploring the</w:t>
      </w:r>
      <w:r w:rsidR="005363F8" w:rsidRPr="009418BF">
        <w:rPr>
          <w:rFonts w:ascii="Book Antiqua" w:eastAsia="Arial Unicode MS" w:hAnsi="Book Antiqua" w:cs="Arial Unicode MS"/>
        </w:rPr>
        <w:t xml:space="preserve"> safety and efficacy of 40</w:t>
      </w:r>
      <w:r w:rsidR="00203400" w:rsidRPr="009418BF">
        <w:rPr>
          <w:rFonts w:ascii="Book Antiqua" w:eastAsia="Arial Unicode MS" w:hAnsi="Book Antiqua" w:cs="Arial Unicode MS"/>
          <w:lang w:eastAsia="zh-CN"/>
        </w:rPr>
        <w:t xml:space="preserve"> </w:t>
      </w:r>
      <w:r w:rsidR="005363F8" w:rsidRPr="009418BF">
        <w:rPr>
          <w:rFonts w:ascii="Book Antiqua" w:eastAsia="Arial Unicode MS" w:hAnsi="Book Antiqua" w:cs="Arial Unicode MS"/>
        </w:rPr>
        <w:t xml:space="preserve">µm </w:t>
      </w:r>
      <w:r w:rsidR="006D4CDD" w:rsidRPr="009418BF">
        <w:rPr>
          <w:rFonts w:ascii="Book Antiqua" w:hAnsi="Book Antiqua"/>
        </w:rPr>
        <w:t>drug</w:t>
      </w:r>
      <w:r w:rsidR="006D4CDD" w:rsidRPr="009418BF">
        <w:rPr>
          <w:rFonts w:ascii="Book Antiqua" w:hAnsi="Book Antiqua"/>
          <w:lang w:eastAsia="zh-CN"/>
        </w:rPr>
        <w:t xml:space="preserve"> </w:t>
      </w:r>
      <w:r w:rsidR="006D4CDD" w:rsidRPr="009418BF">
        <w:rPr>
          <w:rFonts w:ascii="Book Antiqua" w:hAnsi="Book Antiqua"/>
        </w:rPr>
        <w:t xml:space="preserve">eluting bead </w:t>
      </w:r>
      <w:proofErr w:type="spellStart"/>
      <w:r w:rsidR="006D4CDD" w:rsidRPr="009418BF">
        <w:rPr>
          <w:rFonts w:ascii="Book Antiqua" w:hAnsi="Book Antiqua"/>
        </w:rPr>
        <w:t>transarterial</w:t>
      </w:r>
      <w:proofErr w:type="spellEnd"/>
      <w:r w:rsidR="006D4CDD" w:rsidRPr="009418BF">
        <w:rPr>
          <w:rFonts w:ascii="Book Antiqua" w:hAnsi="Book Antiqua"/>
        </w:rPr>
        <w:t xml:space="preserve"> chemoembolization</w:t>
      </w:r>
      <w:r w:rsidR="005363F8" w:rsidRPr="009418BF">
        <w:rPr>
          <w:rFonts w:ascii="Book Antiqua" w:eastAsia="Arial Unicode MS" w:hAnsi="Book Antiqua" w:cs="Arial Unicode MS"/>
        </w:rPr>
        <w:t xml:space="preserve"> for the treatment of </w:t>
      </w:r>
      <w:r w:rsidR="00A26BD3" w:rsidRPr="009418BF">
        <w:rPr>
          <w:rFonts w:ascii="Book Antiqua" w:eastAsia="Arial Unicode MS" w:hAnsi="Book Antiqua" w:cs="Arial Unicode MS"/>
        </w:rPr>
        <w:t>h</w:t>
      </w:r>
      <w:r w:rsidR="005363F8" w:rsidRPr="009418BF">
        <w:rPr>
          <w:rFonts w:ascii="Book Antiqua" w:eastAsia="Arial Unicode MS" w:hAnsi="Book Antiqua" w:cs="Arial Unicode MS"/>
        </w:rPr>
        <w:t xml:space="preserve">epatocellular </w:t>
      </w:r>
      <w:r w:rsidR="00A26BD3" w:rsidRPr="009418BF">
        <w:rPr>
          <w:rFonts w:ascii="Book Antiqua" w:eastAsia="Arial Unicode MS" w:hAnsi="Book Antiqua" w:cs="Arial Unicode MS"/>
        </w:rPr>
        <w:t>c</w:t>
      </w:r>
      <w:r w:rsidR="005363F8" w:rsidRPr="009418BF">
        <w:rPr>
          <w:rFonts w:ascii="Book Antiqua" w:eastAsia="Arial Unicode MS" w:hAnsi="Book Antiqua" w:cs="Arial Unicode MS"/>
        </w:rPr>
        <w:t xml:space="preserve">arcinoma </w:t>
      </w:r>
      <w:r w:rsidR="006D4CDD" w:rsidRPr="009418BF">
        <w:rPr>
          <w:rFonts w:ascii="Book Antiqua" w:eastAsia="Arial Unicode MS" w:hAnsi="Book Antiqua" w:cs="Arial Unicode MS"/>
          <w:lang w:eastAsia="zh-CN"/>
        </w:rPr>
        <w:t>(</w:t>
      </w:r>
      <w:r w:rsidR="006D4CDD" w:rsidRPr="009418BF">
        <w:rPr>
          <w:rFonts w:ascii="Book Antiqua" w:eastAsia="Arial Unicode MS" w:hAnsi="Book Antiqua" w:cs="Arial Unicode MS"/>
        </w:rPr>
        <w:t>HCC</w:t>
      </w:r>
      <w:r w:rsidR="006D4CDD" w:rsidRPr="009418BF">
        <w:rPr>
          <w:rFonts w:ascii="Book Antiqua" w:eastAsia="Arial Unicode MS" w:hAnsi="Book Antiqua" w:cs="Arial Unicode MS"/>
          <w:lang w:eastAsia="zh-CN"/>
        </w:rPr>
        <w:t xml:space="preserve">) </w:t>
      </w:r>
      <w:r w:rsidR="005363F8" w:rsidRPr="009418BF">
        <w:rPr>
          <w:rFonts w:ascii="Book Antiqua" w:eastAsia="Arial Unicode MS" w:hAnsi="Book Antiqua" w:cs="Arial Unicode MS"/>
        </w:rPr>
        <w:t>in a serie</w:t>
      </w:r>
      <w:r w:rsidR="000C2C0F" w:rsidRPr="009418BF">
        <w:rPr>
          <w:rFonts w:ascii="Book Antiqua" w:eastAsia="Arial Unicode MS" w:hAnsi="Book Antiqua" w:cs="Arial Unicode MS"/>
        </w:rPr>
        <w:t>s</w:t>
      </w:r>
      <w:r w:rsidR="005363F8" w:rsidRPr="009418BF">
        <w:rPr>
          <w:rFonts w:ascii="Book Antiqua" w:eastAsia="Arial Unicode MS" w:hAnsi="Book Antiqua" w:cs="Arial Unicode MS"/>
        </w:rPr>
        <w:t xml:space="preserve"> of 48 patients not </w:t>
      </w:r>
      <w:r w:rsidR="00A26BD3" w:rsidRPr="009418BF">
        <w:rPr>
          <w:rFonts w:ascii="Book Antiqua" w:eastAsia="Arial Unicode MS" w:hAnsi="Book Antiqua" w:cs="Arial Unicode MS"/>
        </w:rPr>
        <w:t xml:space="preserve">suitable for ablation </w:t>
      </w:r>
      <w:r w:rsidR="005363F8" w:rsidRPr="009418BF">
        <w:rPr>
          <w:rFonts w:ascii="Book Antiqua" w:eastAsia="Arial Unicode MS" w:hAnsi="Book Antiqua" w:cs="Arial Unicode MS"/>
        </w:rPr>
        <w:t xml:space="preserve">or surgical </w:t>
      </w:r>
      <w:r w:rsidR="000C2C0F" w:rsidRPr="009418BF">
        <w:rPr>
          <w:rFonts w:ascii="Book Antiqua" w:eastAsia="Arial Unicode MS" w:hAnsi="Book Antiqua" w:cs="Arial Unicode MS"/>
        </w:rPr>
        <w:t>therapies</w:t>
      </w:r>
      <w:r w:rsidR="000537E3" w:rsidRPr="009418BF">
        <w:rPr>
          <w:rFonts w:ascii="Book Antiqua" w:eastAsia="Arial Unicode MS" w:hAnsi="Book Antiqua" w:cs="Arial Unicode MS"/>
        </w:rPr>
        <w:t xml:space="preserve">. </w:t>
      </w:r>
      <w:r w:rsidR="000C2C0F" w:rsidRPr="009418BF">
        <w:rPr>
          <w:rFonts w:ascii="Book Antiqua" w:eastAsia="Arial Unicode MS" w:hAnsi="Book Antiqua" w:cs="Arial Unicode MS"/>
        </w:rPr>
        <w:t xml:space="preserve">The use of </w:t>
      </w:r>
      <w:r w:rsidR="00A26BD3" w:rsidRPr="009418BF">
        <w:rPr>
          <w:rFonts w:ascii="Book Antiqua" w:eastAsia="Arial Unicode MS" w:hAnsi="Book Antiqua" w:cs="Arial Unicode MS"/>
        </w:rPr>
        <w:t>microspheres</w:t>
      </w:r>
      <w:r w:rsidR="000C2C0F" w:rsidRPr="009418BF">
        <w:rPr>
          <w:rFonts w:ascii="Book Antiqua" w:eastAsia="Arial Unicode MS" w:hAnsi="Book Antiqua" w:cs="Arial Unicode MS"/>
        </w:rPr>
        <w:t xml:space="preserve"> smaller than 100 µm is not </w:t>
      </w:r>
      <w:r w:rsidR="00A26BD3" w:rsidRPr="009418BF">
        <w:rPr>
          <w:rFonts w:ascii="Book Antiqua" w:eastAsia="Arial Unicode MS" w:hAnsi="Book Antiqua" w:cs="Arial Unicode MS"/>
        </w:rPr>
        <w:t xml:space="preserve">common practice </w:t>
      </w:r>
      <w:r w:rsidR="000C2C0F" w:rsidRPr="009418BF">
        <w:rPr>
          <w:rFonts w:ascii="Book Antiqua" w:eastAsia="Arial Unicode MS" w:hAnsi="Book Antiqua" w:cs="Arial Unicode MS"/>
        </w:rPr>
        <w:t xml:space="preserve">in the </w:t>
      </w:r>
      <w:r w:rsidR="00A26BD3" w:rsidRPr="009418BF">
        <w:rPr>
          <w:rFonts w:ascii="Book Antiqua" w:eastAsia="Arial Unicode MS" w:hAnsi="Book Antiqua" w:cs="Arial Unicode MS"/>
        </w:rPr>
        <w:t>w</w:t>
      </w:r>
      <w:r w:rsidR="000C2C0F" w:rsidRPr="009418BF">
        <w:rPr>
          <w:rFonts w:ascii="Book Antiqua" w:eastAsia="Arial Unicode MS" w:hAnsi="Book Antiqua" w:cs="Arial Unicode MS"/>
        </w:rPr>
        <w:t>estern countries</w:t>
      </w:r>
      <w:r w:rsidR="00A26BD3" w:rsidRPr="009418BF">
        <w:rPr>
          <w:rFonts w:ascii="Book Antiqua" w:eastAsia="Arial Unicode MS" w:hAnsi="Book Antiqua" w:cs="Arial Unicode MS"/>
        </w:rPr>
        <w:t xml:space="preserve"> due to </w:t>
      </w:r>
      <w:r w:rsidR="000C2C0F" w:rsidRPr="009418BF">
        <w:rPr>
          <w:rFonts w:ascii="Book Antiqua" w:eastAsia="Arial Unicode MS" w:hAnsi="Book Antiqua" w:cs="Arial Unicode MS"/>
        </w:rPr>
        <w:t>s</w:t>
      </w:r>
      <w:r w:rsidR="00A26BD3" w:rsidRPr="009418BF">
        <w:rPr>
          <w:rFonts w:ascii="Book Antiqua" w:eastAsia="Arial Unicode MS" w:hAnsi="Book Antiqua" w:cs="Arial Unicode MS"/>
        </w:rPr>
        <w:t>k</w:t>
      </w:r>
      <w:r w:rsidR="000C2C0F" w:rsidRPr="009418BF">
        <w:rPr>
          <w:rFonts w:ascii="Book Antiqua" w:eastAsia="Arial Unicode MS" w:hAnsi="Book Antiqua" w:cs="Arial Unicode MS"/>
        </w:rPr>
        <w:t xml:space="preserve">epticism and fear of non-target embolization. </w:t>
      </w:r>
      <w:r w:rsidR="00A26BD3" w:rsidRPr="009418BF">
        <w:rPr>
          <w:rFonts w:ascii="Book Antiqua" w:eastAsia="Arial Unicode MS" w:hAnsi="Book Antiqua" w:cs="Arial Unicode MS"/>
        </w:rPr>
        <w:t xml:space="preserve">Our aim is to present </w:t>
      </w:r>
      <w:r w:rsidR="000C2C0F" w:rsidRPr="009418BF">
        <w:rPr>
          <w:rFonts w:ascii="Book Antiqua" w:eastAsia="Arial Unicode MS" w:hAnsi="Book Antiqua" w:cs="Arial Unicode MS"/>
        </w:rPr>
        <w:t xml:space="preserve">our </w:t>
      </w:r>
      <w:r w:rsidR="00A26BD3" w:rsidRPr="009418BF">
        <w:rPr>
          <w:rFonts w:ascii="Book Antiqua" w:eastAsia="Arial Unicode MS" w:hAnsi="Book Antiqua" w:cs="Arial Unicode MS"/>
        </w:rPr>
        <w:t>initial experiences when treating with smaller microspheres so we all can test the potential advantages inherent to them and evaluate the ef</w:t>
      </w:r>
      <w:r w:rsidR="000C2C0F" w:rsidRPr="009418BF">
        <w:rPr>
          <w:rFonts w:ascii="Book Antiqua" w:eastAsia="Arial Unicode MS" w:hAnsi="Book Antiqua" w:cs="Arial Unicode MS"/>
        </w:rPr>
        <w:t>fectiveness in the treatment of HCC nodules.</w:t>
      </w:r>
      <w:r w:rsidR="00ED71D5">
        <w:rPr>
          <w:rFonts w:ascii="Book Antiqua" w:eastAsia="Arial Unicode MS" w:hAnsi="Book Antiqua" w:cs="Arial Unicode MS"/>
        </w:rPr>
        <w:t xml:space="preserve"> </w:t>
      </w:r>
    </w:p>
    <w:p w:rsidR="009418BF" w:rsidRPr="009418BF" w:rsidRDefault="009418BF" w:rsidP="009418BF">
      <w:pPr>
        <w:spacing w:line="360" w:lineRule="auto"/>
        <w:jc w:val="both"/>
        <w:rPr>
          <w:rFonts w:ascii="Book Antiqua" w:hAnsi="Book Antiqua"/>
          <w:b/>
          <w:lang w:val="it-IT" w:eastAsia="zh-CN"/>
        </w:rPr>
      </w:pPr>
    </w:p>
    <w:p w:rsidR="009418BF" w:rsidRPr="009418BF" w:rsidRDefault="009418BF" w:rsidP="009418BF">
      <w:pPr>
        <w:spacing w:line="360" w:lineRule="auto"/>
        <w:jc w:val="both"/>
        <w:rPr>
          <w:rFonts w:ascii="Book Antiqua" w:hAnsi="Book Antiqua"/>
          <w:noProof/>
          <w:lang w:eastAsia="zh-CN"/>
        </w:rPr>
      </w:pPr>
      <w:r w:rsidRPr="009418BF">
        <w:rPr>
          <w:rFonts w:ascii="Book Antiqua" w:hAnsi="Book Antiqua"/>
          <w:lang w:val="it-IT"/>
        </w:rPr>
        <w:t>Greco</w:t>
      </w:r>
      <w:r w:rsidRPr="009418BF">
        <w:rPr>
          <w:rFonts w:ascii="Book Antiqua" w:hAnsi="Book Antiqua"/>
          <w:lang w:val="it-IT" w:eastAsia="zh-CN"/>
        </w:rPr>
        <w:t xml:space="preserve"> G</w:t>
      </w:r>
      <w:r w:rsidRPr="009418BF">
        <w:rPr>
          <w:rFonts w:ascii="Book Antiqua" w:hAnsi="Book Antiqua"/>
          <w:lang w:val="it-IT"/>
        </w:rPr>
        <w:t>, Cascella</w:t>
      </w:r>
      <w:r w:rsidRPr="009418BF">
        <w:rPr>
          <w:rFonts w:ascii="Book Antiqua" w:hAnsi="Book Antiqua"/>
          <w:lang w:val="it-IT" w:eastAsia="zh-CN"/>
        </w:rPr>
        <w:t xml:space="preserve"> T</w:t>
      </w:r>
      <w:r w:rsidRPr="009418BF">
        <w:rPr>
          <w:rFonts w:ascii="Book Antiqua" w:hAnsi="Book Antiqua"/>
          <w:lang w:val="it-IT"/>
        </w:rPr>
        <w:t>, Facciorusso</w:t>
      </w:r>
      <w:r w:rsidRPr="009418BF">
        <w:rPr>
          <w:rFonts w:ascii="Book Antiqua" w:hAnsi="Book Antiqua"/>
          <w:lang w:val="it-IT" w:eastAsia="zh-CN"/>
        </w:rPr>
        <w:t xml:space="preserve"> A</w:t>
      </w:r>
      <w:r w:rsidRPr="009418BF">
        <w:rPr>
          <w:rFonts w:ascii="Book Antiqua" w:hAnsi="Book Antiqua"/>
          <w:lang w:val="it-IT"/>
        </w:rPr>
        <w:t>, Nani</w:t>
      </w:r>
      <w:r w:rsidRPr="009418BF">
        <w:rPr>
          <w:rFonts w:ascii="Book Antiqua" w:hAnsi="Book Antiqua"/>
          <w:lang w:val="it-IT" w:eastAsia="zh-CN"/>
        </w:rPr>
        <w:t xml:space="preserve"> R</w:t>
      </w:r>
      <w:r w:rsidRPr="009418BF">
        <w:rPr>
          <w:rFonts w:ascii="Book Antiqua" w:hAnsi="Book Antiqua"/>
          <w:lang w:val="it-IT"/>
        </w:rPr>
        <w:t>, Lanocita</w:t>
      </w:r>
      <w:r w:rsidRPr="009418BF">
        <w:rPr>
          <w:rFonts w:ascii="Book Antiqua" w:hAnsi="Book Antiqua"/>
          <w:lang w:val="it-IT" w:eastAsia="zh-CN"/>
        </w:rPr>
        <w:t xml:space="preserve"> R</w:t>
      </w:r>
      <w:r w:rsidRPr="009418BF">
        <w:rPr>
          <w:rFonts w:ascii="Book Antiqua" w:hAnsi="Book Antiqua"/>
          <w:lang w:val="it-IT"/>
        </w:rPr>
        <w:t>,</w:t>
      </w:r>
      <w:r w:rsidRPr="009418BF">
        <w:rPr>
          <w:rFonts w:ascii="Book Antiqua" w:hAnsi="Book Antiqua"/>
          <w:vertAlign w:val="superscript"/>
          <w:lang w:val="it-IT"/>
        </w:rPr>
        <w:t xml:space="preserve"> </w:t>
      </w:r>
      <w:r w:rsidRPr="009418BF">
        <w:rPr>
          <w:rFonts w:ascii="Book Antiqua" w:hAnsi="Book Antiqua"/>
          <w:lang w:val="it-IT"/>
        </w:rPr>
        <w:t>Morosi</w:t>
      </w:r>
      <w:r w:rsidRPr="009418BF">
        <w:rPr>
          <w:rFonts w:ascii="Book Antiqua" w:hAnsi="Book Antiqua"/>
          <w:lang w:val="it-IT" w:eastAsia="zh-CN"/>
        </w:rPr>
        <w:t xml:space="preserve"> C</w:t>
      </w:r>
      <w:r w:rsidRPr="009418BF">
        <w:rPr>
          <w:rFonts w:ascii="Book Antiqua" w:hAnsi="Book Antiqua"/>
          <w:lang w:val="it-IT"/>
        </w:rPr>
        <w:t>, Vaiani</w:t>
      </w:r>
      <w:r w:rsidRPr="009418BF">
        <w:rPr>
          <w:rFonts w:ascii="Book Antiqua" w:hAnsi="Book Antiqua"/>
          <w:lang w:val="it-IT" w:eastAsia="zh-CN"/>
        </w:rPr>
        <w:t xml:space="preserve"> M</w:t>
      </w:r>
      <w:r w:rsidRPr="009418BF">
        <w:rPr>
          <w:rFonts w:ascii="Book Antiqua" w:hAnsi="Book Antiqua"/>
          <w:lang w:val="it-IT"/>
        </w:rPr>
        <w:t>, Calareso</w:t>
      </w:r>
      <w:r w:rsidRPr="009418BF">
        <w:rPr>
          <w:rFonts w:ascii="Book Antiqua" w:hAnsi="Book Antiqua"/>
          <w:lang w:val="it-IT" w:eastAsia="zh-CN"/>
        </w:rPr>
        <w:t xml:space="preserve"> G</w:t>
      </w:r>
      <w:r w:rsidRPr="009418BF">
        <w:rPr>
          <w:rFonts w:ascii="Book Antiqua" w:hAnsi="Book Antiqua"/>
          <w:lang w:val="it-IT"/>
        </w:rPr>
        <w:t>, Greco</w:t>
      </w:r>
      <w:r w:rsidRPr="009418BF">
        <w:rPr>
          <w:rFonts w:ascii="Book Antiqua" w:hAnsi="Book Antiqua"/>
          <w:lang w:val="it-IT" w:eastAsia="zh-CN"/>
        </w:rPr>
        <w:t xml:space="preserve"> FG</w:t>
      </w:r>
      <w:r w:rsidRPr="009418BF">
        <w:rPr>
          <w:rFonts w:ascii="Book Antiqua" w:hAnsi="Book Antiqua"/>
          <w:lang w:val="it-IT"/>
        </w:rPr>
        <w:t>, Ragnanese</w:t>
      </w:r>
      <w:r w:rsidRPr="009418BF">
        <w:rPr>
          <w:rFonts w:ascii="Book Antiqua" w:hAnsi="Book Antiqua"/>
          <w:lang w:val="it-IT" w:eastAsia="zh-CN"/>
        </w:rPr>
        <w:t xml:space="preserve"> A</w:t>
      </w:r>
      <w:r w:rsidRPr="009418BF">
        <w:rPr>
          <w:rFonts w:ascii="Book Antiqua" w:hAnsi="Book Antiqua"/>
          <w:lang w:val="it-IT"/>
        </w:rPr>
        <w:t>, Bongini</w:t>
      </w:r>
      <w:r w:rsidRPr="009418BF">
        <w:rPr>
          <w:rFonts w:ascii="Book Antiqua" w:hAnsi="Book Antiqua"/>
          <w:lang w:val="it-IT" w:eastAsia="zh-CN"/>
        </w:rPr>
        <w:t xml:space="preserve"> MA</w:t>
      </w:r>
      <w:r w:rsidRPr="009418BF">
        <w:rPr>
          <w:rFonts w:ascii="Book Antiqua" w:hAnsi="Book Antiqua"/>
          <w:lang w:val="it-IT"/>
        </w:rPr>
        <w:t>, Marchianò</w:t>
      </w:r>
      <w:r w:rsidRPr="009418BF">
        <w:rPr>
          <w:rFonts w:ascii="Book Antiqua" w:hAnsi="Book Antiqua"/>
          <w:lang w:val="it-IT" w:eastAsia="zh-CN"/>
        </w:rPr>
        <w:t xml:space="preserve"> AV</w:t>
      </w:r>
      <w:r w:rsidRPr="009418BF">
        <w:rPr>
          <w:rFonts w:ascii="Book Antiqua" w:hAnsi="Book Antiqua"/>
          <w:lang w:val="it-IT"/>
        </w:rPr>
        <w:t>, Mazzaferro</w:t>
      </w:r>
      <w:r w:rsidRPr="009418BF">
        <w:rPr>
          <w:rFonts w:ascii="Book Antiqua" w:hAnsi="Book Antiqua"/>
          <w:lang w:val="it-IT" w:eastAsia="zh-CN"/>
        </w:rPr>
        <w:t xml:space="preserve"> V</w:t>
      </w:r>
      <w:r w:rsidRPr="009418BF">
        <w:rPr>
          <w:rFonts w:ascii="Book Antiqua" w:hAnsi="Book Antiqua"/>
          <w:lang w:val="it-IT"/>
        </w:rPr>
        <w:t>, Spreafico</w:t>
      </w:r>
      <w:r w:rsidRPr="009418BF">
        <w:rPr>
          <w:rFonts w:ascii="Book Antiqua" w:hAnsi="Book Antiqua"/>
          <w:lang w:val="it-IT" w:eastAsia="zh-CN"/>
        </w:rPr>
        <w:t xml:space="preserve"> C.</w:t>
      </w:r>
      <w:r w:rsidRPr="009418BF">
        <w:rPr>
          <w:rFonts w:ascii="Book Antiqua" w:hAnsi="Book Antiqua"/>
          <w:noProof/>
        </w:rPr>
        <w:t xml:space="preserve"> Transarterial chemoembolization using 40 µm drug eluting beads for hepatocellular carcinoma</w:t>
      </w:r>
      <w:r w:rsidRPr="009418BF">
        <w:rPr>
          <w:rFonts w:ascii="Book Antiqua" w:hAnsi="Book Antiqua"/>
          <w:noProof/>
          <w:lang w:eastAsia="zh-CN"/>
        </w:rPr>
        <w:t>.</w:t>
      </w:r>
      <w:r w:rsidRPr="009418BF">
        <w:rPr>
          <w:rFonts w:ascii="Book Antiqua" w:hAnsi="Book Antiqua"/>
          <w:i/>
          <w:iCs/>
        </w:rPr>
        <w:t xml:space="preserve"> World J </w:t>
      </w:r>
      <w:proofErr w:type="spellStart"/>
      <w:r w:rsidRPr="009418BF">
        <w:rPr>
          <w:rFonts w:ascii="Book Antiqua" w:hAnsi="Book Antiqua"/>
          <w:i/>
          <w:iCs/>
        </w:rPr>
        <w:t>Radiol</w:t>
      </w:r>
      <w:proofErr w:type="spellEnd"/>
      <w:r w:rsidRPr="009418BF">
        <w:rPr>
          <w:rFonts w:ascii="Book Antiqua" w:hAnsi="Book Antiqua"/>
          <w:i/>
          <w:iCs/>
          <w:lang w:eastAsia="zh-CN"/>
        </w:rPr>
        <w:t xml:space="preserve"> </w:t>
      </w:r>
      <w:r w:rsidRPr="009418BF">
        <w:rPr>
          <w:rFonts w:ascii="Book Antiqua" w:hAnsi="Book Antiqua"/>
          <w:iCs/>
          <w:lang w:eastAsia="zh-CN"/>
        </w:rPr>
        <w:t xml:space="preserve">2017; </w:t>
      </w:r>
      <w:proofErr w:type="gramStart"/>
      <w:r w:rsidRPr="009418BF">
        <w:rPr>
          <w:rFonts w:ascii="Book Antiqua" w:hAnsi="Book Antiqua"/>
          <w:iCs/>
          <w:lang w:eastAsia="zh-CN"/>
        </w:rPr>
        <w:t>In</w:t>
      </w:r>
      <w:proofErr w:type="gramEnd"/>
      <w:r w:rsidRPr="009418BF">
        <w:rPr>
          <w:rFonts w:ascii="Book Antiqua" w:hAnsi="Book Antiqua"/>
          <w:iCs/>
          <w:lang w:eastAsia="zh-CN"/>
        </w:rPr>
        <w:t xml:space="preserve"> press</w:t>
      </w:r>
    </w:p>
    <w:p w:rsidR="009418BF" w:rsidRPr="009418BF" w:rsidRDefault="009418BF" w:rsidP="009418BF">
      <w:pPr>
        <w:spacing w:line="360" w:lineRule="auto"/>
        <w:jc w:val="both"/>
        <w:rPr>
          <w:rFonts w:ascii="Book Antiqua" w:hAnsi="Book Antiqua"/>
          <w:b/>
          <w:lang w:eastAsia="zh-CN"/>
        </w:rPr>
      </w:pPr>
      <w:r w:rsidRPr="009418BF">
        <w:rPr>
          <w:rFonts w:ascii="Book Antiqua" w:hAnsi="Book Antiqua"/>
          <w:b/>
          <w:lang w:eastAsia="zh-CN"/>
        </w:rPr>
        <w:br w:type="page"/>
      </w:r>
    </w:p>
    <w:p w:rsidR="009C4694" w:rsidRPr="009418BF" w:rsidRDefault="009418BF" w:rsidP="009418BF">
      <w:pPr>
        <w:spacing w:line="360" w:lineRule="auto"/>
        <w:jc w:val="both"/>
        <w:rPr>
          <w:rFonts w:ascii="Book Antiqua" w:hAnsi="Book Antiqua"/>
          <w:lang w:eastAsia="zh-CN"/>
        </w:rPr>
      </w:pPr>
      <w:r w:rsidRPr="009418BF">
        <w:rPr>
          <w:rFonts w:ascii="Book Antiqua" w:hAnsi="Book Antiqua"/>
          <w:b/>
        </w:rPr>
        <w:lastRenderedPageBreak/>
        <w:t>INTRODUCTION</w:t>
      </w:r>
    </w:p>
    <w:p w:rsidR="00ED71D5" w:rsidRDefault="009C4694" w:rsidP="009418BF">
      <w:pPr>
        <w:spacing w:line="360" w:lineRule="auto"/>
        <w:jc w:val="both"/>
        <w:rPr>
          <w:rFonts w:ascii="Book Antiqua" w:hAnsi="Book Antiqua"/>
          <w:lang w:eastAsia="zh-CN"/>
        </w:rPr>
      </w:pPr>
      <w:proofErr w:type="spellStart"/>
      <w:r w:rsidRPr="009418BF">
        <w:rPr>
          <w:rFonts w:ascii="Book Antiqua" w:hAnsi="Book Antiqua"/>
        </w:rPr>
        <w:t>Transarterial</w:t>
      </w:r>
      <w:proofErr w:type="spellEnd"/>
      <w:r w:rsidRPr="009418BF">
        <w:rPr>
          <w:rFonts w:ascii="Book Antiqua" w:hAnsi="Book Antiqua"/>
        </w:rPr>
        <w:t xml:space="preserve"> </w:t>
      </w:r>
      <w:r w:rsidR="00E87CA5" w:rsidRPr="009418BF">
        <w:rPr>
          <w:rFonts w:ascii="Book Antiqua" w:hAnsi="Book Antiqua"/>
        </w:rPr>
        <w:t>c</w:t>
      </w:r>
      <w:r w:rsidRPr="009418BF">
        <w:rPr>
          <w:rFonts w:ascii="Book Antiqua" w:hAnsi="Book Antiqua"/>
        </w:rPr>
        <w:t>hemo</w:t>
      </w:r>
      <w:r w:rsidR="00E87CA5" w:rsidRPr="009418BF">
        <w:rPr>
          <w:rFonts w:ascii="Book Antiqua" w:hAnsi="Book Antiqua"/>
        </w:rPr>
        <w:t>e</w:t>
      </w:r>
      <w:r w:rsidRPr="009418BF">
        <w:rPr>
          <w:rFonts w:ascii="Book Antiqua" w:hAnsi="Book Antiqua"/>
        </w:rPr>
        <w:t>mbolization (TACE) is the current standard of care for hepatocellular carcinoma (HCC) in patients with multinodular disease, classified as interm</w:t>
      </w:r>
      <w:r w:rsidR="0056287F" w:rsidRPr="009418BF">
        <w:rPr>
          <w:rFonts w:ascii="Book Antiqua" w:hAnsi="Book Antiqua"/>
        </w:rPr>
        <w:t>ediate stage (stage B)</w:t>
      </w:r>
      <w:r w:rsidRPr="009418BF">
        <w:rPr>
          <w:rFonts w:ascii="Book Antiqua" w:hAnsi="Book Antiqua"/>
        </w:rPr>
        <w:t xml:space="preserve"> </w:t>
      </w:r>
      <w:r w:rsidR="00E87CA5" w:rsidRPr="009418BF">
        <w:rPr>
          <w:rFonts w:ascii="Book Antiqua" w:hAnsi="Book Antiqua"/>
        </w:rPr>
        <w:t xml:space="preserve">of the </w:t>
      </w:r>
      <w:r w:rsidRPr="009418BF">
        <w:rPr>
          <w:rFonts w:ascii="Book Antiqua" w:hAnsi="Book Antiqua"/>
        </w:rPr>
        <w:t xml:space="preserve">Barcelona Clinic Liver Cancer (BCLC) </w:t>
      </w:r>
      <w:r w:rsidR="00E87CA5" w:rsidRPr="009418BF">
        <w:rPr>
          <w:rFonts w:ascii="Book Antiqua" w:hAnsi="Book Antiqua"/>
        </w:rPr>
        <w:t>s</w:t>
      </w:r>
      <w:r w:rsidRPr="009418BF">
        <w:rPr>
          <w:rFonts w:ascii="Book Antiqua" w:hAnsi="Book Antiqua"/>
        </w:rPr>
        <w:t xml:space="preserve">taging </w:t>
      </w:r>
      <w:proofErr w:type="gramStart"/>
      <w:r w:rsidR="00E87CA5" w:rsidRPr="009418BF">
        <w:rPr>
          <w:rFonts w:ascii="Book Antiqua" w:hAnsi="Book Antiqua"/>
        </w:rPr>
        <w:t>s</w:t>
      </w:r>
      <w:r w:rsidRPr="009418BF">
        <w:rPr>
          <w:rFonts w:ascii="Book Antiqua" w:hAnsi="Book Antiqua"/>
        </w:rPr>
        <w:t>ystem</w:t>
      </w:r>
      <w:r w:rsidR="0024573F" w:rsidRPr="009418BF">
        <w:rPr>
          <w:rFonts w:ascii="Book Antiqua" w:hAnsi="Book Antiqua"/>
          <w:vertAlign w:val="superscript"/>
        </w:rPr>
        <w:t>[</w:t>
      </w:r>
      <w:proofErr w:type="gramEnd"/>
      <w:r w:rsidRPr="009418BF">
        <w:rPr>
          <w:rFonts w:ascii="Book Antiqua" w:hAnsi="Book Antiqua"/>
          <w:vertAlign w:val="superscript"/>
        </w:rPr>
        <w:t>1</w:t>
      </w:r>
      <w:r w:rsidR="0024573F" w:rsidRPr="009418BF">
        <w:rPr>
          <w:rFonts w:ascii="Book Antiqua" w:hAnsi="Book Antiqua"/>
          <w:vertAlign w:val="superscript"/>
        </w:rPr>
        <w:t>]</w:t>
      </w:r>
      <w:r w:rsidRPr="009418BF">
        <w:rPr>
          <w:rFonts w:ascii="Book Antiqua" w:hAnsi="Book Antiqua"/>
        </w:rPr>
        <w:t xml:space="preserve">. Furthermore, in clinical practice, a number of patients </w:t>
      </w:r>
      <w:r w:rsidR="007E5C4A" w:rsidRPr="009418BF">
        <w:rPr>
          <w:rFonts w:ascii="Book Antiqua" w:hAnsi="Book Antiqua"/>
        </w:rPr>
        <w:t>with</w:t>
      </w:r>
      <w:r w:rsidRPr="009418BF">
        <w:rPr>
          <w:rFonts w:ascii="Book Antiqua" w:hAnsi="Book Antiqua"/>
        </w:rPr>
        <w:t xml:space="preserve"> early stage (stage A)</w:t>
      </w:r>
      <w:r w:rsidR="007E5C4A" w:rsidRPr="009418BF">
        <w:rPr>
          <w:rFonts w:ascii="Book Antiqua" w:hAnsi="Book Antiqua"/>
        </w:rPr>
        <w:t xml:space="preserve"> disease,</w:t>
      </w:r>
      <w:r w:rsidRPr="009418BF">
        <w:rPr>
          <w:rFonts w:ascii="Book Antiqua" w:hAnsi="Book Antiqua"/>
        </w:rPr>
        <w:t xml:space="preserve"> not eligible for curative treatment (surgery, transplantation or ablati</w:t>
      </w:r>
      <w:r w:rsidR="007E5C4A" w:rsidRPr="009418BF">
        <w:rPr>
          <w:rFonts w:ascii="Book Antiqua" w:hAnsi="Book Antiqua"/>
        </w:rPr>
        <w:t>on</w:t>
      </w:r>
      <w:r w:rsidRPr="009418BF">
        <w:rPr>
          <w:rFonts w:ascii="Book Antiqua" w:hAnsi="Book Antiqua"/>
        </w:rPr>
        <w:t xml:space="preserve">) are commonly treated with </w:t>
      </w:r>
      <w:proofErr w:type="gramStart"/>
      <w:r w:rsidRPr="009418BF">
        <w:rPr>
          <w:rFonts w:ascii="Book Antiqua" w:hAnsi="Book Antiqua"/>
        </w:rPr>
        <w:t>TACE</w:t>
      </w:r>
      <w:r w:rsidR="0024573F" w:rsidRPr="009418BF">
        <w:rPr>
          <w:rFonts w:ascii="Book Antiqua" w:hAnsi="Book Antiqua"/>
          <w:vertAlign w:val="superscript"/>
        </w:rPr>
        <w:t>[</w:t>
      </w:r>
      <w:proofErr w:type="gramEnd"/>
      <w:r w:rsidRPr="009418BF">
        <w:rPr>
          <w:rFonts w:ascii="Book Antiqua" w:hAnsi="Book Antiqua"/>
          <w:vertAlign w:val="superscript"/>
        </w:rPr>
        <w:t>2,3</w:t>
      </w:r>
      <w:r w:rsidR="0024573F" w:rsidRPr="009418BF">
        <w:rPr>
          <w:rFonts w:ascii="Book Antiqua" w:hAnsi="Book Antiqua"/>
          <w:vertAlign w:val="superscript"/>
        </w:rPr>
        <w:t>]</w:t>
      </w:r>
      <w:r w:rsidRPr="009418BF">
        <w:rPr>
          <w:rFonts w:ascii="Book Antiqua" w:hAnsi="Book Antiqua"/>
        </w:rPr>
        <w:t>.</w:t>
      </w:r>
      <w:r w:rsidR="00ED71D5">
        <w:rPr>
          <w:rFonts w:ascii="Book Antiqua" w:hAnsi="Book Antiqua"/>
        </w:rPr>
        <w:t xml:space="preserve"> </w:t>
      </w:r>
    </w:p>
    <w:p w:rsidR="009C4694" w:rsidRPr="009418BF" w:rsidRDefault="009C4694" w:rsidP="00ED71D5">
      <w:pPr>
        <w:spacing w:line="360" w:lineRule="auto"/>
        <w:ind w:firstLineChars="100" w:firstLine="240"/>
        <w:jc w:val="both"/>
        <w:rPr>
          <w:rFonts w:ascii="Book Antiqua" w:hAnsi="Book Antiqua"/>
        </w:rPr>
      </w:pPr>
      <w:r w:rsidRPr="009418BF">
        <w:rPr>
          <w:rFonts w:ascii="Book Antiqua" w:hAnsi="Book Antiqua"/>
        </w:rPr>
        <w:t>Conventional TACE (c</w:t>
      </w:r>
      <w:r w:rsidR="0007337E" w:rsidRPr="009418BF">
        <w:rPr>
          <w:rFonts w:ascii="Book Antiqua" w:hAnsi="Book Antiqua"/>
        </w:rPr>
        <w:t>-</w:t>
      </w:r>
      <w:r w:rsidRPr="009418BF">
        <w:rPr>
          <w:rFonts w:ascii="Book Antiqua" w:hAnsi="Book Antiqua"/>
        </w:rPr>
        <w:t>TACE) has shown superiority over basic support</w:t>
      </w:r>
      <w:r w:rsidR="000D6D9C" w:rsidRPr="009418BF">
        <w:rPr>
          <w:rFonts w:ascii="Book Antiqua" w:hAnsi="Book Antiqua"/>
        </w:rPr>
        <w:t>ive</w:t>
      </w:r>
      <w:r w:rsidRPr="009418BF">
        <w:rPr>
          <w:rFonts w:ascii="Book Antiqua" w:hAnsi="Book Antiqua"/>
        </w:rPr>
        <w:t xml:space="preserve"> care in unresectable HCC in two randomised studies published in the early 2000s</w:t>
      </w:r>
      <w:r w:rsidR="0024573F" w:rsidRPr="009418BF">
        <w:rPr>
          <w:rFonts w:ascii="Book Antiqua" w:hAnsi="Book Antiqua"/>
          <w:vertAlign w:val="superscript"/>
        </w:rPr>
        <w:t>[</w:t>
      </w:r>
      <w:r w:rsidRPr="009418BF">
        <w:rPr>
          <w:rFonts w:ascii="Book Antiqua" w:hAnsi="Book Antiqua"/>
          <w:vertAlign w:val="superscript"/>
        </w:rPr>
        <w:t>4,5</w:t>
      </w:r>
      <w:r w:rsidR="0024573F" w:rsidRPr="009418BF">
        <w:rPr>
          <w:rFonts w:ascii="Book Antiqua" w:hAnsi="Book Antiqua"/>
          <w:vertAlign w:val="superscript"/>
        </w:rPr>
        <w:t>]</w:t>
      </w:r>
      <w:r w:rsidRPr="009418BF">
        <w:rPr>
          <w:rFonts w:ascii="Book Antiqua" w:hAnsi="Book Antiqua"/>
        </w:rPr>
        <w:t xml:space="preserve"> and in a meta-analysis published in 2003</w:t>
      </w:r>
      <w:r w:rsidR="0024573F" w:rsidRPr="009418BF">
        <w:rPr>
          <w:rFonts w:ascii="Book Antiqua" w:hAnsi="Book Antiqua"/>
          <w:vertAlign w:val="superscript"/>
        </w:rPr>
        <w:t>[</w:t>
      </w:r>
      <w:r w:rsidRPr="009418BF">
        <w:rPr>
          <w:rFonts w:ascii="Book Antiqua" w:hAnsi="Book Antiqua"/>
          <w:vertAlign w:val="superscript"/>
        </w:rPr>
        <w:t>6</w:t>
      </w:r>
      <w:r w:rsidR="0024573F" w:rsidRPr="009418BF">
        <w:rPr>
          <w:rFonts w:ascii="Book Antiqua" w:hAnsi="Book Antiqua"/>
          <w:vertAlign w:val="superscript"/>
        </w:rPr>
        <w:t>]</w:t>
      </w:r>
      <w:r w:rsidRPr="009418BF">
        <w:rPr>
          <w:rFonts w:ascii="Book Antiqua" w:hAnsi="Book Antiqua"/>
        </w:rPr>
        <w:t>.</w:t>
      </w:r>
    </w:p>
    <w:p w:rsidR="009C4694" w:rsidRPr="009418BF" w:rsidRDefault="007E5C4A" w:rsidP="00ED71D5">
      <w:pPr>
        <w:spacing w:line="360" w:lineRule="auto"/>
        <w:ind w:firstLineChars="100" w:firstLine="240"/>
        <w:jc w:val="both"/>
        <w:rPr>
          <w:rFonts w:ascii="Book Antiqua" w:hAnsi="Book Antiqua"/>
        </w:rPr>
      </w:pPr>
      <w:r w:rsidRPr="009418BF">
        <w:rPr>
          <w:rFonts w:ascii="Book Antiqua" w:hAnsi="Book Antiqua"/>
        </w:rPr>
        <w:t>Recently developed d</w:t>
      </w:r>
      <w:r w:rsidR="009C4694" w:rsidRPr="009418BF">
        <w:rPr>
          <w:rFonts w:ascii="Book Antiqua" w:hAnsi="Book Antiqua"/>
        </w:rPr>
        <w:t xml:space="preserve">rug eluting beads (DEB) have </w:t>
      </w:r>
      <w:r w:rsidRPr="009418BF">
        <w:rPr>
          <w:rFonts w:ascii="Book Antiqua" w:hAnsi="Book Antiqua"/>
        </w:rPr>
        <w:t xml:space="preserve">the ability to bind and carry up to double the doxorubicin </w:t>
      </w:r>
      <w:proofErr w:type="gramStart"/>
      <w:r w:rsidRPr="009418BF">
        <w:rPr>
          <w:rFonts w:ascii="Book Antiqua" w:hAnsi="Book Antiqua"/>
        </w:rPr>
        <w:t>dose</w:t>
      </w:r>
      <w:r w:rsidR="0024573F" w:rsidRPr="009418BF">
        <w:rPr>
          <w:rFonts w:ascii="Book Antiqua" w:hAnsi="Book Antiqua"/>
          <w:vertAlign w:val="superscript"/>
        </w:rPr>
        <w:t>[</w:t>
      </w:r>
      <w:proofErr w:type="gramEnd"/>
      <w:r w:rsidR="00ED71D5">
        <w:rPr>
          <w:rFonts w:ascii="Book Antiqua" w:hAnsi="Book Antiqua"/>
          <w:vertAlign w:val="superscript"/>
        </w:rPr>
        <w:t>7,</w:t>
      </w:r>
      <w:r w:rsidR="009C4694" w:rsidRPr="009418BF">
        <w:rPr>
          <w:rFonts w:ascii="Book Antiqua" w:hAnsi="Book Antiqua"/>
          <w:vertAlign w:val="superscript"/>
        </w:rPr>
        <w:t>8</w:t>
      </w:r>
      <w:r w:rsidR="0024573F" w:rsidRPr="009418BF">
        <w:rPr>
          <w:rFonts w:ascii="Book Antiqua" w:hAnsi="Book Antiqua"/>
          <w:vertAlign w:val="superscript"/>
        </w:rPr>
        <w:t>]</w:t>
      </w:r>
      <w:r w:rsidR="009C4694" w:rsidRPr="009418BF">
        <w:rPr>
          <w:rFonts w:ascii="Book Antiqua" w:hAnsi="Book Antiqua"/>
        </w:rPr>
        <w:t xml:space="preserve"> </w:t>
      </w:r>
      <w:r w:rsidRPr="009418BF">
        <w:rPr>
          <w:rFonts w:ascii="Book Antiqua" w:hAnsi="Book Antiqua"/>
        </w:rPr>
        <w:t>thus</w:t>
      </w:r>
      <w:r w:rsidR="009C4694" w:rsidRPr="009418BF">
        <w:rPr>
          <w:rFonts w:ascii="Book Antiqua" w:hAnsi="Book Antiqua"/>
        </w:rPr>
        <w:t xml:space="preserve"> overcom</w:t>
      </w:r>
      <w:r w:rsidRPr="009418BF">
        <w:rPr>
          <w:rFonts w:ascii="Book Antiqua" w:hAnsi="Book Antiqua"/>
        </w:rPr>
        <w:t>ing</w:t>
      </w:r>
      <w:r w:rsidR="009C4694" w:rsidRPr="009418BF">
        <w:rPr>
          <w:rFonts w:ascii="Book Antiqua" w:hAnsi="Book Antiqua"/>
        </w:rPr>
        <w:t xml:space="preserve"> the common drawbacks of c</w:t>
      </w:r>
      <w:r w:rsidRPr="009418BF">
        <w:rPr>
          <w:rFonts w:ascii="Book Antiqua" w:hAnsi="Book Antiqua"/>
        </w:rPr>
        <w:t>-</w:t>
      </w:r>
      <w:r w:rsidR="009C4694" w:rsidRPr="009418BF">
        <w:rPr>
          <w:rFonts w:ascii="Book Antiqua" w:hAnsi="Book Antiqua"/>
        </w:rPr>
        <w:t>TACE</w:t>
      </w:r>
      <w:r w:rsidR="003F78B9" w:rsidRPr="009418BF">
        <w:rPr>
          <w:rFonts w:ascii="Book Antiqua" w:hAnsi="Book Antiqua"/>
        </w:rPr>
        <w:t xml:space="preserve"> such as</w:t>
      </w:r>
      <w:r w:rsidR="009C4694" w:rsidRPr="009418BF">
        <w:rPr>
          <w:rFonts w:ascii="Book Antiqua" w:hAnsi="Book Antiqua"/>
        </w:rPr>
        <w:t xml:space="preserve"> the release of the chemotherapeutic agent into </w:t>
      </w:r>
      <w:r w:rsidR="0056287F" w:rsidRPr="009418BF">
        <w:rPr>
          <w:rFonts w:ascii="Book Antiqua" w:hAnsi="Book Antiqua"/>
        </w:rPr>
        <w:t xml:space="preserve">the </w:t>
      </w:r>
      <w:r w:rsidR="009C4694" w:rsidRPr="009418BF">
        <w:rPr>
          <w:rFonts w:ascii="Book Antiqua" w:hAnsi="Book Antiqua"/>
        </w:rPr>
        <w:t xml:space="preserve">systemic circulation. </w:t>
      </w:r>
    </w:p>
    <w:p w:rsidR="009C4694" w:rsidRPr="009418BF" w:rsidRDefault="009C4694" w:rsidP="00ED71D5">
      <w:pPr>
        <w:spacing w:line="360" w:lineRule="auto"/>
        <w:ind w:firstLineChars="100" w:firstLine="240"/>
        <w:jc w:val="both"/>
        <w:rPr>
          <w:rFonts w:ascii="Book Antiqua" w:hAnsi="Book Antiqua"/>
        </w:rPr>
      </w:pPr>
      <w:r w:rsidRPr="009418BF">
        <w:rPr>
          <w:rFonts w:ascii="Book Antiqua" w:hAnsi="Book Antiqua"/>
        </w:rPr>
        <w:t xml:space="preserve">DEB-TACE superiority over c-TACE or TACE superiority over </w:t>
      </w:r>
      <w:r w:rsidR="007E5C4A" w:rsidRPr="009418BF">
        <w:rPr>
          <w:rFonts w:ascii="Book Antiqua" w:hAnsi="Book Antiqua"/>
        </w:rPr>
        <w:t>t</w:t>
      </w:r>
      <w:r w:rsidRPr="009418BF">
        <w:rPr>
          <w:rFonts w:ascii="Book Antiqua" w:hAnsi="Book Antiqua"/>
        </w:rPr>
        <w:t>rans</w:t>
      </w:r>
      <w:r w:rsidR="007E5C4A" w:rsidRPr="009418BF">
        <w:rPr>
          <w:rFonts w:ascii="Book Antiqua" w:hAnsi="Book Antiqua"/>
        </w:rPr>
        <w:t>a</w:t>
      </w:r>
      <w:r w:rsidRPr="009418BF">
        <w:rPr>
          <w:rFonts w:ascii="Book Antiqua" w:hAnsi="Book Antiqua"/>
        </w:rPr>
        <w:t xml:space="preserve">rterial </w:t>
      </w:r>
      <w:r w:rsidR="007E5C4A" w:rsidRPr="009418BF">
        <w:rPr>
          <w:rFonts w:ascii="Book Antiqua" w:hAnsi="Book Antiqua"/>
        </w:rPr>
        <w:t>e</w:t>
      </w:r>
      <w:r w:rsidRPr="009418BF">
        <w:rPr>
          <w:rFonts w:ascii="Book Antiqua" w:hAnsi="Book Antiqua"/>
        </w:rPr>
        <w:t>mbolization</w:t>
      </w:r>
      <w:r w:rsidR="007E5C4A" w:rsidRPr="009418BF">
        <w:rPr>
          <w:rFonts w:ascii="Book Antiqua" w:hAnsi="Book Antiqua"/>
        </w:rPr>
        <w:t xml:space="preserve"> (TAE) has not been proven in recent </w:t>
      </w:r>
      <w:proofErr w:type="gramStart"/>
      <w:r w:rsidR="007E5C4A" w:rsidRPr="009418BF">
        <w:rPr>
          <w:rFonts w:ascii="Book Antiqua" w:hAnsi="Book Antiqua"/>
        </w:rPr>
        <w:t>studies</w:t>
      </w:r>
      <w:r w:rsidR="007E5C4A" w:rsidRPr="009418BF">
        <w:rPr>
          <w:rFonts w:ascii="Book Antiqua" w:hAnsi="Book Antiqua"/>
          <w:vertAlign w:val="superscript"/>
        </w:rPr>
        <w:t>[</w:t>
      </w:r>
      <w:proofErr w:type="gramEnd"/>
      <w:r w:rsidR="007E5C4A" w:rsidRPr="009418BF">
        <w:rPr>
          <w:rFonts w:ascii="Book Antiqua" w:hAnsi="Book Antiqua"/>
          <w:vertAlign w:val="superscript"/>
        </w:rPr>
        <w:t>9,10]</w:t>
      </w:r>
      <w:r w:rsidRPr="009418BF">
        <w:rPr>
          <w:rFonts w:ascii="Book Antiqua" w:hAnsi="Book Antiqua"/>
        </w:rPr>
        <w:t xml:space="preserve"> both in terms of survival and as objective response to treatment</w:t>
      </w:r>
      <w:r w:rsidR="007E5C4A" w:rsidRPr="009418BF">
        <w:rPr>
          <w:rFonts w:ascii="Book Antiqua" w:hAnsi="Book Antiqua"/>
        </w:rPr>
        <w:t>.</w:t>
      </w:r>
      <w:r w:rsidRPr="009418BF">
        <w:rPr>
          <w:rFonts w:ascii="Book Antiqua" w:hAnsi="Book Antiqua"/>
        </w:rPr>
        <w:t xml:space="preserve"> These new </w:t>
      </w:r>
      <w:r w:rsidR="007E5C4A" w:rsidRPr="009418BF">
        <w:rPr>
          <w:rFonts w:ascii="Book Antiqua" w:hAnsi="Book Antiqua"/>
        </w:rPr>
        <w:t>microspheres</w:t>
      </w:r>
      <w:r w:rsidRPr="009418BF">
        <w:rPr>
          <w:rFonts w:ascii="Book Antiqua" w:hAnsi="Book Antiqua"/>
        </w:rPr>
        <w:t xml:space="preserve"> have ensured a reduction in the systemic concentration of the</w:t>
      </w:r>
      <w:r w:rsidR="00ED71D5">
        <w:rPr>
          <w:rFonts w:ascii="Book Antiqua" w:hAnsi="Book Antiqua"/>
        </w:rPr>
        <w:t xml:space="preserve"> </w:t>
      </w:r>
      <w:r w:rsidR="00B86873" w:rsidRPr="009418BF">
        <w:rPr>
          <w:rFonts w:ascii="Book Antiqua" w:hAnsi="Book Antiqua"/>
        </w:rPr>
        <w:t>loaded</w:t>
      </w:r>
      <w:r w:rsidRPr="009418BF">
        <w:rPr>
          <w:rFonts w:ascii="Book Antiqua" w:hAnsi="Book Antiqua"/>
        </w:rPr>
        <w:t xml:space="preserve"> chemotherapeutic agent, with a lower rate of post-procedural toxicity compared to c</w:t>
      </w:r>
      <w:r w:rsidR="00103BB3" w:rsidRPr="009418BF">
        <w:rPr>
          <w:rFonts w:ascii="Book Antiqua" w:hAnsi="Book Antiqua"/>
        </w:rPr>
        <w:t>-</w:t>
      </w:r>
      <w:proofErr w:type="gramStart"/>
      <w:r w:rsidRPr="009418BF">
        <w:rPr>
          <w:rFonts w:ascii="Book Antiqua" w:hAnsi="Book Antiqua"/>
        </w:rPr>
        <w:t>TACE</w:t>
      </w:r>
      <w:r w:rsidR="0024573F" w:rsidRPr="009418BF">
        <w:rPr>
          <w:rFonts w:ascii="Book Antiqua" w:hAnsi="Book Antiqua"/>
          <w:vertAlign w:val="superscript"/>
        </w:rPr>
        <w:t>[</w:t>
      </w:r>
      <w:proofErr w:type="gramEnd"/>
      <w:r w:rsidRPr="009418BF">
        <w:rPr>
          <w:rFonts w:ascii="Book Antiqua" w:hAnsi="Book Antiqua"/>
          <w:vertAlign w:val="superscript"/>
        </w:rPr>
        <w:t>11</w:t>
      </w:r>
      <w:r w:rsidR="00F7287B" w:rsidRPr="009418BF">
        <w:rPr>
          <w:rFonts w:ascii="Book Antiqua" w:hAnsi="Book Antiqua"/>
          <w:vertAlign w:val="superscript"/>
        </w:rPr>
        <w:t>-13</w:t>
      </w:r>
      <w:r w:rsidR="0024573F" w:rsidRPr="009418BF">
        <w:rPr>
          <w:rFonts w:ascii="Book Antiqua" w:hAnsi="Book Antiqua"/>
          <w:vertAlign w:val="superscript"/>
        </w:rPr>
        <w:t>]</w:t>
      </w:r>
      <w:r w:rsidRPr="009418BF">
        <w:rPr>
          <w:rFonts w:ascii="Book Antiqua" w:hAnsi="Book Antiqua"/>
        </w:rPr>
        <w:t xml:space="preserve">. The first available </w:t>
      </w:r>
      <w:r w:rsidR="00B86873" w:rsidRPr="009418BF">
        <w:rPr>
          <w:rFonts w:ascii="Book Antiqua" w:hAnsi="Book Antiqua"/>
        </w:rPr>
        <w:t>microspheres</w:t>
      </w:r>
      <w:r w:rsidRPr="009418BF">
        <w:rPr>
          <w:rFonts w:ascii="Book Antiqua" w:hAnsi="Book Antiqua"/>
        </w:rPr>
        <w:t xml:space="preserve"> had a diameter ranging between 500 and 900 µm that</w:t>
      </w:r>
      <w:r w:rsidR="00B86873" w:rsidRPr="009418BF">
        <w:rPr>
          <w:rFonts w:ascii="Book Antiqua" w:hAnsi="Book Antiqua"/>
        </w:rPr>
        <w:t xml:space="preserve"> has</w:t>
      </w:r>
      <w:r w:rsidRPr="009418BF">
        <w:rPr>
          <w:rFonts w:ascii="Book Antiqua" w:hAnsi="Book Antiqua"/>
        </w:rPr>
        <w:t xml:space="preserve"> gradually reduced over the years to let </w:t>
      </w:r>
      <w:r w:rsidR="00B86873" w:rsidRPr="009418BF">
        <w:rPr>
          <w:rFonts w:ascii="Book Antiqua" w:hAnsi="Book Antiqua"/>
        </w:rPr>
        <w:t>DEB</w:t>
      </w:r>
      <w:r w:rsidRPr="009418BF">
        <w:rPr>
          <w:rFonts w:ascii="Book Antiqua" w:hAnsi="Book Antiqua"/>
        </w:rPr>
        <w:t xml:space="preserve"> </w:t>
      </w:r>
      <w:r w:rsidR="00B86873" w:rsidRPr="009418BF">
        <w:rPr>
          <w:rFonts w:ascii="Book Antiqua" w:hAnsi="Book Antiqua"/>
        </w:rPr>
        <w:t xml:space="preserve">penetrate </w:t>
      </w:r>
      <w:r w:rsidRPr="009418BF">
        <w:rPr>
          <w:rFonts w:ascii="Book Antiqua" w:hAnsi="Book Antiqua"/>
        </w:rPr>
        <w:t>deeper into tumor circulation arterioles.</w:t>
      </w:r>
      <w:r w:rsidR="00B86873" w:rsidRPr="009418BF">
        <w:rPr>
          <w:rFonts w:ascii="Book Antiqua" w:hAnsi="Book Antiqua"/>
        </w:rPr>
        <w:t xml:space="preserve"> This theory is supported by recently published controlled studies on smaller microspheres that</w:t>
      </w:r>
      <w:r w:rsidRPr="009418BF">
        <w:rPr>
          <w:rFonts w:ascii="Book Antiqua" w:hAnsi="Book Antiqua"/>
        </w:rPr>
        <w:t xml:space="preserve"> show encouraging preliminary data on the radiological response in terms of extensive </w:t>
      </w:r>
      <w:proofErr w:type="spellStart"/>
      <w:r w:rsidRPr="009418BF">
        <w:rPr>
          <w:rFonts w:ascii="Book Antiqua" w:hAnsi="Book Antiqua"/>
        </w:rPr>
        <w:t>intratumoral</w:t>
      </w:r>
      <w:proofErr w:type="spellEnd"/>
      <w:r w:rsidRPr="009418BF">
        <w:rPr>
          <w:rFonts w:ascii="Book Antiqua" w:hAnsi="Book Antiqua"/>
        </w:rPr>
        <w:t xml:space="preserve"> </w:t>
      </w:r>
      <w:proofErr w:type="gramStart"/>
      <w:r w:rsidRPr="009418BF">
        <w:rPr>
          <w:rFonts w:ascii="Book Antiqua" w:hAnsi="Book Antiqua"/>
        </w:rPr>
        <w:t>necrosis</w:t>
      </w:r>
      <w:r w:rsidR="0024573F" w:rsidRPr="009418BF">
        <w:rPr>
          <w:rFonts w:ascii="Book Antiqua" w:hAnsi="Book Antiqua"/>
          <w:vertAlign w:val="superscript"/>
        </w:rPr>
        <w:t>[</w:t>
      </w:r>
      <w:proofErr w:type="gramEnd"/>
      <w:r w:rsidR="00F7287B" w:rsidRPr="009418BF">
        <w:rPr>
          <w:rFonts w:ascii="Book Antiqua" w:hAnsi="Book Antiqua"/>
          <w:vertAlign w:val="superscript"/>
        </w:rPr>
        <w:t>14,15</w:t>
      </w:r>
      <w:r w:rsidR="0024573F" w:rsidRPr="009418BF">
        <w:rPr>
          <w:rFonts w:ascii="Book Antiqua" w:hAnsi="Book Antiqua"/>
          <w:vertAlign w:val="superscript"/>
        </w:rPr>
        <w:t>]</w:t>
      </w:r>
      <w:r w:rsidRPr="009418BF">
        <w:rPr>
          <w:rFonts w:ascii="Book Antiqua" w:hAnsi="Book Antiqua"/>
        </w:rPr>
        <w:t xml:space="preserve">. </w:t>
      </w:r>
    </w:p>
    <w:p w:rsidR="009C4694" w:rsidRPr="009418BF" w:rsidRDefault="009C4694" w:rsidP="001B1574">
      <w:pPr>
        <w:spacing w:line="360" w:lineRule="auto"/>
        <w:ind w:firstLineChars="100" w:firstLine="240"/>
        <w:jc w:val="both"/>
        <w:rPr>
          <w:rFonts w:ascii="Book Antiqua" w:hAnsi="Book Antiqua"/>
        </w:rPr>
      </w:pPr>
      <w:proofErr w:type="spellStart"/>
      <w:r w:rsidRPr="009418BF">
        <w:rPr>
          <w:rFonts w:ascii="Book Antiqua" w:hAnsi="Book Antiqua"/>
        </w:rPr>
        <w:t>Embozene</w:t>
      </w:r>
      <w:proofErr w:type="spellEnd"/>
      <w:r w:rsidRPr="009418BF">
        <w:rPr>
          <w:rFonts w:ascii="Book Antiqua" w:hAnsi="Book Antiqua"/>
        </w:rPr>
        <w:t xml:space="preserve"> </w:t>
      </w:r>
      <w:r w:rsidR="00ED71D5" w:rsidRPr="009418BF">
        <w:rPr>
          <w:rFonts w:ascii="Book Antiqua" w:hAnsi="Book Antiqua"/>
        </w:rPr>
        <w:t>tandem</w:t>
      </w:r>
      <w:r w:rsidRPr="009418BF">
        <w:rPr>
          <w:rFonts w:ascii="Book Antiqua" w:hAnsi="Book Antiqua"/>
        </w:rPr>
        <w:t xml:space="preserve"> 40 µm (</w:t>
      </w:r>
      <w:r w:rsidR="00B86873" w:rsidRPr="009418BF">
        <w:rPr>
          <w:rFonts w:ascii="Book Antiqua" w:hAnsi="Book Antiqua"/>
        </w:rPr>
        <w:t>Boston Scientific, Minneapolis, MA, U</w:t>
      </w:r>
      <w:r w:rsidR="001B1574">
        <w:rPr>
          <w:rFonts w:ascii="Book Antiqua" w:hAnsi="Book Antiqua" w:hint="eastAsia"/>
          <w:lang w:eastAsia="zh-CN"/>
        </w:rPr>
        <w:t xml:space="preserve">nited </w:t>
      </w:r>
      <w:r w:rsidR="00B86873" w:rsidRPr="009418BF">
        <w:rPr>
          <w:rFonts w:ascii="Book Antiqua" w:hAnsi="Book Antiqua"/>
        </w:rPr>
        <w:t>S</w:t>
      </w:r>
      <w:r w:rsidR="001B1574">
        <w:rPr>
          <w:rFonts w:ascii="Book Antiqua" w:hAnsi="Book Antiqua" w:hint="eastAsia"/>
          <w:lang w:eastAsia="zh-CN"/>
        </w:rPr>
        <w:t>tates</w:t>
      </w:r>
      <w:r w:rsidRPr="009418BF">
        <w:rPr>
          <w:rFonts w:ascii="Book Antiqua" w:hAnsi="Book Antiqua"/>
        </w:rPr>
        <w:t>) are a new size of tightly calibrated spherical drug-eluting beads able to load up 100 mg of doxuribicin in a 2 m</w:t>
      </w:r>
      <w:r w:rsidR="004753B7" w:rsidRPr="009418BF">
        <w:rPr>
          <w:rFonts w:ascii="Book Antiqua" w:hAnsi="Book Antiqua"/>
        </w:rPr>
        <w:t>L</w:t>
      </w:r>
      <w:r w:rsidRPr="009418BF">
        <w:rPr>
          <w:rFonts w:ascii="Book Antiqua" w:hAnsi="Book Antiqua"/>
        </w:rPr>
        <w:t xml:space="preserve"> syringe</w:t>
      </w:r>
      <w:r w:rsidR="00B86873" w:rsidRPr="009418BF">
        <w:rPr>
          <w:rFonts w:ascii="Book Antiqua" w:hAnsi="Book Antiqua"/>
        </w:rPr>
        <w:t>, or 150 mg in a 3 m</w:t>
      </w:r>
      <w:r w:rsidR="004753B7" w:rsidRPr="009418BF">
        <w:rPr>
          <w:rFonts w:ascii="Book Antiqua" w:hAnsi="Book Antiqua"/>
        </w:rPr>
        <w:t xml:space="preserve">L </w:t>
      </w:r>
      <w:r w:rsidR="00B86873" w:rsidRPr="009418BF">
        <w:rPr>
          <w:rFonts w:ascii="Book Antiqua" w:hAnsi="Book Antiqua"/>
        </w:rPr>
        <w:t>syringe</w:t>
      </w:r>
      <w:r w:rsidRPr="009418BF">
        <w:rPr>
          <w:rFonts w:ascii="Book Antiqua" w:hAnsi="Book Antiqua"/>
        </w:rPr>
        <w:t>. These biocompatible, non-resorbable, hydrogel microspheres are coated with an inorganic perfluorinated polymer (Polyzene</w:t>
      </w:r>
      <w:r w:rsidRPr="004753B7">
        <w:rPr>
          <w:rFonts w:ascii="Book Antiqua" w:hAnsi="Book Antiqua"/>
          <w:vertAlign w:val="superscript"/>
        </w:rPr>
        <w:t>®</w:t>
      </w:r>
      <w:r w:rsidRPr="009418BF">
        <w:rPr>
          <w:rFonts w:ascii="Book Antiqua" w:hAnsi="Book Antiqua"/>
        </w:rPr>
        <w:t xml:space="preserve">-F). They show a small increase in size (&lt; 5% of the original diameter) during drug loading and storage if compared with similar </w:t>
      </w:r>
      <w:r w:rsidR="00B86873" w:rsidRPr="009418BF">
        <w:rPr>
          <w:rFonts w:ascii="Book Antiqua" w:hAnsi="Book Antiqua"/>
        </w:rPr>
        <w:t>DEB</w:t>
      </w:r>
      <w:r w:rsidRPr="009418BF">
        <w:rPr>
          <w:rFonts w:ascii="Book Antiqua" w:hAnsi="Book Antiqua"/>
        </w:rPr>
        <w:t xml:space="preserve"> on the market. Dc-Beads M1 (initial diameter 70-150 µm) show a dehydration and loss in size after loading drug; Hepashere (initial diameter 30-60 µm), instead, show an increase in size up to 4 times of the initial diameter, </w:t>
      </w:r>
      <w:r w:rsidR="00B86873" w:rsidRPr="009418BF">
        <w:rPr>
          <w:rFonts w:ascii="Book Antiqua" w:hAnsi="Book Antiqua"/>
        </w:rPr>
        <w:t>resulting in</w:t>
      </w:r>
      <w:r w:rsidRPr="009418BF">
        <w:rPr>
          <w:rFonts w:ascii="Book Antiqua" w:hAnsi="Book Antiqua"/>
        </w:rPr>
        <w:t xml:space="preserve"> a final diameter between</w:t>
      </w:r>
      <w:r w:rsidR="00461391" w:rsidRPr="009418BF">
        <w:rPr>
          <w:rFonts w:ascii="Book Antiqua" w:hAnsi="Book Antiqua"/>
        </w:rPr>
        <w:t xml:space="preserve"> 120-</w:t>
      </w:r>
      <w:r w:rsidRPr="009418BF">
        <w:rPr>
          <w:rFonts w:ascii="Book Antiqua" w:hAnsi="Book Antiqua"/>
        </w:rPr>
        <w:t>240</w:t>
      </w:r>
      <w:r w:rsidR="00BA792C">
        <w:rPr>
          <w:rFonts w:ascii="Book Antiqua" w:hAnsi="Book Antiqua" w:hint="eastAsia"/>
          <w:lang w:eastAsia="zh-CN"/>
        </w:rPr>
        <w:t xml:space="preserve"> </w:t>
      </w:r>
      <w:r w:rsidRPr="009418BF">
        <w:rPr>
          <w:rFonts w:ascii="Book Antiqua" w:hAnsi="Book Antiqua"/>
        </w:rPr>
        <w:t xml:space="preserve">µm after loading drug. </w:t>
      </w:r>
      <w:r w:rsidRPr="009418BF">
        <w:rPr>
          <w:rFonts w:ascii="Book Antiqua" w:hAnsi="Book Antiqua"/>
        </w:rPr>
        <w:lastRenderedPageBreak/>
        <w:t xml:space="preserve">Smaller </w:t>
      </w:r>
      <w:r w:rsidR="00B86873" w:rsidRPr="009418BF">
        <w:rPr>
          <w:rFonts w:ascii="Book Antiqua" w:hAnsi="Book Antiqua"/>
        </w:rPr>
        <w:t>microspheres theoretically</w:t>
      </w:r>
      <w:r w:rsidRPr="009418BF">
        <w:rPr>
          <w:rFonts w:ascii="Book Antiqua" w:hAnsi="Book Antiqua"/>
        </w:rPr>
        <w:t xml:space="preserve"> allow </w:t>
      </w:r>
      <w:r w:rsidR="00B86873" w:rsidRPr="009418BF">
        <w:rPr>
          <w:rFonts w:ascii="Book Antiqua" w:hAnsi="Book Antiqua"/>
        </w:rPr>
        <w:t>for more</w:t>
      </w:r>
      <w:r w:rsidRPr="009418BF">
        <w:rPr>
          <w:rFonts w:ascii="Book Antiqua" w:hAnsi="Book Antiqua"/>
        </w:rPr>
        <w:t xml:space="preserve"> d</w:t>
      </w:r>
      <w:r w:rsidR="0056287F" w:rsidRPr="009418BF">
        <w:rPr>
          <w:rFonts w:ascii="Book Antiqua" w:hAnsi="Book Antiqua"/>
        </w:rPr>
        <w:t>istal</w:t>
      </w:r>
      <w:r w:rsidRPr="009418BF">
        <w:rPr>
          <w:rFonts w:ascii="Book Antiqua" w:hAnsi="Book Antiqua"/>
        </w:rPr>
        <w:t xml:space="preserve"> vascular penetration and more homogeneous intratumoral drug distribution, with no meaningful evidence of better results in terms of objective response if compared to 100-300 </w:t>
      </w:r>
      <w:r w:rsidR="00B86873" w:rsidRPr="009418BF">
        <w:rPr>
          <w:rFonts w:ascii="Book Antiqua" w:hAnsi="Book Antiqua"/>
        </w:rPr>
        <w:t>µ</w:t>
      </w:r>
      <w:r w:rsidRPr="009418BF">
        <w:rPr>
          <w:rFonts w:ascii="Book Antiqua" w:hAnsi="Book Antiqua"/>
        </w:rPr>
        <w:t>m</w:t>
      </w:r>
      <w:r w:rsidR="00B86873" w:rsidRPr="009418BF">
        <w:rPr>
          <w:rFonts w:ascii="Book Antiqua" w:hAnsi="Book Antiqua"/>
        </w:rPr>
        <w:t xml:space="preserve"> </w:t>
      </w:r>
      <w:proofErr w:type="gramStart"/>
      <w:r w:rsidRPr="009418BF">
        <w:rPr>
          <w:rFonts w:ascii="Book Antiqua" w:hAnsi="Book Antiqua"/>
        </w:rPr>
        <w:t>particles</w:t>
      </w:r>
      <w:r w:rsidR="0024573F" w:rsidRPr="009418BF">
        <w:rPr>
          <w:rFonts w:ascii="Book Antiqua" w:hAnsi="Book Antiqua"/>
          <w:vertAlign w:val="superscript"/>
        </w:rPr>
        <w:t>[</w:t>
      </w:r>
      <w:proofErr w:type="gramEnd"/>
      <w:r w:rsidR="00F7287B" w:rsidRPr="009418BF">
        <w:rPr>
          <w:rFonts w:ascii="Book Antiqua" w:hAnsi="Book Antiqua"/>
          <w:vertAlign w:val="superscript"/>
        </w:rPr>
        <w:t>16</w:t>
      </w:r>
      <w:r w:rsidR="0024573F" w:rsidRPr="009418BF">
        <w:rPr>
          <w:rFonts w:ascii="Book Antiqua" w:hAnsi="Book Antiqua"/>
          <w:vertAlign w:val="superscript"/>
        </w:rPr>
        <w:t>]</w:t>
      </w:r>
      <w:r w:rsidRPr="009418BF">
        <w:rPr>
          <w:rFonts w:ascii="Book Antiqua" w:hAnsi="Book Antiqua"/>
        </w:rPr>
        <w:t>.</w:t>
      </w:r>
    </w:p>
    <w:p w:rsidR="009C4694" w:rsidRPr="009418BF" w:rsidRDefault="009C4694" w:rsidP="00BA792C">
      <w:pPr>
        <w:spacing w:line="360" w:lineRule="auto"/>
        <w:ind w:firstLineChars="100" w:firstLine="240"/>
        <w:jc w:val="both"/>
        <w:rPr>
          <w:rFonts w:ascii="Book Antiqua" w:hAnsi="Book Antiqua"/>
        </w:rPr>
      </w:pPr>
      <w:r w:rsidRPr="009418BF">
        <w:rPr>
          <w:rFonts w:ascii="Book Antiqua" w:hAnsi="Book Antiqua"/>
        </w:rPr>
        <w:t xml:space="preserve">The aim of this study </w:t>
      </w:r>
      <w:r w:rsidR="00B86873" w:rsidRPr="009418BF">
        <w:rPr>
          <w:rFonts w:ascii="Book Antiqua" w:hAnsi="Book Antiqua"/>
        </w:rPr>
        <w:t xml:space="preserve">was </w:t>
      </w:r>
      <w:r w:rsidRPr="009418BF">
        <w:rPr>
          <w:rFonts w:ascii="Book Antiqua" w:hAnsi="Book Antiqua"/>
        </w:rPr>
        <w:t>to assess the efficacy and safety of 40 µm</w:t>
      </w:r>
      <w:r w:rsidR="00B86873" w:rsidRPr="009418BF">
        <w:rPr>
          <w:rFonts w:ascii="Book Antiqua" w:hAnsi="Book Antiqua"/>
        </w:rPr>
        <w:t xml:space="preserve"> DEB-TACE </w:t>
      </w:r>
      <w:r w:rsidRPr="009418BF">
        <w:rPr>
          <w:rFonts w:ascii="Book Antiqua" w:hAnsi="Book Antiqua"/>
        </w:rPr>
        <w:t>in a series of 48 early-intermediate HCC patients complying with eligibility criteria. Primary endpoint</w:t>
      </w:r>
      <w:r w:rsidR="00436271" w:rsidRPr="009418BF">
        <w:rPr>
          <w:rFonts w:ascii="Book Antiqua" w:hAnsi="Book Antiqua"/>
        </w:rPr>
        <w:t xml:space="preserve"> </w:t>
      </w:r>
      <w:r w:rsidR="00CA0969" w:rsidRPr="009418BF">
        <w:rPr>
          <w:rFonts w:ascii="Book Antiqua" w:hAnsi="Book Antiqua"/>
        </w:rPr>
        <w:t xml:space="preserve">was the evaluation of </w:t>
      </w:r>
      <w:r w:rsidR="0054710A" w:rsidRPr="009418BF">
        <w:rPr>
          <w:rFonts w:ascii="Book Antiqua" w:hAnsi="Book Antiqua"/>
        </w:rPr>
        <w:t xml:space="preserve">adverse events and complications related </w:t>
      </w:r>
      <w:r w:rsidR="00CA0969" w:rsidRPr="009418BF">
        <w:rPr>
          <w:rFonts w:ascii="Book Antiqua" w:hAnsi="Book Antiqua"/>
        </w:rPr>
        <w:t xml:space="preserve">to </w:t>
      </w:r>
      <w:r w:rsidR="0054710A" w:rsidRPr="009418BF">
        <w:rPr>
          <w:rFonts w:ascii="Book Antiqua" w:hAnsi="Book Antiqua"/>
        </w:rPr>
        <w:t>TACE</w:t>
      </w:r>
      <w:r w:rsidR="00CA0969" w:rsidRPr="009418BF">
        <w:rPr>
          <w:rFonts w:ascii="Book Antiqua" w:hAnsi="Book Antiqua"/>
        </w:rPr>
        <w:t xml:space="preserve"> as well as</w:t>
      </w:r>
      <w:r w:rsidR="00436271" w:rsidRPr="009418BF">
        <w:rPr>
          <w:rFonts w:ascii="Book Antiqua" w:hAnsi="Book Antiqua"/>
        </w:rPr>
        <w:t xml:space="preserve"> </w:t>
      </w:r>
      <w:r w:rsidRPr="009418BF">
        <w:rPr>
          <w:rFonts w:ascii="Book Antiqua" w:hAnsi="Book Antiqua"/>
        </w:rPr>
        <w:t>the tumor response rate, considered as best achieved response</w:t>
      </w:r>
      <w:r w:rsidR="0054710A" w:rsidRPr="009418BF">
        <w:rPr>
          <w:rFonts w:ascii="Book Antiqua" w:hAnsi="Book Antiqua"/>
        </w:rPr>
        <w:t>. S</w:t>
      </w:r>
      <w:r w:rsidRPr="009418BF">
        <w:rPr>
          <w:rFonts w:ascii="Book Antiqua" w:hAnsi="Book Antiqua"/>
        </w:rPr>
        <w:t>eco</w:t>
      </w:r>
      <w:r w:rsidR="00015ADA" w:rsidRPr="009418BF">
        <w:rPr>
          <w:rFonts w:ascii="Book Antiqua" w:hAnsi="Book Antiqua"/>
        </w:rPr>
        <w:t>ndary outcomes were the time</w:t>
      </w:r>
      <w:r w:rsidR="00015ADA" w:rsidRPr="009418BF">
        <w:rPr>
          <w:rFonts w:ascii="Book Antiqua" w:hAnsi="Book Antiqua"/>
          <w:lang w:eastAsia="zh-CN"/>
        </w:rPr>
        <w:t xml:space="preserve"> </w:t>
      </w:r>
      <w:r w:rsidR="00015ADA" w:rsidRPr="009418BF">
        <w:rPr>
          <w:rFonts w:ascii="Book Antiqua" w:hAnsi="Book Antiqua"/>
        </w:rPr>
        <w:t>to</w:t>
      </w:r>
      <w:r w:rsidR="00015ADA" w:rsidRPr="009418BF">
        <w:rPr>
          <w:rFonts w:ascii="Book Antiqua" w:hAnsi="Book Antiqua"/>
          <w:lang w:eastAsia="zh-CN"/>
        </w:rPr>
        <w:t xml:space="preserve"> </w:t>
      </w:r>
      <w:r w:rsidRPr="009418BF">
        <w:rPr>
          <w:rFonts w:ascii="Book Antiqua" w:hAnsi="Book Antiqua"/>
        </w:rPr>
        <w:t>progressions (TTP)</w:t>
      </w:r>
      <w:r w:rsidR="008328AC">
        <w:rPr>
          <w:rFonts w:ascii="Book Antiqua" w:hAnsi="Book Antiqua"/>
        </w:rPr>
        <w:t xml:space="preserve"> and time</w:t>
      </w:r>
      <w:r w:rsidR="008328AC">
        <w:rPr>
          <w:rFonts w:ascii="Book Antiqua" w:hAnsi="Book Antiqua" w:hint="eastAsia"/>
          <w:lang w:eastAsia="zh-CN"/>
        </w:rPr>
        <w:t xml:space="preserve"> </w:t>
      </w:r>
      <w:r w:rsidR="00EA74CA" w:rsidRPr="009418BF">
        <w:rPr>
          <w:rFonts w:ascii="Book Antiqua" w:hAnsi="Book Antiqua"/>
        </w:rPr>
        <w:t>to</w:t>
      </w:r>
      <w:r w:rsidR="008328AC">
        <w:rPr>
          <w:rFonts w:ascii="Book Antiqua" w:hAnsi="Book Antiqua" w:hint="eastAsia"/>
          <w:lang w:eastAsia="zh-CN"/>
        </w:rPr>
        <w:t xml:space="preserve"> </w:t>
      </w:r>
      <w:r w:rsidR="00EA74CA" w:rsidRPr="009418BF">
        <w:rPr>
          <w:rFonts w:ascii="Book Antiqua" w:hAnsi="Book Antiqua"/>
        </w:rPr>
        <w:t>response (TTR)</w:t>
      </w:r>
      <w:r w:rsidR="00CA0969" w:rsidRPr="009418BF">
        <w:rPr>
          <w:rFonts w:ascii="Book Antiqua" w:hAnsi="Book Antiqua"/>
        </w:rPr>
        <w:t>.</w:t>
      </w:r>
    </w:p>
    <w:p w:rsidR="009C4694" w:rsidRPr="009418BF" w:rsidRDefault="009C4694" w:rsidP="009418BF">
      <w:pPr>
        <w:spacing w:line="360" w:lineRule="auto"/>
        <w:jc w:val="both"/>
        <w:rPr>
          <w:rFonts w:ascii="Book Antiqua" w:hAnsi="Book Antiqua"/>
        </w:rPr>
      </w:pPr>
    </w:p>
    <w:p w:rsidR="009C4694" w:rsidRPr="009418BF" w:rsidRDefault="00B0409A" w:rsidP="009418BF">
      <w:pPr>
        <w:spacing w:line="360" w:lineRule="auto"/>
        <w:jc w:val="both"/>
        <w:rPr>
          <w:rFonts w:ascii="Book Antiqua" w:hAnsi="Book Antiqua"/>
          <w:b/>
        </w:rPr>
      </w:pPr>
      <w:r w:rsidRPr="009418BF">
        <w:rPr>
          <w:rFonts w:ascii="Book Antiqua" w:hAnsi="Book Antiqua"/>
          <w:b/>
        </w:rPr>
        <w:t>MATERIALS AND METHODS</w:t>
      </w:r>
    </w:p>
    <w:p w:rsidR="00A57958" w:rsidRPr="00B0409A" w:rsidRDefault="00A07452" w:rsidP="009418BF">
      <w:pPr>
        <w:spacing w:line="360" w:lineRule="auto"/>
        <w:jc w:val="both"/>
        <w:rPr>
          <w:rFonts w:ascii="Book Antiqua" w:hAnsi="Book Antiqua"/>
          <w:b/>
          <w:i/>
        </w:rPr>
      </w:pPr>
      <w:r w:rsidRPr="00B0409A">
        <w:rPr>
          <w:rFonts w:ascii="Book Antiqua" w:hAnsi="Book Antiqua"/>
          <w:b/>
          <w:i/>
        </w:rPr>
        <w:t xml:space="preserve">Study </w:t>
      </w:r>
      <w:r w:rsidR="00B0409A" w:rsidRPr="00B0409A">
        <w:rPr>
          <w:rFonts w:ascii="Book Antiqua" w:hAnsi="Book Antiqua"/>
          <w:b/>
          <w:i/>
        </w:rPr>
        <w:t>p</w:t>
      </w:r>
      <w:r w:rsidRPr="00B0409A">
        <w:rPr>
          <w:rFonts w:ascii="Book Antiqua" w:hAnsi="Book Antiqua"/>
          <w:b/>
          <w:i/>
        </w:rPr>
        <w:t>opulation</w:t>
      </w:r>
    </w:p>
    <w:p w:rsidR="009C4694" w:rsidRPr="009418BF" w:rsidRDefault="00AC6676" w:rsidP="009418BF">
      <w:pPr>
        <w:spacing w:line="360" w:lineRule="auto"/>
        <w:jc w:val="both"/>
        <w:rPr>
          <w:rFonts w:ascii="Book Antiqua" w:hAnsi="Book Antiqua"/>
        </w:rPr>
      </w:pPr>
      <w:r w:rsidRPr="009418BF">
        <w:rPr>
          <w:rFonts w:ascii="Book Antiqua" w:hAnsi="Book Antiqua"/>
        </w:rPr>
        <w:t>Data</w:t>
      </w:r>
      <w:r w:rsidR="00ED71D5">
        <w:rPr>
          <w:rFonts w:ascii="Book Antiqua" w:hAnsi="Book Antiqua"/>
        </w:rPr>
        <w:t xml:space="preserve"> </w:t>
      </w:r>
      <w:r w:rsidR="00CA0969" w:rsidRPr="009418BF">
        <w:rPr>
          <w:rFonts w:ascii="Book Antiqua" w:hAnsi="Book Antiqua"/>
        </w:rPr>
        <w:t>from</w:t>
      </w:r>
      <w:r w:rsidRPr="009418BF">
        <w:rPr>
          <w:rFonts w:ascii="Book Antiqua" w:hAnsi="Book Antiqua"/>
        </w:rPr>
        <w:t xml:space="preserve"> 48 </w:t>
      </w:r>
      <w:r w:rsidR="00203244" w:rsidRPr="009418BF">
        <w:rPr>
          <w:rFonts w:ascii="Book Antiqua" w:hAnsi="Book Antiqua"/>
        </w:rPr>
        <w:t xml:space="preserve">early-intermediate HCC patients (BCLC stage A/B) referred to our two tertiary centers between May 2013 and May 2015 and treated with </w:t>
      </w:r>
      <w:r w:rsidR="00CA0969" w:rsidRPr="009418BF">
        <w:rPr>
          <w:rFonts w:ascii="Book Antiqua" w:hAnsi="Book Antiqua"/>
        </w:rPr>
        <w:t>DEB-</w:t>
      </w:r>
      <w:r w:rsidR="00203244" w:rsidRPr="009418BF">
        <w:rPr>
          <w:rFonts w:ascii="Book Antiqua" w:hAnsi="Book Antiqua"/>
        </w:rPr>
        <w:t>TACE using 40 µm</w:t>
      </w:r>
      <w:r w:rsidR="00ED71D5">
        <w:rPr>
          <w:rFonts w:ascii="Book Antiqua" w:hAnsi="Book Antiqua"/>
        </w:rPr>
        <w:t xml:space="preserve"> </w:t>
      </w:r>
      <w:r w:rsidR="00CA0969" w:rsidRPr="009418BF">
        <w:rPr>
          <w:rFonts w:ascii="Book Antiqua" w:hAnsi="Book Antiqua"/>
        </w:rPr>
        <w:t>microspheres</w:t>
      </w:r>
      <w:r w:rsidR="00203244" w:rsidRPr="009418BF">
        <w:rPr>
          <w:rFonts w:ascii="Book Antiqua" w:hAnsi="Book Antiqua"/>
        </w:rPr>
        <w:t xml:space="preserve"> were retrospectively </w:t>
      </w:r>
      <w:r w:rsidR="00CA0969" w:rsidRPr="009418BF">
        <w:rPr>
          <w:rFonts w:ascii="Book Antiqua" w:hAnsi="Book Antiqua"/>
        </w:rPr>
        <w:t xml:space="preserve">analysed </w:t>
      </w:r>
      <w:r w:rsidR="00CA0969" w:rsidRPr="00607A2B">
        <w:rPr>
          <w:rFonts w:ascii="Book Antiqua" w:hAnsi="Book Antiqua"/>
        </w:rPr>
        <w:t>(Table 1)</w:t>
      </w:r>
      <w:r w:rsidR="00203244" w:rsidRPr="00607A2B">
        <w:rPr>
          <w:rFonts w:ascii="Book Antiqua" w:hAnsi="Book Antiqua"/>
        </w:rPr>
        <w:t>.</w:t>
      </w:r>
      <w:r w:rsidRPr="00607A2B">
        <w:rPr>
          <w:rFonts w:ascii="Book Antiqua" w:hAnsi="Book Antiqua"/>
        </w:rPr>
        <w:t xml:space="preserve"> </w:t>
      </w:r>
      <w:r w:rsidRPr="009418BF">
        <w:rPr>
          <w:rFonts w:ascii="Book Antiqua" w:hAnsi="Book Antiqua"/>
        </w:rPr>
        <w:t xml:space="preserve">All patients signed a dedicated </w:t>
      </w:r>
      <w:r w:rsidR="00CA0969" w:rsidRPr="009418BF">
        <w:rPr>
          <w:rFonts w:ascii="Book Antiqua" w:hAnsi="Book Antiqua"/>
        </w:rPr>
        <w:t>i</w:t>
      </w:r>
      <w:r w:rsidRPr="009418BF">
        <w:rPr>
          <w:rFonts w:ascii="Book Antiqua" w:hAnsi="Book Antiqua"/>
        </w:rPr>
        <w:t xml:space="preserve">nformed </w:t>
      </w:r>
      <w:r w:rsidR="00CA0969" w:rsidRPr="009418BF">
        <w:rPr>
          <w:rFonts w:ascii="Book Antiqua" w:hAnsi="Book Antiqua"/>
        </w:rPr>
        <w:t>c</w:t>
      </w:r>
      <w:r w:rsidRPr="009418BF">
        <w:rPr>
          <w:rFonts w:ascii="Book Antiqua" w:hAnsi="Book Antiqua"/>
        </w:rPr>
        <w:t xml:space="preserve">onsent </w:t>
      </w:r>
      <w:r w:rsidR="00CA0969" w:rsidRPr="009418BF">
        <w:rPr>
          <w:rFonts w:ascii="Book Antiqua" w:hAnsi="Book Antiqua"/>
        </w:rPr>
        <w:t>f</w:t>
      </w:r>
      <w:r w:rsidRPr="009418BF">
        <w:rPr>
          <w:rFonts w:ascii="Book Antiqua" w:hAnsi="Book Antiqua"/>
        </w:rPr>
        <w:t xml:space="preserve">orm. </w:t>
      </w:r>
      <w:r w:rsidR="009C4694" w:rsidRPr="009418BF">
        <w:rPr>
          <w:rFonts w:ascii="Book Antiqua" w:hAnsi="Book Antiqua"/>
        </w:rPr>
        <w:t>A multidisciplinary team made up of interventional radiologists, oncologists, hepatologists, pathologists and hepatic surgeons selected candidates for the treatment.</w:t>
      </w:r>
    </w:p>
    <w:p w:rsidR="00D12D6E" w:rsidRPr="009418BF" w:rsidRDefault="00D12D6E" w:rsidP="008328AC">
      <w:pPr>
        <w:spacing w:line="360" w:lineRule="auto"/>
        <w:ind w:firstLineChars="100" w:firstLine="240"/>
        <w:jc w:val="both"/>
        <w:rPr>
          <w:rFonts w:ascii="Book Antiqua" w:hAnsi="Book Antiqua"/>
        </w:rPr>
      </w:pPr>
      <w:r w:rsidRPr="009418BF">
        <w:rPr>
          <w:rFonts w:ascii="Book Antiqua" w:hAnsi="Book Antiqua"/>
        </w:rPr>
        <w:t>All patients were asymptomatic at enrolment (</w:t>
      </w:r>
      <w:r w:rsidR="008328AC" w:rsidRPr="009418BF">
        <w:rPr>
          <w:rFonts w:ascii="Book Antiqua" w:hAnsi="Book Antiqua"/>
        </w:rPr>
        <w:t>performance status</w:t>
      </w:r>
      <w:r w:rsidRPr="009418BF">
        <w:rPr>
          <w:rFonts w:ascii="Book Antiqua" w:hAnsi="Book Antiqua"/>
        </w:rPr>
        <w:t xml:space="preserve"> 0) </w:t>
      </w:r>
      <w:r w:rsidR="00CA0969" w:rsidRPr="009418BF">
        <w:rPr>
          <w:rFonts w:ascii="Book Antiqua" w:hAnsi="Book Antiqua"/>
        </w:rPr>
        <w:t>with</w:t>
      </w:r>
      <w:r w:rsidRPr="009418BF">
        <w:rPr>
          <w:rFonts w:ascii="Book Antiqua" w:hAnsi="Book Antiqua"/>
        </w:rPr>
        <w:t xml:space="preserve"> cirrhotic disease related to hepatitis C in 56.2% of cases (27/48). 56.2% of patients were in BCLC B stage, while 43.8% were in early stage</w:t>
      </w:r>
      <w:r w:rsidR="00CA0969" w:rsidRPr="009418BF">
        <w:rPr>
          <w:rFonts w:ascii="Book Antiqua" w:hAnsi="Book Antiqua"/>
        </w:rPr>
        <w:t>, A</w:t>
      </w:r>
      <w:r w:rsidRPr="009418BF">
        <w:rPr>
          <w:rFonts w:ascii="Book Antiqua" w:hAnsi="Book Antiqua"/>
        </w:rPr>
        <w:t xml:space="preserve">. All patients presented </w:t>
      </w:r>
      <w:r w:rsidR="00CA0969" w:rsidRPr="009418BF">
        <w:rPr>
          <w:rFonts w:ascii="Book Antiqua" w:hAnsi="Book Antiqua"/>
        </w:rPr>
        <w:t xml:space="preserve">with </w:t>
      </w:r>
      <w:r w:rsidRPr="009418BF">
        <w:rPr>
          <w:rFonts w:ascii="Book Antiqua" w:hAnsi="Book Antiqua"/>
        </w:rPr>
        <w:t xml:space="preserve">a preserved liver function (93.4% Child-Pugh A and 6.6% Child-Pugh B7). Other comorbidities were reported in </w:t>
      </w:r>
      <w:r w:rsidR="00CA0969" w:rsidRPr="009418BF">
        <w:rPr>
          <w:rFonts w:ascii="Book Antiqua" w:hAnsi="Book Antiqua"/>
        </w:rPr>
        <w:t xml:space="preserve">approximately </w:t>
      </w:r>
      <w:r w:rsidRPr="009418BF">
        <w:rPr>
          <w:rFonts w:ascii="Book Antiqua" w:hAnsi="Book Antiqua"/>
        </w:rPr>
        <w:t>half of the study population (</w:t>
      </w:r>
      <w:r w:rsidR="00CA0969" w:rsidRPr="009418BF">
        <w:rPr>
          <w:rFonts w:ascii="Book Antiqua" w:hAnsi="Book Antiqua"/>
        </w:rPr>
        <w:t>notably</w:t>
      </w:r>
      <w:r w:rsidR="00436271" w:rsidRPr="009418BF">
        <w:rPr>
          <w:rFonts w:ascii="Book Antiqua" w:hAnsi="Book Antiqua"/>
        </w:rPr>
        <w:t xml:space="preserve"> </w:t>
      </w:r>
      <w:r w:rsidR="00CA0969" w:rsidRPr="009418BF">
        <w:rPr>
          <w:rFonts w:ascii="Book Antiqua" w:hAnsi="Book Antiqua"/>
        </w:rPr>
        <w:t>D</w:t>
      </w:r>
      <w:r w:rsidRPr="009418BF">
        <w:rPr>
          <w:rFonts w:ascii="Book Antiqua" w:hAnsi="Book Antiqua"/>
        </w:rPr>
        <w:t xml:space="preserve">iabetes, </w:t>
      </w:r>
      <w:r w:rsidR="00CA0969" w:rsidRPr="009418BF">
        <w:rPr>
          <w:rFonts w:ascii="Book Antiqua" w:hAnsi="Book Antiqua"/>
        </w:rPr>
        <w:t>A</w:t>
      </w:r>
      <w:r w:rsidRPr="009418BF">
        <w:rPr>
          <w:rFonts w:ascii="Book Antiqua" w:hAnsi="Book Antiqua"/>
        </w:rPr>
        <w:t xml:space="preserve">rterial </w:t>
      </w:r>
      <w:r w:rsidR="00CA0969" w:rsidRPr="009418BF">
        <w:rPr>
          <w:rFonts w:ascii="Book Antiqua" w:hAnsi="Book Antiqua"/>
        </w:rPr>
        <w:t>H</w:t>
      </w:r>
      <w:r w:rsidRPr="009418BF">
        <w:rPr>
          <w:rFonts w:ascii="Book Antiqua" w:hAnsi="Book Antiqua"/>
        </w:rPr>
        <w:t>ypertension and Chronic Obstructive Pulmonary Disease).</w:t>
      </w:r>
      <w:r w:rsidR="00ED71D5">
        <w:rPr>
          <w:rFonts w:ascii="Book Antiqua" w:hAnsi="Book Antiqua"/>
        </w:rPr>
        <w:t xml:space="preserve"> </w:t>
      </w:r>
      <w:r w:rsidR="00CA0969" w:rsidRPr="009418BF">
        <w:rPr>
          <w:rFonts w:ascii="Book Antiqua" w:hAnsi="Book Antiqua"/>
        </w:rPr>
        <w:t xml:space="preserve">No </w:t>
      </w:r>
      <w:proofErr w:type="spellStart"/>
      <w:r w:rsidR="00CA0969" w:rsidRPr="009418BF">
        <w:rPr>
          <w:rFonts w:ascii="Book Antiqua" w:hAnsi="Book Antiqua"/>
        </w:rPr>
        <w:t>tumors</w:t>
      </w:r>
      <w:proofErr w:type="spellEnd"/>
      <w:r w:rsidR="00CA0969" w:rsidRPr="009418BF">
        <w:rPr>
          <w:rFonts w:ascii="Book Antiqua" w:hAnsi="Book Antiqua"/>
        </w:rPr>
        <w:t xml:space="preserve"> receiving DEB-TACE had been previously treated.</w:t>
      </w:r>
      <w:r w:rsidRPr="009418BF">
        <w:rPr>
          <w:rFonts w:ascii="Book Antiqua" w:hAnsi="Book Antiqua"/>
        </w:rPr>
        <w:t xml:space="preserve"> The mean number of tumors was 2 (range 1-4) with 30 mm (range 10-96) maximum mean diameter, and the mean sum of all maximum diameters came up to 44 mm (range 13-130).</w:t>
      </w:r>
    </w:p>
    <w:p w:rsidR="009C4694" w:rsidRPr="009418BF" w:rsidRDefault="009C4694" w:rsidP="00140B8A">
      <w:pPr>
        <w:spacing w:line="360" w:lineRule="auto"/>
        <w:ind w:firstLineChars="100" w:firstLine="240"/>
        <w:jc w:val="both"/>
        <w:rPr>
          <w:rFonts w:ascii="Book Antiqua" w:hAnsi="Book Antiqua"/>
        </w:rPr>
      </w:pPr>
      <w:r w:rsidRPr="009418BF">
        <w:rPr>
          <w:rFonts w:ascii="Book Antiqua" w:hAnsi="Book Antiqua"/>
        </w:rPr>
        <w:t>Patient eligibility was established</w:t>
      </w:r>
      <w:r w:rsidR="00ED71D5">
        <w:rPr>
          <w:rFonts w:ascii="Book Antiqua" w:hAnsi="Book Antiqua"/>
        </w:rPr>
        <w:t xml:space="preserve"> </w:t>
      </w:r>
      <w:r w:rsidR="00EA74CA" w:rsidRPr="009418BF">
        <w:rPr>
          <w:rFonts w:ascii="Book Antiqua" w:hAnsi="Book Antiqua"/>
        </w:rPr>
        <w:t>with</w:t>
      </w:r>
      <w:r w:rsidRPr="009418BF">
        <w:rPr>
          <w:rFonts w:ascii="Book Antiqua" w:hAnsi="Book Antiqua"/>
        </w:rPr>
        <w:t xml:space="preserve"> the following inclusion criteria: </w:t>
      </w:r>
      <w:r w:rsidR="00140B8A" w:rsidRPr="009418BF">
        <w:rPr>
          <w:rFonts w:ascii="Book Antiqua" w:hAnsi="Book Antiqua"/>
        </w:rPr>
        <w:t>A</w:t>
      </w:r>
      <w:r w:rsidRPr="009418BF">
        <w:rPr>
          <w:rFonts w:ascii="Book Antiqua" w:hAnsi="Book Antiqua"/>
        </w:rPr>
        <w:t>ge &gt;</w:t>
      </w:r>
      <w:r w:rsidR="00140B8A">
        <w:rPr>
          <w:rFonts w:ascii="Book Antiqua" w:hAnsi="Book Antiqua" w:hint="eastAsia"/>
          <w:lang w:eastAsia="zh-CN"/>
        </w:rPr>
        <w:t xml:space="preserve"> </w:t>
      </w:r>
      <w:r w:rsidRPr="009418BF">
        <w:rPr>
          <w:rFonts w:ascii="Book Antiqua" w:hAnsi="Book Antiqua"/>
        </w:rPr>
        <w:t>18 years; HCC diagnosis according to the current guidelines</w:t>
      </w:r>
      <w:r w:rsidR="00F7287B" w:rsidRPr="009418BF">
        <w:rPr>
          <w:rFonts w:ascii="Book Antiqua" w:hAnsi="Book Antiqua"/>
          <w:vertAlign w:val="superscript"/>
        </w:rPr>
        <w:t>[</w:t>
      </w:r>
      <w:r w:rsidR="0056287F" w:rsidRPr="009418BF">
        <w:rPr>
          <w:rFonts w:ascii="Book Antiqua" w:hAnsi="Book Antiqua"/>
          <w:vertAlign w:val="superscript"/>
        </w:rPr>
        <w:t>1-3</w:t>
      </w:r>
      <w:r w:rsidR="00F7287B" w:rsidRPr="009418BF">
        <w:rPr>
          <w:rFonts w:ascii="Book Antiqua" w:hAnsi="Book Antiqua"/>
          <w:vertAlign w:val="superscript"/>
        </w:rPr>
        <w:t>]</w:t>
      </w:r>
      <w:r w:rsidRPr="009418BF">
        <w:rPr>
          <w:rFonts w:ascii="Book Antiqua" w:hAnsi="Book Antiqua"/>
        </w:rPr>
        <w:t xml:space="preserve">: </w:t>
      </w:r>
      <w:r w:rsidR="00140B8A" w:rsidRPr="009418BF">
        <w:rPr>
          <w:rFonts w:ascii="Book Antiqua" w:hAnsi="Book Antiqua"/>
        </w:rPr>
        <w:t>E</w:t>
      </w:r>
      <w:r w:rsidRPr="009418BF">
        <w:rPr>
          <w:rFonts w:ascii="Book Antiqua" w:hAnsi="Book Antiqua"/>
        </w:rPr>
        <w:t>arly/intermediate patients not eligible for percutaneous or surgical ablative therapies; well compensated cirrhosis with Child-Pugh Score up to B7; performance status 0 according to the Eastern Cooperative Oncology Group.</w:t>
      </w:r>
    </w:p>
    <w:p w:rsidR="009C4694" w:rsidRPr="009418BF" w:rsidRDefault="009C4694" w:rsidP="00140B8A">
      <w:pPr>
        <w:spacing w:line="360" w:lineRule="auto"/>
        <w:ind w:firstLineChars="100" w:firstLine="240"/>
        <w:jc w:val="both"/>
        <w:rPr>
          <w:rFonts w:ascii="Book Antiqua" w:hAnsi="Book Antiqua"/>
        </w:rPr>
      </w:pPr>
      <w:r w:rsidRPr="009418BF">
        <w:rPr>
          <w:rFonts w:ascii="Book Antiqua" w:hAnsi="Book Antiqua"/>
        </w:rPr>
        <w:lastRenderedPageBreak/>
        <w:t>Exclusion criteria included bilirubin &gt;</w:t>
      </w:r>
      <w:r w:rsidR="00140B8A">
        <w:rPr>
          <w:rFonts w:ascii="Book Antiqua" w:hAnsi="Book Antiqua" w:hint="eastAsia"/>
          <w:lang w:eastAsia="zh-CN"/>
        </w:rPr>
        <w:t xml:space="preserve"> </w:t>
      </w:r>
      <w:r w:rsidRPr="009418BF">
        <w:rPr>
          <w:rFonts w:ascii="Book Antiqua" w:hAnsi="Book Antiqua"/>
        </w:rPr>
        <w:t>2 mg/</w:t>
      </w:r>
      <w:proofErr w:type="spellStart"/>
      <w:r w:rsidRPr="009418BF">
        <w:rPr>
          <w:rFonts w:ascii="Book Antiqua" w:hAnsi="Book Antiqua"/>
        </w:rPr>
        <w:t>d</w:t>
      </w:r>
      <w:r w:rsidR="00140B8A" w:rsidRPr="009418BF">
        <w:rPr>
          <w:rFonts w:ascii="Book Antiqua" w:hAnsi="Book Antiqua"/>
        </w:rPr>
        <w:t>L</w:t>
      </w:r>
      <w:proofErr w:type="spellEnd"/>
      <w:r w:rsidRPr="009418BF">
        <w:rPr>
          <w:rFonts w:ascii="Book Antiqua" w:hAnsi="Book Antiqua"/>
        </w:rPr>
        <w:t>; principal</w:t>
      </w:r>
      <w:r w:rsidR="0056287F" w:rsidRPr="009418BF">
        <w:rPr>
          <w:rFonts w:ascii="Book Antiqua" w:hAnsi="Book Antiqua"/>
        </w:rPr>
        <w:t xml:space="preserve"> (main trunk)</w:t>
      </w:r>
      <w:r w:rsidRPr="009418BF">
        <w:rPr>
          <w:rFonts w:ascii="Book Antiqua" w:hAnsi="Book Antiqua"/>
        </w:rPr>
        <w:t xml:space="preserve"> or segmental portal thrombosis; previous treatments on target </w:t>
      </w:r>
      <w:r w:rsidR="0056287F" w:rsidRPr="009418BF">
        <w:rPr>
          <w:rFonts w:ascii="Book Antiqua" w:hAnsi="Book Antiqua"/>
        </w:rPr>
        <w:t>tumor</w:t>
      </w:r>
      <w:r w:rsidR="00CF1487" w:rsidRPr="009418BF">
        <w:rPr>
          <w:rFonts w:ascii="Book Antiqua" w:hAnsi="Book Antiqua"/>
        </w:rPr>
        <w:t>s (ablati</w:t>
      </w:r>
      <w:r w:rsidR="00EA74CA" w:rsidRPr="009418BF">
        <w:rPr>
          <w:rFonts w:ascii="Book Antiqua" w:hAnsi="Book Antiqua"/>
        </w:rPr>
        <w:t>on</w:t>
      </w:r>
      <w:r w:rsidR="00CF1487" w:rsidRPr="009418BF">
        <w:rPr>
          <w:rFonts w:ascii="Book Antiqua" w:hAnsi="Book Antiqua"/>
        </w:rPr>
        <w:t xml:space="preserve">, TACE, Sorafenib); </w:t>
      </w:r>
      <w:r w:rsidRPr="009418BF">
        <w:rPr>
          <w:rFonts w:ascii="Book Antiqua" w:hAnsi="Book Antiqua"/>
        </w:rPr>
        <w:t>intolerance to doxorubicin (leukocyte count &lt;</w:t>
      </w:r>
      <w:r w:rsidR="00140B8A">
        <w:rPr>
          <w:rFonts w:ascii="Book Antiqua" w:hAnsi="Book Antiqua" w:hint="eastAsia"/>
          <w:lang w:eastAsia="zh-CN"/>
        </w:rPr>
        <w:t xml:space="preserve"> </w:t>
      </w:r>
      <w:r w:rsidR="00140B8A">
        <w:rPr>
          <w:rFonts w:ascii="Book Antiqua" w:hAnsi="Book Antiqua"/>
        </w:rPr>
        <w:t>3</w:t>
      </w:r>
      <w:r w:rsidRPr="009418BF">
        <w:rPr>
          <w:rFonts w:ascii="Book Antiqua" w:hAnsi="Book Antiqua"/>
        </w:rPr>
        <w:t>000/mm</w:t>
      </w:r>
      <w:r w:rsidRPr="00140B8A">
        <w:rPr>
          <w:rFonts w:ascii="Book Antiqua" w:hAnsi="Book Antiqua"/>
          <w:vertAlign w:val="superscript"/>
        </w:rPr>
        <w:t>3</w:t>
      </w:r>
      <w:r w:rsidRPr="009418BF">
        <w:rPr>
          <w:rFonts w:ascii="Book Antiqua" w:hAnsi="Book Antiqua"/>
        </w:rPr>
        <w:t xml:space="preserve">; </w:t>
      </w:r>
      <w:r w:rsidR="00CF1487" w:rsidRPr="009418BF">
        <w:rPr>
          <w:rFonts w:ascii="Book Antiqua" w:hAnsi="Book Antiqua"/>
        </w:rPr>
        <w:t>cardiac ejection fraction &lt;</w:t>
      </w:r>
      <w:r w:rsidR="00140B8A">
        <w:rPr>
          <w:rFonts w:ascii="Book Antiqua" w:hAnsi="Book Antiqua" w:hint="eastAsia"/>
          <w:lang w:eastAsia="zh-CN"/>
        </w:rPr>
        <w:t xml:space="preserve"> </w:t>
      </w:r>
      <w:r w:rsidR="00CF1487" w:rsidRPr="009418BF">
        <w:rPr>
          <w:rFonts w:ascii="Book Antiqua" w:hAnsi="Book Antiqua"/>
        </w:rPr>
        <w:t>50%);</w:t>
      </w:r>
      <w:r w:rsidRPr="009418BF">
        <w:rPr>
          <w:rFonts w:ascii="Book Antiqua" w:hAnsi="Book Antiqua"/>
        </w:rPr>
        <w:t xml:space="preserve"> aspartate amino transferase (AST) and alanine amino </w:t>
      </w:r>
      <w:proofErr w:type="spellStart"/>
      <w:r w:rsidRPr="009418BF">
        <w:rPr>
          <w:rFonts w:ascii="Book Antiqua" w:hAnsi="Book Antiqua"/>
        </w:rPr>
        <w:t>transferase</w:t>
      </w:r>
      <w:proofErr w:type="spellEnd"/>
      <w:r w:rsidRPr="009418BF">
        <w:rPr>
          <w:rFonts w:ascii="Book Antiqua" w:hAnsi="Book Antiqua"/>
        </w:rPr>
        <w:t xml:space="preserve"> (ALT) levels &gt;</w:t>
      </w:r>
      <w:r w:rsidR="00140B8A">
        <w:rPr>
          <w:rFonts w:ascii="Book Antiqua" w:hAnsi="Book Antiqua" w:hint="eastAsia"/>
          <w:lang w:eastAsia="zh-CN"/>
        </w:rPr>
        <w:t xml:space="preserve"> </w:t>
      </w:r>
      <w:r w:rsidRPr="009418BF">
        <w:rPr>
          <w:rFonts w:ascii="Book Antiqua" w:hAnsi="Book Antiqua"/>
        </w:rPr>
        <w:t>270 IU/m</w:t>
      </w:r>
      <w:r w:rsidR="00140B8A" w:rsidRPr="009418BF">
        <w:rPr>
          <w:rFonts w:ascii="Book Antiqua" w:hAnsi="Book Antiqua"/>
        </w:rPr>
        <w:t>L</w:t>
      </w:r>
      <w:r w:rsidRPr="009418BF">
        <w:rPr>
          <w:rFonts w:ascii="Book Antiqua" w:hAnsi="Book Antiqua"/>
        </w:rPr>
        <w:t>, and patients receiving angiogenesis agents or affected by uncorrectable coagulation disorders.</w:t>
      </w:r>
    </w:p>
    <w:p w:rsidR="00874B42" w:rsidRPr="009418BF" w:rsidRDefault="00874B42" w:rsidP="009418BF">
      <w:pPr>
        <w:spacing w:line="360" w:lineRule="auto"/>
        <w:jc w:val="both"/>
        <w:rPr>
          <w:rFonts w:ascii="Book Antiqua" w:hAnsi="Book Antiqua"/>
          <w:lang w:eastAsia="zh-CN"/>
        </w:rPr>
      </w:pPr>
    </w:p>
    <w:p w:rsidR="00874B42" w:rsidRPr="003121E3" w:rsidRDefault="00874B42" w:rsidP="009418BF">
      <w:pPr>
        <w:spacing w:line="360" w:lineRule="auto"/>
        <w:jc w:val="both"/>
        <w:rPr>
          <w:rFonts w:ascii="Book Antiqua" w:hAnsi="Book Antiqua"/>
          <w:b/>
          <w:i/>
        </w:rPr>
      </w:pPr>
      <w:r w:rsidRPr="003121E3">
        <w:rPr>
          <w:rFonts w:ascii="Book Antiqua" w:hAnsi="Book Antiqua"/>
          <w:b/>
          <w:i/>
        </w:rPr>
        <w:t>Imaging study protocols</w:t>
      </w:r>
    </w:p>
    <w:p w:rsidR="00874B42" w:rsidRPr="009418BF" w:rsidRDefault="00874B42" w:rsidP="009418BF">
      <w:pPr>
        <w:spacing w:line="360" w:lineRule="auto"/>
        <w:jc w:val="both"/>
        <w:rPr>
          <w:rFonts w:ascii="Book Antiqua" w:hAnsi="Book Antiqua"/>
        </w:rPr>
      </w:pPr>
      <w:r w:rsidRPr="009418BF">
        <w:rPr>
          <w:rFonts w:ascii="Book Antiqua" w:hAnsi="Book Antiqua"/>
        </w:rPr>
        <w:t xml:space="preserve">To assess the disease extent in the liver, its vascular pattern and possible intrahepatic vascular invasions, all patients received pre-treatment abdominal imaging with </w:t>
      </w:r>
      <w:r w:rsidR="00EA74CA" w:rsidRPr="009418BF">
        <w:rPr>
          <w:rFonts w:ascii="Book Antiqua" w:hAnsi="Book Antiqua"/>
        </w:rPr>
        <w:t>c</w:t>
      </w:r>
      <w:r w:rsidRPr="009418BF">
        <w:rPr>
          <w:rFonts w:ascii="Book Antiqua" w:hAnsi="Book Antiqua"/>
        </w:rPr>
        <w:t xml:space="preserve">omputed </w:t>
      </w:r>
      <w:r w:rsidR="00EA74CA" w:rsidRPr="009418BF">
        <w:rPr>
          <w:rFonts w:ascii="Book Antiqua" w:hAnsi="Book Antiqua"/>
        </w:rPr>
        <w:t>t</w:t>
      </w:r>
      <w:r w:rsidRPr="009418BF">
        <w:rPr>
          <w:rFonts w:ascii="Book Antiqua" w:hAnsi="Book Antiqua"/>
        </w:rPr>
        <w:t xml:space="preserve">omography (CT) 128 slices (Somaton Definition Flash, Siemens Healthcare, Erlangen, Germany) or with </w:t>
      </w:r>
      <w:r w:rsidR="00EA74CA" w:rsidRPr="009418BF">
        <w:rPr>
          <w:rFonts w:ascii="Book Antiqua" w:hAnsi="Book Antiqua"/>
        </w:rPr>
        <w:t>m</w:t>
      </w:r>
      <w:r w:rsidRPr="009418BF">
        <w:rPr>
          <w:rFonts w:ascii="Book Antiqua" w:hAnsi="Book Antiqua"/>
        </w:rPr>
        <w:t xml:space="preserve">agnetic </w:t>
      </w:r>
      <w:r w:rsidR="00EA74CA" w:rsidRPr="009418BF">
        <w:rPr>
          <w:rFonts w:ascii="Book Antiqua" w:hAnsi="Book Antiqua"/>
        </w:rPr>
        <w:t>r</w:t>
      </w:r>
      <w:r w:rsidRPr="009418BF">
        <w:rPr>
          <w:rFonts w:ascii="Book Antiqua" w:hAnsi="Book Antiqua"/>
        </w:rPr>
        <w:t xml:space="preserve">esonance </w:t>
      </w:r>
      <w:r w:rsidR="00EA74CA" w:rsidRPr="009418BF">
        <w:rPr>
          <w:rFonts w:ascii="Book Antiqua" w:hAnsi="Book Antiqua"/>
        </w:rPr>
        <w:t>i</w:t>
      </w:r>
      <w:r w:rsidRPr="009418BF">
        <w:rPr>
          <w:rFonts w:ascii="Book Antiqua" w:hAnsi="Book Antiqua"/>
        </w:rPr>
        <w:t>maging (MRI) 1.5 T (Achieva, Philips Healthcare, Best, the Netherlands). In addition to that, they received a CT scan of the chest for a complete staging of the extrahepatic disease.</w:t>
      </w:r>
    </w:p>
    <w:p w:rsidR="00874B42" w:rsidRPr="009418BF" w:rsidRDefault="00874B42" w:rsidP="004C0504">
      <w:pPr>
        <w:spacing w:line="360" w:lineRule="auto"/>
        <w:ind w:firstLineChars="100" w:firstLine="240"/>
        <w:jc w:val="both"/>
        <w:rPr>
          <w:rFonts w:ascii="Book Antiqua" w:hAnsi="Book Antiqua"/>
        </w:rPr>
      </w:pPr>
      <w:r w:rsidRPr="009418BF">
        <w:rPr>
          <w:rFonts w:ascii="Book Antiqua" w:hAnsi="Book Antiqua"/>
        </w:rPr>
        <w:t>CT image acquisition technique, before and after treatment, required both a baseline abdominal scan and the arterial, portal and late venous phase study after intravenous administration of a 120-140 m</w:t>
      </w:r>
      <w:r w:rsidR="000F3FE9" w:rsidRPr="009418BF">
        <w:rPr>
          <w:rFonts w:ascii="Book Antiqua" w:hAnsi="Book Antiqua"/>
        </w:rPr>
        <w:t>L</w:t>
      </w:r>
      <w:r w:rsidRPr="009418BF">
        <w:rPr>
          <w:rFonts w:ascii="Book Antiqua" w:hAnsi="Book Antiqua"/>
        </w:rPr>
        <w:t xml:space="preserve"> bolus of iodinated contrast medium (</w:t>
      </w:r>
      <w:proofErr w:type="spellStart"/>
      <w:r w:rsidRPr="009418BF">
        <w:rPr>
          <w:rFonts w:ascii="Book Antiqua" w:hAnsi="Book Antiqua"/>
        </w:rPr>
        <w:t>Iopamiro</w:t>
      </w:r>
      <w:proofErr w:type="spellEnd"/>
      <w:r w:rsidRPr="009418BF">
        <w:rPr>
          <w:rFonts w:ascii="Book Antiqua" w:hAnsi="Book Antiqua"/>
        </w:rPr>
        <w:t xml:space="preserve"> 370 mg/</w:t>
      </w:r>
      <w:proofErr w:type="spellStart"/>
      <w:r w:rsidRPr="009418BF">
        <w:rPr>
          <w:rFonts w:ascii="Book Antiqua" w:hAnsi="Book Antiqua"/>
        </w:rPr>
        <w:t>d</w:t>
      </w:r>
      <w:r w:rsidR="000F3FE9" w:rsidRPr="009418BF">
        <w:rPr>
          <w:rFonts w:ascii="Book Antiqua" w:hAnsi="Book Antiqua"/>
        </w:rPr>
        <w:t>L</w:t>
      </w:r>
      <w:proofErr w:type="spellEnd"/>
      <w:r w:rsidRPr="009418BF">
        <w:rPr>
          <w:rFonts w:ascii="Book Antiqua" w:hAnsi="Book Antiqua"/>
        </w:rPr>
        <w:t xml:space="preserve">, </w:t>
      </w:r>
      <w:proofErr w:type="spellStart"/>
      <w:r w:rsidRPr="009418BF">
        <w:rPr>
          <w:rFonts w:ascii="Book Antiqua" w:hAnsi="Book Antiqua"/>
        </w:rPr>
        <w:t>Bracco</w:t>
      </w:r>
      <w:proofErr w:type="spellEnd"/>
      <w:r w:rsidRPr="009418BF">
        <w:rPr>
          <w:rFonts w:ascii="Book Antiqua" w:hAnsi="Book Antiqua"/>
        </w:rPr>
        <w:t>, Milan, Italy) at an injection flow of 4 m</w:t>
      </w:r>
      <w:r w:rsidR="000F3FE9" w:rsidRPr="009418BF">
        <w:rPr>
          <w:rFonts w:ascii="Book Antiqua" w:hAnsi="Book Antiqua"/>
        </w:rPr>
        <w:t>L</w:t>
      </w:r>
      <w:r w:rsidRPr="009418BF">
        <w:rPr>
          <w:rFonts w:ascii="Book Antiqua" w:hAnsi="Book Antiqua"/>
        </w:rPr>
        <w:t>/s with the Bolus Tracking technique.</w:t>
      </w:r>
    </w:p>
    <w:p w:rsidR="00874B42" w:rsidRPr="009418BF" w:rsidRDefault="00874B42" w:rsidP="000F3FE9">
      <w:pPr>
        <w:spacing w:line="360" w:lineRule="auto"/>
        <w:ind w:firstLineChars="100" w:firstLine="240"/>
        <w:jc w:val="both"/>
        <w:rPr>
          <w:rFonts w:ascii="Book Antiqua" w:hAnsi="Book Antiqua"/>
        </w:rPr>
      </w:pPr>
      <w:r w:rsidRPr="009418BF">
        <w:rPr>
          <w:rFonts w:ascii="Book Antiqua" w:hAnsi="Book Antiqua"/>
        </w:rPr>
        <w:t xml:space="preserve">The protocol for abdominal MRI required the acquisition of in-phase and out-of-phase T1 weighted sequences, T2 weighted </w:t>
      </w:r>
      <w:r w:rsidR="000F3FE9" w:rsidRPr="009418BF">
        <w:rPr>
          <w:rFonts w:ascii="Book Antiqua" w:hAnsi="Book Antiqua"/>
        </w:rPr>
        <w:t>Half-Fourier acquisition Single-shot Tur</w:t>
      </w:r>
      <w:r w:rsidR="000F3FE9">
        <w:rPr>
          <w:rFonts w:ascii="Book Antiqua" w:hAnsi="Book Antiqua"/>
        </w:rPr>
        <w:t>bo-spin Echo</w:t>
      </w:r>
      <w:r w:rsidR="000F3FE9" w:rsidRPr="009418BF">
        <w:rPr>
          <w:rFonts w:ascii="Book Antiqua" w:hAnsi="Book Antiqua"/>
        </w:rPr>
        <w:t xml:space="preserve"> </w:t>
      </w:r>
      <w:r w:rsidRPr="009418BF">
        <w:rPr>
          <w:rFonts w:ascii="Book Antiqua" w:hAnsi="Book Antiqua"/>
        </w:rPr>
        <w:t>(</w:t>
      </w:r>
      <w:r w:rsidR="000F3FE9" w:rsidRPr="009418BF">
        <w:rPr>
          <w:rFonts w:ascii="Book Antiqua" w:hAnsi="Book Antiqua"/>
        </w:rPr>
        <w:t>HASTE</w:t>
      </w:r>
      <w:r w:rsidR="000F3FE9">
        <w:rPr>
          <w:rFonts w:ascii="Book Antiqua" w:hAnsi="Book Antiqua"/>
        </w:rPr>
        <w:t>) and Fat-</w:t>
      </w:r>
      <w:r w:rsidR="000F3FE9" w:rsidRPr="009418BF">
        <w:rPr>
          <w:rFonts w:ascii="Book Antiqua" w:hAnsi="Book Antiqua"/>
        </w:rPr>
        <w:t>Saturated</w:t>
      </w:r>
      <w:r w:rsidR="000F3FE9">
        <w:rPr>
          <w:rFonts w:ascii="Book Antiqua" w:hAnsi="Book Antiqua"/>
        </w:rPr>
        <w:t xml:space="preserve"> (FAT-SAT</w:t>
      </w:r>
      <w:r w:rsidRPr="009418BF">
        <w:rPr>
          <w:rFonts w:ascii="Book Antiqua" w:hAnsi="Book Antiqua"/>
        </w:rPr>
        <w:t xml:space="preserve">) sequences, diffusion study and </w:t>
      </w:r>
      <w:r w:rsidR="000F3FE9" w:rsidRPr="009418BF">
        <w:rPr>
          <w:rFonts w:ascii="Book Antiqua" w:hAnsi="Book Antiqua"/>
        </w:rPr>
        <w:t>Tissue High Resolution</w:t>
      </w:r>
      <w:r w:rsidR="000F3FE9">
        <w:rPr>
          <w:rFonts w:ascii="Book Antiqua" w:hAnsi="Book Antiqua"/>
        </w:rPr>
        <w:t xml:space="preserve"> Isotropic Voxel Excitation</w:t>
      </w:r>
      <w:r w:rsidR="000F3FE9" w:rsidRPr="009418BF">
        <w:rPr>
          <w:rFonts w:ascii="Book Antiqua" w:hAnsi="Book Antiqua"/>
        </w:rPr>
        <w:t xml:space="preserve"> </w:t>
      </w:r>
      <w:r w:rsidRPr="009418BF">
        <w:rPr>
          <w:rFonts w:ascii="Book Antiqua" w:hAnsi="Book Antiqua"/>
        </w:rPr>
        <w:t>(</w:t>
      </w:r>
      <w:r w:rsidR="000F3FE9" w:rsidRPr="009418BF">
        <w:rPr>
          <w:rFonts w:ascii="Book Antiqua" w:hAnsi="Book Antiqua"/>
        </w:rPr>
        <w:t>TRHIVE</w:t>
      </w:r>
      <w:r w:rsidRPr="009418BF">
        <w:rPr>
          <w:rFonts w:ascii="Book Antiqua" w:hAnsi="Book Antiqua"/>
        </w:rPr>
        <w:t xml:space="preserve">) sequences </w:t>
      </w:r>
      <w:r w:rsidR="002D35E0">
        <w:rPr>
          <w:rFonts w:ascii="Book Antiqua" w:hAnsi="Book Antiqua" w:hint="eastAsia"/>
          <w:lang w:eastAsia="zh-CN"/>
        </w:rPr>
        <w:t>[</w:t>
      </w:r>
      <w:r w:rsidRPr="009418BF">
        <w:rPr>
          <w:rFonts w:ascii="Book Antiqua" w:hAnsi="Book Antiqua"/>
        </w:rPr>
        <w:t xml:space="preserve">T1 weighted FAT-SAT and 3D GRE (3D </w:t>
      </w:r>
      <w:proofErr w:type="spellStart"/>
      <w:r w:rsidRPr="009418BF">
        <w:rPr>
          <w:rFonts w:ascii="Book Antiqua" w:hAnsi="Book Antiqua"/>
        </w:rPr>
        <w:t>GradientEcho</w:t>
      </w:r>
      <w:proofErr w:type="spellEnd"/>
      <w:r w:rsidRPr="009418BF">
        <w:rPr>
          <w:rFonts w:ascii="Book Antiqua" w:hAnsi="Book Antiqua"/>
        </w:rPr>
        <w:t>)</w:t>
      </w:r>
      <w:r w:rsidR="002D35E0">
        <w:rPr>
          <w:rFonts w:ascii="Book Antiqua" w:hAnsi="Book Antiqua" w:hint="eastAsia"/>
          <w:lang w:eastAsia="zh-CN"/>
        </w:rPr>
        <w:t>]</w:t>
      </w:r>
      <w:r w:rsidRPr="009418BF">
        <w:rPr>
          <w:rFonts w:ascii="Book Antiqua" w:hAnsi="Book Antiqua"/>
        </w:rPr>
        <w:t xml:space="preserve"> both before and after infusion of </w:t>
      </w:r>
      <w:r w:rsidR="002D35E0" w:rsidRPr="009418BF">
        <w:rPr>
          <w:rFonts w:ascii="Book Antiqua" w:hAnsi="Book Antiqua"/>
        </w:rPr>
        <w:t>Gadolinium-</w:t>
      </w:r>
      <w:proofErr w:type="spellStart"/>
      <w:r w:rsidR="002D35E0" w:rsidRPr="009418BF">
        <w:rPr>
          <w:rFonts w:ascii="Book Antiqua" w:hAnsi="Book Antiqua"/>
        </w:rPr>
        <w:t>EthOxyBenzyl</w:t>
      </w:r>
      <w:proofErr w:type="spellEnd"/>
      <w:r w:rsidR="002D35E0" w:rsidRPr="009418BF">
        <w:rPr>
          <w:rFonts w:ascii="Book Antiqua" w:hAnsi="Book Antiqua"/>
        </w:rPr>
        <w:t>-</w:t>
      </w:r>
      <w:proofErr w:type="spellStart"/>
      <w:r w:rsidR="002D35E0" w:rsidRPr="009418BF">
        <w:rPr>
          <w:rFonts w:ascii="Book Antiqua" w:hAnsi="Book Antiqua"/>
        </w:rPr>
        <w:t>Diethylene</w:t>
      </w:r>
      <w:proofErr w:type="spellEnd"/>
      <w:r w:rsidR="002D35E0" w:rsidRPr="009418BF">
        <w:rPr>
          <w:rFonts w:ascii="Book Antiqua" w:hAnsi="Book Antiqua"/>
        </w:rPr>
        <w:t xml:space="preserve"> </w:t>
      </w:r>
      <w:proofErr w:type="spellStart"/>
      <w:r w:rsidR="002D35E0" w:rsidRPr="009418BF">
        <w:rPr>
          <w:rFonts w:ascii="Book Antiqua" w:hAnsi="Book Antiqua"/>
        </w:rPr>
        <w:t>Triamine</w:t>
      </w:r>
      <w:proofErr w:type="spellEnd"/>
      <w:r w:rsidR="002D35E0" w:rsidRPr="009418BF">
        <w:rPr>
          <w:rFonts w:ascii="Book Antiqua" w:hAnsi="Book Antiqua"/>
        </w:rPr>
        <w:t xml:space="preserve"> </w:t>
      </w:r>
      <w:proofErr w:type="spellStart"/>
      <w:r w:rsidR="002D35E0" w:rsidRPr="009418BF">
        <w:rPr>
          <w:rFonts w:ascii="Book Antiqua" w:hAnsi="Book Antiqua"/>
        </w:rPr>
        <w:t>Pentaacetic</w:t>
      </w:r>
      <w:proofErr w:type="spellEnd"/>
      <w:r w:rsidR="002D35E0" w:rsidRPr="009418BF">
        <w:rPr>
          <w:rFonts w:ascii="Book Antiqua" w:hAnsi="Book Antiqua"/>
        </w:rPr>
        <w:t xml:space="preserve"> Acid </w:t>
      </w:r>
      <w:r w:rsidRPr="009418BF">
        <w:rPr>
          <w:rFonts w:ascii="Book Antiqua" w:hAnsi="Book Antiqua"/>
        </w:rPr>
        <w:t>(</w:t>
      </w:r>
      <w:proofErr w:type="spellStart"/>
      <w:r w:rsidR="002D35E0" w:rsidRPr="009418BF">
        <w:rPr>
          <w:rFonts w:ascii="Book Antiqua" w:hAnsi="Book Antiqua"/>
        </w:rPr>
        <w:t>Gd</w:t>
      </w:r>
      <w:proofErr w:type="spellEnd"/>
      <w:r w:rsidR="002D35E0" w:rsidRPr="009418BF">
        <w:rPr>
          <w:rFonts w:ascii="Book Antiqua" w:hAnsi="Book Antiqua"/>
        </w:rPr>
        <w:t>-EOB-DTPA</w:t>
      </w:r>
      <w:r w:rsidRPr="009418BF">
        <w:rPr>
          <w:rFonts w:ascii="Book Antiqua" w:hAnsi="Book Antiqua"/>
        </w:rPr>
        <w:t xml:space="preserve">) 0.025 </w:t>
      </w:r>
      <w:proofErr w:type="spellStart"/>
      <w:r w:rsidRPr="009418BF">
        <w:rPr>
          <w:rFonts w:ascii="Book Antiqua" w:hAnsi="Book Antiqua"/>
        </w:rPr>
        <w:t>mmol</w:t>
      </w:r>
      <w:proofErr w:type="spellEnd"/>
      <w:r w:rsidRPr="009418BF">
        <w:rPr>
          <w:rFonts w:ascii="Book Antiqua" w:hAnsi="Book Antiqua"/>
        </w:rPr>
        <w:t>/m</w:t>
      </w:r>
      <w:r w:rsidR="002D35E0" w:rsidRPr="009418BF">
        <w:rPr>
          <w:rFonts w:ascii="Book Antiqua" w:hAnsi="Book Antiqua"/>
        </w:rPr>
        <w:t>L</w:t>
      </w:r>
      <w:r w:rsidRPr="009418BF">
        <w:rPr>
          <w:rFonts w:ascii="Book Antiqua" w:hAnsi="Book Antiqua"/>
        </w:rPr>
        <w:t xml:space="preserve"> (</w:t>
      </w:r>
      <w:proofErr w:type="spellStart"/>
      <w:r w:rsidRPr="009418BF">
        <w:rPr>
          <w:rFonts w:ascii="Book Antiqua" w:hAnsi="Book Antiqua"/>
        </w:rPr>
        <w:t>Primov</w:t>
      </w:r>
      <w:r w:rsidR="002D35E0">
        <w:rPr>
          <w:rFonts w:ascii="Book Antiqua" w:hAnsi="Book Antiqua"/>
        </w:rPr>
        <w:t>ist</w:t>
      </w:r>
      <w:proofErr w:type="spellEnd"/>
      <w:r w:rsidR="002D35E0">
        <w:rPr>
          <w:rFonts w:ascii="Book Antiqua" w:hAnsi="Book Antiqua"/>
        </w:rPr>
        <w:t>, Bayer, Leverkusen, Germany</w:t>
      </w:r>
      <w:r w:rsidRPr="009418BF">
        <w:rPr>
          <w:rFonts w:ascii="Book Antiqua" w:hAnsi="Book Antiqua"/>
        </w:rPr>
        <w:t xml:space="preserve">) with acquisitions up to 20 min during the </w:t>
      </w:r>
      <w:proofErr w:type="spellStart"/>
      <w:r w:rsidRPr="009418BF">
        <w:rPr>
          <w:rFonts w:ascii="Book Antiqua" w:hAnsi="Book Antiqua"/>
        </w:rPr>
        <w:t>hepatospecific</w:t>
      </w:r>
      <w:proofErr w:type="spellEnd"/>
      <w:r w:rsidRPr="009418BF">
        <w:rPr>
          <w:rFonts w:ascii="Book Antiqua" w:hAnsi="Book Antiqua"/>
        </w:rPr>
        <w:t xml:space="preserve"> phase.</w:t>
      </w:r>
    </w:p>
    <w:p w:rsidR="00874B42" w:rsidRPr="009418BF" w:rsidRDefault="00874B42" w:rsidP="009418BF">
      <w:pPr>
        <w:spacing w:line="360" w:lineRule="auto"/>
        <w:jc w:val="both"/>
        <w:rPr>
          <w:rFonts w:ascii="Book Antiqua" w:hAnsi="Book Antiqua"/>
        </w:rPr>
      </w:pPr>
    </w:p>
    <w:p w:rsidR="00874B42" w:rsidRPr="002D35E0" w:rsidRDefault="00874B42" w:rsidP="009418BF">
      <w:pPr>
        <w:spacing w:line="360" w:lineRule="auto"/>
        <w:jc w:val="both"/>
        <w:rPr>
          <w:rFonts w:ascii="Book Antiqua" w:hAnsi="Book Antiqua"/>
          <w:b/>
          <w:i/>
        </w:rPr>
      </w:pPr>
      <w:r w:rsidRPr="002D35E0">
        <w:rPr>
          <w:rFonts w:ascii="Book Antiqua" w:hAnsi="Book Antiqua"/>
          <w:b/>
          <w:i/>
        </w:rPr>
        <w:t xml:space="preserve">DEB-TACE </w:t>
      </w:r>
    </w:p>
    <w:p w:rsidR="00874B42" w:rsidRPr="009418BF" w:rsidRDefault="00874B42" w:rsidP="009418BF">
      <w:pPr>
        <w:spacing w:line="360" w:lineRule="auto"/>
        <w:jc w:val="both"/>
        <w:rPr>
          <w:rFonts w:ascii="Book Antiqua" w:hAnsi="Book Antiqua"/>
        </w:rPr>
      </w:pPr>
      <w:r w:rsidRPr="009418BF">
        <w:rPr>
          <w:rFonts w:ascii="Book Antiqua" w:hAnsi="Book Antiqua"/>
        </w:rPr>
        <w:t>TACE was performed using transfemoral arterial access route with a micro-puncture system by placing a 5F vascular introducer (Boston Scientific, Natick, MA, U</w:t>
      </w:r>
      <w:r w:rsidR="00580648">
        <w:rPr>
          <w:rFonts w:ascii="Book Antiqua" w:hAnsi="Book Antiqua" w:hint="eastAsia"/>
          <w:lang w:eastAsia="zh-CN"/>
        </w:rPr>
        <w:t xml:space="preserve">nited </w:t>
      </w:r>
      <w:r w:rsidRPr="009418BF">
        <w:rPr>
          <w:rFonts w:ascii="Book Antiqua" w:hAnsi="Book Antiqua"/>
        </w:rPr>
        <w:t>S</w:t>
      </w:r>
      <w:r w:rsidR="00580648">
        <w:rPr>
          <w:rFonts w:ascii="Book Antiqua" w:hAnsi="Book Antiqua" w:hint="eastAsia"/>
          <w:lang w:eastAsia="zh-CN"/>
        </w:rPr>
        <w:t>tates</w:t>
      </w:r>
      <w:r w:rsidRPr="009418BF">
        <w:rPr>
          <w:rFonts w:ascii="Book Antiqua" w:hAnsi="Book Antiqua"/>
        </w:rPr>
        <w:t>). The angiographic study of the superior mesenteric artery and the celiac trunk</w:t>
      </w:r>
      <w:r w:rsidR="00EA74CA" w:rsidRPr="009418BF">
        <w:rPr>
          <w:rFonts w:ascii="Book Antiqua" w:hAnsi="Book Antiqua"/>
        </w:rPr>
        <w:t xml:space="preserve"> for the characterisation of hepatic vascular anatomy</w:t>
      </w:r>
      <w:r w:rsidRPr="009418BF">
        <w:rPr>
          <w:rFonts w:ascii="Book Antiqua" w:hAnsi="Book Antiqua"/>
        </w:rPr>
        <w:t xml:space="preserve"> was performed using an angiography unit (Axiom Angiographic Unit, Siemens Healthcare, Erlanger, Germany)</w:t>
      </w:r>
      <w:r w:rsidR="00EA74CA" w:rsidRPr="009418BF">
        <w:rPr>
          <w:rFonts w:ascii="Book Antiqua" w:hAnsi="Book Antiqua"/>
        </w:rPr>
        <w:t>, and</w:t>
      </w:r>
      <w:r w:rsidRPr="009418BF">
        <w:rPr>
          <w:rFonts w:ascii="Book Antiqua" w:hAnsi="Book Antiqua"/>
        </w:rPr>
        <w:t xml:space="preserve"> a 5F catheter </w:t>
      </w:r>
      <w:r w:rsidRPr="009418BF">
        <w:rPr>
          <w:rFonts w:ascii="Book Antiqua" w:hAnsi="Book Antiqua"/>
        </w:rPr>
        <w:lastRenderedPageBreak/>
        <w:t xml:space="preserve">(Cobra or Simmons, Boston Scientific, Natick, MA, </w:t>
      </w:r>
      <w:r w:rsidR="00580648" w:rsidRPr="009418BF">
        <w:rPr>
          <w:rFonts w:ascii="Book Antiqua" w:hAnsi="Book Antiqua"/>
        </w:rPr>
        <w:t>U</w:t>
      </w:r>
      <w:r w:rsidR="00580648">
        <w:rPr>
          <w:rFonts w:ascii="Book Antiqua" w:hAnsi="Book Antiqua" w:hint="eastAsia"/>
          <w:lang w:eastAsia="zh-CN"/>
        </w:rPr>
        <w:t xml:space="preserve">nited </w:t>
      </w:r>
      <w:r w:rsidR="00580648" w:rsidRPr="009418BF">
        <w:rPr>
          <w:rFonts w:ascii="Book Antiqua" w:hAnsi="Book Antiqua"/>
        </w:rPr>
        <w:t>S</w:t>
      </w:r>
      <w:r w:rsidR="00580648">
        <w:rPr>
          <w:rFonts w:ascii="Book Antiqua" w:hAnsi="Book Antiqua" w:hint="eastAsia"/>
          <w:lang w:eastAsia="zh-CN"/>
        </w:rPr>
        <w:t>tates</w:t>
      </w:r>
      <w:r w:rsidRPr="009418BF">
        <w:rPr>
          <w:rFonts w:ascii="Book Antiqua" w:hAnsi="Book Antiqua"/>
        </w:rPr>
        <w:t>). The angiographic study of extrahepatic pathological branches in some HCC tumors (usually peripheral tumors) was based on a careful study of pre-TACE imaging or on missing parts of the</w:t>
      </w:r>
      <w:r w:rsidR="00ED71D5">
        <w:rPr>
          <w:rFonts w:ascii="Book Antiqua" w:hAnsi="Book Antiqua"/>
        </w:rPr>
        <w:t xml:space="preserve"> </w:t>
      </w:r>
      <w:r w:rsidRPr="009418BF">
        <w:rPr>
          <w:rFonts w:ascii="Book Antiqua" w:hAnsi="Book Antiqua"/>
        </w:rPr>
        <w:t xml:space="preserve">pathological </w:t>
      </w:r>
      <w:proofErr w:type="spellStart"/>
      <w:r w:rsidRPr="009418BF">
        <w:rPr>
          <w:rFonts w:ascii="Book Antiqua" w:hAnsi="Book Antiqua"/>
        </w:rPr>
        <w:t>tumor</w:t>
      </w:r>
      <w:proofErr w:type="spellEnd"/>
      <w:r w:rsidRPr="009418BF">
        <w:rPr>
          <w:rFonts w:ascii="Book Antiqua" w:hAnsi="Book Antiqua"/>
        </w:rPr>
        <w:t xml:space="preserve"> vascularization at the selective angiographic study.</w:t>
      </w:r>
    </w:p>
    <w:p w:rsidR="00874B42" w:rsidRPr="009418BF" w:rsidRDefault="00874B42" w:rsidP="00580648">
      <w:pPr>
        <w:spacing w:line="360" w:lineRule="auto"/>
        <w:ind w:firstLineChars="100" w:firstLine="240"/>
        <w:jc w:val="both"/>
        <w:rPr>
          <w:rFonts w:ascii="Book Antiqua" w:hAnsi="Book Antiqua"/>
        </w:rPr>
      </w:pPr>
      <w:r w:rsidRPr="009418BF">
        <w:rPr>
          <w:rFonts w:ascii="Book Antiqua" w:hAnsi="Book Antiqua"/>
        </w:rPr>
        <w:t xml:space="preserve">Selective studies of segmental and pathological feeding vessels were also performed using a coaxial micro catheter (Progreat 2.7F, Terumo, Tokyo, Japan), with a highly selective administration of the treatment. </w:t>
      </w:r>
    </w:p>
    <w:p w:rsidR="00874B42" w:rsidRPr="009418BF" w:rsidRDefault="00874B42" w:rsidP="00580648">
      <w:pPr>
        <w:spacing w:line="360" w:lineRule="auto"/>
        <w:ind w:firstLineChars="100" w:firstLine="240"/>
        <w:jc w:val="both"/>
        <w:rPr>
          <w:rFonts w:ascii="Book Antiqua" w:hAnsi="Book Antiqua"/>
        </w:rPr>
      </w:pPr>
      <w:r w:rsidRPr="009418BF">
        <w:rPr>
          <w:rFonts w:ascii="Book Antiqua" w:hAnsi="Book Antiqua"/>
        </w:rPr>
        <w:t xml:space="preserve">In cases presenting multifocal disease, the treatment never targeted more than three hepatic segments per session. </w:t>
      </w:r>
      <w:r w:rsidR="00E5046D" w:rsidRPr="009418BF">
        <w:rPr>
          <w:rFonts w:ascii="Book Antiqua" w:hAnsi="Book Antiqua"/>
        </w:rPr>
        <w:t>DEB-</w:t>
      </w:r>
      <w:r w:rsidRPr="009418BF">
        <w:rPr>
          <w:rFonts w:ascii="Book Antiqua" w:hAnsi="Book Antiqua"/>
        </w:rPr>
        <w:t>TACE was performed using a 2 m</w:t>
      </w:r>
      <w:r w:rsidR="00580648" w:rsidRPr="009418BF">
        <w:rPr>
          <w:rFonts w:ascii="Book Antiqua" w:hAnsi="Book Antiqua"/>
        </w:rPr>
        <w:t>L</w:t>
      </w:r>
      <w:r w:rsidR="00580648">
        <w:rPr>
          <w:rFonts w:ascii="Book Antiqua" w:hAnsi="Book Antiqua"/>
        </w:rPr>
        <w:t>/</w:t>
      </w:r>
      <w:r w:rsidR="00E5046D" w:rsidRPr="009418BF">
        <w:rPr>
          <w:rFonts w:ascii="Book Antiqua" w:hAnsi="Book Antiqua"/>
        </w:rPr>
        <w:t>100 mg of doxorubicin</w:t>
      </w:r>
      <w:r w:rsidR="00ED71D5">
        <w:rPr>
          <w:rFonts w:ascii="Book Antiqua" w:hAnsi="Book Antiqua"/>
        </w:rPr>
        <w:t xml:space="preserve"> </w:t>
      </w:r>
      <w:r w:rsidRPr="009418BF">
        <w:rPr>
          <w:rFonts w:ascii="Book Antiqua" w:hAnsi="Book Antiqua"/>
        </w:rPr>
        <w:t>(</w:t>
      </w:r>
      <w:proofErr w:type="spellStart"/>
      <w:r w:rsidRPr="009418BF">
        <w:rPr>
          <w:rFonts w:ascii="Book Antiqua" w:hAnsi="Book Antiqua"/>
        </w:rPr>
        <w:t>Adriblastina</w:t>
      </w:r>
      <w:proofErr w:type="spellEnd"/>
      <w:r w:rsidRPr="009418BF">
        <w:rPr>
          <w:rFonts w:ascii="Book Antiqua" w:hAnsi="Book Antiqua"/>
        </w:rPr>
        <w:t>, Pfizer, New York, NY, U</w:t>
      </w:r>
      <w:r w:rsidR="00607A2B">
        <w:rPr>
          <w:rFonts w:ascii="Book Antiqua" w:hAnsi="Book Antiqua" w:hint="eastAsia"/>
          <w:lang w:eastAsia="zh-CN"/>
        </w:rPr>
        <w:t xml:space="preserve">nited </w:t>
      </w:r>
      <w:r w:rsidRPr="009418BF">
        <w:rPr>
          <w:rFonts w:ascii="Book Antiqua" w:hAnsi="Book Antiqua"/>
        </w:rPr>
        <w:t>S</w:t>
      </w:r>
      <w:r w:rsidR="00607A2B">
        <w:rPr>
          <w:rFonts w:ascii="Book Antiqua" w:hAnsi="Book Antiqua" w:hint="eastAsia"/>
          <w:lang w:eastAsia="zh-CN"/>
        </w:rPr>
        <w:t>tates</w:t>
      </w:r>
      <w:r w:rsidRPr="009418BF">
        <w:rPr>
          <w:rFonts w:ascii="Book Antiqua" w:hAnsi="Book Antiqua"/>
        </w:rPr>
        <w:t>)</w:t>
      </w:r>
      <w:r w:rsidR="00E5046D" w:rsidRPr="009418BF">
        <w:rPr>
          <w:rFonts w:ascii="Book Antiqua" w:hAnsi="Book Antiqua"/>
        </w:rPr>
        <w:t xml:space="preserve"> loaded dose on </w:t>
      </w:r>
      <w:proofErr w:type="spellStart"/>
      <w:r w:rsidR="00ED71D5" w:rsidRPr="009418BF">
        <w:rPr>
          <w:rFonts w:ascii="Book Antiqua" w:hAnsi="Book Antiqua"/>
        </w:rPr>
        <w:t>embozene</w:t>
      </w:r>
      <w:proofErr w:type="spellEnd"/>
      <w:r w:rsidR="00ED71D5" w:rsidRPr="009418BF">
        <w:rPr>
          <w:rFonts w:ascii="Book Antiqua" w:hAnsi="Book Antiqua"/>
        </w:rPr>
        <w:t xml:space="preserve"> tandem</w:t>
      </w:r>
      <w:r w:rsidR="00E5046D" w:rsidRPr="009418BF">
        <w:rPr>
          <w:rFonts w:ascii="Book Antiqua" w:hAnsi="Book Antiqua"/>
        </w:rPr>
        <w:t xml:space="preserve"> 40 µm microspheres</w:t>
      </w:r>
      <w:r w:rsidRPr="009418BF">
        <w:rPr>
          <w:rFonts w:ascii="Book Antiqua" w:hAnsi="Book Antiqua"/>
        </w:rPr>
        <w:t xml:space="preserve">. </w:t>
      </w:r>
    </w:p>
    <w:p w:rsidR="00874B42" w:rsidRPr="009418BF" w:rsidRDefault="00874B42" w:rsidP="00580648">
      <w:pPr>
        <w:spacing w:line="360" w:lineRule="auto"/>
        <w:ind w:firstLineChars="100" w:firstLine="240"/>
        <w:jc w:val="both"/>
        <w:rPr>
          <w:rFonts w:ascii="Book Antiqua" w:hAnsi="Book Antiqua"/>
        </w:rPr>
      </w:pPr>
      <w:r w:rsidRPr="009418BF">
        <w:rPr>
          <w:rFonts w:ascii="Book Antiqua" w:hAnsi="Book Antiqua"/>
        </w:rPr>
        <w:t xml:space="preserve">In all performed </w:t>
      </w:r>
      <w:r w:rsidR="00E5046D" w:rsidRPr="009418BF">
        <w:rPr>
          <w:rFonts w:ascii="Book Antiqua" w:hAnsi="Book Antiqua"/>
        </w:rPr>
        <w:t>DEB-</w:t>
      </w:r>
      <w:r w:rsidRPr="009418BF">
        <w:rPr>
          <w:rFonts w:ascii="Book Antiqua" w:hAnsi="Book Antiqua"/>
        </w:rPr>
        <w:t xml:space="preserve">TACE treatments </w:t>
      </w:r>
      <w:proofErr w:type="spellStart"/>
      <w:r w:rsidR="00ED71D5" w:rsidRPr="009418BF">
        <w:rPr>
          <w:rFonts w:ascii="Book Antiqua" w:hAnsi="Book Antiqua"/>
        </w:rPr>
        <w:t>embozene</w:t>
      </w:r>
      <w:proofErr w:type="spellEnd"/>
      <w:r w:rsidR="00ED71D5" w:rsidRPr="009418BF">
        <w:rPr>
          <w:rFonts w:ascii="Book Antiqua" w:hAnsi="Book Antiqua"/>
        </w:rPr>
        <w:t xml:space="preserve"> tandem</w:t>
      </w:r>
      <w:r w:rsidR="00E5046D" w:rsidRPr="009418BF">
        <w:rPr>
          <w:rFonts w:ascii="Book Antiqua" w:hAnsi="Book Antiqua"/>
        </w:rPr>
        <w:t xml:space="preserve"> 40 µm microspheres </w:t>
      </w:r>
      <w:r w:rsidRPr="009418BF">
        <w:rPr>
          <w:rFonts w:ascii="Book Antiqua" w:hAnsi="Book Antiqua"/>
        </w:rPr>
        <w:t>were diluted in 20-30 m</w:t>
      </w:r>
      <w:r w:rsidR="00580648" w:rsidRPr="009418BF">
        <w:rPr>
          <w:rFonts w:ascii="Book Antiqua" w:hAnsi="Book Antiqua"/>
        </w:rPr>
        <w:t>L</w:t>
      </w:r>
      <w:r w:rsidRPr="009418BF">
        <w:rPr>
          <w:rFonts w:ascii="Book Antiqua" w:hAnsi="Book Antiqua"/>
        </w:rPr>
        <w:t xml:space="preserve"> of iodinated contrast medium (Iopamiro 370 mg/dL), slowly injected manually with a 3 m</w:t>
      </w:r>
      <w:r w:rsidR="00580648" w:rsidRPr="009418BF">
        <w:rPr>
          <w:rFonts w:ascii="Book Antiqua" w:hAnsi="Book Antiqua"/>
        </w:rPr>
        <w:t>L</w:t>
      </w:r>
      <w:r w:rsidRPr="009418BF">
        <w:rPr>
          <w:rFonts w:ascii="Book Antiqua" w:hAnsi="Book Antiqua"/>
        </w:rPr>
        <w:t xml:space="preserve"> syringe, applying gentle pressure, until blood flow stasis was </w:t>
      </w:r>
      <w:proofErr w:type="gramStart"/>
      <w:r w:rsidRPr="009418BF">
        <w:rPr>
          <w:rFonts w:ascii="Book Antiqua" w:hAnsi="Book Antiqua"/>
        </w:rPr>
        <w:t>induced</w:t>
      </w:r>
      <w:r w:rsidR="0024573F" w:rsidRPr="009418BF">
        <w:rPr>
          <w:rFonts w:ascii="Book Antiqua" w:hAnsi="Book Antiqua"/>
          <w:vertAlign w:val="superscript"/>
        </w:rPr>
        <w:t>[</w:t>
      </w:r>
      <w:proofErr w:type="gramEnd"/>
      <w:r w:rsidR="00F7287B" w:rsidRPr="009418BF">
        <w:rPr>
          <w:rFonts w:ascii="Book Antiqua" w:hAnsi="Book Antiqua"/>
          <w:vertAlign w:val="superscript"/>
        </w:rPr>
        <w:t>17</w:t>
      </w:r>
      <w:r w:rsidR="0024573F" w:rsidRPr="009418BF">
        <w:rPr>
          <w:rFonts w:ascii="Book Antiqua" w:hAnsi="Book Antiqua"/>
          <w:vertAlign w:val="superscript"/>
        </w:rPr>
        <w:t>]</w:t>
      </w:r>
      <w:r w:rsidRPr="009418BF">
        <w:rPr>
          <w:rFonts w:ascii="Book Antiqua" w:hAnsi="Book Antiqua"/>
        </w:rPr>
        <w:t>.</w:t>
      </w:r>
    </w:p>
    <w:p w:rsidR="00874B42" w:rsidRPr="009418BF" w:rsidRDefault="00874B42" w:rsidP="00580648">
      <w:pPr>
        <w:spacing w:line="360" w:lineRule="auto"/>
        <w:ind w:firstLineChars="100" w:firstLine="240"/>
        <w:jc w:val="both"/>
        <w:rPr>
          <w:rFonts w:ascii="Book Antiqua" w:hAnsi="Book Antiqua"/>
        </w:rPr>
      </w:pPr>
      <w:r w:rsidRPr="009418BF">
        <w:rPr>
          <w:rFonts w:ascii="Book Antiqua" w:hAnsi="Book Antiqua"/>
        </w:rPr>
        <w:t xml:space="preserve">Vasodilator drugs </w:t>
      </w:r>
      <w:r w:rsidRPr="00580648">
        <w:rPr>
          <w:rFonts w:ascii="Book Antiqua" w:hAnsi="Book Antiqua"/>
          <w:i/>
        </w:rPr>
        <w:t>via</w:t>
      </w:r>
      <w:r w:rsidRPr="009418BF">
        <w:rPr>
          <w:rFonts w:ascii="Book Antiqua" w:hAnsi="Book Antiqua"/>
        </w:rPr>
        <w:t xml:space="preserve"> transcatheter intra-arterial were not administered before starting chemoembolization with a view to expand to the maximum the neoplastic vascular network and theoretically increase the penetration of the particles and, accordingly, the potential effectiveness of the treatment as reported by some authors</w:t>
      </w:r>
      <w:r w:rsidR="0024573F" w:rsidRPr="009418BF">
        <w:rPr>
          <w:rFonts w:ascii="Book Antiqua" w:hAnsi="Book Antiqua"/>
          <w:vertAlign w:val="superscript"/>
        </w:rPr>
        <w:t>[</w:t>
      </w:r>
      <w:r w:rsidR="00F7287B" w:rsidRPr="009418BF">
        <w:rPr>
          <w:rFonts w:ascii="Book Antiqua" w:hAnsi="Book Antiqua"/>
          <w:vertAlign w:val="superscript"/>
        </w:rPr>
        <w:t>18</w:t>
      </w:r>
      <w:r w:rsidR="0024573F" w:rsidRPr="009418BF">
        <w:rPr>
          <w:rFonts w:ascii="Book Antiqua" w:hAnsi="Book Antiqua"/>
          <w:vertAlign w:val="superscript"/>
        </w:rPr>
        <w:t>]</w:t>
      </w:r>
      <w:r w:rsidRPr="009418BF">
        <w:rPr>
          <w:rFonts w:ascii="Book Antiqua" w:hAnsi="Book Antiqua"/>
        </w:rPr>
        <w:t xml:space="preserve">. Permanent or temporary embolizing materials were not used to complete </w:t>
      </w:r>
      <w:r w:rsidR="00E5046D" w:rsidRPr="009418BF">
        <w:rPr>
          <w:rFonts w:ascii="Book Antiqua" w:hAnsi="Book Antiqua"/>
        </w:rPr>
        <w:t>DEB-</w:t>
      </w:r>
      <w:r w:rsidRPr="009418BF">
        <w:rPr>
          <w:rFonts w:ascii="Book Antiqua" w:hAnsi="Book Antiqua"/>
        </w:rPr>
        <w:t>TACE in some tumors of greater dimensions where vascular stasis with only 40 µm drug eluting beads was not achieved. In such cases, a second treatment session has been scheduled after performing a CT/MRI investigation to assess that some conditions leading to the impossibility of repeating the treatment, such as the onset of ascites or portal vein thrombosis, had not occurred.</w:t>
      </w:r>
    </w:p>
    <w:p w:rsidR="00874B42" w:rsidRPr="009418BF" w:rsidRDefault="00874B42" w:rsidP="00580648">
      <w:pPr>
        <w:spacing w:line="360" w:lineRule="auto"/>
        <w:ind w:firstLineChars="100" w:firstLine="240"/>
        <w:jc w:val="both"/>
        <w:rPr>
          <w:rFonts w:ascii="Book Antiqua" w:hAnsi="Book Antiqua"/>
        </w:rPr>
      </w:pPr>
      <w:r w:rsidRPr="009418BF">
        <w:rPr>
          <w:rFonts w:ascii="Book Antiqua" w:hAnsi="Book Antiqua"/>
        </w:rPr>
        <w:t xml:space="preserve">Access haemostasis was achieved by a mechanical system, as Exoseal (Cordis, Miami Lakes, FL, </w:t>
      </w:r>
      <w:r w:rsidR="00580648" w:rsidRPr="009418BF">
        <w:rPr>
          <w:rFonts w:ascii="Book Antiqua" w:hAnsi="Book Antiqua"/>
        </w:rPr>
        <w:t>U</w:t>
      </w:r>
      <w:r w:rsidR="00580648">
        <w:rPr>
          <w:rFonts w:ascii="Book Antiqua" w:hAnsi="Book Antiqua" w:hint="eastAsia"/>
          <w:lang w:eastAsia="zh-CN"/>
        </w:rPr>
        <w:t xml:space="preserve">nited </w:t>
      </w:r>
      <w:r w:rsidR="00580648" w:rsidRPr="009418BF">
        <w:rPr>
          <w:rFonts w:ascii="Book Antiqua" w:hAnsi="Book Antiqua"/>
        </w:rPr>
        <w:t>S</w:t>
      </w:r>
      <w:r w:rsidR="00580648">
        <w:rPr>
          <w:rFonts w:ascii="Book Antiqua" w:hAnsi="Book Antiqua" w:hint="eastAsia"/>
          <w:lang w:eastAsia="zh-CN"/>
        </w:rPr>
        <w:t>tates</w:t>
      </w:r>
      <w:r w:rsidRPr="009418BF">
        <w:rPr>
          <w:rFonts w:ascii="Book Antiqua" w:hAnsi="Book Antiqua"/>
        </w:rPr>
        <w:t>), and a subsequent manual compression for about 3-5 min until haemostasis was achieved.</w:t>
      </w:r>
    </w:p>
    <w:p w:rsidR="00874B42" w:rsidRPr="009418BF" w:rsidRDefault="00874B42" w:rsidP="00580648">
      <w:pPr>
        <w:spacing w:line="360" w:lineRule="auto"/>
        <w:ind w:firstLineChars="100" w:firstLine="240"/>
        <w:jc w:val="both"/>
        <w:rPr>
          <w:rFonts w:ascii="Book Antiqua" w:hAnsi="Book Antiqua"/>
        </w:rPr>
      </w:pPr>
      <w:r w:rsidRPr="009418BF">
        <w:rPr>
          <w:rFonts w:ascii="Book Antiqua" w:hAnsi="Book Antiqua"/>
        </w:rPr>
        <w:t xml:space="preserve">Premedication included 100 mg of </w:t>
      </w:r>
      <w:proofErr w:type="spellStart"/>
      <w:r w:rsidRPr="009418BF">
        <w:rPr>
          <w:rFonts w:ascii="Book Antiqua" w:hAnsi="Book Antiqua"/>
        </w:rPr>
        <w:t>paracetamol</w:t>
      </w:r>
      <w:proofErr w:type="spellEnd"/>
      <w:r w:rsidRPr="009418BF">
        <w:rPr>
          <w:rFonts w:ascii="Book Antiqua" w:hAnsi="Book Antiqua"/>
        </w:rPr>
        <w:t xml:space="preserve"> (</w:t>
      </w:r>
      <w:proofErr w:type="spellStart"/>
      <w:r w:rsidRPr="009418BF">
        <w:rPr>
          <w:rFonts w:ascii="Book Antiqua" w:hAnsi="Book Antiqua"/>
        </w:rPr>
        <w:t>Paracetamolo</w:t>
      </w:r>
      <w:proofErr w:type="spellEnd"/>
      <w:r w:rsidRPr="009418BF">
        <w:rPr>
          <w:rFonts w:ascii="Book Antiqua" w:hAnsi="Book Antiqua"/>
        </w:rPr>
        <w:t xml:space="preserve"> 10 mg/m</w:t>
      </w:r>
      <w:r w:rsidR="00580648" w:rsidRPr="009418BF">
        <w:rPr>
          <w:rFonts w:ascii="Book Antiqua" w:hAnsi="Book Antiqua"/>
        </w:rPr>
        <w:t>L</w:t>
      </w:r>
      <w:r w:rsidRPr="009418BF">
        <w:rPr>
          <w:rFonts w:ascii="Book Antiqua" w:hAnsi="Book Antiqua"/>
        </w:rPr>
        <w:t xml:space="preserve"> S.A.L.F., Bergamo, Italy), 8 mg of </w:t>
      </w:r>
      <w:proofErr w:type="spellStart"/>
      <w:r w:rsidRPr="009418BF">
        <w:rPr>
          <w:rFonts w:ascii="Book Antiqua" w:hAnsi="Book Antiqua"/>
        </w:rPr>
        <w:t>ondansetron</w:t>
      </w:r>
      <w:proofErr w:type="spellEnd"/>
      <w:r w:rsidRPr="009418BF">
        <w:rPr>
          <w:rFonts w:ascii="Book Antiqua" w:hAnsi="Book Antiqua"/>
        </w:rPr>
        <w:t xml:space="preserve"> (</w:t>
      </w:r>
      <w:proofErr w:type="spellStart"/>
      <w:r w:rsidRPr="009418BF">
        <w:rPr>
          <w:rFonts w:ascii="Book Antiqua" w:hAnsi="Book Antiqua"/>
        </w:rPr>
        <w:t>Ondansetron</w:t>
      </w:r>
      <w:proofErr w:type="spellEnd"/>
      <w:r w:rsidRPr="009418BF">
        <w:rPr>
          <w:rFonts w:ascii="Book Antiqua" w:hAnsi="Book Antiqua"/>
        </w:rPr>
        <w:t xml:space="preserve"> 8 mg/4</w:t>
      </w:r>
      <w:r w:rsidR="00580648">
        <w:rPr>
          <w:rFonts w:ascii="Book Antiqua" w:hAnsi="Book Antiqua" w:hint="eastAsia"/>
          <w:lang w:eastAsia="zh-CN"/>
        </w:rPr>
        <w:t xml:space="preserve"> </w:t>
      </w:r>
      <w:r w:rsidRPr="009418BF">
        <w:rPr>
          <w:rFonts w:ascii="Book Antiqua" w:hAnsi="Book Antiqua"/>
        </w:rPr>
        <w:t xml:space="preserve">mL </w:t>
      </w:r>
      <w:proofErr w:type="spellStart"/>
      <w:r w:rsidRPr="009418BF">
        <w:rPr>
          <w:rFonts w:ascii="Book Antiqua" w:hAnsi="Book Antiqua"/>
        </w:rPr>
        <w:t>Hikma</w:t>
      </w:r>
      <w:proofErr w:type="spellEnd"/>
      <w:r w:rsidRPr="009418BF">
        <w:rPr>
          <w:rFonts w:ascii="Book Antiqua" w:hAnsi="Book Antiqua"/>
        </w:rPr>
        <w:t xml:space="preserve">, </w:t>
      </w:r>
      <w:proofErr w:type="spellStart"/>
      <w:r w:rsidRPr="009418BF">
        <w:rPr>
          <w:rFonts w:ascii="Book Antiqua" w:hAnsi="Book Antiqua"/>
        </w:rPr>
        <w:t>Fervença</w:t>
      </w:r>
      <w:proofErr w:type="spellEnd"/>
      <w:r w:rsidRPr="009418BF">
        <w:rPr>
          <w:rFonts w:ascii="Book Antiqua" w:hAnsi="Book Antiqua"/>
        </w:rPr>
        <w:t>, Portugal) and 50 mg of ranitidine (</w:t>
      </w:r>
      <w:proofErr w:type="spellStart"/>
      <w:r w:rsidRPr="009418BF">
        <w:rPr>
          <w:rFonts w:ascii="Book Antiqua" w:hAnsi="Book Antiqua"/>
        </w:rPr>
        <w:t>Ranitidina</w:t>
      </w:r>
      <w:proofErr w:type="spellEnd"/>
      <w:r w:rsidRPr="009418BF">
        <w:rPr>
          <w:rFonts w:ascii="Book Antiqua" w:hAnsi="Book Antiqua"/>
        </w:rPr>
        <w:t xml:space="preserve"> 50 mg/5 m</w:t>
      </w:r>
      <w:r w:rsidR="00580648" w:rsidRPr="009418BF">
        <w:rPr>
          <w:rFonts w:ascii="Book Antiqua" w:hAnsi="Book Antiqua"/>
        </w:rPr>
        <w:t>L</w:t>
      </w:r>
      <w:r w:rsidRPr="009418BF">
        <w:rPr>
          <w:rFonts w:ascii="Book Antiqua" w:hAnsi="Book Antiqua"/>
        </w:rPr>
        <w:t>, S.A.L.F., Bergamo, Italy).</w:t>
      </w:r>
      <w:r w:rsidR="00580648">
        <w:rPr>
          <w:rFonts w:ascii="Book Antiqua" w:hAnsi="Book Antiqua" w:hint="eastAsia"/>
          <w:lang w:eastAsia="zh-CN"/>
        </w:rPr>
        <w:t xml:space="preserve"> </w:t>
      </w:r>
      <w:r w:rsidRPr="009418BF">
        <w:rPr>
          <w:rFonts w:ascii="Book Antiqua" w:hAnsi="Book Antiqua"/>
        </w:rPr>
        <w:lastRenderedPageBreak/>
        <w:t xml:space="preserve">Intravenous antibiotic prophylaxis was administered with 2 g of cefazolin (Cefamizin, Pfizer, New York, NY, </w:t>
      </w:r>
      <w:r w:rsidR="00580648" w:rsidRPr="009418BF">
        <w:rPr>
          <w:rFonts w:ascii="Book Antiqua" w:hAnsi="Book Antiqua"/>
        </w:rPr>
        <w:t>U</w:t>
      </w:r>
      <w:r w:rsidR="00580648">
        <w:rPr>
          <w:rFonts w:ascii="Book Antiqua" w:hAnsi="Book Antiqua" w:hint="eastAsia"/>
          <w:lang w:eastAsia="zh-CN"/>
        </w:rPr>
        <w:t xml:space="preserve">nited </w:t>
      </w:r>
      <w:r w:rsidR="00580648" w:rsidRPr="009418BF">
        <w:rPr>
          <w:rFonts w:ascii="Book Antiqua" w:hAnsi="Book Antiqua"/>
        </w:rPr>
        <w:t>S</w:t>
      </w:r>
      <w:r w:rsidR="00580648">
        <w:rPr>
          <w:rFonts w:ascii="Book Antiqua" w:hAnsi="Book Antiqua" w:hint="eastAsia"/>
          <w:lang w:eastAsia="zh-CN"/>
        </w:rPr>
        <w:t>tates</w:t>
      </w:r>
      <w:r w:rsidRPr="009418BF">
        <w:rPr>
          <w:rFonts w:ascii="Book Antiqua" w:hAnsi="Book Antiqua"/>
        </w:rPr>
        <w:t>) consistent with the hospital internal guidelines.</w:t>
      </w:r>
    </w:p>
    <w:p w:rsidR="009E0FE3" w:rsidRPr="009418BF" w:rsidRDefault="009E0FE3" w:rsidP="009418BF">
      <w:pPr>
        <w:spacing w:line="360" w:lineRule="auto"/>
        <w:jc w:val="both"/>
        <w:rPr>
          <w:rFonts w:ascii="Book Antiqua" w:hAnsi="Book Antiqua"/>
        </w:rPr>
      </w:pPr>
    </w:p>
    <w:p w:rsidR="009E0FE3" w:rsidRPr="00580648" w:rsidRDefault="009E0FE3" w:rsidP="009418BF">
      <w:pPr>
        <w:spacing w:line="360" w:lineRule="auto"/>
        <w:jc w:val="both"/>
        <w:rPr>
          <w:rFonts w:ascii="Book Antiqua" w:hAnsi="Book Antiqua"/>
          <w:b/>
          <w:i/>
        </w:rPr>
      </w:pPr>
      <w:r w:rsidRPr="00580648">
        <w:rPr>
          <w:rFonts w:ascii="Book Antiqua" w:hAnsi="Book Antiqua"/>
          <w:b/>
          <w:i/>
        </w:rPr>
        <w:t>Hospitalization</w:t>
      </w:r>
      <w:r w:rsidR="00580648" w:rsidRPr="00580648">
        <w:rPr>
          <w:rFonts w:ascii="Book Antiqua" w:hAnsi="Book Antiqua"/>
          <w:b/>
          <w:i/>
        </w:rPr>
        <w:t>, adverse events and toxicity</w:t>
      </w:r>
    </w:p>
    <w:p w:rsidR="009C4694" w:rsidRPr="009418BF" w:rsidRDefault="009C4694" w:rsidP="009418BF">
      <w:pPr>
        <w:spacing w:line="360" w:lineRule="auto"/>
        <w:jc w:val="both"/>
        <w:rPr>
          <w:rFonts w:ascii="Book Antiqua" w:hAnsi="Book Antiqua"/>
        </w:rPr>
      </w:pPr>
      <w:r w:rsidRPr="009418BF">
        <w:rPr>
          <w:rFonts w:ascii="Book Antiqua" w:hAnsi="Book Antiqua"/>
        </w:rPr>
        <w:t>Patients were discharged after a brief observation period (48-72</w:t>
      </w:r>
      <w:r w:rsidR="00A449F0">
        <w:rPr>
          <w:rFonts w:ascii="Book Antiqua" w:hAnsi="Book Antiqua" w:hint="eastAsia"/>
          <w:lang w:eastAsia="zh-CN"/>
        </w:rPr>
        <w:t xml:space="preserve"> </w:t>
      </w:r>
      <w:r w:rsidRPr="009418BF">
        <w:rPr>
          <w:rFonts w:ascii="Book Antiqua" w:hAnsi="Book Antiqua"/>
        </w:rPr>
        <w:t>h). Clinical evaluation and assessment of treatment-related toxicity were performed on an outpatient basis with physician’s visits and laboratory tests</w:t>
      </w:r>
      <w:r w:rsidR="00874B42" w:rsidRPr="009418BF">
        <w:rPr>
          <w:rFonts w:ascii="Book Antiqua" w:hAnsi="Book Antiqua"/>
        </w:rPr>
        <w:t xml:space="preserve"> 12, 24 and 48 h after TACE,</w:t>
      </w:r>
      <w:r w:rsidR="008A19C7">
        <w:rPr>
          <w:rFonts w:ascii="Book Antiqua" w:hAnsi="Book Antiqua"/>
        </w:rPr>
        <w:t xml:space="preserve"> 4 </w:t>
      </w:r>
      <w:proofErr w:type="spellStart"/>
      <w:r w:rsidR="008A19C7">
        <w:rPr>
          <w:rFonts w:ascii="Book Antiqua" w:hAnsi="Book Antiqua"/>
        </w:rPr>
        <w:t>wk</w:t>
      </w:r>
      <w:proofErr w:type="spellEnd"/>
      <w:r w:rsidRPr="009418BF">
        <w:rPr>
          <w:rFonts w:ascii="Book Antiqua" w:hAnsi="Book Antiqua"/>
        </w:rPr>
        <w:t xml:space="preserve"> </w:t>
      </w:r>
      <w:r w:rsidR="00874B42" w:rsidRPr="009418BF">
        <w:rPr>
          <w:rFonts w:ascii="Book Antiqua" w:hAnsi="Book Antiqua"/>
        </w:rPr>
        <w:t xml:space="preserve">later and </w:t>
      </w:r>
      <w:r w:rsidRPr="009418BF">
        <w:rPr>
          <w:rFonts w:ascii="Book Antiqua" w:hAnsi="Book Antiqua"/>
        </w:rPr>
        <w:t xml:space="preserve">every 3 </w:t>
      </w:r>
      <w:proofErr w:type="spellStart"/>
      <w:r w:rsidRPr="009418BF">
        <w:rPr>
          <w:rFonts w:ascii="Book Antiqua" w:hAnsi="Book Antiqua"/>
        </w:rPr>
        <w:t>mo</w:t>
      </w:r>
      <w:proofErr w:type="spellEnd"/>
      <w:r w:rsidRPr="009418BF">
        <w:rPr>
          <w:rFonts w:ascii="Book Antiqua" w:hAnsi="Book Antiqua"/>
        </w:rPr>
        <w:t xml:space="preserve"> thereafter. A</w:t>
      </w:r>
      <w:r w:rsidR="00E5046D" w:rsidRPr="009418BF">
        <w:rPr>
          <w:rFonts w:ascii="Book Antiqua" w:hAnsi="Book Antiqua"/>
        </w:rPr>
        <w:t>E</w:t>
      </w:r>
      <w:r w:rsidRPr="009418BF">
        <w:rPr>
          <w:rFonts w:ascii="Book Antiqua" w:hAnsi="Book Antiqua"/>
        </w:rPr>
        <w:t xml:space="preserve"> were defined as treatment related if occurred during hospital stay or within 30 d from treatment. Safety parameters were classified according to the Common Terminology Criteria for Adverse Events (CTCAE) 4.0</w:t>
      </w:r>
      <w:r w:rsidR="0024573F" w:rsidRPr="009418BF">
        <w:rPr>
          <w:rFonts w:ascii="Book Antiqua" w:hAnsi="Book Antiqua"/>
          <w:vertAlign w:val="superscript"/>
        </w:rPr>
        <w:t>[</w:t>
      </w:r>
      <w:r w:rsidR="00F7287B" w:rsidRPr="009418BF">
        <w:rPr>
          <w:rFonts w:ascii="Book Antiqua" w:hAnsi="Book Antiqua"/>
          <w:vertAlign w:val="superscript"/>
        </w:rPr>
        <w:t>19</w:t>
      </w:r>
      <w:r w:rsidR="0024573F" w:rsidRPr="009418BF">
        <w:rPr>
          <w:rFonts w:ascii="Book Antiqua" w:hAnsi="Book Antiqua"/>
          <w:vertAlign w:val="superscript"/>
        </w:rPr>
        <w:t>]</w:t>
      </w:r>
      <w:r w:rsidRPr="009418BF">
        <w:rPr>
          <w:rFonts w:ascii="Book Antiqua" w:hAnsi="Book Antiqua"/>
        </w:rPr>
        <w:t xml:space="preserve"> at each follow-up visit. </w:t>
      </w:r>
    </w:p>
    <w:p w:rsidR="006553BC" w:rsidRPr="009418BF" w:rsidRDefault="006553BC" w:rsidP="009418BF">
      <w:pPr>
        <w:spacing w:line="360" w:lineRule="auto"/>
        <w:jc w:val="both"/>
        <w:rPr>
          <w:rFonts w:ascii="Book Antiqua" w:hAnsi="Book Antiqua"/>
        </w:rPr>
      </w:pPr>
    </w:p>
    <w:p w:rsidR="006553BC" w:rsidRPr="008A19C7" w:rsidRDefault="006553BC" w:rsidP="009418BF">
      <w:pPr>
        <w:spacing w:line="360" w:lineRule="auto"/>
        <w:jc w:val="both"/>
        <w:rPr>
          <w:rFonts w:ascii="Book Antiqua" w:hAnsi="Book Antiqua"/>
          <w:b/>
          <w:i/>
        </w:rPr>
      </w:pPr>
      <w:r w:rsidRPr="008A19C7">
        <w:rPr>
          <w:rFonts w:ascii="Book Antiqua" w:hAnsi="Book Antiqua"/>
          <w:b/>
          <w:i/>
        </w:rPr>
        <w:t>Imaging</w:t>
      </w:r>
      <w:r w:rsidR="008A19C7" w:rsidRPr="008A19C7">
        <w:rPr>
          <w:rFonts w:ascii="Book Antiqua" w:hAnsi="Book Antiqua"/>
          <w:b/>
          <w:i/>
        </w:rPr>
        <w:t xml:space="preserve"> evaluation and follow-up</w:t>
      </w:r>
    </w:p>
    <w:p w:rsidR="006553BC" w:rsidRPr="00C63C9E" w:rsidRDefault="006553BC" w:rsidP="009418BF">
      <w:pPr>
        <w:spacing w:line="360" w:lineRule="auto"/>
        <w:jc w:val="both"/>
        <w:rPr>
          <w:rFonts w:ascii="Book Antiqua" w:hAnsi="Book Antiqua"/>
        </w:rPr>
      </w:pPr>
      <w:r w:rsidRPr="00C63C9E">
        <w:rPr>
          <w:rFonts w:ascii="Book Antiqua" w:hAnsi="Book Antiqua"/>
        </w:rPr>
        <w:t xml:space="preserve">Two radiologists (Dr. </w:t>
      </w:r>
      <w:r w:rsidR="00C63C9E" w:rsidRPr="00C63C9E">
        <w:rPr>
          <w:rFonts w:ascii="Book Antiqua" w:hAnsi="Book Antiqua"/>
          <w:lang w:val="it-IT"/>
        </w:rPr>
        <w:t>Carlo Spreafico</w:t>
      </w:r>
      <w:r w:rsidRPr="00C63C9E">
        <w:rPr>
          <w:rFonts w:ascii="Book Antiqua" w:hAnsi="Book Antiqua"/>
        </w:rPr>
        <w:t xml:space="preserve"> and Dr. </w:t>
      </w:r>
      <w:r w:rsidR="00C63C9E" w:rsidRPr="00C63C9E">
        <w:rPr>
          <w:rFonts w:ascii="Book Antiqua" w:hAnsi="Book Antiqua"/>
          <w:lang w:val="it-IT"/>
        </w:rPr>
        <w:t>Giorgio Greco</w:t>
      </w:r>
      <w:r w:rsidRPr="00C63C9E">
        <w:rPr>
          <w:rFonts w:ascii="Book Antiqua" w:hAnsi="Book Antiqua"/>
        </w:rPr>
        <w:t xml:space="preserve">) </w:t>
      </w:r>
      <w:r w:rsidR="00E5046D" w:rsidRPr="00C63C9E">
        <w:rPr>
          <w:rFonts w:ascii="Book Antiqua" w:hAnsi="Book Antiqua"/>
        </w:rPr>
        <w:t xml:space="preserve">both </w:t>
      </w:r>
      <w:r w:rsidRPr="00C63C9E">
        <w:rPr>
          <w:rFonts w:ascii="Book Antiqua" w:hAnsi="Book Antiqua"/>
        </w:rPr>
        <w:t>experienced in interventional radiology and interventional hepatic imaging performed all radiological assessments</w:t>
      </w:r>
      <w:r w:rsidR="00E5046D" w:rsidRPr="00C63C9E">
        <w:rPr>
          <w:rFonts w:ascii="Book Antiqua" w:hAnsi="Book Antiqua"/>
        </w:rPr>
        <w:t xml:space="preserve"> independently</w:t>
      </w:r>
      <w:r w:rsidRPr="00C63C9E">
        <w:rPr>
          <w:rFonts w:ascii="Book Antiqua" w:hAnsi="Book Antiqua"/>
        </w:rPr>
        <w:t xml:space="preserve">. </w:t>
      </w:r>
    </w:p>
    <w:p w:rsidR="00E52C5E" w:rsidRPr="009418BF" w:rsidRDefault="006553BC" w:rsidP="00C63C9E">
      <w:pPr>
        <w:spacing w:line="360" w:lineRule="auto"/>
        <w:ind w:firstLineChars="100" w:firstLine="240"/>
        <w:jc w:val="both"/>
        <w:rPr>
          <w:rFonts w:ascii="Book Antiqua" w:hAnsi="Book Antiqua"/>
        </w:rPr>
      </w:pPr>
      <w:proofErr w:type="spellStart"/>
      <w:r w:rsidRPr="009418BF">
        <w:rPr>
          <w:rFonts w:ascii="Book Antiqua" w:hAnsi="Book Antiqua"/>
        </w:rPr>
        <w:t>Tumoral</w:t>
      </w:r>
      <w:proofErr w:type="spellEnd"/>
      <w:r w:rsidRPr="009418BF">
        <w:rPr>
          <w:rFonts w:ascii="Book Antiqua" w:hAnsi="Book Antiqua"/>
        </w:rPr>
        <w:t xml:space="preserve"> response to treatment was assessed according to RECIST and mRECIST with a CT scan or M</w:t>
      </w:r>
      <w:r w:rsidR="00C63C9E">
        <w:rPr>
          <w:rFonts w:ascii="Book Antiqua" w:hAnsi="Book Antiqua"/>
        </w:rPr>
        <w:t xml:space="preserve">RI investigation performed 4 </w:t>
      </w:r>
      <w:proofErr w:type="spellStart"/>
      <w:r w:rsidR="00C63C9E">
        <w:rPr>
          <w:rFonts w:ascii="Book Antiqua" w:hAnsi="Book Antiqua"/>
        </w:rPr>
        <w:t>wk</w:t>
      </w:r>
      <w:proofErr w:type="spellEnd"/>
      <w:r w:rsidRPr="009418BF">
        <w:rPr>
          <w:rFonts w:ascii="Book Antiqua" w:hAnsi="Book Antiqua"/>
        </w:rPr>
        <w:t xml:space="preserve"> after </w:t>
      </w:r>
      <w:r w:rsidR="00E5046D" w:rsidRPr="009418BF">
        <w:rPr>
          <w:rFonts w:ascii="Book Antiqua" w:hAnsi="Book Antiqua"/>
        </w:rPr>
        <w:t>DEB-</w:t>
      </w:r>
      <w:r w:rsidRPr="009418BF">
        <w:rPr>
          <w:rFonts w:ascii="Book Antiqua" w:hAnsi="Book Antiqua"/>
        </w:rPr>
        <w:t xml:space="preserve">TACE and, then, every 3 </w:t>
      </w:r>
      <w:proofErr w:type="spellStart"/>
      <w:r w:rsidRPr="009418BF">
        <w:rPr>
          <w:rFonts w:ascii="Book Antiqua" w:hAnsi="Book Antiqua"/>
        </w:rPr>
        <w:t>mo</w:t>
      </w:r>
      <w:proofErr w:type="spellEnd"/>
      <w:r w:rsidRPr="009418BF">
        <w:rPr>
          <w:rFonts w:ascii="Book Antiqua" w:hAnsi="Book Antiqua"/>
        </w:rPr>
        <w:t xml:space="preserve"> during the follow-up </w:t>
      </w:r>
      <w:proofErr w:type="gramStart"/>
      <w:r w:rsidRPr="009418BF">
        <w:rPr>
          <w:rFonts w:ascii="Book Antiqua" w:hAnsi="Book Antiqua"/>
        </w:rPr>
        <w:t>period</w:t>
      </w:r>
      <w:r w:rsidR="0024573F" w:rsidRPr="009418BF">
        <w:rPr>
          <w:rFonts w:ascii="Book Antiqua" w:hAnsi="Book Antiqua"/>
          <w:vertAlign w:val="superscript"/>
        </w:rPr>
        <w:t>[</w:t>
      </w:r>
      <w:proofErr w:type="gramEnd"/>
      <w:r w:rsidR="0047350E" w:rsidRPr="009418BF">
        <w:rPr>
          <w:rFonts w:ascii="Book Antiqua" w:hAnsi="Book Antiqua"/>
          <w:vertAlign w:val="superscript"/>
        </w:rPr>
        <w:t>20</w:t>
      </w:r>
      <w:r w:rsidR="0024573F" w:rsidRPr="009418BF">
        <w:rPr>
          <w:rFonts w:ascii="Book Antiqua" w:hAnsi="Book Antiqua"/>
          <w:vertAlign w:val="superscript"/>
        </w:rPr>
        <w:t>]</w:t>
      </w:r>
      <w:r w:rsidRPr="009418BF">
        <w:rPr>
          <w:rFonts w:ascii="Book Antiqua" w:hAnsi="Book Antiqua"/>
        </w:rPr>
        <w:t>.</w:t>
      </w:r>
    </w:p>
    <w:p w:rsidR="009C4694" w:rsidRPr="009418BF" w:rsidRDefault="009C4694" w:rsidP="00C63C9E">
      <w:pPr>
        <w:spacing w:line="360" w:lineRule="auto"/>
        <w:ind w:firstLineChars="100" w:firstLine="240"/>
        <w:jc w:val="both"/>
        <w:rPr>
          <w:rFonts w:ascii="Book Antiqua" w:hAnsi="Book Antiqua"/>
        </w:rPr>
      </w:pPr>
      <w:r w:rsidRPr="009418BF">
        <w:rPr>
          <w:rFonts w:ascii="Book Antiqua" w:hAnsi="Book Antiqua"/>
        </w:rPr>
        <w:t xml:space="preserve">A second treatment session, according to the “on demand” policy, was scheduled in case of partial response (PR) or stable disease (SD) after performing blood chemistry tests documenting good preserved hepatic function and continuity in the eligibility criteria for treatment. </w:t>
      </w:r>
    </w:p>
    <w:p w:rsidR="009C4694" w:rsidRPr="009418BF" w:rsidRDefault="009C4694" w:rsidP="00C63C9E">
      <w:pPr>
        <w:spacing w:line="360" w:lineRule="auto"/>
        <w:ind w:firstLineChars="100" w:firstLine="240"/>
        <w:jc w:val="both"/>
        <w:rPr>
          <w:rFonts w:ascii="Book Antiqua" w:hAnsi="Book Antiqua"/>
        </w:rPr>
      </w:pPr>
      <w:r w:rsidRPr="009418BF">
        <w:rPr>
          <w:rFonts w:ascii="Book Antiqua" w:hAnsi="Book Antiqua"/>
        </w:rPr>
        <w:t xml:space="preserve">In case of repeated </w:t>
      </w:r>
      <w:r w:rsidR="00E5046D" w:rsidRPr="009418BF">
        <w:rPr>
          <w:rFonts w:ascii="Book Antiqua" w:hAnsi="Book Antiqua"/>
        </w:rPr>
        <w:t>DEB-</w:t>
      </w:r>
      <w:r w:rsidRPr="009418BF">
        <w:rPr>
          <w:rFonts w:ascii="Book Antiqua" w:hAnsi="Book Antiqua"/>
        </w:rPr>
        <w:t xml:space="preserve">TACE sessions, only the best response was considered for analytical purposes since this has been recently proved a better predictor of survival than the initial </w:t>
      </w:r>
      <w:proofErr w:type="gramStart"/>
      <w:r w:rsidRPr="009418BF">
        <w:rPr>
          <w:rFonts w:ascii="Book Antiqua" w:hAnsi="Book Antiqua"/>
        </w:rPr>
        <w:t>response</w:t>
      </w:r>
      <w:r w:rsidR="0024573F" w:rsidRPr="009418BF">
        <w:rPr>
          <w:rFonts w:ascii="Book Antiqua" w:hAnsi="Book Antiqua"/>
          <w:vertAlign w:val="superscript"/>
        </w:rPr>
        <w:t>[</w:t>
      </w:r>
      <w:proofErr w:type="gramEnd"/>
      <w:r w:rsidR="00F7287B" w:rsidRPr="009418BF">
        <w:rPr>
          <w:rFonts w:ascii="Book Antiqua" w:hAnsi="Book Antiqua"/>
          <w:vertAlign w:val="superscript"/>
        </w:rPr>
        <w:t>21</w:t>
      </w:r>
      <w:r w:rsidR="0024573F" w:rsidRPr="009418BF">
        <w:rPr>
          <w:rFonts w:ascii="Book Antiqua" w:hAnsi="Book Antiqua"/>
          <w:vertAlign w:val="superscript"/>
        </w:rPr>
        <w:t>]</w:t>
      </w:r>
      <w:r w:rsidRPr="009418BF">
        <w:rPr>
          <w:rFonts w:ascii="Book Antiqua" w:hAnsi="Book Antiqua"/>
        </w:rPr>
        <w:t>.</w:t>
      </w:r>
      <w:r w:rsidR="00C63C9E">
        <w:rPr>
          <w:rFonts w:ascii="Book Antiqua" w:hAnsi="Book Antiqua" w:hint="eastAsia"/>
          <w:lang w:eastAsia="zh-CN"/>
        </w:rPr>
        <w:t xml:space="preserve"> </w:t>
      </w:r>
      <w:r w:rsidRPr="009418BF">
        <w:rPr>
          <w:rFonts w:ascii="Book Antiqua" w:hAnsi="Book Antiqua"/>
        </w:rPr>
        <w:t xml:space="preserve">In patients submitted to OLT, the treated </w:t>
      </w:r>
      <w:r w:rsidR="0056287F" w:rsidRPr="009418BF">
        <w:rPr>
          <w:rFonts w:ascii="Book Antiqua" w:hAnsi="Book Antiqua"/>
        </w:rPr>
        <w:t>tumor</w:t>
      </w:r>
      <w:r w:rsidRPr="009418BF">
        <w:rPr>
          <w:rFonts w:ascii="Book Antiqua" w:hAnsi="Book Antiqua"/>
        </w:rPr>
        <w:t>s were histologically analysed during the months after treatment with targeted definition of necrosis induced by TACE.</w:t>
      </w:r>
    </w:p>
    <w:p w:rsidR="006553BC" w:rsidRPr="009418BF" w:rsidRDefault="006553BC" w:rsidP="009418BF">
      <w:pPr>
        <w:spacing w:line="360" w:lineRule="auto"/>
        <w:jc w:val="both"/>
        <w:rPr>
          <w:rFonts w:ascii="Book Antiqua" w:hAnsi="Book Antiqua"/>
        </w:rPr>
      </w:pPr>
    </w:p>
    <w:p w:rsidR="00C63C9E" w:rsidRPr="00C63C9E" w:rsidRDefault="006553BC" w:rsidP="009418BF">
      <w:pPr>
        <w:spacing w:line="360" w:lineRule="auto"/>
        <w:jc w:val="both"/>
        <w:rPr>
          <w:rFonts w:ascii="Book Antiqua" w:hAnsi="Book Antiqua"/>
          <w:b/>
          <w:i/>
          <w:lang w:eastAsia="zh-CN"/>
        </w:rPr>
      </w:pPr>
      <w:r w:rsidRPr="00C63C9E">
        <w:rPr>
          <w:rFonts w:ascii="Book Antiqua" w:hAnsi="Book Antiqua"/>
          <w:b/>
          <w:i/>
        </w:rPr>
        <w:t>Sta</w:t>
      </w:r>
      <w:r w:rsidR="00E52C5E" w:rsidRPr="00C63C9E">
        <w:rPr>
          <w:rFonts w:ascii="Book Antiqua" w:hAnsi="Book Antiqua"/>
          <w:b/>
          <w:i/>
        </w:rPr>
        <w:t>tistical analy</w:t>
      </w:r>
      <w:r w:rsidRPr="00C63C9E">
        <w:rPr>
          <w:rFonts w:ascii="Book Antiqua" w:hAnsi="Book Antiqua"/>
          <w:b/>
          <w:i/>
        </w:rPr>
        <w:t xml:space="preserve">sis </w:t>
      </w:r>
    </w:p>
    <w:p w:rsidR="008864F2" w:rsidRPr="00B60361" w:rsidRDefault="009C4694" w:rsidP="009418BF">
      <w:pPr>
        <w:spacing w:line="360" w:lineRule="auto"/>
        <w:jc w:val="both"/>
        <w:rPr>
          <w:rFonts w:ascii="Book Antiqua" w:hAnsi="Book Antiqua"/>
        </w:rPr>
      </w:pPr>
      <w:r w:rsidRPr="009418BF">
        <w:rPr>
          <w:rFonts w:ascii="Book Antiqua" w:hAnsi="Book Antiqua"/>
        </w:rPr>
        <w:t>The descriptive statistical analysis was expressed as median and range in the case of continuous variables and absolute numbers and percentage in the case of categorical ones.</w:t>
      </w:r>
      <w:r w:rsidR="00B60361">
        <w:rPr>
          <w:rFonts w:ascii="Book Antiqua" w:hAnsi="Book Antiqua" w:hint="eastAsia"/>
          <w:lang w:eastAsia="zh-CN"/>
        </w:rPr>
        <w:t xml:space="preserve"> </w:t>
      </w:r>
      <w:r w:rsidRPr="009418BF">
        <w:rPr>
          <w:rFonts w:ascii="Book Antiqua" w:hAnsi="Book Antiqua"/>
        </w:rPr>
        <w:t xml:space="preserve">Time to best response and TTP were calculated with the Kaplan-Meyer method, computed </w:t>
      </w:r>
      <w:r w:rsidRPr="009418BF">
        <w:rPr>
          <w:rFonts w:ascii="Book Antiqua" w:hAnsi="Book Antiqua"/>
        </w:rPr>
        <w:lastRenderedPageBreak/>
        <w:t>from the time of the first treatment and censored to the day of transplantation in transplant patients. All calculations were obtained with the SPSS software (IBM, Armonk, NY, U</w:t>
      </w:r>
      <w:r w:rsidR="00B60361">
        <w:rPr>
          <w:rFonts w:ascii="Book Antiqua" w:hAnsi="Book Antiqua" w:hint="eastAsia"/>
          <w:lang w:eastAsia="zh-CN"/>
        </w:rPr>
        <w:t xml:space="preserve">nited </w:t>
      </w:r>
      <w:r w:rsidRPr="009418BF">
        <w:rPr>
          <w:rFonts w:ascii="Book Antiqua" w:hAnsi="Book Antiqua"/>
        </w:rPr>
        <w:t>S</w:t>
      </w:r>
      <w:r w:rsidR="00B60361">
        <w:rPr>
          <w:rFonts w:ascii="Book Antiqua" w:hAnsi="Book Antiqua" w:hint="eastAsia"/>
          <w:lang w:eastAsia="zh-CN"/>
        </w:rPr>
        <w:t>tates</w:t>
      </w:r>
      <w:r w:rsidRPr="009418BF">
        <w:rPr>
          <w:rFonts w:ascii="Book Antiqua" w:hAnsi="Book Antiqua"/>
        </w:rPr>
        <w:t>).</w:t>
      </w:r>
      <w:r w:rsidR="008864F2" w:rsidRPr="009418BF">
        <w:rPr>
          <w:rFonts w:ascii="Book Antiqua" w:hAnsi="Book Antiqua"/>
        </w:rPr>
        <w:t xml:space="preserve"> </w:t>
      </w:r>
      <w:r w:rsidR="008864F2" w:rsidRPr="009418BF">
        <w:rPr>
          <w:rFonts w:ascii="Book Antiqua" w:hAnsi="Book Antiqua"/>
          <w:bCs/>
          <w:iCs/>
        </w:rPr>
        <w:t>The statistical review of the study was performed by a biomedical statistician.</w:t>
      </w:r>
    </w:p>
    <w:p w:rsidR="009C4694" w:rsidRPr="009418BF" w:rsidRDefault="009C4694" w:rsidP="009418BF">
      <w:pPr>
        <w:spacing w:line="360" w:lineRule="auto"/>
        <w:jc w:val="both"/>
        <w:rPr>
          <w:rFonts w:ascii="Book Antiqua" w:hAnsi="Book Antiqua"/>
          <w:b/>
          <w:lang w:eastAsia="zh-CN"/>
        </w:rPr>
      </w:pPr>
    </w:p>
    <w:p w:rsidR="009C4694" w:rsidRPr="009418BF" w:rsidRDefault="00B60361" w:rsidP="009418BF">
      <w:pPr>
        <w:spacing w:line="360" w:lineRule="auto"/>
        <w:jc w:val="both"/>
        <w:rPr>
          <w:rFonts w:ascii="Book Antiqua" w:hAnsi="Book Antiqua"/>
          <w:b/>
        </w:rPr>
      </w:pPr>
      <w:r w:rsidRPr="009418BF">
        <w:rPr>
          <w:rFonts w:ascii="Book Antiqua" w:hAnsi="Book Antiqua"/>
          <w:b/>
        </w:rPr>
        <w:t>RESULTS</w:t>
      </w:r>
    </w:p>
    <w:p w:rsidR="00D12D6E" w:rsidRPr="00B60361" w:rsidRDefault="00D12D6E" w:rsidP="009418BF">
      <w:pPr>
        <w:spacing w:line="360" w:lineRule="auto"/>
        <w:jc w:val="both"/>
        <w:rPr>
          <w:rFonts w:ascii="Book Antiqua" w:hAnsi="Book Antiqua"/>
          <w:b/>
          <w:i/>
        </w:rPr>
      </w:pPr>
      <w:r w:rsidRPr="00B60361">
        <w:rPr>
          <w:rFonts w:ascii="Book Antiqua" w:hAnsi="Book Antiqua"/>
          <w:b/>
          <w:i/>
        </w:rPr>
        <w:t>DEB-TACE and</w:t>
      </w:r>
      <w:r w:rsidR="00B60361" w:rsidRPr="00B60361">
        <w:rPr>
          <w:rFonts w:ascii="Book Antiqua" w:hAnsi="Book Antiqua"/>
          <w:b/>
          <w:i/>
        </w:rPr>
        <w:t xml:space="preserve"> radiological </w:t>
      </w:r>
      <w:proofErr w:type="spellStart"/>
      <w:r w:rsidR="00B60361" w:rsidRPr="00B60361">
        <w:rPr>
          <w:rFonts w:ascii="Book Antiqua" w:hAnsi="Book Antiqua"/>
          <w:b/>
          <w:i/>
        </w:rPr>
        <w:t>tumor</w:t>
      </w:r>
      <w:proofErr w:type="spellEnd"/>
      <w:r w:rsidR="00B60361" w:rsidRPr="00B60361">
        <w:rPr>
          <w:rFonts w:ascii="Book Antiqua" w:hAnsi="Book Antiqua"/>
          <w:b/>
          <w:i/>
        </w:rPr>
        <w:t xml:space="preserve"> respons</w:t>
      </w:r>
      <w:r w:rsidRPr="00B60361">
        <w:rPr>
          <w:rFonts w:ascii="Book Antiqua" w:hAnsi="Book Antiqua"/>
          <w:b/>
          <w:i/>
        </w:rPr>
        <w:t>e</w:t>
      </w:r>
      <w:r w:rsidR="00ED71D5" w:rsidRPr="00B60361">
        <w:rPr>
          <w:rFonts w:ascii="Book Antiqua" w:hAnsi="Book Antiqua"/>
          <w:b/>
          <w:i/>
        </w:rPr>
        <w:t xml:space="preserve"> </w:t>
      </w:r>
    </w:p>
    <w:p w:rsidR="009C4694" w:rsidRPr="009418BF" w:rsidRDefault="009C4694" w:rsidP="009418BF">
      <w:pPr>
        <w:spacing w:line="360" w:lineRule="auto"/>
        <w:jc w:val="both"/>
        <w:rPr>
          <w:rFonts w:ascii="Book Antiqua" w:hAnsi="Book Antiqua"/>
        </w:rPr>
      </w:pPr>
      <w:r w:rsidRPr="009418BF">
        <w:rPr>
          <w:rFonts w:ascii="Book Antiqua" w:hAnsi="Book Antiqua"/>
        </w:rPr>
        <w:t xml:space="preserve">All procedures were performed without technical impediments that would prevent treatment of the target </w:t>
      </w:r>
      <w:proofErr w:type="spellStart"/>
      <w:r w:rsidR="0056287F" w:rsidRPr="009418BF">
        <w:rPr>
          <w:rFonts w:ascii="Book Antiqua" w:hAnsi="Book Antiqua"/>
        </w:rPr>
        <w:t>tumor</w:t>
      </w:r>
      <w:proofErr w:type="spellEnd"/>
      <w:r w:rsidRPr="009418BF">
        <w:rPr>
          <w:rFonts w:ascii="Book Antiqua" w:hAnsi="Book Antiqua"/>
        </w:rPr>
        <w:t>.</w:t>
      </w:r>
      <w:r w:rsidR="00B60361">
        <w:rPr>
          <w:rFonts w:ascii="Book Antiqua" w:hAnsi="Book Antiqua" w:hint="eastAsia"/>
          <w:lang w:eastAsia="zh-CN"/>
        </w:rPr>
        <w:t xml:space="preserve"> </w:t>
      </w:r>
      <w:r w:rsidRPr="009418BF">
        <w:rPr>
          <w:rFonts w:ascii="Book Antiqua" w:hAnsi="Book Antiqua"/>
        </w:rPr>
        <w:t xml:space="preserve">The two study sites performed an overall number of 73 TACE (47 segmental, 22 bisegmental and 4 trisegmental) on a total number of 128 </w:t>
      </w:r>
      <w:r w:rsidR="0056287F" w:rsidRPr="009418BF">
        <w:rPr>
          <w:rFonts w:ascii="Book Antiqua" w:hAnsi="Book Antiqua"/>
        </w:rPr>
        <w:t>tumor</w:t>
      </w:r>
      <w:r w:rsidRPr="009418BF">
        <w:rPr>
          <w:rFonts w:ascii="Book Antiqua" w:hAnsi="Book Antiqua"/>
        </w:rPr>
        <w:t>s. 31 patients (64.7%)</w:t>
      </w:r>
      <w:r w:rsidR="00ED71D5">
        <w:rPr>
          <w:rFonts w:ascii="Book Antiqua" w:hAnsi="Book Antiqua"/>
        </w:rPr>
        <w:t xml:space="preserve"> </w:t>
      </w:r>
      <w:r w:rsidR="00957399" w:rsidRPr="009418BF">
        <w:rPr>
          <w:rFonts w:ascii="Book Antiqua" w:hAnsi="Book Antiqua"/>
        </w:rPr>
        <w:t>underwent</w:t>
      </w:r>
      <w:r w:rsidRPr="009418BF">
        <w:rPr>
          <w:rFonts w:ascii="Book Antiqua" w:hAnsi="Book Antiqua"/>
        </w:rPr>
        <w:t xml:space="preserve"> one treatment cycle, 10 patients (20.8%) to 2 treatment cycles, 6 patients (12.5%) to 3 treatment cycles, and 1 patient to 4 treatment cycles (2%), with a mean number of treatments per patient of 1.45.</w:t>
      </w:r>
    </w:p>
    <w:p w:rsidR="00CF1487" w:rsidRPr="009418BF" w:rsidRDefault="009C4694" w:rsidP="00AE3787">
      <w:pPr>
        <w:spacing w:line="360" w:lineRule="auto"/>
        <w:ind w:firstLineChars="100" w:firstLine="240"/>
        <w:jc w:val="both"/>
        <w:rPr>
          <w:rFonts w:ascii="Book Antiqua" w:hAnsi="Book Antiqua"/>
        </w:rPr>
      </w:pPr>
      <w:r w:rsidRPr="009418BF">
        <w:rPr>
          <w:rFonts w:ascii="Book Antiqua" w:hAnsi="Book Antiqua"/>
        </w:rPr>
        <w:t xml:space="preserve">Response to treatment was assessed by classifying the </w:t>
      </w:r>
      <w:r w:rsidR="0056287F" w:rsidRPr="009418BF">
        <w:rPr>
          <w:rFonts w:ascii="Book Antiqua" w:hAnsi="Book Antiqua"/>
        </w:rPr>
        <w:t>tumor</w:t>
      </w:r>
      <w:r w:rsidRPr="009418BF">
        <w:rPr>
          <w:rFonts w:ascii="Book Antiqua" w:hAnsi="Book Antiqua"/>
        </w:rPr>
        <w:t xml:space="preserve">s into three classes according to dimensional criteria, as specified in </w:t>
      </w:r>
      <w:r w:rsidRPr="00AE3787">
        <w:rPr>
          <w:rFonts w:ascii="Book Antiqua" w:hAnsi="Book Antiqua"/>
        </w:rPr>
        <w:t>Table 2</w:t>
      </w:r>
      <w:r w:rsidRPr="009418BF">
        <w:rPr>
          <w:rFonts w:ascii="Book Antiqua" w:hAnsi="Book Antiqua"/>
        </w:rPr>
        <w:t xml:space="preserve"> (according to mRECIST) and </w:t>
      </w:r>
      <w:r w:rsidRPr="00A449F0">
        <w:rPr>
          <w:rFonts w:ascii="Book Antiqua" w:hAnsi="Book Antiqua"/>
        </w:rPr>
        <w:t>Table 3</w:t>
      </w:r>
      <w:r w:rsidRPr="009418BF">
        <w:rPr>
          <w:rFonts w:ascii="Book Antiqua" w:hAnsi="Book Antiqua"/>
        </w:rPr>
        <w:t xml:space="preserve"> (according to RECIST). The objective response rate (CR + PR) was 26.8% and 69% for </w:t>
      </w:r>
      <w:r w:rsidR="0056287F" w:rsidRPr="009418BF">
        <w:rPr>
          <w:rFonts w:ascii="Book Antiqua" w:hAnsi="Book Antiqua"/>
        </w:rPr>
        <w:t>tumor</w:t>
      </w:r>
      <w:r w:rsidRPr="009418BF">
        <w:rPr>
          <w:rFonts w:ascii="Book Antiqua" w:hAnsi="Book Antiqua"/>
        </w:rPr>
        <w:t xml:space="preserve">s smaller than 3 cm, 32.1% and 85.7% for </w:t>
      </w:r>
      <w:r w:rsidR="0056287F" w:rsidRPr="009418BF">
        <w:rPr>
          <w:rFonts w:ascii="Book Antiqua" w:hAnsi="Book Antiqua"/>
        </w:rPr>
        <w:t>tumor</w:t>
      </w:r>
      <w:r w:rsidRPr="009418BF">
        <w:rPr>
          <w:rFonts w:ascii="Book Antiqua" w:hAnsi="Book Antiqua"/>
        </w:rPr>
        <w:t xml:space="preserve">s with diameters between 3 and 5 cm, 10% and 70% for </w:t>
      </w:r>
      <w:r w:rsidR="0056287F" w:rsidRPr="009418BF">
        <w:rPr>
          <w:rFonts w:ascii="Book Antiqua" w:hAnsi="Book Antiqua"/>
        </w:rPr>
        <w:t>tumor</w:t>
      </w:r>
      <w:r w:rsidRPr="009418BF">
        <w:rPr>
          <w:rFonts w:ascii="Book Antiqua" w:hAnsi="Book Antiqua"/>
        </w:rPr>
        <w:t>s with diameter over 5 cm according</w:t>
      </w:r>
      <w:r w:rsidR="00ED71D5">
        <w:rPr>
          <w:rFonts w:ascii="Book Antiqua" w:hAnsi="Book Antiqua"/>
        </w:rPr>
        <w:t xml:space="preserve"> </w:t>
      </w:r>
      <w:r w:rsidRPr="009418BF">
        <w:rPr>
          <w:rFonts w:ascii="Book Antiqua" w:hAnsi="Book Antiqua"/>
        </w:rPr>
        <w:t xml:space="preserve">to RECIST and </w:t>
      </w:r>
      <w:proofErr w:type="spellStart"/>
      <w:r w:rsidRPr="009418BF">
        <w:rPr>
          <w:rFonts w:ascii="Book Antiqua" w:hAnsi="Book Antiqua"/>
        </w:rPr>
        <w:t>mRECIST</w:t>
      </w:r>
      <w:proofErr w:type="spellEnd"/>
      <w:r w:rsidR="00957399" w:rsidRPr="009418BF">
        <w:rPr>
          <w:rFonts w:ascii="Book Antiqua" w:hAnsi="Book Antiqua"/>
        </w:rPr>
        <w:t>, respectively</w:t>
      </w:r>
      <w:r w:rsidRPr="009418BF">
        <w:rPr>
          <w:rFonts w:ascii="Book Antiqua" w:hAnsi="Book Antiqua"/>
        </w:rPr>
        <w:t xml:space="preserve">. </w:t>
      </w:r>
    </w:p>
    <w:p w:rsidR="009C4694" w:rsidRPr="009418BF" w:rsidRDefault="009C4694" w:rsidP="00AE3787">
      <w:pPr>
        <w:spacing w:line="360" w:lineRule="auto"/>
        <w:ind w:firstLineChars="100" w:firstLine="240"/>
        <w:jc w:val="both"/>
        <w:rPr>
          <w:rFonts w:ascii="Book Antiqua" w:hAnsi="Book Antiqua"/>
        </w:rPr>
      </w:pPr>
      <w:r w:rsidRPr="009418BF">
        <w:rPr>
          <w:rFonts w:ascii="Book Antiqua" w:hAnsi="Book Antiqua"/>
        </w:rPr>
        <w:t xml:space="preserve">Considering all the treated </w:t>
      </w:r>
      <w:r w:rsidR="0056287F" w:rsidRPr="009418BF">
        <w:rPr>
          <w:rFonts w:ascii="Book Antiqua" w:hAnsi="Book Antiqua"/>
        </w:rPr>
        <w:t>tumor</w:t>
      </w:r>
      <w:r w:rsidRPr="009418BF">
        <w:rPr>
          <w:rFonts w:ascii="Book Antiqua" w:hAnsi="Book Antiqua"/>
        </w:rPr>
        <w:t>s, the overall objective r</w:t>
      </w:r>
      <w:r w:rsidR="00A449F0">
        <w:rPr>
          <w:rFonts w:ascii="Book Antiqua" w:hAnsi="Book Antiqua"/>
        </w:rPr>
        <w:t>esponse rate (CR + PR) was 26.7</w:t>
      </w:r>
      <w:r w:rsidRPr="009418BF">
        <w:rPr>
          <w:rFonts w:ascii="Book Antiqua" w:hAnsi="Book Antiqua"/>
        </w:rPr>
        <w:t xml:space="preserve">% according to RECIST and 72.6% according to mRECIST. These data include </w:t>
      </w:r>
      <w:r w:rsidR="00957399" w:rsidRPr="009418BF">
        <w:rPr>
          <w:rFonts w:ascii="Book Antiqua" w:hAnsi="Book Antiqua"/>
        </w:rPr>
        <w:t>all the 48</w:t>
      </w:r>
      <w:r w:rsidRPr="009418BF">
        <w:rPr>
          <w:rFonts w:ascii="Book Antiqua" w:hAnsi="Book Antiqua"/>
        </w:rPr>
        <w:t xml:space="preserve"> patients</w:t>
      </w:r>
      <w:r w:rsidR="00957399" w:rsidRPr="009418BF">
        <w:rPr>
          <w:rFonts w:ascii="Book Antiqua" w:hAnsi="Book Antiqua"/>
        </w:rPr>
        <w:t xml:space="preserve"> of our series</w:t>
      </w:r>
      <w:r w:rsidRPr="009418BF">
        <w:rPr>
          <w:rFonts w:ascii="Book Antiqua" w:hAnsi="Book Antiqua"/>
        </w:rPr>
        <w:t>. These results were calculated with RECIST and mRECIST criteria, based on the last available CT scan/MRI, with an overall mean follow-up period of 357 d (range 30-810).</w:t>
      </w:r>
      <w:r w:rsidR="00ED71D5">
        <w:rPr>
          <w:rFonts w:ascii="Book Antiqua" w:hAnsi="Book Antiqua"/>
        </w:rPr>
        <w:t xml:space="preserve"> </w:t>
      </w:r>
    </w:p>
    <w:p w:rsidR="00D12D6E" w:rsidRPr="009418BF" w:rsidRDefault="00D12D6E" w:rsidP="009418BF">
      <w:pPr>
        <w:spacing w:line="360" w:lineRule="auto"/>
        <w:jc w:val="both"/>
        <w:rPr>
          <w:rFonts w:ascii="Book Antiqua" w:hAnsi="Book Antiqua"/>
        </w:rPr>
      </w:pPr>
    </w:p>
    <w:p w:rsidR="00D12D6E" w:rsidRPr="00AE3787" w:rsidRDefault="00D12D6E" w:rsidP="009418BF">
      <w:pPr>
        <w:spacing w:line="360" w:lineRule="auto"/>
        <w:jc w:val="both"/>
        <w:rPr>
          <w:rFonts w:ascii="Book Antiqua" w:hAnsi="Book Antiqua"/>
          <w:b/>
          <w:i/>
        </w:rPr>
      </w:pPr>
      <w:proofErr w:type="spellStart"/>
      <w:r w:rsidRPr="00AE3787">
        <w:rPr>
          <w:rFonts w:ascii="Book Antiqua" w:hAnsi="Book Antiqua"/>
          <w:b/>
          <w:i/>
        </w:rPr>
        <w:t>Hystological</w:t>
      </w:r>
      <w:proofErr w:type="spellEnd"/>
      <w:r w:rsidRPr="00AE3787">
        <w:rPr>
          <w:rFonts w:ascii="Book Antiqua" w:hAnsi="Book Antiqua"/>
          <w:b/>
          <w:i/>
        </w:rPr>
        <w:t xml:space="preserve"> </w:t>
      </w:r>
      <w:proofErr w:type="spellStart"/>
      <w:r w:rsidR="00AE3787" w:rsidRPr="00AE3787">
        <w:rPr>
          <w:rFonts w:ascii="Book Antiqua" w:hAnsi="Book Antiqua"/>
          <w:b/>
          <w:i/>
        </w:rPr>
        <w:t>tumor</w:t>
      </w:r>
      <w:proofErr w:type="spellEnd"/>
      <w:r w:rsidR="00AE3787" w:rsidRPr="00AE3787">
        <w:rPr>
          <w:rFonts w:ascii="Book Antiqua" w:hAnsi="Book Antiqua"/>
          <w:b/>
          <w:i/>
        </w:rPr>
        <w:t xml:space="preserve"> response in transplanted patients</w:t>
      </w:r>
    </w:p>
    <w:p w:rsidR="009C4694" w:rsidRPr="009418BF" w:rsidRDefault="009C4694" w:rsidP="009418BF">
      <w:pPr>
        <w:spacing w:line="360" w:lineRule="auto"/>
        <w:jc w:val="both"/>
        <w:rPr>
          <w:rFonts w:ascii="Book Antiqua" w:hAnsi="Book Antiqua"/>
        </w:rPr>
      </w:pPr>
      <w:r w:rsidRPr="009418BF">
        <w:rPr>
          <w:rFonts w:ascii="Book Antiqua" w:hAnsi="Book Antiqua"/>
        </w:rPr>
        <w:t xml:space="preserve">Eleven patients </w:t>
      </w:r>
      <w:r w:rsidR="00957399" w:rsidRPr="009418BF">
        <w:rPr>
          <w:rFonts w:ascii="Book Antiqua" w:hAnsi="Book Antiqua"/>
        </w:rPr>
        <w:t>qualified for OLT</w:t>
      </w:r>
      <w:r w:rsidRPr="009418BF">
        <w:rPr>
          <w:rFonts w:ascii="Book Antiqua" w:hAnsi="Book Antiqua"/>
        </w:rPr>
        <w:t xml:space="preserve"> after 15 overall cycles of </w:t>
      </w:r>
      <w:r w:rsidR="00957399" w:rsidRPr="009418BF">
        <w:rPr>
          <w:rFonts w:ascii="Book Antiqua" w:hAnsi="Book Antiqua"/>
        </w:rPr>
        <w:t>DEB-</w:t>
      </w:r>
      <w:r w:rsidRPr="009418BF">
        <w:rPr>
          <w:rFonts w:ascii="Book Antiqua" w:hAnsi="Book Antiqua"/>
        </w:rPr>
        <w:t>TACE, with a mean number of treatments per patient of 1.36.</w:t>
      </w:r>
      <w:r w:rsidR="00957399" w:rsidRPr="009418BF">
        <w:rPr>
          <w:rFonts w:ascii="Book Antiqua" w:hAnsi="Book Antiqua"/>
        </w:rPr>
        <w:t xml:space="preserve"> </w:t>
      </w:r>
      <w:r w:rsidR="00AE3787">
        <w:rPr>
          <w:rFonts w:ascii="Book Antiqua" w:hAnsi="Book Antiqua" w:hint="eastAsia"/>
          <w:lang w:eastAsia="zh-CN"/>
        </w:rPr>
        <w:t xml:space="preserve">Seven </w:t>
      </w:r>
      <w:r w:rsidR="00957399" w:rsidRPr="009418BF">
        <w:rPr>
          <w:rFonts w:ascii="Book Antiqua" w:hAnsi="Book Antiqua"/>
        </w:rPr>
        <w:t>out of 11 patients received 1 treatment, with remaining 4 receiving 2 treatments.</w:t>
      </w:r>
      <w:r w:rsidR="00AE3787">
        <w:rPr>
          <w:rFonts w:ascii="Book Antiqua" w:hAnsi="Book Antiqua" w:hint="eastAsia"/>
          <w:lang w:eastAsia="zh-CN"/>
        </w:rPr>
        <w:t xml:space="preserve"> </w:t>
      </w:r>
      <w:r w:rsidRPr="009418BF">
        <w:rPr>
          <w:rFonts w:ascii="Book Antiqua" w:hAnsi="Book Antiqua"/>
        </w:rPr>
        <w:t xml:space="preserve">Median time elapsed between TACE and OLT was </w:t>
      </w:r>
      <w:proofErr w:type="gramStart"/>
      <w:r w:rsidRPr="009418BF">
        <w:rPr>
          <w:rFonts w:ascii="Book Antiqua" w:hAnsi="Book Antiqua"/>
        </w:rPr>
        <w:t xml:space="preserve">4.8 </w:t>
      </w:r>
      <w:proofErr w:type="spellStart"/>
      <w:r w:rsidRPr="009418BF">
        <w:rPr>
          <w:rFonts w:ascii="Book Antiqua" w:hAnsi="Book Antiqua"/>
        </w:rPr>
        <w:t>mo</w:t>
      </w:r>
      <w:proofErr w:type="spellEnd"/>
      <w:proofErr w:type="gramEnd"/>
      <w:r w:rsidRPr="009418BF">
        <w:rPr>
          <w:rFonts w:ascii="Book Antiqua" w:hAnsi="Book Antiqua"/>
        </w:rPr>
        <w:t xml:space="preserve"> (95%</w:t>
      </w:r>
      <w:r w:rsidR="00957399" w:rsidRPr="009418BF">
        <w:rPr>
          <w:rFonts w:ascii="Book Antiqua" w:hAnsi="Book Antiqua"/>
        </w:rPr>
        <w:t>CI</w:t>
      </w:r>
      <w:r w:rsidR="00AE3787">
        <w:rPr>
          <w:rFonts w:ascii="Book Antiqua" w:hAnsi="Book Antiqua" w:hint="eastAsia"/>
          <w:lang w:eastAsia="zh-CN"/>
        </w:rPr>
        <w:t>:</w:t>
      </w:r>
      <w:r w:rsidRPr="009418BF">
        <w:rPr>
          <w:rFonts w:ascii="Book Antiqua" w:hAnsi="Book Antiqua"/>
        </w:rPr>
        <w:t xml:space="preserve"> 2.3-6.5).</w:t>
      </w:r>
      <w:r w:rsidR="00AE3787">
        <w:rPr>
          <w:rFonts w:ascii="Book Antiqua" w:hAnsi="Book Antiqua" w:hint="eastAsia"/>
          <w:lang w:eastAsia="zh-CN"/>
        </w:rPr>
        <w:t xml:space="preserve"> </w:t>
      </w:r>
      <w:r w:rsidRPr="009418BF">
        <w:rPr>
          <w:rFonts w:ascii="Book Antiqua" w:hAnsi="Book Antiqua"/>
        </w:rPr>
        <w:t xml:space="preserve">The histological examination </w:t>
      </w:r>
      <w:r w:rsidRPr="00AE3787">
        <w:rPr>
          <w:rFonts w:ascii="Book Antiqua" w:hAnsi="Book Antiqua"/>
        </w:rPr>
        <w:t xml:space="preserve">(Table 4) </w:t>
      </w:r>
      <w:r w:rsidRPr="009418BF">
        <w:rPr>
          <w:rFonts w:ascii="Book Antiqua" w:hAnsi="Book Antiqua"/>
        </w:rPr>
        <w:t xml:space="preserve">performed on 11 explanted livers reported a total number of 14 </w:t>
      </w:r>
      <w:r w:rsidR="0056287F" w:rsidRPr="009418BF">
        <w:rPr>
          <w:rFonts w:ascii="Book Antiqua" w:hAnsi="Book Antiqua"/>
        </w:rPr>
        <w:t>tumor</w:t>
      </w:r>
      <w:r w:rsidRPr="009418BF">
        <w:rPr>
          <w:rFonts w:ascii="Book Antiqua" w:hAnsi="Book Antiqua"/>
        </w:rPr>
        <w:t xml:space="preserve">s of </w:t>
      </w:r>
      <w:r w:rsidR="00957399" w:rsidRPr="009418BF">
        <w:rPr>
          <w:rFonts w:ascii="Book Antiqua" w:hAnsi="Book Antiqua"/>
        </w:rPr>
        <w:t>HCC</w:t>
      </w:r>
      <w:r w:rsidRPr="009418BF">
        <w:rPr>
          <w:rFonts w:ascii="Book Antiqua" w:hAnsi="Book Antiqua"/>
        </w:rPr>
        <w:t xml:space="preserve">, 10 of which were ≤ 3 cm and 4 were between 3 and 5 cm. </w:t>
      </w:r>
    </w:p>
    <w:p w:rsidR="009C4694" w:rsidRPr="009418BF" w:rsidRDefault="009C4694" w:rsidP="00AE3787">
      <w:pPr>
        <w:spacing w:line="360" w:lineRule="auto"/>
        <w:ind w:firstLineChars="100" w:firstLine="240"/>
        <w:jc w:val="both"/>
        <w:rPr>
          <w:rFonts w:ascii="Book Antiqua" w:hAnsi="Book Antiqua"/>
        </w:rPr>
      </w:pPr>
      <w:r w:rsidRPr="009418BF">
        <w:rPr>
          <w:rFonts w:ascii="Book Antiqua" w:hAnsi="Book Antiqua"/>
        </w:rPr>
        <w:lastRenderedPageBreak/>
        <w:t xml:space="preserve">Among the </w:t>
      </w:r>
      <w:proofErr w:type="spellStart"/>
      <w:r w:rsidR="0056287F" w:rsidRPr="009418BF">
        <w:rPr>
          <w:rFonts w:ascii="Book Antiqua" w:hAnsi="Book Antiqua"/>
        </w:rPr>
        <w:t>tumor</w:t>
      </w:r>
      <w:r w:rsidRPr="009418BF">
        <w:rPr>
          <w:rFonts w:ascii="Book Antiqua" w:hAnsi="Book Antiqua"/>
        </w:rPr>
        <w:t>s</w:t>
      </w:r>
      <w:proofErr w:type="spellEnd"/>
      <w:r w:rsidRPr="009418BF">
        <w:rPr>
          <w:rFonts w:ascii="Book Antiqua" w:hAnsi="Book Antiqua"/>
        </w:rPr>
        <w:t xml:space="preserve"> smaller than 3 cm, 7 presented 100% necrosis and 3 presented a necrosis rate below 50%.</w:t>
      </w:r>
      <w:r w:rsidR="00ED71D5">
        <w:rPr>
          <w:rFonts w:ascii="Book Antiqua" w:hAnsi="Book Antiqua"/>
        </w:rPr>
        <w:t xml:space="preserve"> </w:t>
      </w:r>
      <w:r w:rsidR="00AE3787">
        <w:rPr>
          <w:rFonts w:ascii="Book Antiqua" w:hAnsi="Book Antiqua" w:hint="eastAsia"/>
          <w:lang w:eastAsia="zh-CN"/>
        </w:rPr>
        <w:t>Two</w:t>
      </w:r>
      <w:r w:rsidRPr="009418BF">
        <w:rPr>
          <w:rFonts w:ascii="Book Antiqua" w:hAnsi="Book Antiqua"/>
        </w:rPr>
        <w:t xml:space="preserve"> </w:t>
      </w:r>
      <w:r w:rsidR="00957399" w:rsidRPr="009418BF">
        <w:rPr>
          <w:rFonts w:ascii="Book Antiqua" w:hAnsi="Book Antiqua"/>
        </w:rPr>
        <w:t xml:space="preserve">out </w:t>
      </w:r>
      <w:r w:rsidRPr="009418BF">
        <w:rPr>
          <w:rFonts w:ascii="Book Antiqua" w:hAnsi="Book Antiqua"/>
        </w:rPr>
        <w:t>of</w:t>
      </w:r>
      <w:r w:rsidR="00ED71D5">
        <w:rPr>
          <w:rFonts w:ascii="Book Antiqua" w:hAnsi="Book Antiqua"/>
        </w:rPr>
        <w:t xml:space="preserve"> </w:t>
      </w:r>
      <w:r w:rsidRPr="009418BF">
        <w:rPr>
          <w:rFonts w:ascii="Book Antiqua" w:hAnsi="Book Antiqua"/>
        </w:rPr>
        <w:t xml:space="preserve">4 </w:t>
      </w:r>
      <w:r w:rsidR="0056287F" w:rsidRPr="009418BF">
        <w:rPr>
          <w:rFonts w:ascii="Book Antiqua" w:hAnsi="Book Antiqua"/>
        </w:rPr>
        <w:t>tumor</w:t>
      </w:r>
      <w:r w:rsidRPr="009418BF">
        <w:rPr>
          <w:rFonts w:ascii="Book Antiqua" w:hAnsi="Book Antiqua"/>
        </w:rPr>
        <w:t xml:space="preserve">s </w:t>
      </w:r>
      <w:r w:rsidR="00957399" w:rsidRPr="009418BF">
        <w:rPr>
          <w:rFonts w:ascii="Book Antiqua" w:hAnsi="Book Antiqua"/>
        </w:rPr>
        <w:t>&gt;</w:t>
      </w:r>
      <w:r w:rsidRPr="009418BF">
        <w:rPr>
          <w:rFonts w:ascii="Book Antiqua" w:hAnsi="Book Antiqua"/>
        </w:rPr>
        <w:t xml:space="preserve"> 3 cm presented a 100% necrosis rate</w:t>
      </w:r>
      <w:r w:rsidR="00BB1101" w:rsidRPr="009418BF">
        <w:rPr>
          <w:rFonts w:ascii="Book Antiqua" w:hAnsi="Book Antiqua"/>
        </w:rPr>
        <w:t xml:space="preserve"> (Figure </w:t>
      </w:r>
      <w:r w:rsidR="00276A29">
        <w:rPr>
          <w:rFonts w:ascii="Book Antiqua" w:hAnsi="Book Antiqua" w:hint="eastAsia"/>
          <w:lang w:eastAsia="zh-CN"/>
        </w:rPr>
        <w:t>1</w:t>
      </w:r>
      <w:r w:rsidR="00BB1101" w:rsidRPr="009418BF">
        <w:rPr>
          <w:rFonts w:ascii="Book Antiqua" w:hAnsi="Book Antiqua"/>
        </w:rPr>
        <w:t>)</w:t>
      </w:r>
      <w:r w:rsidRPr="009418BF">
        <w:rPr>
          <w:rFonts w:ascii="Book Antiqua" w:hAnsi="Book Antiqua"/>
        </w:rPr>
        <w:t>, while the other 2 were above 90%.</w:t>
      </w:r>
    </w:p>
    <w:p w:rsidR="00D12D6E" w:rsidRPr="009418BF" w:rsidRDefault="00D12D6E" w:rsidP="009418BF">
      <w:pPr>
        <w:spacing w:line="360" w:lineRule="auto"/>
        <w:jc w:val="both"/>
        <w:rPr>
          <w:rFonts w:ascii="Book Antiqua" w:hAnsi="Book Antiqua"/>
        </w:rPr>
      </w:pPr>
    </w:p>
    <w:p w:rsidR="00D12D6E" w:rsidRPr="00AE3787" w:rsidRDefault="00D12D6E" w:rsidP="009418BF">
      <w:pPr>
        <w:spacing w:line="360" w:lineRule="auto"/>
        <w:jc w:val="both"/>
        <w:rPr>
          <w:rFonts w:ascii="Book Antiqua" w:hAnsi="Book Antiqua"/>
          <w:b/>
          <w:i/>
        </w:rPr>
      </w:pPr>
      <w:r w:rsidRPr="00AE3787">
        <w:rPr>
          <w:rFonts w:ascii="Book Antiqua" w:hAnsi="Book Antiqua"/>
          <w:b/>
          <w:i/>
        </w:rPr>
        <w:t xml:space="preserve">DEB-TACE: Adverse </w:t>
      </w:r>
      <w:r w:rsidR="00AE3787" w:rsidRPr="00AE3787">
        <w:rPr>
          <w:rFonts w:ascii="Book Antiqua" w:hAnsi="Book Antiqua"/>
          <w:b/>
          <w:i/>
        </w:rPr>
        <w:t>events and toxicit</w:t>
      </w:r>
      <w:r w:rsidRPr="00AE3787">
        <w:rPr>
          <w:rFonts w:ascii="Book Antiqua" w:hAnsi="Book Antiqua"/>
          <w:b/>
          <w:i/>
        </w:rPr>
        <w:t>y</w:t>
      </w:r>
    </w:p>
    <w:p w:rsidR="00CD4261" w:rsidRPr="009418BF" w:rsidRDefault="009C4694" w:rsidP="009418BF">
      <w:pPr>
        <w:spacing w:line="360" w:lineRule="auto"/>
        <w:jc w:val="both"/>
        <w:rPr>
          <w:rFonts w:ascii="Book Antiqua" w:hAnsi="Book Antiqua"/>
        </w:rPr>
      </w:pPr>
      <w:r w:rsidRPr="009418BF">
        <w:rPr>
          <w:rFonts w:ascii="Book Antiqua" w:hAnsi="Book Antiqua"/>
        </w:rPr>
        <w:t xml:space="preserve">Toxicity data are reported in </w:t>
      </w:r>
      <w:r w:rsidRPr="00AE3787">
        <w:rPr>
          <w:rFonts w:ascii="Book Antiqua" w:hAnsi="Book Antiqua"/>
        </w:rPr>
        <w:t xml:space="preserve">Table 5. </w:t>
      </w:r>
      <w:r w:rsidRPr="009418BF">
        <w:rPr>
          <w:rFonts w:ascii="Book Antiqua" w:hAnsi="Book Antiqua"/>
        </w:rPr>
        <w:t xml:space="preserve">All the observed </w:t>
      </w:r>
      <w:r w:rsidR="00957399" w:rsidRPr="009418BF">
        <w:rPr>
          <w:rFonts w:ascii="Book Antiqua" w:hAnsi="Book Antiqua"/>
        </w:rPr>
        <w:t>AE</w:t>
      </w:r>
      <w:r w:rsidRPr="009418BF">
        <w:rPr>
          <w:rFonts w:ascii="Book Antiqua" w:hAnsi="Book Antiqua"/>
        </w:rPr>
        <w:t xml:space="preserve"> were mild and transient, with no grade 3/4 toxicity reported. </w:t>
      </w:r>
      <w:r w:rsidR="00CD4261" w:rsidRPr="009418BF">
        <w:rPr>
          <w:rFonts w:ascii="Book Antiqua" w:hAnsi="Book Antiqua"/>
        </w:rPr>
        <w:t xml:space="preserve">There were no cases of post procedure mortality within 30 d. </w:t>
      </w:r>
    </w:p>
    <w:p w:rsidR="00C113A3" w:rsidRPr="009418BF" w:rsidRDefault="009C4694" w:rsidP="00AE3787">
      <w:pPr>
        <w:spacing w:line="360" w:lineRule="auto"/>
        <w:ind w:firstLineChars="100" w:firstLine="240"/>
        <w:jc w:val="both"/>
        <w:rPr>
          <w:rFonts w:ascii="Book Antiqua" w:hAnsi="Book Antiqua"/>
        </w:rPr>
      </w:pPr>
      <w:r w:rsidRPr="009418BF">
        <w:rPr>
          <w:rFonts w:ascii="Book Antiqua" w:hAnsi="Book Antiqua"/>
        </w:rPr>
        <w:t xml:space="preserve">No major </w:t>
      </w:r>
      <w:r w:rsidR="003E4FA0" w:rsidRPr="009418BF">
        <w:rPr>
          <w:rFonts w:ascii="Book Antiqua" w:hAnsi="Book Antiqua"/>
        </w:rPr>
        <w:t>AE</w:t>
      </w:r>
      <w:r w:rsidRPr="009418BF">
        <w:rPr>
          <w:rFonts w:ascii="Book Antiqua" w:hAnsi="Book Antiqua"/>
        </w:rPr>
        <w:t xml:space="preserve"> were recorded, neither systemically (pulmonary embolism, splenic infarction, gastrointestinal mucosal </w:t>
      </w:r>
      <w:r w:rsidR="0056287F" w:rsidRPr="009418BF">
        <w:rPr>
          <w:rFonts w:ascii="Book Antiqua" w:hAnsi="Book Antiqua"/>
        </w:rPr>
        <w:t>tumor</w:t>
      </w:r>
      <w:r w:rsidRPr="009418BF">
        <w:rPr>
          <w:rFonts w:ascii="Book Antiqua" w:hAnsi="Book Antiqua"/>
        </w:rPr>
        <w:t>s, acute pancreatitis or cholecystitis, spinal cord injury) related to non-target embolization nor locally (hepatic infection o</w:t>
      </w:r>
      <w:r w:rsidR="00E86159" w:rsidRPr="009418BF">
        <w:rPr>
          <w:rFonts w:ascii="Book Antiqua" w:hAnsi="Book Antiqua"/>
        </w:rPr>
        <w:t>r abscesses, ischemic hepatitis and</w:t>
      </w:r>
      <w:r w:rsidRPr="009418BF">
        <w:rPr>
          <w:rFonts w:ascii="Book Antiqua" w:hAnsi="Book Antiqua"/>
        </w:rPr>
        <w:t xml:space="preserve"> bile duct injuries) due to local toxicity or </w:t>
      </w:r>
      <w:proofErr w:type="gramStart"/>
      <w:r w:rsidRPr="009418BF">
        <w:rPr>
          <w:rFonts w:ascii="Book Antiqua" w:hAnsi="Book Antiqua"/>
        </w:rPr>
        <w:t>ischemia</w:t>
      </w:r>
      <w:r w:rsidR="0024573F" w:rsidRPr="009418BF">
        <w:rPr>
          <w:rFonts w:ascii="Book Antiqua" w:hAnsi="Book Antiqua"/>
          <w:vertAlign w:val="superscript"/>
        </w:rPr>
        <w:t>[</w:t>
      </w:r>
      <w:proofErr w:type="gramEnd"/>
      <w:r w:rsidR="009E71D5" w:rsidRPr="009418BF">
        <w:rPr>
          <w:rFonts w:ascii="Book Antiqua" w:hAnsi="Book Antiqua"/>
          <w:vertAlign w:val="superscript"/>
        </w:rPr>
        <w:t>22</w:t>
      </w:r>
      <w:r w:rsidR="0024573F" w:rsidRPr="009418BF">
        <w:rPr>
          <w:rFonts w:ascii="Book Antiqua" w:hAnsi="Book Antiqua"/>
          <w:vertAlign w:val="superscript"/>
        </w:rPr>
        <w:t>]</w:t>
      </w:r>
      <w:r w:rsidRPr="009418BF">
        <w:rPr>
          <w:rFonts w:ascii="Book Antiqua" w:hAnsi="Book Antiqua"/>
        </w:rPr>
        <w:t>.</w:t>
      </w:r>
      <w:r w:rsidR="00ED71D5">
        <w:rPr>
          <w:rFonts w:ascii="Book Antiqua" w:hAnsi="Book Antiqua"/>
        </w:rPr>
        <w:t xml:space="preserve"> </w:t>
      </w:r>
      <w:r w:rsidR="00CD4261" w:rsidRPr="009418BF">
        <w:rPr>
          <w:rFonts w:ascii="Book Antiqua" w:hAnsi="Book Antiqua"/>
        </w:rPr>
        <w:t xml:space="preserve">Median hospital stay was 2 d (range 2-4). </w:t>
      </w:r>
      <w:r w:rsidRPr="009418BF">
        <w:rPr>
          <w:rFonts w:ascii="Book Antiqua" w:hAnsi="Book Antiqua"/>
        </w:rPr>
        <w:t xml:space="preserve">Post-embolization syndrome (PES) occurred in 15% of treatments (11/73). Other common </w:t>
      </w:r>
      <w:r w:rsidR="003E4FA0" w:rsidRPr="009418BF">
        <w:rPr>
          <w:rFonts w:ascii="Book Antiqua" w:hAnsi="Book Antiqua"/>
        </w:rPr>
        <w:t>AE</w:t>
      </w:r>
      <w:r w:rsidRPr="009418BF">
        <w:rPr>
          <w:rFonts w:ascii="Book Antiqua" w:hAnsi="Book Antiqua"/>
        </w:rPr>
        <w:t xml:space="preserve"> were abdominal pain (24.6%) and nausea/vomiting (12.3%), which were treated with analgesic drugs and anti-emetics, and mild ascites (4.1%). Transient post procedure increase in transaminase levels occurred in 13.7% of cases (10/73). Other 1/2 grade laboratory tests alterations included a transient increase in bilirubin levels (6.8%). </w:t>
      </w:r>
    </w:p>
    <w:p w:rsidR="00C113A3" w:rsidRPr="009418BF" w:rsidRDefault="00C113A3" w:rsidP="009418BF">
      <w:pPr>
        <w:spacing w:line="360" w:lineRule="auto"/>
        <w:jc w:val="both"/>
        <w:rPr>
          <w:rFonts w:ascii="Book Antiqua" w:hAnsi="Book Antiqua"/>
        </w:rPr>
      </w:pPr>
    </w:p>
    <w:p w:rsidR="00C113A3" w:rsidRPr="00AE3787" w:rsidRDefault="008328AC" w:rsidP="009418BF">
      <w:pPr>
        <w:spacing w:line="360" w:lineRule="auto"/>
        <w:jc w:val="both"/>
        <w:rPr>
          <w:rFonts w:ascii="Book Antiqua" w:hAnsi="Book Antiqua"/>
          <w:b/>
          <w:i/>
          <w:lang w:val="en-US"/>
        </w:rPr>
      </w:pPr>
      <w:r w:rsidRPr="00AE3787">
        <w:rPr>
          <w:rFonts w:ascii="Book Antiqua" w:hAnsi="Book Antiqua"/>
          <w:b/>
          <w:i/>
        </w:rPr>
        <w:t>TTR</w:t>
      </w:r>
      <w:r w:rsidR="003E4FA0" w:rsidRPr="00AE3787">
        <w:rPr>
          <w:rFonts w:ascii="Book Antiqua" w:hAnsi="Book Antiqua"/>
          <w:b/>
          <w:i/>
        </w:rPr>
        <w:t>,</w:t>
      </w:r>
      <w:r w:rsidR="008864F2" w:rsidRPr="00AE3787">
        <w:rPr>
          <w:rFonts w:ascii="Book Antiqua" w:hAnsi="Book Antiqua"/>
          <w:b/>
          <w:i/>
        </w:rPr>
        <w:t xml:space="preserve"> </w:t>
      </w:r>
      <w:r w:rsidRPr="00AE3787">
        <w:rPr>
          <w:rFonts w:ascii="Book Antiqua" w:hAnsi="Book Antiqua"/>
          <w:b/>
          <w:i/>
        </w:rPr>
        <w:t>TTP</w:t>
      </w:r>
      <w:r w:rsidR="003E4FA0" w:rsidRPr="00AE3787">
        <w:rPr>
          <w:rFonts w:ascii="Book Antiqua" w:hAnsi="Book Antiqua"/>
          <w:b/>
          <w:i/>
        </w:rPr>
        <w:t xml:space="preserve"> and </w:t>
      </w:r>
      <w:r w:rsidR="00AE3787" w:rsidRPr="00AE3787">
        <w:rPr>
          <w:rFonts w:ascii="Book Antiqua" w:hAnsi="Book Antiqua"/>
          <w:b/>
          <w:i/>
        </w:rPr>
        <w:t xml:space="preserve">progression free survival </w:t>
      </w:r>
    </w:p>
    <w:p w:rsidR="00502564" w:rsidRPr="009418BF" w:rsidRDefault="003E4FA0" w:rsidP="009418BF">
      <w:pPr>
        <w:spacing w:line="360" w:lineRule="auto"/>
        <w:jc w:val="both"/>
        <w:rPr>
          <w:rFonts w:ascii="Book Antiqua" w:hAnsi="Book Antiqua"/>
        </w:rPr>
      </w:pPr>
      <w:r w:rsidRPr="009418BF">
        <w:rPr>
          <w:rFonts w:ascii="Book Antiqua" w:hAnsi="Book Antiqua"/>
        </w:rPr>
        <w:t>T</w:t>
      </w:r>
      <w:r w:rsidR="008864F2" w:rsidRPr="009418BF">
        <w:rPr>
          <w:rFonts w:ascii="Book Antiqua" w:hAnsi="Book Antiqua"/>
        </w:rPr>
        <w:t xml:space="preserve">he TTR </w:t>
      </w:r>
      <w:r w:rsidRPr="009418BF">
        <w:rPr>
          <w:rFonts w:ascii="Book Antiqua" w:hAnsi="Book Antiqua"/>
        </w:rPr>
        <w:t xml:space="preserve">for all patients </w:t>
      </w:r>
      <w:r w:rsidR="008864F2" w:rsidRPr="009418BF">
        <w:rPr>
          <w:rFonts w:ascii="Book Antiqua" w:hAnsi="Book Antiqua"/>
        </w:rPr>
        <w:t xml:space="preserve">was </w:t>
      </w:r>
      <w:proofErr w:type="gramStart"/>
      <w:r w:rsidR="008864F2" w:rsidRPr="009418BF">
        <w:rPr>
          <w:rFonts w:ascii="Book Antiqua" w:hAnsi="Book Antiqua"/>
        </w:rPr>
        <w:t xml:space="preserve">of 4 </w:t>
      </w:r>
      <w:proofErr w:type="spellStart"/>
      <w:r w:rsidR="008864F2" w:rsidRPr="009418BF">
        <w:rPr>
          <w:rFonts w:ascii="Book Antiqua" w:hAnsi="Book Antiqua"/>
        </w:rPr>
        <w:t>mo</w:t>
      </w:r>
      <w:proofErr w:type="spellEnd"/>
      <w:proofErr w:type="gramEnd"/>
      <w:r w:rsidR="008864F2" w:rsidRPr="009418BF">
        <w:rPr>
          <w:rFonts w:ascii="Book Antiqua" w:hAnsi="Book Antiqua"/>
        </w:rPr>
        <w:t xml:space="preserve"> (95%</w:t>
      </w:r>
      <w:r w:rsidRPr="009418BF">
        <w:rPr>
          <w:rFonts w:ascii="Book Antiqua" w:hAnsi="Book Antiqua"/>
        </w:rPr>
        <w:t>CI</w:t>
      </w:r>
      <w:r w:rsidR="00AE3787">
        <w:rPr>
          <w:rFonts w:ascii="Book Antiqua" w:hAnsi="Book Antiqua" w:hint="eastAsia"/>
          <w:lang w:eastAsia="zh-CN"/>
        </w:rPr>
        <w:t>:</w:t>
      </w:r>
      <w:r w:rsidR="008864F2" w:rsidRPr="009418BF">
        <w:rPr>
          <w:rFonts w:ascii="Book Antiqua" w:hAnsi="Book Antiqua"/>
        </w:rPr>
        <w:t xml:space="preserve"> </w:t>
      </w:r>
      <w:r w:rsidR="00AE3787" w:rsidRPr="009418BF">
        <w:rPr>
          <w:rFonts w:ascii="Book Antiqua" w:hAnsi="Book Antiqua"/>
        </w:rPr>
        <w:t>R</w:t>
      </w:r>
      <w:r w:rsidR="008864F2" w:rsidRPr="009418BF">
        <w:rPr>
          <w:rFonts w:ascii="Book Antiqua" w:hAnsi="Book Antiqua"/>
        </w:rPr>
        <w:t xml:space="preserve">ange 1-4). </w:t>
      </w:r>
      <w:r w:rsidR="00C113A3" w:rsidRPr="009418BF">
        <w:rPr>
          <w:rFonts w:ascii="Book Antiqua" w:hAnsi="Book Antiqua"/>
        </w:rPr>
        <w:t xml:space="preserve">Overall 24 patients (50%) experienced tumor progression through the study period. One-year </w:t>
      </w:r>
      <w:r w:rsidR="00AE3787" w:rsidRPr="00AE3787">
        <w:rPr>
          <w:rFonts w:ascii="Book Antiqua" w:hAnsi="Book Antiqua"/>
        </w:rPr>
        <w:t>progression free survival (PFS)</w:t>
      </w:r>
      <w:r w:rsidR="00C113A3" w:rsidRPr="00AE3787">
        <w:rPr>
          <w:rFonts w:ascii="Book Antiqua" w:hAnsi="Book Antiqua"/>
        </w:rPr>
        <w:t xml:space="preserve"> </w:t>
      </w:r>
      <w:r w:rsidR="00C113A3" w:rsidRPr="009418BF">
        <w:rPr>
          <w:rFonts w:ascii="Book Antiqua" w:hAnsi="Book Antiqua"/>
        </w:rPr>
        <w:t xml:space="preserve">was 64.5% whereas 2-year </w:t>
      </w:r>
      <w:r w:rsidRPr="009418BF">
        <w:rPr>
          <w:rFonts w:ascii="Book Antiqua" w:hAnsi="Book Antiqua"/>
        </w:rPr>
        <w:t>PFS</w:t>
      </w:r>
      <w:r w:rsidR="00C113A3" w:rsidRPr="009418BF">
        <w:rPr>
          <w:rFonts w:ascii="Book Antiqua" w:hAnsi="Book Antiqua"/>
        </w:rPr>
        <w:t xml:space="preserve"> was 52%. Median TTP was 13 </w:t>
      </w:r>
      <w:proofErr w:type="spellStart"/>
      <w:r w:rsidR="00C113A3" w:rsidRPr="009418BF">
        <w:rPr>
          <w:rFonts w:ascii="Book Antiqua" w:hAnsi="Book Antiqua"/>
        </w:rPr>
        <w:t>mo</w:t>
      </w:r>
      <w:proofErr w:type="spellEnd"/>
      <w:r w:rsidR="00C113A3" w:rsidRPr="009418BF">
        <w:rPr>
          <w:rFonts w:ascii="Book Antiqua" w:hAnsi="Book Antiqua"/>
        </w:rPr>
        <w:t xml:space="preserve"> (95%</w:t>
      </w:r>
      <w:r w:rsidRPr="009418BF">
        <w:rPr>
          <w:rFonts w:ascii="Book Antiqua" w:hAnsi="Book Antiqua"/>
        </w:rPr>
        <w:t>CI</w:t>
      </w:r>
      <w:r w:rsidR="00353CC3">
        <w:rPr>
          <w:rFonts w:ascii="Book Antiqua" w:hAnsi="Book Antiqua" w:hint="eastAsia"/>
          <w:lang w:eastAsia="zh-CN"/>
        </w:rPr>
        <w:t xml:space="preserve">: </w:t>
      </w:r>
      <w:r w:rsidR="00C113A3" w:rsidRPr="009418BF">
        <w:rPr>
          <w:rFonts w:ascii="Book Antiqua" w:hAnsi="Book Antiqua"/>
        </w:rPr>
        <w:t>Range: 11-21), calculated on mRECIST, as described in</w:t>
      </w:r>
      <w:r w:rsidR="00C113A3" w:rsidRPr="00AE3787">
        <w:rPr>
          <w:rFonts w:ascii="Book Antiqua" w:hAnsi="Book Antiqua"/>
          <w:i/>
        </w:rPr>
        <w:t xml:space="preserve"> </w:t>
      </w:r>
      <w:r w:rsidR="00C113A3" w:rsidRPr="00AE3787">
        <w:rPr>
          <w:rFonts w:ascii="Book Antiqua" w:hAnsi="Book Antiqua"/>
        </w:rPr>
        <w:t xml:space="preserve">Figure </w:t>
      </w:r>
      <w:r w:rsidR="00276A29">
        <w:rPr>
          <w:rFonts w:ascii="Book Antiqua" w:hAnsi="Book Antiqua" w:hint="eastAsia"/>
          <w:lang w:eastAsia="zh-CN"/>
        </w:rPr>
        <w:t>2</w:t>
      </w:r>
      <w:r w:rsidR="00C113A3" w:rsidRPr="00AE3787">
        <w:rPr>
          <w:rFonts w:ascii="Book Antiqua" w:hAnsi="Book Antiqua"/>
        </w:rPr>
        <w:t>.</w:t>
      </w:r>
    </w:p>
    <w:p w:rsidR="003E4FA0" w:rsidRPr="00353CC3" w:rsidRDefault="003E4FA0" w:rsidP="009418BF">
      <w:pPr>
        <w:spacing w:line="360" w:lineRule="auto"/>
        <w:jc w:val="both"/>
        <w:rPr>
          <w:rFonts w:ascii="Book Antiqua" w:hAnsi="Book Antiqua"/>
        </w:rPr>
      </w:pPr>
    </w:p>
    <w:p w:rsidR="009C4694" w:rsidRPr="009418BF" w:rsidRDefault="00AE3787" w:rsidP="009418BF">
      <w:pPr>
        <w:spacing w:line="360" w:lineRule="auto"/>
        <w:jc w:val="both"/>
        <w:rPr>
          <w:rFonts w:ascii="Book Antiqua" w:hAnsi="Book Antiqua"/>
        </w:rPr>
      </w:pPr>
      <w:r w:rsidRPr="009418BF">
        <w:rPr>
          <w:rFonts w:ascii="Book Antiqua" w:hAnsi="Book Antiqua"/>
          <w:b/>
        </w:rPr>
        <w:t xml:space="preserve">DISCUSSION </w:t>
      </w:r>
    </w:p>
    <w:p w:rsidR="009C4694" w:rsidRPr="009418BF" w:rsidRDefault="003E4FA0" w:rsidP="009418BF">
      <w:pPr>
        <w:spacing w:line="360" w:lineRule="auto"/>
        <w:jc w:val="both"/>
        <w:rPr>
          <w:rFonts w:ascii="Book Antiqua" w:hAnsi="Book Antiqua"/>
        </w:rPr>
      </w:pPr>
      <w:r w:rsidRPr="009418BF">
        <w:rPr>
          <w:rFonts w:ascii="Book Antiqua" w:hAnsi="Book Antiqua"/>
        </w:rPr>
        <w:t>DEB-</w:t>
      </w:r>
      <w:r w:rsidR="009C4694" w:rsidRPr="009418BF">
        <w:rPr>
          <w:rFonts w:ascii="Book Antiqua" w:hAnsi="Book Antiqua"/>
        </w:rPr>
        <w:t>TACE is the standard of care for HCC intermediate stage patients and a valuable therapeutic option in BCLC A stage when curative approach is unfeasible</w:t>
      </w:r>
      <w:r w:rsidR="0024573F" w:rsidRPr="009418BF">
        <w:rPr>
          <w:rFonts w:ascii="Book Antiqua" w:hAnsi="Book Antiqua"/>
          <w:vertAlign w:val="superscript"/>
        </w:rPr>
        <w:t>[</w:t>
      </w:r>
      <w:r w:rsidR="008477F1">
        <w:rPr>
          <w:rFonts w:ascii="Book Antiqua" w:hAnsi="Book Antiqua"/>
          <w:vertAlign w:val="superscript"/>
        </w:rPr>
        <w:t>1,</w:t>
      </w:r>
      <w:r w:rsidR="009C4694" w:rsidRPr="009418BF">
        <w:rPr>
          <w:rFonts w:ascii="Book Antiqua" w:hAnsi="Book Antiqua"/>
          <w:vertAlign w:val="superscript"/>
        </w:rPr>
        <w:t>23</w:t>
      </w:r>
      <w:r w:rsidR="0024573F" w:rsidRPr="009418BF">
        <w:rPr>
          <w:rFonts w:ascii="Book Antiqua" w:hAnsi="Book Antiqua"/>
          <w:vertAlign w:val="superscript"/>
        </w:rPr>
        <w:t>]</w:t>
      </w:r>
      <w:r w:rsidR="009C4694" w:rsidRPr="009418BF">
        <w:rPr>
          <w:rFonts w:ascii="Book Antiqua" w:hAnsi="Book Antiqua"/>
        </w:rPr>
        <w:t xml:space="preserve">. Several consecutive sessions are usually needed for </w:t>
      </w:r>
      <w:r w:rsidRPr="009418BF">
        <w:rPr>
          <w:rFonts w:ascii="Book Antiqua" w:hAnsi="Book Antiqua"/>
        </w:rPr>
        <w:t>DEB-</w:t>
      </w:r>
      <w:r w:rsidR="009C4694" w:rsidRPr="009418BF">
        <w:rPr>
          <w:rFonts w:ascii="Book Antiqua" w:hAnsi="Book Antiqua"/>
        </w:rPr>
        <w:t xml:space="preserve">TACE to be effective, </w:t>
      </w:r>
      <w:r w:rsidR="009C4694" w:rsidRPr="008477F1">
        <w:rPr>
          <w:rFonts w:ascii="Book Antiqua" w:hAnsi="Book Antiqua"/>
          <w:i/>
        </w:rPr>
        <w:t>i.e.</w:t>
      </w:r>
      <w:r w:rsidR="008477F1" w:rsidRPr="008477F1">
        <w:rPr>
          <w:rFonts w:ascii="Book Antiqua" w:hAnsi="Book Antiqua" w:hint="eastAsia"/>
          <w:i/>
          <w:lang w:eastAsia="zh-CN"/>
        </w:rPr>
        <w:t>,</w:t>
      </w:r>
      <w:r w:rsidR="009C4694" w:rsidRPr="009418BF">
        <w:rPr>
          <w:rFonts w:ascii="Book Antiqua" w:hAnsi="Book Antiqua"/>
        </w:rPr>
        <w:t xml:space="preserve"> the complete tumor response, so that the optimal treatment should lead to higher </w:t>
      </w:r>
      <w:r w:rsidR="0056287F" w:rsidRPr="009418BF">
        <w:rPr>
          <w:rFonts w:ascii="Book Antiqua" w:hAnsi="Book Antiqua"/>
        </w:rPr>
        <w:t>tumor</w:t>
      </w:r>
      <w:r w:rsidR="009C4694" w:rsidRPr="009418BF">
        <w:rPr>
          <w:rFonts w:ascii="Book Antiqua" w:hAnsi="Book Antiqua"/>
        </w:rPr>
        <w:t xml:space="preserve"> necrosis rate with the lowest incidence of adverse event. DEB-TACE showed a low incidence of post-</w:t>
      </w:r>
      <w:r w:rsidR="009C4694" w:rsidRPr="009418BF">
        <w:rPr>
          <w:rFonts w:ascii="Book Antiqua" w:hAnsi="Book Antiqua"/>
        </w:rPr>
        <w:lastRenderedPageBreak/>
        <w:t>embolization syndrome (PES)</w:t>
      </w:r>
      <w:r w:rsidR="0024573F" w:rsidRPr="009418BF">
        <w:rPr>
          <w:rFonts w:ascii="Book Antiqua" w:hAnsi="Book Antiqua"/>
          <w:vertAlign w:val="superscript"/>
        </w:rPr>
        <w:t>[</w:t>
      </w:r>
      <w:r w:rsidR="009E71D5" w:rsidRPr="009418BF">
        <w:rPr>
          <w:rFonts w:ascii="Book Antiqua" w:hAnsi="Book Antiqua"/>
          <w:vertAlign w:val="superscript"/>
        </w:rPr>
        <w:t>13</w:t>
      </w:r>
      <w:r w:rsidR="0024573F" w:rsidRPr="009418BF">
        <w:rPr>
          <w:rFonts w:ascii="Book Antiqua" w:hAnsi="Book Antiqua"/>
          <w:vertAlign w:val="superscript"/>
        </w:rPr>
        <w:t>]</w:t>
      </w:r>
      <w:r w:rsidR="009C4694" w:rsidRPr="009418BF">
        <w:rPr>
          <w:rFonts w:ascii="Book Antiqua" w:hAnsi="Book Antiqua"/>
        </w:rPr>
        <w:t xml:space="preserve"> and systemic toxicity </w:t>
      </w:r>
      <w:r w:rsidRPr="009418BF">
        <w:rPr>
          <w:rFonts w:ascii="Book Antiqua" w:hAnsi="Book Antiqua"/>
        </w:rPr>
        <w:t xml:space="preserve">than </w:t>
      </w:r>
      <w:r w:rsidR="009C4694" w:rsidRPr="009418BF">
        <w:rPr>
          <w:rFonts w:ascii="Book Antiqua" w:hAnsi="Book Antiqua"/>
        </w:rPr>
        <w:t xml:space="preserve">in previous </w:t>
      </w:r>
      <w:proofErr w:type="gramStart"/>
      <w:r w:rsidR="009C4694" w:rsidRPr="009418BF">
        <w:rPr>
          <w:rFonts w:ascii="Book Antiqua" w:hAnsi="Book Antiqua"/>
        </w:rPr>
        <w:t>reports</w:t>
      </w:r>
      <w:r w:rsidR="0024573F" w:rsidRPr="009418BF">
        <w:rPr>
          <w:rFonts w:ascii="Book Antiqua" w:hAnsi="Book Antiqua"/>
          <w:vertAlign w:val="superscript"/>
        </w:rPr>
        <w:t>[</w:t>
      </w:r>
      <w:proofErr w:type="gramEnd"/>
      <w:r w:rsidR="009C4694" w:rsidRPr="009418BF">
        <w:rPr>
          <w:rFonts w:ascii="Book Antiqua" w:hAnsi="Book Antiqua"/>
          <w:vertAlign w:val="superscript"/>
        </w:rPr>
        <w:t>8</w:t>
      </w:r>
      <w:r w:rsidR="0024573F" w:rsidRPr="009418BF">
        <w:rPr>
          <w:rFonts w:ascii="Book Antiqua" w:hAnsi="Book Antiqua"/>
          <w:vertAlign w:val="superscript"/>
        </w:rPr>
        <w:t>]</w:t>
      </w:r>
      <w:r w:rsidR="009C4694" w:rsidRPr="009418BF">
        <w:rPr>
          <w:rFonts w:ascii="Book Antiqua" w:hAnsi="Book Antiqua"/>
        </w:rPr>
        <w:t>, but its superiority over c-TACE is still a matter of debate</w:t>
      </w:r>
      <w:r w:rsidR="0024573F" w:rsidRPr="009418BF">
        <w:rPr>
          <w:rFonts w:ascii="Book Antiqua" w:hAnsi="Book Antiqua"/>
          <w:vertAlign w:val="superscript"/>
        </w:rPr>
        <w:t>[</w:t>
      </w:r>
      <w:r w:rsidR="009E71D5" w:rsidRPr="009418BF">
        <w:rPr>
          <w:rFonts w:ascii="Book Antiqua" w:hAnsi="Book Antiqua"/>
          <w:vertAlign w:val="superscript"/>
        </w:rPr>
        <w:t>10,24-26</w:t>
      </w:r>
      <w:r w:rsidR="0024573F" w:rsidRPr="009418BF">
        <w:rPr>
          <w:rFonts w:ascii="Book Antiqua" w:hAnsi="Book Antiqua"/>
          <w:vertAlign w:val="superscript"/>
        </w:rPr>
        <w:t>]</w:t>
      </w:r>
      <w:r w:rsidR="009C4694" w:rsidRPr="009418BF">
        <w:rPr>
          <w:rFonts w:ascii="Book Antiqua" w:hAnsi="Book Antiqua"/>
        </w:rPr>
        <w:t>.</w:t>
      </w:r>
    </w:p>
    <w:p w:rsidR="009C4694" w:rsidRPr="009418BF" w:rsidRDefault="009C4694" w:rsidP="008477F1">
      <w:pPr>
        <w:spacing w:line="360" w:lineRule="auto"/>
        <w:ind w:firstLineChars="100" w:firstLine="240"/>
        <w:jc w:val="both"/>
        <w:rPr>
          <w:rFonts w:ascii="Book Antiqua" w:hAnsi="Book Antiqua"/>
        </w:rPr>
      </w:pPr>
      <w:r w:rsidRPr="009418BF">
        <w:rPr>
          <w:rFonts w:ascii="Book Antiqua" w:hAnsi="Book Antiqua"/>
        </w:rPr>
        <w:t xml:space="preserve">Since the diameter of </w:t>
      </w:r>
      <w:r w:rsidR="003E4FA0" w:rsidRPr="009418BF">
        <w:rPr>
          <w:rFonts w:ascii="Book Antiqua" w:hAnsi="Book Antiqua"/>
        </w:rPr>
        <w:t xml:space="preserve">chemo loaded microspheres </w:t>
      </w:r>
      <w:r w:rsidRPr="009418BF">
        <w:rPr>
          <w:rFonts w:ascii="Book Antiqua" w:hAnsi="Book Antiqua"/>
        </w:rPr>
        <w:t xml:space="preserve">seems to be related to their therapeutic </w:t>
      </w:r>
      <w:proofErr w:type="gramStart"/>
      <w:r w:rsidRPr="009418BF">
        <w:rPr>
          <w:rFonts w:ascii="Book Antiqua" w:hAnsi="Book Antiqua"/>
        </w:rPr>
        <w:t>action</w:t>
      </w:r>
      <w:r w:rsidR="0024573F" w:rsidRPr="009418BF">
        <w:rPr>
          <w:rFonts w:ascii="Book Antiqua" w:hAnsi="Book Antiqua"/>
          <w:vertAlign w:val="superscript"/>
        </w:rPr>
        <w:t>[</w:t>
      </w:r>
      <w:proofErr w:type="gramEnd"/>
      <w:r w:rsidR="009E71D5" w:rsidRPr="009418BF">
        <w:rPr>
          <w:rFonts w:ascii="Book Antiqua" w:hAnsi="Book Antiqua"/>
          <w:vertAlign w:val="superscript"/>
        </w:rPr>
        <w:t>17,18</w:t>
      </w:r>
      <w:r w:rsidR="0024573F" w:rsidRPr="009418BF">
        <w:rPr>
          <w:rFonts w:ascii="Book Antiqua" w:hAnsi="Book Antiqua"/>
          <w:vertAlign w:val="superscript"/>
        </w:rPr>
        <w:t>]</w:t>
      </w:r>
      <w:r w:rsidRPr="009418BF">
        <w:rPr>
          <w:rFonts w:ascii="Book Antiqua" w:hAnsi="Book Antiqua"/>
        </w:rPr>
        <w:t xml:space="preserve">, studies on pharmacological kinetics have focused on producing smaller particles that could penetrate deeper into the </w:t>
      </w:r>
      <w:proofErr w:type="spellStart"/>
      <w:r w:rsidRPr="009418BF">
        <w:rPr>
          <w:rFonts w:ascii="Book Antiqua" w:hAnsi="Book Antiqua"/>
        </w:rPr>
        <w:t>tumor</w:t>
      </w:r>
      <w:r w:rsidR="00780887">
        <w:rPr>
          <w:rFonts w:ascii="Book Antiqua" w:hAnsi="Book Antiqua"/>
          <w:lang w:eastAsia="zh-CN"/>
        </w:rPr>
        <w:t>’</w:t>
      </w:r>
      <w:r w:rsidRPr="009418BF">
        <w:rPr>
          <w:rFonts w:ascii="Book Antiqua" w:hAnsi="Book Antiqua"/>
        </w:rPr>
        <w:t>s</w:t>
      </w:r>
      <w:proofErr w:type="spellEnd"/>
      <w:r w:rsidRPr="009418BF">
        <w:rPr>
          <w:rFonts w:ascii="Book Antiqua" w:hAnsi="Book Antiqua"/>
        </w:rPr>
        <w:t xml:space="preserve"> vascular network. The most distal penetration of these </w:t>
      </w:r>
      <w:r w:rsidR="003E4FA0" w:rsidRPr="009418BF">
        <w:rPr>
          <w:rFonts w:ascii="Book Antiqua" w:hAnsi="Book Antiqua"/>
        </w:rPr>
        <w:t>microspheres</w:t>
      </w:r>
      <w:r w:rsidRPr="009418BF">
        <w:rPr>
          <w:rFonts w:ascii="Book Antiqua" w:hAnsi="Book Antiqua"/>
        </w:rPr>
        <w:t xml:space="preserve"> reduces the phenomenon of hypoxic-ischaemic </w:t>
      </w:r>
      <w:proofErr w:type="spellStart"/>
      <w:proofErr w:type="gramStart"/>
      <w:r w:rsidRPr="009418BF">
        <w:rPr>
          <w:rFonts w:ascii="Book Antiqua" w:hAnsi="Book Antiqua"/>
        </w:rPr>
        <w:t>neoangiogenesis</w:t>
      </w:r>
      <w:proofErr w:type="spellEnd"/>
      <w:r w:rsidR="0024573F" w:rsidRPr="009418BF">
        <w:rPr>
          <w:rFonts w:ascii="Book Antiqua" w:hAnsi="Book Antiqua"/>
          <w:vertAlign w:val="superscript"/>
        </w:rPr>
        <w:t>[</w:t>
      </w:r>
      <w:proofErr w:type="gramEnd"/>
      <w:r w:rsidR="009E71D5" w:rsidRPr="009418BF">
        <w:rPr>
          <w:rFonts w:ascii="Book Antiqua" w:hAnsi="Book Antiqua"/>
          <w:vertAlign w:val="superscript"/>
        </w:rPr>
        <w:t>27,28</w:t>
      </w:r>
      <w:r w:rsidR="0024573F" w:rsidRPr="009418BF">
        <w:rPr>
          <w:rFonts w:ascii="Book Antiqua" w:hAnsi="Book Antiqua"/>
          <w:vertAlign w:val="superscript"/>
        </w:rPr>
        <w:t>]</w:t>
      </w:r>
      <w:r w:rsidRPr="009418BF">
        <w:rPr>
          <w:rFonts w:ascii="Book Antiqua" w:hAnsi="Book Antiqua"/>
        </w:rPr>
        <w:t>. However, for embolization not associated with any drug (bland embolization), the use of particles with a diameter &lt;</w:t>
      </w:r>
      <w:r w:rsidR="008477F1">
        <w:rPr>
          <w:rFonts w:ascii="Book Antiqua" w:hAnsi="Book Antiqua" w:hint="eastAsia"/>
          <w:lang w:eastAsia="zh-CN"/>
        </w:rPr>
        <w:t xml:space="preserve"> </w:t>
      </w:r>
      <w:r w:rsidRPr="009418BF">
        <w:rPr>
          <w:rFonts w:ascii="Book Antiqua" w:hAnsi="Book Antiqua"/>
        </w:rPr>
        <w:t xml:space="preserve">100 µm presented a </w:t>
      </w:r>
      <w:r w:rsidR="00844F1E" w:rsidRPr="009418BF">
        <w:rPr>
          <w:rFonts w:ascii="Book Antiqua" w:hAnsi="Book Antiqua"/>
        </w:rPr>
        <w:t>concerning</w:t>
      </w:r>
      <w:r w:rsidRPr="009418BF">
        <w:rPr>
          <w:rFonts w:ascii="Book Antiqua" w:hAnsi="Book Antiqua"/>
        </w:rPr>
        <w:t xml:space="preserve"> rate of complications, especially in the treatment of large </w:t>
      </w:r>
      <w:proofErr w:type="spellStart"/>
      <w:proofErr w:type="gramStart"/>
      <w:r w:rsidR="0056287F" w:rsidRPr="009418BF">
        <w:rPr>
          <w:rFonts w:ascii="Book Antiqua" w:hAnsi="Book Antiqua"/>
        </w:rPr>
        <w:t>tumor</w:t>
      </w:r>
      <w:r w:rsidRPr="009418BF">
        <w:rPr>
          <w:rFonts w:ascii="Book Antiqua" w:hAnsi="Book Antiqua"/>
        </w:rPr>
        <w:t>s</w:t>
      </w:r>
      <w:proofErr w:type="spellEnd"/>
      <w:r w:rsidR="0024573F" w:rsidRPr="009418BF">
        <w:rPr>
          <w:rFonts w:ascii="Book Antiqua" w:hAnsi="Book Antiqua"/>
          <w:vertAlign w:val="superscript"/>
        </w:rPr>
        <w:t>[</w:t>
      </w:r>
      <w:proofErr w:type="gramEnd"/>
      <w:r w:rsidRPr="009418BF">
        <w:rPr>
          <w:rFonts w:ascii="Book Antiqua" w:hAnsi="Book Antiqua"/>
          <w:vertAlign w:val="superscript"/>
        </w:rPr>
        <w:t>29</w:t>
      </w:r>
      <w:r w:rsidR="009E71D5" w:rsidRPr="009418BF">
        <w:rPr>
          <w:rFonts w:ascii="Book Antiqua" w:hAnsi="Book Antiqua"/>
          <w:vertAlign w:val="superscript"/>
        </w:rPr>
        <w:t>,30</w:t>
      </w:r>
      <w:r w:rsidR="0024573F" w:rsidRPr="009418BF">
        <w:rPr>
          <w:rFonts w:ascii="Book Antiqua" w:hAnsi="Book Antiqua"/>
          <w:vertAlign w:val="superscript"/>
        </w:rPr>
        <w:t>]</w:t>
      </w:r>
      <w:r w:rsidRPr="009418BF">
        <w:rPr>
          <w:rFonts w:ascii="Book Antiqua" w:hAnsi="Book Antiqua"/>
        </w:rPr>
        <w:t xml:space="preserve">. Some complications in this type of procedures are related to the </w:t>
      </w:r>
      <w:r w:rsidR="008477F1">
        <w:rPr>
          <w:rFonts w:ascii="Book Antiqua" w:hAnsi="Book Antiqua"/>
          <w:lang w:eastAsia="zh-CN"/>
        </w:rPr>
        <w:t>“</w:t>
      </w:r>
      <w:r w:rsidRPr="008477F1">
        <w:rPr>
          <w:rFonts w:ascii="Book Antiqua" w:hAnsi="Book Antiqua"/>
        </w:rPr>
        <w:t>non-target embolization</w:t>
      </w:r>
      <w:r w:rsidR="008477F1">
        <w:rPr>
          <w:rFonts w:ascii="Book Antiqua" w:hAnsi="Book Antiqua"/>
          <w:lang w:eastAsia="zh-CN"/>
        </w:rPr>
        <w:t>”</w:t>
      </w:r>
      <w:r w:rsidRPr="008477F1">
        <w:rPr>
          <w:rFonts w:ascii="Book Antiqua" w:hAnsi="Book Antiqua"/>
          <w:i/>
        </w:rPr>
        <w:t xml:space="preserve"> </w:t>
      </w:r>
      <w:r w:rsidRPr="009418BF">
        <w:rPr>
          <w:rFonts w:ascii="Book Antiqua" w:hAnsi="Book Antiqua"/>
        </w:rPr>
        <w:t>that is, the unwanted escape of micro</w:t>
      </w:r>
      <w:r w:rsidR="00844F1E" w:rsidRPr="009418BF">
        <w:rPr>
          <w:rFonts w:ascii="Book Antiqua" w:hAnsi="Book Antiqua"/>
        </w:rPr>
        <w:t>spheres</w:t>
      </w:r>
      <w:r w:rsidRPr="009418BF">
        <w:rPr>
          <w:rFonts w:ascii="Book Antiqua" w:hAnsi="Book Antiqua"/>
        </w:rPr>
        <w:t xml:space="preserve"> outside the </w:t>
      </w:r>
      <w:r w:rsidR="00844F1E" w:rsidRPr="009418BF">
        <w:rPr>
          <w:rFonts w:ascii="Book Antiqua" w:hAnsi="Book Antiqua"/>
        </w:rPr>
        <w:t xml:space="preserve">optimal area for </w:t>
      </w:r>
      <w:r w:rsidRPr="009418BF">
        <w:rPr>
          <w:rFonts w:ascii="Book Antiqua" w:hAnsi="Book Antiqua"/>
        </w:rPr>
        <w:t>treatment, which can affect other organs or unwanted areas of the same organ. Acute pancreatitis (0.88</w:t>
      </w:r>
      <w:r w:rsidR="008477F1">
        <w:rPr>
          <w:rFonts w:ascii="Book Antiqua" w:hAnsi="Book Antiqua" w:hint="eastAsia"/>
          <w:lang w:eastAsia="zh-CN"/>
        </w:rPr>
        <w:t>%</w:t>
      </w:r>
      <w:r w:rsidRPr="009418BF">
        <w:rPr>
          <w:rFonts w:ascii="Book Antiqua" w:hAnsi="Book Antiqua"/>
        </w:rPr>
        <w:t xml:space="preserve">-15.2%), acute </w:t>
      </w:r>
      <w:proofErr w:type="spellStart"/>
      <w:r w:rsidRPr="009418BF">
        <w:rPr>
          <w:rFonts w:ascii="Book Antiqua" w:hAnsi="Book Antiqua"/>
        </w:rPr>
        <w:t>cholecystitis</w:t>
      </w:r>
      <w:proofErr w:type="spellEnd"/>
      <w:r w:rsidRPr="009418BF">
        <w:rPr>
          <w:rFonts w:ascii="Book Antiqua" w:hAnsi="Book Antiqua"/>
        </w:rPr>
        <w:t xml:space="preserve"> (0.2</w:t>
      </w:r>
      <w:r w:rsidR="00982095">
        <w:rPr>
          <w:rFonts w:ascii="Book Antiqua" w:hAnsi="Book Antiqua" w:hint="eastAsia"/>
          <w:lang w:eastAsia="zh-CN"/>
        </w:rPr>
        <w:t>%</w:t>
      </w:r>
      <w:r w:rsidRPr="009418BF">
        <w:rPr>
          <w:rFonts w:ascii="Book Antiqua" w:hAnsi="Book Antiqua"/>
        </w:rPr>
        <w:t>-5.4%), pulmonary embolism (0.17</w:t>
      </w:r>
      <w:r w:rsidR="00982095">
        <w:rPr>
          <w:rFonts w:ascii="Book Antiqua" w:hAnsi="Book Antiqua" w:hint="eastAsia"/>
          <w:lang w:eastAsia="zh-CN"/>
        </w:rPr>
        <w:t>%</w:t>
      </w:r>
      <w:r w:rsidRPr="009418BF">
        <w:rPr>
          <w:rFonts w:ascii="Book Antiqua" w:hAnsi="Book Antiqua"/>
        </w:rPr>
        <w:t xml:space="preserve">-2.7%), splenic infarction (0.08-1.4%), gastrointestinal mucosal </w:t>
      </w:r>
      <w:r w:rsidR="0056287F" w:rsidRPr="009418BF">
        <w:rPr>
          <w:rFonts w:ascii="Book Antiqua" w:hAnsi="Book Antiqua"/>
        </w:rPr>
        <w:t>tumor</w:t>
      </w:r>
      <w:r w:rsidRPr="009418BF">
        <w:rPr>
          <w:rFonts w:ascii="Book Antiqua" w:hAnsi="Book Antiqua"/>
        </w:rPr>
        <w:t>s (0.22</w:t>
      </w:r>
      <w:r w:rsidR="00982095">
        <w:rPr>
          <w:rFonts w:ascii="Book Antiqua" w:hAnsi="Book Antiqua" w:hint="eastAsia"/>
          <w:lang w:eastAsia="zh-CN"/>
        </w:rPr>
        <w:t>%</w:t>
      </w:r>
      <w:r w:rsidRPr="009418BF">
        <w:rPr>
          <w:rFonts w:ascii="Book Antiqua" w:hAnsi="Book Antiqua"/>
        </w:rPr>
        <w:t>-0</w:t>
      </w:r>
      <w:proofErr w:type="gramStart"/>
      <w:r w:rsidRPr="009418BF">
        <w:rPr>
          <w:rFonts w:ascii="Book Antiqua" w:hAnsi="Book Antiqua"/>
        </w:rPr>
        <w:t>.7</w:t>
      </w:r>
      <w:proofErr w:type="gramEnd"/>
      <w:r w:rsidRPr="009418BF">
        <w:rPr>
          <w:rFonts w:ascii="Book Antiqua" w:hAnsi="Book Antiqua"/>
        </w:rPr>
        <w:t>%), spinal cord injury (0.3</w:t>
      </w:r>
      <w:r w:rsidR="00982095">
        <w:rPr>
          <w:rFonts w:ascii="Book Antiqua" w:hAnsi="Book Antiqua" w:hint="eastAsia"/>
          <w:lang w:eastAsia="zh-CN"/>
        </w:rPr>
        <w:t>%</w:t>
      </w:r>
      <w:r w:rsidRPr="009418BF">
        <w:rPr>
          <w:rFonts w:ascii="Book Antiqua" w:hAnsi="Book Antiqua"/>
        </w:rPr>
        <w:t xml:space="preserve">-1.2%) are among the possible </w:t>
      </w:r>
      <w:proofErr w:type="spellStart"/>
      <w:r w:rsidRPr="009418BF">
        <w:rPr>
          <w:rFonts w:ascii="Book Antiqua" w:hAnsi="Book Antiqua"/>
        </w:rPr>
        <w:t>extrahepatic</w:t>
      </w:r>
      <w:proofErr w:type="spellEnd"/>
      <w:r w:rsidRPr="009418BF">
        <w:rPr>
          <w:rFonts w:ascii="Book Antiqua" w:hAnsi="Book Antiqua"/>
        </w:rPr>
        <w:t xml:space="preserve"> complications</w:t>
      </w:r>
      <w:r w:rsidR="0024573F" w:rsidRPr="009418BF">
        <w:rPr>
          <w:rFonts w:ascii="Book Antiqua" w:hAnsi="Book Antiqua"/>
          <w:vertAlign w:val="superscript"/>
        </w:rPr>
        <w:t>[</w:t>
      </w:r>
      <w:r w:rsidR="009E71D5" w:rsidRPr="009418BF">
        <w:rPr>
          <w:rFonts w:ascii="Book Antiqua" w:hAnsi="Book Antiqua"/>
          <w:vertAlign w:val="superscript"/>
        </w:rPr>
        <w:t>31</w:t>
      </w:r>
      <w:r w:rsidR="0024573F" w:rsidRPr="009418BF">
        <w:rPr>
          <w:rFonts w:ascii="Book Antiqua" w:hAnsi="Book Antiqua"/>
          <w:vertAlign w:val="superscript"/>
        </w:rPr>
        <w:t>]</w:t>
      </w:r>
      <w:r w:rsidRPr="009418BF">
        <w:rPr>
          <w:rFonts w:ascii="Book Antiqua" w:hAnsi="Book Antiqua"/>
        </w:rPr>
        <w:t>. Unwanted hepatic complications such as ischemic hepatitis (0.26</w:t>
      </w:r>
      <w:r w:rsidR="00982095">
        <w:rPr>
          <w:rFonts w:ascii="Book Antiqua" w:hAnsi="Book Antiqua" w:hint="eastAsia"/>
          <w:lang w:eastAsia="zh-CN"/>
        </w:rPr>
        <w:t>%</w:t>
      </w:r>
      <w:r w:rsidRPr="009418BF">
        <w:rPr>
          <w:rFonts w:ascii="Book Antiqua" w:hAnsi="Book Antiqua"/>
        </w:rPr>
        <w:t>-15.4%), liver infarction or abscess (0.5</w:t>
      </w:r>
      <w:r w:rsidR="00982095">
        <w:rPr>
          <w:rFonts w:ascii="Book Antiqua" w:hAnsi="Book Antiqua" w:hint="eastAsia"/>
          <w:lang w:eastAsia="zh-CN"/>
        </w:rPr>
        <w:t>%</w:t>
      </w:r>
      <w:r w:rsidRPr="009418BF">
        <w:rPr>
          <w:rFonts w:ascii="Book Antiqua" w:hAnsi="Book Antiqua"/>
        </w:rPr>
        <w:t xml:space="preserve">-2.7%) or bile duct </w:t>
      </w:r>
      <w:proofErr w:type="gramStart"/>
      <w:r w:rsidRPr="009418BF">
        <w:rPr>
          <w:rFonts w:ascii="Book Antiqua" w:hAnsi="Book Antiqua"/>
        </w:rPr>
        <w:t>injuries</w:t>
      </w:r>
      <w:r w:rsidR="0024573F" w:rsidRPr="009418BF">
        <w:rPr>
          <w:rFonts w:ascii="Book Antiqua" w:hAnsi="Book Antiqua"/>
          <w:vertAlign w:val="superscript"/>
        </w:rPr>
        <w:t>[</w:t>
      </w:r>
      <w:proofErr w:type="gramEnd"/>
      <w:r w:rsidR="009E71D5" w:rsidRPr="009418BF">
        <w:rPr>
          <w:rFonts w:ascii="Book Antiqua" w:hAnsi="Book Antiqua"/>
          <w:vertAlign w:val="superscript"/>
        </w:rPr>
        <w:t>31</w:t>
      </w:r>
      <w:r w:rsidR="0024573F" w:rsidRPr="009418BF">
        <w:rPr>
          <w:rFonts w:ascii="Book Antiqua" w:hAnsi="Book Antiqua"/>
          <w:vertAlign w:val="superscript"/>
        </w:rPr>
        <w:t>]</w:t>
      </w:r>
      <w:r w:rsidRPr="009418BF">
        <w:rPr>
          <w:rFonts w:ascii="Book Antiqua" w:hAnsi="Book Antiqua"/>
        </w:rPr>
        <w:t xml:space="preserve"> are connected to local ischemic damages.</w:t>
      </w:r>
      <w:r w:rsidR="00ED71D5">
        <w:rPr>
          <w:rFonts w:ascii="Book Antiqua" w:hAnsi="Book Antiqua"/>
        </w:rPr>
        <w:t xml:space="preserve"> </w:t>
      </w:r>
      <w:r w:rsidRPr="009418BF">
        <w:rPr>
          <w:rFonts w:ascii="Book Antiqua" w:hAnsi="Book Antiqua"/>
        </w:rPr>
        <w:t xml:space="preserve">Some recent studies have proven a very high degree of safety in the use of loadable particles with diameters below 100 µm, with good preliminary efficacy results in terms of radiological and histological response to </w:t>
      </w:r>
      <w:proofErr w:type="gramStart"/>
      <w:r w:rsidRPr="009418BF">
        <w:rPr>
          <w:rFonts w:ascii="Book Antiqua" w:hAnsi="Book Antiqua"/>
        </w:rPr>
        <w:t>treatment</w:t>
      </w:r>
      <w:r w:rsidR="0024573F" w:rsidRPr="009418BF">
        <w:rPr>
          <w:rFonts w:ascii="Book Antiqua" w:hAnsi="Book Antiqua"/>
          <w:vertAlign w:val="superscript"/>
        </w:rPr>
        <w:t>[</w:t>
      </w:r>
      <w:proofErr w:type="gramEnd"/>
      <w:r w:rsidR="009E71D5" w:rsidRPr="009418BF">
        <w:rPr>
          <w:rFonts w:ascii="Book Antiqua" w:hAnsi="Book Antiqua"/>
          <w:vertAlign w:val="superscript"/>
        </w:rPr>
        <w:t>14,15,</w:t>
      </w:r>
      <w:r w:rsidRPr="009418BF">
        <w:rPr>
          <w:rFonts w:ascii="Book Antiqua" w:hAnsi="Book Antiqua"/>
          <w:vertAlign w:val="superscript"/>
        </w:rPr>
        <w:t>18</w:t>
      </w:r>
      <w:r w:rsidR="0024573F" w:rsidRPr="009418BF">
        <w:rPr>
          <w:rFonts w:ascii="Book Antiqua" w:hAnsi="Book Antiqua"/>
          <w:vertAlign w:val="superscript"/>
        </w:rPr>
        <w:t>]</w:t>
      </w:r>
      <w:r w:rsidRPr="009418BF">
        <w:rPr>
          <w:rFonts w:ascii="Book Antiqua" w:hAnsi="Book Antiqua"/>
        </w:rPr>
        <w:t>.</w:t>
      </w:r>
    </w:p>
    <w:p w:rsidR="00323539" w:rsidRPr="009418BF" w:rsidRDefault="009C4694" w:rsidP="00982095">
      <w:pPr>
        <w:spacing w:line="360" w:lineRule="auto"/>
        <w:ind w:firstLineChars="100" w:firstLine="240"/>
        <w:jc w:val="both"/>
        <w:rPr>
          <w:rFonts w:ascii="Book Antiqua" w:hAnsi="Book Antiqua"/>
        </w:rPr>
      </w:pPr>
      <w:r w:rsidRPr="009418BF">
        <w:rPr>
          <w:rFonts w:ascii="Book Antiqua" w:hAnsi="Book Antiqua"/>
        </w:rPr>
        <w:t xml:space="preserve">A new generation of </w:t>
      </w:r>
      <w:r w:rsidR="00844F1E" w:rsidRPr="009418BF">
        <w:rPr>
          <w:rFonts w:ascii="Book Antiqua" w:hAnsi="Book Antiqua"/>
        </w:rPr>
        <w:t>microspheres</w:t>
      </w:r>
      <w:r w:rsidRPr="009418BF">
        <w:rPr>
          <w:rFonts w:ascii="Book Antiqua" w:hAnsi="Book Antiqua"/>
        </w:rPr>
        <w:t xml:space="preserve"> (</w:t>
      </w:r>
      <w:proofErr w:type="spellStart"/>
      <w:r w:rsidR="00ED71D5" w:rsidRPr="009418BF">
        <w:rPr>
          <w:rFonts w:ascii="Book Antiqua" w:hAnsi="Book Antiqua"/>
        </w:rPr>
        <w:t>embozene</w:t>
      </w:r>
      <w:proofErr w:type="spellEnd"/>
      <w:r w:rsidR="00ED71D5" w:rsidRPr="009418BF">
        <w:rPr>
          <w:rFonts w:ascii="Book Antiqua" w:hAnsi="Book Antiqua"/>
        </w:rPr>
        <w:t xml:space="preserve"> tandem</w:t>
      </w:r>
      <w:r w:rsidRPr="009418BF">
        <w:rPr>
          <w:rFonts w:ascii="Book Antiqua" w:hAnsi="Book Antiqua"/>
        </w:rPr>
        <w:t xml:space="preserve"> 40</w:t>
      </w:r>
      <w:r w:rsidR="00844F1E" w:rsidRPr="009418BF">
        <w:rPr>
          <w:rFonts w:ascii="Book Antiqua" w:hAnsi="Book Antiqua"/>
        </w:rPr>
        <w:t xml:space="preserve"> µm</w:t>
      </w:r>
      <w:r w:rsidRPr="009418BF">
        <w:rPr>
          <w:rFonts w:ascii="Book Antiqua" w:hAnsi="Book Antiqua"/>
        </w:rPr>
        <w:t xml:space="preserve">) has been recently marketed for </w:t>
      </w:r>
      <w:r w:rsidR="00844F1E" w:rsidRPr="009418BF">
        <w:rPr>
          <w:rFonts w:ascii="Book Antiqua" w:hAnsi="Book Antiqua"/>
        </w:rPr>
        <w:t>selective</w:t>
      </w:r>
      <w:r w:rsidRPr="009418BF">
        <w:rPr>
          <w:rFonts w:ascii="Book Antiqua" w:hAnsi="Book Antiqua"/>
        </w:rPr>
        <w:t xml:space="preserve"> intra-arterial treatment even though data on the efficacy and safety profile of the product </w:t>
      </w:r>
      <w:r w:rsidR="00844F1E" w:rsidRPr="009418BF">
        <w:rPr>
          <w:rFonts w:ascii="Book Antiqua" w:hAnsi="Book Antiqua"/>
        </w:rPr>
        <w:t>is yet to be published.</w:t>
      </w:r>
      <w:r w:rsidR="00ED71D5">
        <w:rPr>
          <w:rFonts w:ascii="Book Antiqua" w:hAnsi="Book Antiqua"/>
        </w:rPr>
        <w:t xml:space="preserve"> </w:t>
      </w:r>
      <w:r w:rsidRPr="009418BF">
        <w:rPr>
          <w:rFonts w:ascii="Book Antiqua" w:hAnsi="Book Antiqua"/>
        </w:rPr>
        <w:t>To our knowledge, this is the first re</w:t>
      </w:r>
      <w:r w:rsidR="00E86159" w:rsidRPr="009418BF">
        <w:rPr>
          <w:rFonts w:ascii="Book Antiqua" w:hAnsi="Book Antiqua"/>
        </w:rPr>
        <w:t>port</w:t>
      </w:r>
      <w:r w:rsidRPr="009418BF">
        <w:rPr>
          <w:rFonts w:ascii="Book Antiqua" w:hAnsi="Book Antiqua"/>
        </w:rPr>
        <w:t xml:space="preserve"> on the safety and efficacy of 40 µm particles preloaded with </w:t>
      </w:r>
      <w:r w:rsidR="00844F1E" w:rsidRPr="009418BF">
        <w:rPr>
          <w:rFonts w:ascii="Book Antiqua" w:hAnsi="Book Antiqua"/>
        </w:rPr>
        <w:t>d</w:t>
      </w:r>
      <w:r w:rsidRPr="009418BF">
        <w:rPr>
          <w:rFonts w:ascii="Book Antiqua" w:hAnsi="Book Antiqua"/>
        </w:rPr>
        <w:t xml:space="preserve">oxorubicin in the treatment of HCC with </w:t>
      </w:r>
      <w:r w:rsidR="00844F1E" w:rsidRPr="009418BF">
        <w:rPr>
          <w:rFonts w:ascii="Book Antiqua" w:hAnsi="Book Antiqua"/>
        </w:rPr>
        <w:t>DEB-</w:t>
      </w:r>
      <w:r w:rsidRPr="009418BF">
        <w:rPr>
          <w:rFonts w:ascii="Book Antiqua" w:hAnsi="Book Antiqua"/>
        </w:rPr>
        <w:t xml:space="preserve">TACE. </w:t>
      </w:r>
      <w:r w:rsidR="00323539" w:rsidRPr="009418BF">
        <w:rPr>
          <w:rFonts w:ascii="Book Antiqua" w:hAnsi="Book Antiqua"/>
        </w:rPr>
        <w:t>The overall objective response rate (CR +</w:t>
      </w:r>
      <w:r w:rsidR="00596186">
        <w:rPr>
          <w:rFonts w:ascii="Book Antiqua" w:hAnsi="Book Antiqua" w:hint="eastAsia"/>
          <w:lang w:eastAsia="zh-CN"/>
        </w:rPr>
        <w:t xml:space="preserve"> </w:t>
      </w:r>
      <w:r w:rsidR="00323539" w:rsidRPr="009418BF">
        <w:rPr>
          <w:rFonts w:ascii="Book Antiqua" w:hAnsi="Book Antiqua"/>
        </w:rPr>
        <w:t>PR) obtained has been of 26.7% to RECIST and 72.6% to mRECIST. This is comparable to the rates according to mRECIST of two recent series carried out with 70-150 µm</w:t>
      </w:r>
      <w:r w:rsidR="0024573F" w:rsidRPr="009418BF">
        <w:rPr>
          <w:rFonts w:ascii="Book Antiqua" w:hAnsi="Book Antiqua"/>
          <w:vertAlign w:val="superscript"/>
        </w:rPr>
        <w:t>[</w:t>
      </w:r>
      <w:r w:rsidR="009E71D5" w:rsidRPr="009418BF">
        <w:rPr>
          <w:rFonts w:ascii="Book Antiqua" w:hAnsi="Book Antiqua"/>
          <w:vertAlign w:val="superscript"/>
        </w:rPr>
        <w:t>14,15</w:t>
      </w:r>
      <w:r w:rsidR="0024573F" w:rsidRPr="009418BF">
        <w:rPr>
          <w:rFonts w:ascii="Book Antiqua" w:hAnsi="Book Antiqua"/>
          <w:vertAlign w:val="superscript"/>
        </w:rPr>
        <w:t>]</w:t>
      </w:r>
      <w:r w:rsidR="00323539" w:rsidRPr="009418BF">
        <w:rPr>
          <w:rFonts w:ascii="Book Antiqua" w:hAnsi="Book Antiqua"/>
        </w:rPr>
        <w:t xml:space="preserve"> and 30-60 µm</w:t>
      </w:r>
      <w:r w:rsidR="0024573F" w:rsidRPr="009418BF">
        <w:rPr>
          <w:rFonts w:ascii="Book Antiqua" w:hAnsi="Book Antiqua"/>
          <w:vertAlign w:val="superscript"/>
        </w:rPr>
        <w:t>[</w:t>
      </w:r>
      <w:r w:rsidR="009E71D5" w:rsidRPr="009418BF">
        <w:rPr>
          <w:rFonts w:ascii="Book Antiqua" w:hAnsi="Book Antiqua"/>
          <w:vertAlign w:val="superscript"/>
        </w:rPr>
        <w:t>18</w:t>
      </w:r>
      <w:r w:rsidR="0024573F" w:rsidRPr="009418BF">
        <w:rPr>
          <w:rFonts w:ascii="Book Antiqua" w:hAnsi="Book Antiqua"/>
          <w:vertAlign w:val="superscript"/>
        </w:rPr>
        <w:t>]</w:t>
      </w:r>
      <w:r w:rsidR="00323539" w:rsidRPr="009418BF">
        <w:rPr>
          <w:rFonts w:ascii="Book Antiqua" w:hAnsi="Book Antiqua"/>
        </w:rPr>
        <w:t xml:space="preserve"> (initial diameters) particles loaded with doxorubicin by </w:t>
      </w:r>
      <w:proofErr w:type="spellStart"/>
      <w:r w:rsidR="00323539" w:rsidRPr="009418BF">
        <w:rPr>
          <w:rFonts w:ascii="Book Antiqua" w:hAnsi="Book Antiqua"/>
        </w:rPr>
        <w:t>Spreafico</w:t>
      </w:r>
      <w:proofErr w:type="spellEnd"/>
      <w:r w:rsidR="00323539" w:rsidRPr="009418BF">
        <w:rPr>
          <w:rFonts w:ascii="Book Antiqua" w:hAnsi="Book Antiqua"/>
        </w:rPr>
        <w:t xml:space="preserve"> </w:t>
      </w:r>
      <w:r w:rsidR="00C74790" w:rsidRPr="009418BF">
        <w:rPr>
          <w:rFonts w:ascii="Book Antiqua" w:hAnsi="Book Antiqua"/>
          <w:i/>
        </w:rPr>
        <w:t>et al</w:t>
      </w:r>
      <w:r w:rsidR="00982095">
        <w:rPr>
          <w:rFonts w:ascii="Book Antiqua" w:hAnsi="Book Antiqua" w:hint="eastAsia"/>
          <w:vertAlign w:val="superscript"/>
          <w:lang w:eastAsia="zh-CN"/>
        </w:rPr>
        <w:t>[14]</w:t>
      </w:r>
      <w:r w:rsidR="00ED71D5">
        <w:rPr>
          <w:rFonts w:ascii="Book Antiqua" w:hAnsi="Book Antiqua"/>
        </w:rPr>
        <w:t xml:space="preserve"> </w:t>
      </w:r>
      <w:r w:rsidR="00323539" w:rsidRPr="009418BF">
        <w:rPr>
          <w:rFonts w:ascii="Book Antiqua" w:hAnsi="Book Antiqua"/>
        </w:rPr>
        <w:t>and</w:t>
      </w:r>
      <w:r w:rsidR="00ED71D5">
        <w:rPr>
          <w:rFonts w:ascii="Book Antiqua" w:hAnsi="Book Antiqua"/>
        </w:rPr>
        <w:t xml:space="preserve"> </w:t>
      </w:r>
      <w:proofErr w:type="spellStart"/>
      <w:r w:rsidR="00323539" w:rsidRPr="009418BF">
        <w:rPr>
          <w:rFonts w:ascii="Book Antiqua" w:hAnsi="Book Antiqua"/>
        </w:rPr>
        <w:t>Malagari</w:t>
      </w:r>
      <w:proofErr w:type="spellEnd"/>
      <w:r w:rsidR="00323539" w:rsidRPr="009418BF">
        <w:rPr>
          <w:rFonts w:ascii="Book Antiqua" w:hAnsi="Book Antiqua"/>
        </w:rPr>
        <w:t xml:space="preserve"> </w:t>
      </w:r>
      <w:r w:rsidR="00C74790" w:rsidRPr="009418BF">
        <w:rPr>
          <w:rFonts w:ascii="Book Antiqua" w:hAnsi="Book Antiqua"/>
          <w:i/>
        </w:rPr>
        <w:t>et al</w:t>
      </w:r>
      <w:r w:rsidR="00982095">
        <w:rPr>
          <w:rFonts w:ascii="Book Antiqua" w:hAnsi="Book Antiqua" w:hint="eastAsia"/>
          <w:vertAlign w:val="superscript"/>
          <w:lang w:eastAsia="zh-CN"/>
        </w:rPr>
        <w:t>[18]</w:t>
      </w:r>
      <w:r w:rsidR="00ED71D5">
        <w:rPr>
          <w:rFonts w:ascii="Book Antiqua" w:hAnsi="Book Antiqua"/>
        </w:rPr>
        <w:t xml:space="preserve"> </w:t>
      </w:r>
      <w:r w:rsidR="00323539" w:rsidRPr="009418BF">
        <w:rPr>
          <w:rFonts w:ascii="Book Antiqua" w:hAnsi="Book Antiqua"/>
        </w:rPr>
        <w:t xml:space="preserve">respectively. </w:t>
      </w:r>
    </w:p>
    <w:p w:rsidR="009C4694" w:rsidRPr="009418BF" w:rsidRDefault="009C4694" w:rsidP="00982095">
      <w:pPr>
        <w:spacing w:line="360" w:lineRule="auto"/>
        <w:ind w:firstLineChars="100" w:firstLine="240"/>
        <w:jc w:val="both"/>
        <w:rPr>
          <w:rFonts w:ascii="Book Antiqua" w:hAnsi="Book Antiqua"/>
        </w:rPr>
      </w:pPr>
      <w:r w:rsidRPr="009418BF">
        <w:rPr>
          <w:rFonts w:ascii="Book Antiqua" w:hAnsi="Book Antiqua"/>
        </w:rPr>
        <w:t>Cases of failed response to lo</w:t>
      </w:r>
      <w:r w:rsidR="00323539" w:rsidRPr="009418BF">
        <w:rPr>
          <w:rFonts w:ascii="Book Antiqua" w:hAnsi="Book Antiqua"/>
        </w:rPr>
        <w:t xml:space="preserve">coregional therapy, defined as </w:t>
      </w:r>
      <w:r w:rsidR="00844F1E" w:rsidRPr="009418BF">
        <w:rPr>
          <w:rFonts w:ascii="Book Antiqua" w:hAnsi="Book Antiqua"/>
        </w:rPr>
        <w:t>p</w:t>
      </w:r>
      <w:r w:rsidRPr="009418BF">
        <w:rPr>
          <w:rFonts w:ascii="Book Antiqua" w:hAnsi="Book Antiqua"/>
        </w:rPr>
        <w:t>rogressi</w:t>
      </w:r>
      <w:r w:rsidR="00844F1E" w:rsidRPr="009418BF">
        <w:rPr>
          <w:rFonts w:ascii="Book Antiqua" w:hAnsi="Book Antiqua"/>
        </w:rPr>
        <w:t>ve</w:t>
      </w:r>
      <w:r w:rsidRPr="009418BF">
        <w:rPr>
          <w:rFonts w:ascii="Book Antiqua" w:hAnsi="Book Antiqua"/>
        </w:rPr>
        <w:t xml:space="preserve"> </w:t>
      </w:r>
      <w:r w:rsidR="00844F1E" w:rsidRPr="009418BF">
        <w:rPr>
          <w:rFonts w:ascii="Book Antiqua" w:hAnsi="Book Antiqua"/>
        </w:rPr>
        <w:t>d</w:t>
      </w:r>
      <w:r w:rsidRPr="009418BF">
        <w:rPr>
          <w:rFonts w:ascii="Book Antiqua" w:hAnsi="Book Antiqua"/>
        </w:rPr>
        <w:t xml:space="preserve">isease (PD), were around 5.9% and 3% with RECIST and mRECIST, respectively. Median TTP was 13 </w:t>
      </w:r>
      <w:proofErr w:type="spellStart"/>
      <w:r w:rsidRPr="009418BF">
        <w:rPr>
          <w:rFonts w:ascii="Book Antiqua" w:hAnsi="Book Antiqua"/>
        </w:rPr>
        <w:t>mo</w:t>
      </w:r>
      <w:proofErr w:type="spellEnd"/>
      <w:r w:rsidRPr="009418BF">
        <w:rPr>
          <w:rFonts w:ascii="Book Antiqua" w:hAnsi="Book Antiqua"/>
        </w:rPr>
        <w:t xml:space="preserve"> (11-21)</w:t>
      </w:r>
      <w:proofErr w:type="gramStart"/>
      <w:r w:rsidRPr="009418BF">
        <w:rPr>
          <w:rFonts w:ascii="Book Antiqua" w:hAnsi="Book Antiqua"/>
        </w:rPr>
        <w:t>,</w:t>
      </w:r>
      <w:proofErr w:type="gramEnd"/>
      <w:r w:rsidRPr="009418BF">
        <w:rPr>
          <w:rFonts w:ascii="Book Antiqua" w:hAnsi="Book Antiqua"/>
        </w:rPr>
        <w:t xml:space="preserve"> an interesting and slightly better result if compared with previous published </w:t>
      </w:r>
      <w:r w:rsidRPr="009418BF">
        <w:rPr>
          <w:rFonts w:ascii="Book Antiqua" w:hAnsi="Book Antiqua"/>
        </w:rPr>
        <w:lastRenderedPageBreak/>
        <w:t xml:space="preserve">trials using other microspheres. Moreover, it is to be considered that we did not restrict progression analysis only to local progression of target </w:t>
      </w:r>
      <w:r w:rsidR="0056287F" w:rsidRPr="009418BF">
        <w:rPr>
          <w:rFonts w:ascii="Book Antiqua" w:hAnsi="Book Antiqua"/>
        </w:rPr>
        <w:t>tumor</w:t>
      </w:r>
      <w:r w:rsidRPr="009418BF">
        <w:rPr>
          <w:rFonts w:ascii="Book Antiqua" w:hAnsi="Book Antiqua"/>
        </w:rPr>
        <w:t xml:space="preserve">s, but also distant intrahepatic progressions and/or metastases occurrence were investigated. </w:t>
      </w:r>
    </w:p>
    <w:p w:rsidR="009C4694" w:rsidRPr="009418BF" w:rsidRDefault="009C4694" w:rsidP="002316D0">
      <w:pPr>
        <w:spacing w:line="360" w:lineRule="auto"/>
        <w:ind w:firstLineChars="100" w:firstLine="240"/>
        <w:jc w:val="both"/>
        <w:rPr>
          <w:rFonts w:ascii="Book Antiqua" w:hAnsi="Book Antiqua"/>
        </w:rPr>
      </w:pPr>
      <w:r w:rsidRPr="009418BF">
        <w:rPr>
          <w:rFonts w:ascii="Book Antiqua" w:hAnsi="Book Antiqua"/>
        </w:rPr>
        <w:t>In 11 patients out of</w:t>
      </w:r>
      <w:r w:rsidR="00ED71D5">
        <w:rPr>
          <w:rFonts w:ascii="Book Antiqua" w:hAnsi="Book Antiqua"/>
        </w:rPr>
        <w:t xml:space="preserve"> </w:t>
      </w:r>
      <w:r w:rsidRPr="009418BF">
        <w:rPr>
          <w:rFonts w:ascii="Book Antiqua" w:hAnsi="Book Antiqua"/>
        </w:rPr>
        <w:t xml:space="preserve">the recruited 48, </w:t>
      </w:r>
      <w:r w:rsidR="00844F1E" w:rsidRPr="009418BF">
        <w:rPr>
          <w:rFonts w:ascii="Book Antiqua" w:hAnsi="Book Antiqua"/>
        </w:rPr>
        <w:t>DEB-</w:t>
      </w:r>
      <w:r w:rsidRPr="009418BF">
        <w:rPr>
          <w:rFonts w:ascii="Book Antiqua" w:hAnsi="Book Antiqua"/>
        </w:rPr>
        <w:t>TACE was used as bridging therapy for OLT with a complete pathologic res</w:t>
      </w:r>
      <w:r w:rsidR="001F5C38" w:rsidRPr="009418BF">
        <w:rPr>
          <w:rFonts w:ascii="Book Antiqua" w:hAnsi="Book Antiqua"/>
        </w:rPr>
        <w:t xml:space="preserve">ponse (meant as a 100% necrosis </w:t>
      </w:r>
      <w:r w:rsidRPr="009418BF">
        <w:rPr>
          <w:rFonts w:ascii="Book Antiqua" w:hAnsi="Book Antiqua"/>
        </w:rPr>
        <w:t>in the histolog</w:t>
      </w:r>
      <w:r w:rsidR="001F5C38" w:rsidRPr="009418BF">
        <w:rPr>
          <w:rFonts w:ascii="Book Antiqua" w:hAnsi="Book Antiqua"/>
        </w:rPr>
        <w:t>ic</w:t>
      </w:r>
      <w:r w:rsidR="00E36BD3" w:rsidRPr="009418BF">
        <w:rPr>
          <w:rFonts w:ascii="Book Antiqua" w:hAnsi="Book Antiqua"/>
        </w:rPr>
        <w:t>al evaluation</w:t>
      </w:r>
      <w:r w:rsidRPr="009418BF">
        <w:rPr>
          <w:rFonts w:ascii="Book Antiqua" w:hAnsi="Book Antiqua"/>
        </w:rPr>
        <w:t xml:space="preserve">) in 64.3% cases (9/14 </w:t>
      </w:r>
      <w:r w:rsidR="0056287F" w:rsidRPr="009418BF">
        <w:rPr>
          <w:rFonts w:ascii="Book Antiqua" w:hAnsi="Book Antiqua"/>
        </w:rPr>
        <w:t>tumor</w:t>
      </w:r>
      <w:r w:rsidR="001F5C38" w:rsidRPr="009418BF">
        <w:rPr>
          <w:rFonts w:ascii="Book Antiqua" w:hAnsi="Book Antiqua"/>
        </w:rPr>
        <w:t>s). T</w:t>
      </w:r>
      <w:r w:rsidR="0056287F" w:rsidRPr="009418BF">
        <w:rPr>
          <w:rFonts w:ascii="Book Antiqua" w:hAnsi="Book Antiqua"/>
        </w:rPr>
        <w:t>umor</w:t>
      </w:r>
      <w:r w:rsidRPr="009418BF">
        <w:rPr>
          <w:rFonts w:ascii="Book Antiqua" w:hAnsi="Book Antiqua"/>
        </w:rPr>
        <w:t xml:space="preserve">s smaller than 3 cm </w:t>
      </w:r>
      <w:r w:rsidR="001F5C38" w:rsidRPr="009418BF">
        <w:rPr>
          <w:rFonts w:ascii="Book Antiqua" w:hAnsi="Book Antiqua"/>
        </w:rPr>
        <w:t xml:space="preserve">shown a better response in term of histological necrosis </w:t>
      </w:r>
      <w:r w:rsidRPr="009418BF">
        <w:rPr>
          <w:rFonts w:ascii="Book Antiqua" w:hAnsi="Book Antiqua"/>
        </w:rPr>
        <w:t xml:space="preserve">(70% complete necrosis), compared to those larger than 3 cm (50% complete necrosis). These histological results are consistent with those reported </w:t>
      </w:r>
      <w:proofErr w:type="gramStart"/>
      <w:r w:rsidRPr="009418BF">
        <w:rPr>
          <w:rFonts w:ascii="Book Antiqua" w:hAnsi="Book Antiqua"/>
        </w:rPr>
        <w:t>elsewhere</w:t>
      </w:r>
      <w:r w:rsidR="0024573F" w:rsidRPr="009418BF">
        <w:rPr>
          <w:rFonts w:ascii="Book Antiqua" w:hAnsi="Book Antiqua"/>
          <w:vertAlign w:val="superscript"/>
        </w:rPr>
        <w:t>[</w:t>
      </w:r>
      <w:proofErr w:type="gramEnd"/>
      <w:r w:rsidR="009E71D5" w:rsidRPr="009418BF">
        <w:rPr>
          <w:rFonts w:ascii="Book Antiqua" w:hAnsi="Book Antiqua"/>
          <w:vertAlign w:val="superscript"/>
        </w:rPr>
        <w:t>32,33</w:t>
      </w:r>
      <w:r w:rsidR="0024573F" w:rsidRPr="009418BF">
        <w:rPr>
          <w:rFonts w:ascii="Book Antiqua" w:hAnsi="Book Antiqua"/>
          <w:vertAlign w:val="superscript"/>
        </w:rPr>
        <w:t>]</w:t>
      </w:r>
      <w:r w:rsidRPr="009418BF">
        <w:rPr>
          <w:rFonts w:ascii="Book Antiqua" w:hAnsi="Book Antiqua"/>
        </w:rPr>
        <w:t>.</w:t>
      </w:r>
    </w:p>
    <w:p w:rsidR="009C4694" w:rsidRPr="009418BF" w:rsidRDefault="009C4694" w:rsidP="002316D0">
      <w:pPr>
        <w:spacing w:line="360" w:lineRule="auto"/>
        <w:ind w:firstLineChars="100" w:firstLine="240"/>
        <w:jc w:val="both"/>
        <w:rPr>
          <w:rFonts w:ascii="Book Antiqua" w:hAnsi="Book Antiqua"/>
        </w:rPr>
      </w:pPr>
      <w:r w:rsidRPr="009418BF">
        <w:rPr>
          <w:rFonts w:ascii="Book Antiqua" w:hAnsi="Book Antiqua"/>
        </w:rPr>
        <w:t>The best radiological response was obtained with a single cycle in 60% of patients, with two cycles in 30% of cases and with three cyc</w:t>
      </w:r>
      <w:r w:rsidR="004D0B19" w:rsidRPr="009418BF">
        <w:rPr>
          <w:rFonts w:ascii="Book Antiqua" w:hAnsi="Book Antiqua"/>
        </w:rPr>
        <w:t xml:space="preserve">les in 10% of patients, with a TTR of about 4 </w:t>
      </w:r>
      <w:proofErr w:type="spellStart"/>
      <w:r w:rsidR="004D0B19" w:rsidRPr="009418BF">
        <w:rPr>
          <w:rFonts w:ascii="Book Antiqua" w:hAnsi="Book Antiqua"/>
        </w:rPr>
        <w:t>mo</w:t>
      </w:r>
      <w:proofErr w:type="spellEnd"/>
      <w:r w:rsidR="004D0B19" w:rsidRPr="009418BF">
        <w:rPr>
          <w:rFonts w:ascii="Book Antiqua" w:hAnsi="Book Antiqua"/>
        </w:rPr>
        <w:t xml:space="preserve"> (</w:t>
      </w:r>
      <w:r w:rsidRPr="009418BF">
        <w:rPr>
          <w:rFonts w:ascii="Book Antiqua" w:hAnsi="Book Antiqua"/>
        </w:rPr>
        <w:t>95%</w:t>
      </w:r>
      <w:r w:rsidR="00844F1E" w:rsidRPr="009418BF">
        <w:rPr>
          <w:rFonts w:ascii="Book Antiqua" w:hAnsi="Book Antiqua"/>
        </w:rPr>
        <w:t>CI</w:t>
      </w:r>
      <w:r w:rsidR="002316D0">
        <w:rPr>
          <w:rFonts w:ascii="Book Antiqua" w:hAnsi="Book Antiqua" w:hint="eastAsia"/>
          <w:lang w:eastAsia="zh-CN"/>
        </w:rPr>
        <w:t>:</w:t>
      </w:r>
      <w:r w:rsidRPr="009418BF">
        <w:rPr>
          <w:rFonts w:ascii="Book Antiqua" w:hAnsi="Book Antiqua"/>
        </w:rPr>
        <w:t xml:space="preserve"> Range</w:t>
      </w:r>
      <w:r w:rsidR="004D0B19" w:rsidRPr="009418BF">
        <w:rPr>
          <w:rFonts w:ascii="Book Antiqua" w:hAnsi="Book Antiqua"/>
        </w:rPr>
        <w:t>:</w:t>
      </w:r>
      <w:r w:rsidRPr="009418BF">
        <w:rPr>
          <w:rFonts w:ascii="Book Antiqua" w:hAnsi="Book Antiqua"/>
        </w:rPr>
        <w:t xml:space="preserve"> 4-6). The effectiveness of HCC treatment</w:t>
      </w:r>
      <w:r w:rsidR="00D26B64" w:rsidRPr="009418BF">
        <w:rPr>
          <w:rFonts w:ascii="Book Antiqua" w:hAnsi="Book Antiqua"/>
        </w:rPr>
        <w:t xml:space="preserve"> using TACE on demand </w:t>
      </w:r>
      <w:r w:rsidRPr="009418BF">
        <w:rPr>
          <w:rFonts w:ascii="Book Antiqua" w:hAnsi="Book Antiqua"/>
        </w:rPr>
        <w:t>has been proved in our series in the event of detection of stable disease (SD) or partial response (PR) during the follow-up by CT or MRI, in line with data in the literature.</w:t>
      </w:r>
      <w:r w:rsidR="00ED71D5">
        <w:rPr>
          <w:rFonts w:ascii="Book Antiqua" w:hAnsi="Book Antiqua"/>
        </w:rPr>
        <w:t xml:space="preserve"> </w:t>
      </w:r>
      <w:r w:rsidRPr="009418BF">
        <w:rPr>
          <w:rFonts w:ascii="Book Antiqua" w:hAnsi="Book Antiqua"/>
        </w:rPr>
        <w:t>The very low toxicity rates observed in our series are probably a consequence of the high selectivity of the procedure ensured by the use of smaller particles.</w:t>
      </w:r>
    </w:p>
    <w:p w:rsidR="009C4694" w:rsidRPr="009418BF" w:rsidRDefault="009C4694" w:rsidP="002316D0">
      <w:pPr>
        <w:spacing w:line="360" w:lineRule="auto"/>
        <w:ind w:firstLineChars="100" w:firstLine="240"/>
        <w:jc w:val="both"/>
        <w:rPr>
          <w:rFonts w:ascii="Book Antiqua" w:hAnsi="Book Antiqua"/>
        </w:rPr>
      </w:pPr>
      <w:r w:rsidRPr="009418BF">
        <w:rPr>
          <w:rFonts w:ascii="Book Antiqua" w:hAnsi="Book Antiqua"/>
        </w:rPr>
        <w:t xml:space="preserve">The procedures were generally well tolerated. Recorded toxicity </w:t>
      </w:r>
      <w:r w:rsidR="00844F1E" w:rsidRPr="009418BF">
        <w:rPr>
          <w:rFonts w:ascii="Book Antiqua" w:hAnsi="Book Antiqua"/>
        </w:rPr>
        <w:t xml:space="preserve">levels </w:t>
      </w:r>
      <w:r w:rsidRPr="009418BF">
        <w:rPr>
          <w:rFonts w:ascii="Book Antiqua" w:hAnsi="Book Antiqua"/>
        </w:rPr>
        <w:t>were lower than recent</w:t>
      </w:r>
      <w:r w:rsidR="00ED71D5">
        <w:rPr>
          <w:rFonts w:ascii="Book Antiqua" w:hAnsi="Book Antiqua"/>
        </w:rPr>
        <w:t xml:space="preserve"> </w:t>
      </w:r>
      <w:r w:rsidR="00844F1E" w:rsidRPr="009418BF">
        <w:rPr>
          <w:rFonts w:ascii="Book Antiqua" w:hAnsi="Book Antiqua"/>
        </w:rPr>
        <w:t>studies using</w:t>
      </w:r>
      <w:r w:rsidRPr="009418BF">
        <w:rPr>
          <w:rFonts w:ascii="Book Antiqua" w:hAnsi="Book Antiqua"/>
        </w:rPr>
        <w:t xml:space="preserve"> larger diameter </w:t>
      </w:r>
      <w:r w:rsidR="00844F1E" w:rsidRPr="009418BF">
        <w:rPr>
          <w:rFonts w:ascii="Book Antiqua" w:hAnsi="Book Antiqua"/>
        </w:rPr>
        <w:t>microspheres</w:t>
      </w:r>
      <w:r w:rsidRPr="009418BF">
        <w:rPr>
          <w:rFonts w:ascii="Book Antiqua" w:hAnsi="Book Antiqua"/>
        </w:rPr>
        <w:t xml:space="preserve"> and consistent with two </w:t>
      </w:r>
      <w:r w:rsidR="00940778" w:rsidRPr="009418BF">
        <w:rPr>
          <w:rFonts w:ascii="Book Antiqua" w:hAnsi="Book Antiqua"/>
        </w:rPr>
        <w:t>other</w:t>
      </w:r>
      <w:r w:rsidR="00ED71D5">
        <w:rPr>
          <w:rFonts w:ascii="Book Antiqua" w:hAnsi="Book Antiqua"/>
        </w:rPr>
        <w:t xml:space="preserve"> </w:t>
      </w:r>
      <w:r w:rsidR="00940778" w:rsidRPr="009418BF">
        <w:rPr>
          <w:rFonts w:ascii="Book Antiqua" w:hAnsi="Book Antiqua"/>
        </w:rPr>
        <w:t>studies</w:t>
      </w:r>
      <w:r w:rsidRPr="009418BF">
        <w:rPr>
          <w:rFonts w:ascii="Book Antiqua" w:hAnsi="Book Antiqua"/>
        </w:rPr>
        <w:t xml:space="preserve"> concerning </w:t>
      </w:r>
      <w:r w:rsidR="00940778" w:rsidRPr="009418BF">
        <w:rPr>
          <w:rFonts w:ascii="Book Antiqua" w:hAnsi="Book Antiqua"/>
        </w:rPr>
        <w:t>microspheres</w:t>
      </w:r>
      <w:r w:rsidR="00ED71D5">
        <w:rPr>
          <w:rFonts w:ascii="Book Antiqua" w:hAnsi="Book Antiqua"/>
        </w:rPr>
        <w:t xml:space="preserve"> </w:t>
      </w:r>
      <w:r w:rsidRPr="009418BF">
        <w:rPr>
          <w:rFonts w:ascii="Book Antiqua" w:hAnsi="Book Antiqua"/>
        </w:rPr>
        <w:t>with a pre-loading diameter between 70-150 µ</w:t>
      </w:r>
      <w:proofErr w:type="gramStart"/>
      <w:r w:rsidRPr="009418BF">
        <w:rPr>
          <w:rFonts w:ascii="Book Antiqua" w:hAnsi="Book Antiqua"/>
        </w:rPr>
        <w:t>m</w:t>
      </w:r>
      <w:r w:rsidR="0024573F" w:rsidRPr="009418BF">
        <w:rPr>
          <w:rFonts w:ascii="Book Antiqua" w:hAnsi="Book Antiqua"/>
          <w:vertAlign w:val="superscript"/>
        </w:rPr>
        <w:t>[</w:t>
      </w:r>
      <w:proofErr w:type="gramEnd"/>
      <w:r w:rsidR="009E71D5" w:rsidRPr="009418BF">
        <w:rPr>
          <w:rFonts w:ascii="Book Antiqua" w:hAnsi="Book Antiqua"/>
          <w:vertAlign w:val="superscript"/>
        </w:rPr>
        <w:t>14,15</w:t>
      </w:r>
      <w:r w:rsidR="0024573F" w:rsidRPr="009418BF">
        <w:rPr>
          <w:rFonts w:ascii="Book Antiqua" w:hAnsi="Book Antiqua"/>
          <w:vertAlign w:val="superscript"/>
        </w:rPr>
        <w:t>]</w:t>
      </w:r>
      <w:r w:rsidRPr="009418BF">
        <w:rPr>
          <w:rFonts w:ascii="Book Antiqua" w:hAnsi="Book Antiqua"/>
        </w:rPr>
        <w:t xml:space="preserve"> and 30-60 µm</w:t>
      </w:r>
      <w:r w:rsidR="0024573F" w:rsidRPr="009418BF">
        <w:rPr>
          <w:rFonts w:ascii="Book Antiqua" w:hAnsi="Book Antiqua"/>
          <w:vertAlign w:val="superscript"/>
        </w:rPr>
        <w:t>[</w:t>
      </w:r>
      <w:r w:rsidR="009E71D5" w:rsidRPr="009418BF">
        <w:rPr>
          <w:rFonts w:ascii="Book Antiqua" w:hAnsi="Book Antiqua"/>
          <w:vertAlign w:val="superscript"/>
        </w:rPr>
        <w:t>18</w:t>
      </w:r>
      <w:r w:rsidR="0024573F" w:rsidRPr="009418BF">
        <w:rPr>
          <w:rFonts w:ascii="Book Antiqua" w:hAnsi="Book Antiqua"/>
          <w:vertAlign w:val="superscript"/>
        </w:rPr>
        <w:t>]</w:t>
      </w:r>
      <w:r w:rsidRPr="009418BF">
        <w:rPr>
          <w:rFonts w:ascii="Book Antiqua" w:hAnsi="Book Antiqua"/>
        </w:rPr>
        <w:t>.</w:t>
      </w:r>
    </w:p>
    <w:p w:rsidR="00940778" w:rsidRPr="009418BF" w:rsidRDefault="009C4694" w:rsidP="002316D0">
      <w:pPr>
        <w:spacing w:line="360" w:lineRule="auto"/>
        <w:ind w:firstLineChars="100" w:firstLine="240"/>
        <w:jc w:val="both"/>
        <w:rPr>
          <w:rFonts w:ascii="Book Antiqua" w:hAnsi="Book Antiqua"/>
        </w:rPr>
      </w:pPr>
      <w:r w:rsidRPr="009418BF">
        <w:rPr>
          <w:rFonts w:ascii="Book Antiqua" w:hAnsi="Book Antiqua"/>
        </w:rPr>
        <w:t xml:space="preserve">The incidence of PES was to be lower than the percentages published in other </w:t>
      </w:r>
      <w:proofErr w:type="gramStart"/>
      <w:r w:rsidRPr="009418BF">
        <w:rPr>
          <w:rFonts w:ascii="Book Antiqua" w:hAnsi="Book Antiqua"/>
        </w:rPr>
        <w:t>series</w:t>
      </w:r>
      <w:r w:rsidR="0024573F" w:rsidRPr="009418BF">
        <w:rPr>
          <w:rFonts w:ascii="Book Antiqua" w:hAnsi="Book Antiqua"/>
          <w:vertAlign w:val="superscript"/>
        </w:rPr>
        <w:t>[</w:t>
      </w:r>
      <w:proofErr w:type="gramEnd"/>
      <w:r w:rsidR="0076711B" w:rsidRPr="009418BF">
        <w:rPr>
          <w:rFonts w:ascii="Book Antiqua" w:hAnsi="Book Antiqua"/>
          <w:vertAlign w:val="superscript"/>
        </w:rPr>
        <w:t>11,12,14,18</w:t>
      </w:r>
      <w:r w:rsidR="0024573F" w:rsidRPr="009418BF">
        <w:rPr>
          <w:rFonts w:ascii="Book Antiqua" w:hAnsi="Book Antiqua"/>
          <w:vertAlign w:val="superscript"/>
        </w:rPr>
        <w:t>]</w:t>
      </w:r>
      <w:r w:rsidR="00D26B64" w:rsidRPr="009418BF">
        <w:rPr>
          <w:rFonts w:ascii="Book Antiqua" w:hAnsi="Book Antiqua"/>
        </w:rPr>
        <w:t xml:space="preserve"> </w:t>
      </w:r>
      <w:r w:rsidRPr="009418BF">
        <w:rPr>
          <w:rFonts w:ascii="Book Antiqua" w:hAnsi="Book Antiqua"/>
        </w:rPr>
        <w:t>with particles having similar or larger dimensions, most likely due to the selectivity of the procedure and possible sparing of a larger area of peri</w:t>
      </w:r>
      <w:r w:rsidR="0056287F" w:rsidRPr="009418BF">
        <w:rPr>
          <w:rFonts w:ascii="Book Antiqua" w:hAnsi="Book Antiqua"/>
        </w:rPr>
        <w:t>tumor</w:t>
      </w:r>
      <w:r w:rsidRPr="009418BF">
        <w:rPr>
          <w:rFonts w:ascii="Book Antiqua" w:hAnsi="Book Antiqua"/>
        </w:rPr>
        <w:t>al hepatic parenchyma.</w:t>
      </w:r>
    </w:p>
    <w:p w:rsidR="00E044D3" w:rsidRPr="009418BF" w:rsidRDefault="00E044D3" w:rsidP="002316D0">
      <w:pPr>
        <w:spacing w:line="360" w:lineRule="auto"/>
        <w:ind w:firstLineChars="100" w:firstLine="240"/>
        <w:jc w:val="both"/>
        <w:rPr>
          <w:rFonts w:ascii="Book Antiqua" w:hAnsi="Book Antiqua"/>
        </w:rPr>
      </w:pPr>
      <w:r w:rsidRPr="009418BF">
        <w:rPr>
          <w:rFonts w:ascii="Book Antiqua" w:hAnsi="Book Antiqua"/>
        </w:rPr>
        <w:t>To our knowledge this is the first series regarding the use of 40 µm DEB in HCC treatment. This is interesting for world community and especially for western countries where there is skepticism about using particles smaller than 100 µm for DEB-TACE due to the non</w:t>
      </w:r>
      <w:r w:rsidR="0038244D" w:rsidRPr="009418BF">
        <w:rPr>
          <w:rFonts w:ascii="Book Antiqua" w:hAnsi="Book Antiqua"/>
        </w:rPr>
        <w:t>-</w:t>
      </w:r>
      <w:r w:rsidRPr="009418BF">
        <w:rPr>
          <w:rFonts w:ascii="Book Antiqua" w:hAnsi="Book Antiqua"/>
        </w:rPr>
        <w:t xml:space="preserve">target embolization danger. Our preliminary experience shows that 40 µm DEB-TACE is a highly effective and safe technique for HCC non suitable to ablation or surgery therapies with a low rate of PES and no major complications, either local or systemic. The results are complete for all the 48 patients and for 11 of them a histologically proven response to DEB-TACE on surgical specimen is available. Objective local response reached </w:t>
      </w:r>
      <w:r w:rsidRPr="009418BF">
        <w:rPr>
          <w:rFonts w:ascii="Book Antiqua" w:hAnsi="Book Antiqua"/>
        </w:rPr>
        <w:lastRenderedPageBreak/>
        <w:t>72.6% and 26.7% according to mRECIST and RECIST without damage to adjacent healthy liver as evidenced by imaging, histology and liver biochemistry. The study has some limitations such as the retrospective nature, the single series and the small sample of patients.</w:t>
      </w:r>
      <w:r w:rsidR="00ED71D5">
        <w:rPr>
          <w:rFonts w:ascii="Book Antiqua" w:hAnsi="Book Antiqua"/>
        </w:rPr>
        <w:t xml:space="preserve"> </w:t>
      </w:r>
      <w:r w:rsidRPr="009418BF">
        <w:rPr>
          <w:rFonts w:ascii="Book Antiqua" w:hAnsi="Book Antiqua"/>
        </w:rPr>
        <w:t xml:space="preserve">Further studies with a longer follow-up period and a bigger sample should be planned to confirm our results. </w:t>
      </w:r>
    </w:p>
    <w:p w:rsidR="009C4694" w:rsidRPr="009418BF" w:rsidRDefault="009C4694" w:rsidP="002316D0">
      <w:pPr>
        <w:spacing w:line="360" w:lineRule="auto"/>
        <w:ind w:firstLineChars="98" w:firstLine="235"/>
        <w:jc w:val="both"/>
        <w:rPr>
          <w:rFonts w:ascii="Book Antiqua" w:hAnsi="Book Antiqua"/>
        </w:rPr>
      </w:pPr>
      <w:r w:rsidRPr="009418BF">
        <w:rPr>
          <w:rFonts w:ascii="Book Antiqua" w:hAnsi="Book Antiqua"/>
        </w:rPr>
        <w:t xml:space="preserve">The results of this </w:t>
      </w:r>
      <w:r w:rsidR="00502564" w:rsidRPr="009418BF">
        <w:rPr>
          <w:rFonts w:ascii="Book Antiqua" w:hAnsi="Book Antiqua"/>
        </w:rPr>
        <w:t>retro</w:t>
      </w:r>
      <w:r w:rsidRPr="009418BF">
        <w:rPr>
          <w:rFonts w:ascii="Book Antiqua" w:hAnsi="Book Antiqua"/>
        </w:rPr>
        <w:t xml:space="preserve">spective study indicate that </w:t>
      </w:r>
      <w:r w:rsidR="00940778" w:rsidRPr="009418BF">
        <w:rPr>
          <w:rFonts w:ascii="Book Antiqua" w:hAnsi="Book Antiqua"/>
        </w:rPr>
        <w:t>DEB-</w:t>
      </w:r>
      <w:r w:rsidRPr="009418BF">
        <w:rPr>
          <w:rFonts w:ascii="Book Antiqua" w:hAnsi="Book Antiqua"/>
        </w:rPr>
        <w:t xml:space="preserve">TACE with 40 μm </w:t>
      </w:r>
      <w:r w:rsidR="00940778" w:rsidRPr="009418BF">
        <w:rPr>
          <w:rFonts w:ascii="Book Antiqua" w:hAnsi="Book Antiqua"/>
        </w:rPr>
        <w:t>particles</w:t>
      </w:r>
      <w:r w:rsidRPr="009418BF">
        <w:rPr>
          <w:rFonts w:ascii="Book Antiqua" w:hAnsi="Book Antiqua"/>
        </w:rPr>
        <w:t xml:space="preserve"> is an effective and safe treatment for</w:t>
      </w:r>
      <w:r w:rsidR="007D1898" w:rsidRPr="009418BF">
        <w:rPr>
          <w:rFonts w:ascii="Book Antiqua" w:hAnsi="Book Antiqua"/>
        </w:rPr>
        <w:t xml:space="preserve"> early-intermediate</w:t>
      </w:r>
      <w:r w:rsidRPr="009418BF">
        <w:rPr>
          <w:rFonts w:ascii="Book Antiqua" w:hAnsi="Book Antiqua"/>
        </w:rPr>
        <w:t xml:space="preserve"> HCC</w:t>
      </w:r>
      <w:r w:rsidR="007D1898" w:rsidRPr="009418BF">
        <w:rPr>
          <w:rFonts w:ascii="Book Antiqua" w:hAnsi="Book Antiqua"/>
        </w:rPr>
        <w:t xml:space="preserve"> patients not eligible for curative treatment with good results in term of objective response rate and necrosis. </w:t>
      </w:r>
    </w:p>
    <w:p w:rsidR="009C4694" w:rsidRPr="009418BF" w:rsidRDefault="009C4694" w:rsidP="009418BF">
      <w:pPr>
        <w:spacing w:line="360" w:lineRule="auto"/>
        <w:jc w:val="both"/>
        <w:rPr>
          <w:rFonts w:ascii="Book Antiqua" w:hAnsi="Book Antiqua"/>
          <w:lang w:eastAsia="zh-CN"/>
        </w:rPr>
      </w:pPr>
    </w:p>
    <w:p w:rsidR="00984FF1" w:rsidRPr="009418BF" w:rsidRDefault="00F7271E" w:rsidP="009418BF">
      <w:pPr>
        <w:autoSpaceDE w:val="0"/>
        <w:autoSpaceDN w:val="0"/>
        <w:adjustRightInd w:val="0"/>
        <w:spacing w:line="360" w:lineRule="auto"/>
        <w:jc w:val="both"/>
        <w:rPr>
          <w:rFonts w:ascii="Book Antiqua" w:hAnsi="Book Antiqua"/>
        </w:rPr>
      </w:pPr>
      <w:r w:rsidRPr="009418BF">
        <w:rPr>
          <w:rFonts w:ascii="Book Antiqua" w:hAnsi="Book Antiqua"/>
          <w:b/>
        </w:rPr>
        <w:t>COMMENTS</w:t>
      </w:r>
      <w:r w:rsidR="0002169B" w:rsidRPr="009418BF">
        <w:rPr>
          <w:rFonts w:ascii="Book Antiqua" w:hAnsi="Book Antiqua"/>
        </w:rPr>
        <w:t xml:space="preserve"> </w:t>
      </w:r>
    </w:p>
    <w:p w:rsidR="00984FF1" w:rsidRPr="009418BF" w:rsidRDefault="00984FF1" w:rsidP="009418BF">
      <w:pPr>
        <w:autoSpaceDE w:val="0"/>
        <w:autoSpaceDN w:val="0"/>
        <w:adjustRightInd w:val="0"/>
        <w:spacing w:line="360" w:lineRule="auto"/>
        <w:jc w:val="both"/>
        <w:rPr>
          <w:rFonts w:ascii="Book Antiqua" w:hAnsi="Book Antiqua"/>
          <w:b/>
          <w:i/>
        </w:rPr>
      </w:pPr>
      <w:r w:rsidRPr="009418BF">
        <w:rPr>
          <w:rFonts w:ascii="Book Antiqua" w:hAnsi="Book Antiqua"/>
          <w:b/>
          <w:i/>
        </w:rPr>
        <w:t>Background</w:t>
      </w:r>
    </w:p>
    <w:p w:rsidR="00873BEF" w:rsidRDefault="0002169B" w:rsidP="009418BF">
      <w:pPr>
        <w:autoSpaceDE w:val="0"/>
        <w:autoSpaceDN w:val="0"/>
        <w:adjustRightInd w:val="0"/>
        <w:spacing w:line="360" w:lineRule="auto"/>
        <w:jc w:val="both"/>
        <w:rPr>
          <w:rFonts w:ascii="Book Antiqua" w:hAnsi="Book Antiqua"/>
          <w:lang w:eastAsia="zh-CN"/>
        </w:rPr>
      </w:pPr>
      <w:proofErr w:type="spellStart"/>
      <w:r w:rsidRPr="009418BF">
        <w:rPr>
          <w:rFonts w:ascii="Book Antiqua" w:hAnsi="Book Antiqua"/>
        </w:rPr>
        <w:t>Transarterial</w:t>
      </w:r>
      <w:proofErr w:type="spellEnd"/>
      <w:r w:rsidRPr="009418BF">
        <w:rPr>
          <w:rFonts w:ascii="Book Antiqua" w:hAnsi="Book Antiqua"/>
        </w:rPr>
        <w:t xml:space="preserve"> </w:t>
      </w:r>
      <w:r w:rsidR="00ED71D5" w:rsidRPr="009418BF">
        <w:rPr>
          <w:rFonts w:ascii="Book Antiqua" w:hAnsi="Book Antiqua"/>
        </w:rPr>
        <w:t>chemoemboliz</w:t>
      </w:r>
      <w:r w:rsidRPr="009418BF">
        <w:rPr>
          <w:rFonts w:ascii="Book Antiqua" w:hAnsi="Book Antiqua"/>
        </w:rPr>
        <w:t xml:space="preserve">ation (TACE) is the current standard of care for hepatocellular carcinoma (HCC) in patients with multinodular disease, classified as intermediate stage (stage B) to Barcelona Clinic Liver Cancer (BCLC) Staging System or in patients in early stage (stage A) not eligible for curative treatment (surgery, liver transplantation or percutaneous ablative treatments). Conventional TACE (c-TACE) has shown superiority over basic supportive care in unresectable HCC in </w:t>
      </w:r>
      <w:r w:rsidR="00984FF1" w:rsidRPr="009418BF">
        <w:rPr>
          <w:rFonts w:ascii="Book Antiqua" w:hAnsi="Book Antiqua"/>
        </w:rPr>
        <w:t xml:space="preserve">literature since the </w:t>
      </w:r>
      <w:r w:rsidRPr="009418BF">
        <w:rPr>
          <w:rFonts w:ascii="Book Antiqua" w:hAnsi="Book Antiqua"/>
        </w:rPr>
        <w:t>early 2000s. Actually there is no evidence of superiority of DEB-TACE on c-TACE or TAE</w:t>
      </w:r>
      <w:r w:rsidR="008B7375" w:rsidRPr="009418BF">
        <w:rPr>
          <w:rFonts w:ascii="Book Antiqua" w:hAnsi="Book Antiqua"/>
        </w:rPr>
        <w:t xml:space="preserve"> in </w:t>
      </w:r>
      <w:r w:rsidR="00984FF1" w:rsidRPr="009418BF">
        <w:rPr>
          <w:rFonts w:ascii="Book Antiqua" w:hAnsi="Book Antiqua"/>
        </w:rPr>
        <w:t>li</w:t>
      </w:r>
      <w:r w:rsidR="008B7375" w:rsidRPr="009418BF">
        <w:rPr>
          <w:rFonts w:ascii="Book Antiqua" w:hAnsi="Book Antiqua"/>
        </w:rPr>
        <w:t xml:space="preserve">terature. In the last fifteen years </w:t>
      </w:r>
      <w:r w:rsidR="00E044D3" w:rsidRPr="009418BF">
        <w:rPr>
          <w:rFonts w:ascii="Book Antiqua" w:hAnsi="Book Antiqua"/>
        </w:rPr>
        <w:t xml:space="preserve">many particles with diameters gradually smaller </w:t>
      </w:r>
      <w:r w:rsidR="008B7375" w:rsidRPr="009418BF">
        <w:rPr>
          <w:rFonts w:ascii="Book Antiqua" w:hAnsi="Book Antiqua"/>
        </w:rPr>
        <w:t>have been developed for DEB-TACE. These new 40</w:t>
      </w:r>
      <w:r w:rsidR="007803CF">
        <w:rPr>
          <w:rFonts w:ascii="Book Antiqua" w:hAnsi="Book Antiqua" w:hint="eastAsia"/>
          <w:lang w:eastAsia="zh-CN"/>
        </w:rPr>
        <w:t xml:space="preserve"> </w:t>
      </w:r>
      <w:r w:rsidR="00596186" w:rsidRPr="009418BF">
        <w:rPr>
          <w:rFonts w:ascii="Book Antiqua" w:hAnsi="Book Antiqua"/>
          <w:lang w:eastAsia="zh-CN"/>
        </w:rPr>
        <w:t>µm</w:t>
      </w:r>
      <w:r w:rsidR="008B7375" w:rsidRPr="009418BF">
        <w:rPr>
          <w:rFonts w:ascii="Book Antiqua" w:hAnsi="Book Antiqua"/>
        </w:rPr>
        <w:t xml:space="preserve"> diameter drug eluting bead</w:t>
      </w:r>
      <w:r w:rsidR="00E044D3" w:rsidRPr="009418BF">
        <w:rPr>
          <w:rFonts w:ascii="Book Antiqua" w:hAnsi="Book Antiqua"/>
        </w:rPr>
        <w:t>s theoretically</w:t>
      </w:r>
      <w:r w:rsidR="008B7375" w:rsidRPr="009418BF">
        <w:rPr>
          <w:rFonts w:ascii="Book Antiqua" w:hAnsi="Book Antiqua"/>
        </w:rPr>
        <w:t xml:space="preserve"> penetrate</w:t>
      </w:r>
      <w:r w:rsidR="00E044D3" w:rsidRPr="009418BF">
        <w:rPr>
          <w:rFonts w:ascii="Book Antiqua" w:hAnsi="Book Antiqua"/>
        </w:rPr>
        <w:t xml:space="preserve"> deeper</w:t>
      </w:r>
      <w:r w:rsidR="008B7375" w:rsidRPr="009418BF">
        <w:rPr>
          <w:rFonts w:ascii="Book Antiqua" w:hAnsi="Book Antiqua"/>
        </w:rPr>
        <w:t xml:space="preserve"> into tumor circulation arterioles reducing </w:t>
      </w:r>
      <w:r w:rsidR="00FA3B92" w:rsidRPr="009418BF">
        <w:rPr>
          <w:rFonts w:ascii="Book Antiqua" w:hAnsi="Book Antiqua"/>
        </w:rPr>
        <w:t>the</w:t>
      </w:r>
      <w:r w:rsidR="00E044D3" w:rsidRPr="009418BF">
        <w:rPr>
          <w:rFonts w:ascii="Book Antiqua" w:hAnsi="Book Antiqua"/>
        </w:rPr>
        <w:t xml:space="preserve"> phenomenon of hypoxic-ischaemic </w:t>
      </w:r>
      <w:proofErr w:type="spellStart"/>
      <w:r w:rsidR="00E044D3" w:rsidRPr="009418BF">
        <w:rPr>
          <w:rFonts w:ascii="Book Antiqua" w:hAnsi="Book Antiqua"/>
        </w:rPr>
        <w:t>neoangiogenesis</w:t>
      </w:r>
      <w:proofErr w:type="spellEnd"/>
      <w:r w:rsidR="00E044D3" w:rsidRPr="009418BF">
        <w:rPr>
          <w:rFonts w:ascii="Book Antiqua" w:hAnsi="Book Antiqua"/>
        </w:rPr>
        <w:t xml:space="preserve"> due to</w:t>
      </w:r>
      <w:r w:rsidR="00ED71D5">
        <w:rPr>
          <w:rFonts w:ascii="Book Antiqua" w:hAnsi="Book Antiqua"/>
        </w:rPr>
        <w:t xml:space="preserve"> </w:t>
      </w:r>
      <w:proofErr w:type="spellStart"/>
      <w:r w:rsidR="00E044D3" w:rsidRPr="009418BF">
        <w:rPr>
          <w:rFonts w:ascii="Book Antiqua" w:hAnsi="Book Antiqua"/>
        </w:rPr>
        <w:t>transarterial</w:t>
      </w:r>
      <w:proofErr w:type="spellEnd"/>
      <w:r w:rsidR="00E044D3" w:rsidRPr="009418BF">
        <w:rPr>
          <w:rFonts w:ascii="Book Antiqua" w:hAnsi="Book Antiqua"/>
        </w:rPr>
        <w:t xml:space="preserve"> </w:t>
      </w:r>
      <w:r w:rsidR="008B7375" w:rsidRPr="009418BF">
        <w:rPr>
          <w:rFonts w:ascii="Book Antiqua" w:hAnsi="Book Antiqua"/>
        </w:rPr>
        <w:t xml:space="preserve">embolization. There is no evidence in literature of DEB-TACE superiority over c-TACE in terms of efficacy. The only </w:t>
      </w:r>
      <w:r w:rsidR="00984FF1" w:rsidRPr="009418BF">
        <w:rPr>
          <w:rFonts w:ascii="Book Antiqua" w:hAnsi="Book Antiqua"/>
        </w:rPr>
        <w:t xml:space="preserve">demonstrated </w:t>
      </w:r>
      <w:r w:rsidR="008B7375" w:rsidRPr="009418BF">
        <w:rPr>
          <w:rFonts w:ascii="Book Antiqua" w:hAnsi="Book Antiqua"/>
        </w:rPr>
        <w:t xml:space="preserve">vantage is the </w:t>
      </w:r>
      <w:r w:rsidR="00984FF1" w:rsidRPr="009418BF">
        <w:rPr>
          <w:rFonts w:ascii="Book Antiqua" w:hAnsi="Book Antiqua"/>
        </w:rPr>
        <w:t xml:space="preserve">reduced rate of </w:t>
      </w:r>
      <w:r w:rsidR="008B7375" w:rsidRPr="009418BF">
        <w:rPr>
          <w:rFonts w:ascii="Book Antiqua" w:hAnsi="Book Antiqua"/>
        </w:rPr>
        <w:t>post embolic syndrome</w:t>
      </w:r>
      <w:r w:rsidR="00E044D3" w:rsidRPr="009418BF">
        <w:rPr>
          <w:rFonts w:ascii="Book Antiqua" w:hAnsi="Book Antiqua"/>
        </w:rPr>
        <w:t>.</w:t>
      </w:r>
      <w:r w:rsidR="008B7375" w:rsidRPr="009418BF">
        <w:rPr>
          <w:rFonts w:ascii="Book Antiqua" w:hAnsi="Book Antiqua"/>
        </w:rPr>
        <w:t xml:space="preserve"> </w:t>
      </w:r>
    </w:p>
    <w:p w:rsidR="00873BEF" w:rsidRDefault="00873BEF" w:rsidP="009418BF">
      <w:pPr>
        <w:autoSpaceDE w:val="0"/>
        <w:autoSpaceDN w:val="0"/>
        <w:adjustRightInd w:val="0"/>
        <w:spacing w:line="360" w:lineRule="auto"/>
        <w:jc w:val="both"/>
        <w:rPr>
          <w:rFonts w:ascii="Book Antiqua" w:hAnsi="Book Antiqua"/>
          <w:lang w:eastAsia="zh-CN"/>
        </w:rPr>
      </w:pPr>
    </w:p>
    <w:p w:rsidR="00873BEF" w:rsidRPr="00873BEF" w:rsidRDefault="00984FF1" w:rsidP="009418BF">
      <w:pPr>
        <w:autoSpaceDE w:val="0"/>
        <w:autoSpaceDN w:val="0"/>
        <w:adjustRightInd w:val="0"/>
        <w:spacing w:line="360" w:lineRule="auto"/>
        <w:jc w:val="both"/>
        <w:rPr>
          <w:rFonts w:ascii="Book Antiqua" w:hAnsi="Book Antiqua"/>
          <w:b/>
          <w:i/>
          <w:lang w:eastAsia="zh-CN"/>
        </w:rPr>
      </w:pPr>
      <w:r w:rsidRPr="00873BEF">
        <w:rPr>
          <w:rFonts w:ascii="Book Antiqua" w:hAnsi="Book Antiqua"/>
          <w:b/>
          <w:i/>
          <w:lang w:eastAsia="zh-CN"/>
        </w:rPr>
        <w:t>Research frontiers</w:t>
      </w:r>
    </w:p>
    <w:p w:rsidR="00984FF1" w:rsidRDefault="00873BEF" w:rsidP="009418BF">
      <w:pPr>
        <w:autoSpaceDE w:val="0"/>
        <w:autoSpaceDN w:val="0"/>
        <w:adjustRightInd w:val="0"/>
        <w:spacing w:line="360" w:lineRule="auto"/>
        <w:jc w:val="both"/>
        <w:rPr>
          <w:rFonts w:ascii="Book Antiqua" w:hAnsi="Book Antiqua"/>
          <w:lang w:eastAsia="zh-CN"/>
        </w:rPr>
      </w:pPr>
      <w:r>
        <w:rPr>
          <w:rFonts w:ascii="Book Antiqua" w:hAnsi="Book Antiqua" w:hint="eastAsia"/>
          <w:lang w:eastAsia="zh-CN"/>
        </w:rPr>
        <w:t>The authors</w:t>
      </w:r>
      <w:r>
        <w:rPr>
          <w:rFonts w:ascii="Book Antiqua" w:hAnsi="Book Antiqua"/>
          <w:lang w:eastAsia="zh-CN"/>
        </w:rPr>
        <w:t>’</w:t>
      </w:r>
      <w:r w:rsidR="00984FF1" w:rsidRPr="009418BF">
        <w:rPr>
          <w:rFonts w:ascii="Book Antiqua" w:hAnsi="Book Antiqua"/>
          <w:lang w:eastAsia="zh-CN"/>
        </w:rPr>
        <w:t xml:space="preserve"> report </w:t>
      </w:r>
      <w:r w:rsidR="00E044D3" w:rsidRPr="009418BF">
        <w:rPr>
          <w:rFonts w:ascii="Book Antiqua" w:hAnsi="Book Antiqua"/>
          <w:lang w:eastAsia="zh-CN"/>
        </w:rPr>
        <w:t xml:space="preserve">on 40 µm </w:t>
      </w:r>
      <w:r w:rsidR="00984FF1" w:rsidRPr="009418BF">
        <w:rPr>
          <w:rFonts w:ascii="Book Antiqua" w:hAnsi="Book Antiqua"/>
          <w:lang w:eastAsia="zh-CN"/>
        </w:rPr>
        <w:t xml:space="preserve">DEB-TACE for HCC is </w:t>
      </w:r>
      <w:r w:rsidR="00DE7048" w:rsidRPr="009418BF">
        <w:rPr>
          <w:rFonts w:ascii="Book Antiqua" w:hAnsi="Book Antiqua"/>
          <w:lang w:eastAsia="zh-CN"/>
        </w:rPr>
        <w:t xml:space="preserve">the first </w:t>
      </w:r>
      <w:r w:rsidR="00E044D3" w:rsidRPr="009418BF">
        <w:rPr>
          <w:rFonts w:ascii="Book Antiqua" w:hAnsi="Book Antiqua"/>
          <w:lang w:eastAsia="zh-CN"/>
        </w:rPr>
        <w:t xml:space="preserve">experience </w:t>
      </w:r>
      <w:r w:rsidR="00DE7048" w:rsidRPr="009418BF">
        <w:rPr>
          <w:rFonts w:ascii="Book Antiqua" w:hAnsi="Book Antiqua"/>
          <w:lang w:eastAsia="zh-CN"/>
        </w:rPr>
        <w:t xml:space="preserve">in literarature. </w:t>
      </w:r>
      <w:r w:rsidR="00E044D3" w:rsidRPr="009418BF">
        <w:rPr>
          <w:rFonts w:ascii="Book Antiqua" w:hAnsi="Book Antiqua"/>
          <w:lang w:eastAsia="zh-CN"/>
        </w:rPr>
        <w:t>The</w:t>
      </w:r>
      <w:r w:rsidR="00DE7048" w:rsidRPr="009418BF">
        <w:rPr>
          <w:rFonts w:ascii="Book Antiqua" w:hAnsi="Book Antiqua"/>
          <w:lang w:eastAsia="zh-CN"/>
        </w:rPr>
        <w:t xml:space="preserve"> weakness points</w:t>
      </w:r>
      <w:r w:rsidR="00E044D3" w:rsidRPr="009418BF">
        <w:rPr>
          <w:rFonts w:ascii="Book Antiqua" w:hAnsi="Book Antiqua"/>
          <w:lang w:eastAsia="zh-CN"/>
        </w:rPr>
        <w:t xml:space="preserve"> are</w:t>
      </w:r>
      <w:r w:rsidR="00DE7048" w:rsidRPr="009418BF">
        <w:rPr>
          <w:rFonts w:ascii="Book Antiqua" w:hAnsi="Book Antiqua"/>
          <w:lang w:eastAsia="zh-CN"/>
        </w:rPr>
        <w:t xml:space="preserve"> the small </w:t>
      </w:r>
      <w:r w:rsidR="00E044D3" w:rsidRPr="009418BF">
        <w:rPr>
          <w:rFonts w:ascii="Book Antiqua" w:hAnsi="Book Antiqua"/>
          <w:lang w:eastAsia="zh-CN"/>
        </w:rPr>
        <w:t xml:space="preserve">sample </w:t>
      </w:r>
      <w:r w:rsidR="00DE7048" w:rsidRPr="009418BF">
        <w:rPr>
          <w:rFonts w:ascii="Book Antiqua" w:hAnsi="Book Antiqua"/>
          <w:lang w:eastAsia="zh-CN"/>
        </w:rPr>
        <w:t xml:space="preserve">of patients </w:t>
      </w:r>
      <w:r w:rsidR="00E044D3" w:rsidRPr="009418BF">
        <w:rPr>
          <w:rFonts w:ascii="Book Antiqua" w:hAnsi="Book Antiqua"/>
          <w:lang w:eastAsia="zh-CN"/>
        </w:rPr>
        <w:t xml:space="preserve">and the retrospective design </w:t>
      </w:r>
      <w:r w:rsidR="00DE7048" w:rsidRPr="009418BF">
        <w:rPr>
          <w:rFonts w:ascii="Book Antiqua" w:hAnsi="Book Antiqua"/>
          <w:lang w:eastAsia="zh-CN"/>
        </w:rPr>
        <w:t xml:space="preserve">of </w:t>
      </w:r>
      <w:r w:rsidR="00E044D3" w:rsidRPr="009418BF">
        <w:rPr>
          <w:rFonts w:ascii="Book Antiqua" w:hAnsi="Book Antiqua"/>
          <w:lang w:eastAsia="zh-CN"/>
        </w:rPr>
        <w:t>the study</w:t>
      </w:r>
      <w:r w:rsidR="001751E4" w:rsidRPr="009418BF">
        <w:rPr>
          <w:rFonts w:ascii="Book Antiqua" w:hAnsi="Book Antiqua"/>
          <w:lang w:eastAsia="zh-CN"/>
        </w:rPr>
        <w:t xml:space="preserve"> but it can represent an </w:t>
      </w:r>
      <w:r w:rsidR="00DE7048" w:rsidRPr="009418BF">
        <w:rPr>
          <w:rFonts w:ascii="Book Antiqua" w:hAnsi="Book Antiqua"/>
          <w:lang w:eastAsia="zh-CN"/>
        </w:rPr>
        <w:t xml:space="preserve">interesting </w:t>
      </w:r>
      <w:r w:rsidR="001751E4" w:rsidRPr="009418BF">
        <w:rPr>
          <w:rFonts w:ascii="Book Antiqua" w:hAnsi="Book Antiqua"/>
          <w:lang w:eastAsia="zh-CN"/>
        </w:rPr>
        <w:t>report</w:t>
      </w:r>
      <w:r w:rsidR="00DE7048" w:rsidRPr="009418BF">
        <w:rPr>
          <w:rFonts w:ascii="Book Antiqua" w:hAnsi="Book Antiqua"/>
          <w:lang w:eastAsia="zh-CN"/>
        </w:rPr>
        <w:t xml:space="preserve"> for</w:t>
      </w:r>
      <w:r w:rsidR="00455FC8" w:rsidRPr="009418BF">
        <w:rPr>
          <w:rFonts w:ascii="Book Antiqua" w:hAnsi="Book Antiqua"/>
          <w:lang w:eastAsia="zh-CN"/>
        </w:rPr>
        <w:t xml:space="preserve"> scientific community as first </w:t>
      </w:r>
      <w:r w:rsidR="00984FF1" w:rsidRPr="009418BF">
        <w:rPr>
          <w:rFonts w:ascii="Book Antiqua" w:hAnsi="Book Antiqua"/>
          <w:lang w:eastAsia="zh-CN"/>
        </w:rPr>
        <w:t>evaluation of safety and efficacy</w:t>
      </w:r>
      <w:r w:rsidR="00455FC8" w:rsidRPr="009418BF">
        <w:rPr>
          <w:rFonts w:ascii="Book Antiqua" w:hAnsi="Book Antiqua"/>
          <w:lang w:eastAsia="zh-CN"/>
        </w:rPr>
        <w:t xml:space="preserve"> of this new generation of microparticles</w:t>
      </w:r>
      <w:r w:rsidR="00DE7048" w:rsidRPr="009418BF">
        <w:rPr>
          <w:rFonts w:ascii="Book Antiqua" w:hAnsi="Book Antiqua"/>
          <w:lang w:eastAsia="zh-CN"/>
        </w:rPr>
        <w:t>.</w:t>
      </w:r>
      <w:r w:rsidR="000B64BC" w:rsidRPr="009418BF">
        <w:rPr>
          <w:rFonts w:ascii="Book Antiqua" w:hAnsi="Book Antiqua"/>
          <w:lang w:eastAsia="zh-CN"/>
        </w:rPr>
        <w:t xml:space="preserve"> </w:t>
      </w:r>
      <w:r w:rsidR="00DE7048" w:rsidRPr="009418BF">
        <w:rPr>
          <w:rFonts w:ascii="Book Antiqua" w:hAnsi="Book Antiqua"/>
          <w:lang w:eastAsia="zh-CN"/>
        </w:rPr>
        <w:t xml:space="preserve">Further studies with a </w:t>
      </w:r>
      <w:r w:rsidR="00455FC8" w:rsidRPr="009418BF">
        <w:rPr>
          <w:rFonts w:ascii="Book Antiqua" w:hAnsi="Book Antiqua"/>
          <w:lang w:eastAsia="zh-CN"/>
        </w:rPr>
        <w:t>larger number of patient</w:t>
      </w:r>
      <w:r w:rsidR="001751E4" w:rsidRPr="009418BF">
        <w:rPr>
          <w:rFonts w:ascii="Book Antiqua" w:hAnsi="Book Antiqua"/>
          <w:lang w:eastAsia="zh-CN"/>
        </w:rPr>
        <w:t>s</w:t>
      </w:r>
      <w:r w:rsidR="00455FC8" w:rsidRPr="009418BF">
        <w:rPr>
          <w:rFonts w:ascii="Book Antiqua" w:hAnsi="Book Antiqua"/>
          <w:lang w:eastAsia="zh-CN"/>
        </w:rPr>
        <w:t xml:space="preserve"> will be</w:t>
      </w:r>
      <w:r w:rsidR="00DE7048" w:rsidRPr="009418BF">
        <w:rPr>
          <w:rFonts w:ascii="Book Antiqua" w:hAnsi="Book Antiqua"/>
          <w:lang w:eastAsia="zh-CN"/>
        </w:rPr>
        <w:t xml:space="preserve"> </w:t>
      </w:r>
      <w:r w:rsidR="00455FC8" w:rsidRPr="009418BF">
        <w:rPr>
          <w:rFonts w:ascii="Book Antiqua" w:hAnsi="Book Antiqua"/>
          <w:lang w:eastAsia="zh-CN"/>
        </w:rPr>
        <w:t>needed to confirm data</w:t>
      </w:r>
      <w:r w:rsidR="00DE7048" w:rsidRPr="009418BF">
        <w:rPr>
          <w:rFonts w:ascii="Book Antiqua" w:hAnsi="Book Antiqua"/>
          <w:lang w:eastAsia="zh-CN"/>
        </w:rPr>
        <w:t xml:space="preserve"> and </w:t>
      </w:r>
      <w:r w:rsidR="00455FC8" w:rsidRPr="009418BF">
        <w:rPr>
          <w:rFonts w:ascii="Book Antiqua" w:hAnsi="Book Antiqua"/>
          <w:lang w:eastAsia="zh-CN"/>
        </w:rPr>
        <w:t>confirm or deny the theoretical benefits of this new generation of micro-particles in the treatment of HCC.</w:t>
      </w:r>
    </w:p>
    <w:p w:rsidR="00593A99" w:rsidRPr="009418BF" w:rsidRDefault="00593A99" w:rsidP="009418BF">
      <w:pPr>
        <w:autoSpaceDE w:val="0"/>
        <w:autoSpaceDN w:val="0"/>
        <w:adjustRightInd w:val="0"/>
        <w:spacing w:line="360" w:lineRule="auto"/>
        <w:jc w:val="both"/>
        <w:rPr>
          <w:rFonts w:ascii="Book Antiqua" w:hAnsi="Book Antiqua"/>
          <w:lang w:eastAsia="zh-CN"/>
        </w:rPr>
      </w:pPr>
    </w:p>
    <w:p w:rsidR="00455FC8" w:rsidRPr="009418BF" w:rsidRDefault="00984FF1" w:rsidP="009418BF">
      <w:pPr>
        <w:spacing w:line="360" w:lineRule="auto"/>
        <w:jc w:val="both"/>
        <w:rPr>
          <w:rFonts w:ascii="Book Antiqua" w:hAnsi="Book Antiqua"/>
          <w:b/>
          <w:i/>
        </w:rPr>
      </w:pPr>
      <w:r w:rsidRPr="009418BF">
        <w:rPr>
          <w:rFonts w:ascii="Book Antiqua" w:hAnsi="Book Antiqua"/>
          <w:b/>
          <w:i/>
        </w:rPr>
        <w:t>Innovations and breakthroughs</w:t>
      </w:r>
    </w:p>
    <w:p w:rsidR="005F3EE2" w:rsidRDefault="00397DFA" w:rsidP="009418BF">
      <w:pPr>
        <w:spacing w:line="360" w:lineRule="auto"/>
        <w:jc w:val="both"/>
        <w:rPr>
          <w:rFonts w:ascii="Book Antiqua" w:hAnsi="Book Antiqua"/>
          <w:lang w:eastAsia="zh-CN"/>
        </w:rPr>
      </w:pPr>
      <w:r>
        <w:rPr>
          <w:rFonts w:ascii="Book Antiqua" w:hAnsi="Book Antiqua"/>
          <w:lang w:eastAsia="zh-CN"/>
        </w:rPr>
        <w:t>The</w:t>
      </w:r>
      <w:r w:rsidR="005F3EE2" w:rsidRPr="009418BF">
        <w:rPr>
          <w:rFonts w:ascii="Book Antiqua" w:hAnsi="Book Antiqua"/>
        </w:rPr>
        <w:t xml:space="preserve"> study confirms a degree of objective response to treatment, defined as complete or partial response (CR or PR) according to RECIST and mRECIST applied to CT and MRI, consistent with that of previous studies in the literature with a slightly higher caliber particles (40-60 and 70-150</w:t>
      </w:r>
      <w:r w:rsidR="007803CF">
        <w:rPr>
          <w:rFonts w:ascii="Book Antiqua" w:hAnsi="Book Antiqua" w:hint="eastAsia"/>
          <w:lang w:eastAsia="zh-CN"/>
        </w:rPr>
        <w:t xml:space="preserve"> </w:t>
      </w:r>
      <w:r w:rsidR="007803CF" w:rsidRPr="009418BF">
        <w:rPr>
          <w:rFonts w:ascii="Book Antiqua" w:hAnsi="Book Antiqua"/>
          <w:lang w:eastAsia="zh-CN"/>
        </w:rPr>
        <w:t>µm</w:t>
      </w:r>
      <w:r w:rsidR="005F3EE2" w:rsidRPr="009418BF">
        <w:rPr>
          <w:rFonts w:ascii="Book Antiqua" w:hAnsi="Book Antiqua"/>
        </w:rPr>
        <w:t xml:space="preserve">). The data is comforting when you consider the lack of intra or extrahepatic complications </w:t>
      </w:r>
      <w:r w:rsidR="001751E4" w:rsidRPr="009418BF">
        <w:rPr>
          <w:rFonts w:ascii="Book Antiqua" w:hAnsi="Book Antiqua"/>
        </w:rPr>
        <w:t>due</w:t>
      </w:r>
      <w:r w:rsidR="005F3EE2" w:rsidRPr="009418BF">
        <w:rPr>
          <w:rFonts w:ascii="Book Antiqua" w:hAnsi="Book Antiqua"/>
        </w:rPr>
        <w:t xml:space="preserve"> to the phenomenon of </w:t>
      </w:r>
      <w:r w:rsidR="005F3EE2" w:rsidRPr="00593A99">
        <w:rPr>
          <w:rFonts w:ascii="Book Antiqua" w:hAnsi="Book Antiqua"/>
        </w:rPr>
        <w:t>non</w:t>
      </w:r>
      <w:r w:rsidR="00630862" w:rsidRPr="00593A99">
        <w:rPr>
          <w:rFonts w:ascii="Book Antiqua" w:hAnsi="Book Antiqua"/>
        </w:rPr>
        <w:t>-</w:t>
      </w:r>
      <w:r w:rsidR="005F3EE2" w:rsidRPr="00593A99">
        <w:rPr>
          <w:rFonts w:ascii="Book Antiqua" w:hAnsi="Book Antiqua"/>
        </w:rPr>
        <w:t xml:space="preserve">target embolization, </w:t>
      </w:r>
      <w:r w:rsidR="005F3EE2" w:rsidRPr="009418BF">
        <w:rPr>
          <w:rFonts w:ascii="Book Antiqua" w:hAnsi="Book Antiqua"/>
        </w:rPr>
        <w:t xml:space="preserve">cause for concern in </w:t>
      </w:r>
      <w:r w:rsidRPr="009418BF">
        <w:rPr>
          <w:rFonts w:ascii="Book Antiqua" w:hAnsi="Book Antiqua"/>
        </w:rPr>
        <w:t>W</w:t>
      </w:r>
      <w:r w:rsidR="005F3EE2" w:rsidRPr="009418BF">
        <w:rPr>
          <w:rFonts w:ascii="Book Antiqua" w:hAnsi="Book Antiqua"/>
        </w:rPr>
        <w:t>estern countries where the DEBTACE is widespread with larger gauge particles.</w:t>
      </w:r>
    </w:p>
    <w:p w:rsidR="00593A99" w:rsidRPr="00A16C77" w:rsidRDefault="00593A99" w:rsidP="00A16C77">
      <w:pPr>
        <w:spacing w:line="360" w:lineRule="auto"/>
        <w:jc w:val="both"/>
        <w:rPr>
          <w:rFonts w:ascii="Book Antiqua" w:hAnsi="Book Antiqua"/>
          <w:lang w:eastAsia="zh-CN"/>
        </w:rPr>
      </w:pPr>
    </w:p>
    <w:p w:rsidR="00984FF1" w:rsidRPr="00A16C77" w:rsidRDefault="00984FF1" w:rsidP="00A16C77">
      <w:pPr>
        <w:spacing w:line="360" w:lineRule="auto"/>
        <w:jc w:val="both"/>
        <w:rPr>
          <w:rFonts w:ascii="Book Antiqua" w:hAnsi="Book Antiqua"/>
          <w:b/>
          <w:i/>
        </w:rPr>
      </w:pPr>
      <w:r w:rsidRPr="00A16C77">
        <w:rPr>
          <w:rFonts w:ascii="Book Antiqua" w:hAnsi="Book Antiqua"/>
          <w:b/>
          <w:i/>
        </w:rPr>
        <w:t xml:space="preserve">Applications </w:t>
      </w:r>
    </w:p>
    <w:p w:rsidR="005F3EE2" w:rsidRPr="00A16C77" w:rsidRDefault="005F3EE2" w:rsidP="00A16C77">
      <w:pPr>
        <w:spacing w:line="360" w:lineRule="auto"/>
        <w:jc w:val="both"/>
        <w:rPr>
          <w:rFonts w:ascii="Book Antiqua" w:hAnsi="Book Antiqua"/>
          <w:lang w:eastAsia="zh-CN"/>
        </w:rPr>
      </w:pPr>
      <w:r w:rsidRPr="00A16C77">
        <w:rPr>
          <w:rFonts w:ascii="Book Antiqua" w:hAnsi="Book Antiqua"/>
        </w:rPr>
        <w:t>This study suggest</w:t>
      </w:r>
      <w:r w:rsidR="000B64BC" w:rsidRPr="00A16C77">
        <w:rPr>
          <w:rFonts w:ascii="Book Antiqua" w:hAnsi="Book Antiqua"/>
        </w:rPr>
        <w:t>s</w:t>
      </w:r>
      <w:r w:rsidRPr="00A16C77">
        <w:rPr>
          <w:rFonts w:ascii="Book Antiqua" w:hAnsi="Book Antiqua"/>
        </w:rPr>
        <w:t xml:space="preserve"> that 40</w:t>
      </w:r>
      <w:r w:rsidR="007E16E6">
        <w:rPr>
          <w:rFonts w:ascii="Book Antiqua" w:hAnsi="Book Antiqua" w:hint="eastAsia"/>
          <w:lang w:eastAsia="zh-CN"/>
        </w:rPr>
        <w:t xml:space="preserve"> </w:t>
      </w:r>
      <w:r w:rsidR="007E16E6" w:rsidRPr="009418BF">
        <w:rPr>
          <w:rFonts w:ascii="Book Antiqua" w:hAnsi="Book Antiqua"/>
          <w:lang w:eastAsia="zh-CN"/>
        </w:rPr>
        <w:t>µm</w:t>
      </w:r>
      <w:r w:rsidRPr="00A16C77">
        <w:rPr>
          <w:rFonts w:ascii="Book Antiqua" w:hAnsi="Book Antiqua"/>
        </w:rPr>
        <w:t xml:space="preserve"> DEBTACE is safe and effective in early-intermediate HCC patients with compensated cirrhosis. </w:t>
      </w:r>
    </w:p>
    <w:p w:rsidR="00593A99" w:rsidRPr="00A16C77" w:rsidRDefault="00593A99" w:rsidP="00A16C77">
      <w:pPr>
        <w:spacing w:line="360" w:lineRule="auto"/>
        <w:jc w:val="both"/>
        <w:rPr>
          <w:rFonts w:ascii="Book Antiqua" w:hAnsi="Book Antiqua"/>
          <w:lang w:eastAsia="zh-CN"/>
        </w:rPr>
      </w:pPr>
    </w:p>
    <w:p w:rsidR="00984FF1" w:rsidRPr="00A16C77" w:rsidRDefault="00984FF1" w:rsidP="00A16C77">
      <w:pPr>
        <w:spacing w:line="360" w:lineRule="auto"/>
        <w:jc w:val="both"/>
        <w:rPr>
          <w:rFonts w:ascii="Book Antiqua" w:hAnsi="Book Antiqua"/>
          <w:b/>
          <w:i/>
        </w:rPr>
      </w:pPr>
      <w:r w:rsidRPr="00A16C77">
        <w:rPr>
          <w:rFonts w:ascii="Book Antiqua" w:hAnsi="Book Antiqua"/>
          <w:b/>
          <w:i/>
        </w:rPr>
        <w:t>Terminology</w:t>
      </w:r>
    </w:p>
    <w:p w:rsidR="00FA3B92" w:rsidRPr="00A16C77" w:rsidRDefault="00FA3B92" w:rsidP="00A16C77">
      <w:pPr>
        <w:spacing w:line="360" w:lineRule="auto"/>
        <w:jc w:val="both"/>
        <w:rPr>
          <w:rFonts w:ascii="Book Antiqua" w:hAnsi="Book Antiqua"/>
        </w:rPr>
      </w:pPr>
      <w:r w:rsidRPr="00A16C77">
        <w:rPr>
          <w:rFonts w:ascii="Book Antiqua" w:hAnsi="Book Antiqua"/>
        </w:rPr>
        <w:t xml:space="preserve">DEB-TACE: </w:t>
      </w:r>
      <w:r w:rsidR="00593A99" w:rsidRPr="00A16C77">
        <w:rPr>
          <w:rFonts w:ascii="Book Antiqua" w:hAnsi="Book Antiqua"/>
        </w:rPr>
        <w:t>D</w:t>
      </w:r>
      <w:r w:rsidRPr="00A16C77">
        <w:rPr>
          <w:rFonts w:ascii="Book Antiqua" w:hAnsi="Book Antiqua"/>
        </w:rPr>
        <w:t>rug eluting bead TACE</w:t>
      </w:r>
      <w:proofErr w:type="gramStart"/>
      <w:r w:rsidRPr="00A16C77">
        <w:rPr>
          <w:rFonts w:ascii="Book Antiqua" w:hAnsi="Book Antiqua"/>
        </w:rPr>
        <w:t>;</w:t>
      </w:r>
      <w:proofErr w:type="gramEnd"/>
      <w:r w:rsidRPr="00A16C77">
        <w:rPr>
          <w:rFonts w:ascii="Book Antiqua" w:hAnsi="Book Antiqua"/>
        </w:rPr>
        <w:t xml:space="preserve"> </w:t>
      </w:r>
      <w:proofErr w:type="spellStart"/>
      <w:r w:rsidR="006868AE">
        <w:rPr>
          <w:rFonts w:ascii="Book Antiqua" w:hAnsi="Book Antiqua"/>
        </w:rPr>
        <w:t>n</w:t>
      </w:r>
      <w:bookmarkStart w:id="0" w:name="_GoBack"/>
      <w:bookmarkEnd w:id="0"/>
      <w:r w:rsidRPr="00A16C77">
        <w:rPr>
          <w:rFonts w:ascii="Book Antiqua" w:hAnsi="Book Antiqua"/>
        </w:rPr>
        <w:t>ontarget</w:t>
      </w:r>
      <w:proofErr w:type="spellEnd"/>
      <w:r w:rsidRPr="00A16C77">
        <w:rPr>
          <w:rFonts w:ascii="Book Antiqua" w:hAnsi="Book Antiqua"/>
        </w:rPr>
        <w:t xml:space="preserve"> embolization: </w:t>
      </w:r>
      <w:r w:rsidR="00593A99" w:rsidRPr="00A16C77">
        <w:rPr>
          <w:rFonts w:ascii="Book Antiqua" w:hAnsi="Book Antiqua"/>
        </w:rPr>
        <w:t>U</w:t>
      </w:r>
      <w:r w:rsidRPr="00A16C77">
        <w:rPr>
          <w:rFonts w:ascii="Book Antiqua" w:hAnsi="Book Antiqua"/>
        </w:rPr>
        <w:t>nwanted escape of particles outside the territory seat of treatment.</w:t>
      </w:r>
    </w:p>
    <w:p w:rsidR="00FA3B92" w:rsidRPr="00A16C77" w:rsidRDefault="00FA3B92" w:rsidP="00A16C77">
      <w:pPr>
        <w:spacing w:line="360" w:lineRule="auto"/>
        <w:jc w:val="both"/>
        <w:rPr>
          <w:rFonts w:ascii="Book Antiqua" w:hAnsi="Book Antiqua"/>
          <w:lang w:eastAsia="zh-CN"/>
        </w:rPr>
      </w:pPr>
    </w:p>
    <w:p w:rsidR="00593A99" w:rsidRPr="00A16C77" w:rsidRDefault="00593A99" w:rsidP="00A16C77">
      <w:pPr>
        <w:spacing w:line="360" w:lineRule="auto"/>
        <w:jc w:val="both"/>
        <w:rPr>
          <w:rFonts w:ascii="Book Antiqua" w:hAnsi="Book Antiqua"/>
          <w:b/>
          <w:i/>
          <w:lang w:eastAsia="zh-CN"/>
        </w:rPr>
      </w:pPr>
      <w:r w:rsidRPr="00A16C77">
        <w:rPr>
          <w:rFonts w:ascii="Book Antiqua" w:hAnsi="Book Antiqua"/>
          <w:b/>
          <w:i/>
          <w:lang w:eastAsia="zh-CN"/>
        </w:rPr>
        <w:t>Peer-review</w:t>
      </w:r>
    </w:p>
    <w:p w:rsidR="00593A99" w:rsidRPr="00A16C77" w:rsidRDefault="00524A17" w:rsidP="00A16C77">
      <w:pPr>
        <w:spacing w:line="360" w:lineRule="auto"/>
        <w:jc w:val="both"/>
        <w:rPr>
          <w:rFonts w:ascii="Book Antiqua" w:hAnsi="Book Antiqua"/>
          <w:lang w:eastAsia="zh-CN"/>
        </w:rPr>
      </w:pPr>
      <w:r w:rsidRPr="00A16C77">
        <w:rPr>
          <w:rFonts w:ascii="Book Antiqua" w:hAnsi="Book Antiqua"/>
        </w:rPr>
        <w:t xml:space="preserve">This paper presented about the efficacy of </w:t>
      </w:r>
      <w:r w:rsidR="0029753B" w:rsidRPr="00A16C77">
        <w:rPr>
          <w:rFonts w:ascii="Book Antiqua" w:hAnsi="Book Antiqua"/>
        </w:rPr>
        <w:t>TACE</w:t>
      </w:r>
      <w:r w:rsidRPr="00A16C77">
        <w:rPr>
          <w:rFonts w:ascii="Book Antiqua" w:hAnsi="Book Antiqua"/>
        </w:rPr>
        <w:t xml:space="preserve"> using drug eluting beads for HCC patients. This topic could be interesting for readers</w:t>
      </w:r>
      <w:r w:rsidRPr="00A16C77">
        <w:rPr>
          <w:rFonts w:ascii="Book Antiqua" w:hAnsi="Book Antiqua"/>
          <w:lang w:eastAsia="zh-CN"/>
        </w:rPr>
        <w:t>.</w:t>
      </w:r>
    </w:p>
    <w:p w:rsidR="00524A17" w:rsidRPr="00A16C77" w:rsidRDefault="00524A17" w:rsidP="00A16C77">
      <w:pPr>
        <w:spacing w:line="360" w:lineRule="auto"/>
        <w:jc w:val="both"/>
        <w:rPr>
          <w:rFonts w:ascii="Book Antiqua" w:hAnsi="Book Antiqua"/>
          <w:b/>
          <w:i/>
          <w:lang w:eastAsia="zh-CN"/>
        </w:rPr>
      </w:pPr>
    </w:p>
    <w:p w:rsidR="00A16C77" w:rsidRDefault="00A16C77">
      <w:pPr>
        <w:rPr>
          <w:rFonts w:ascii="Book Antiqua" w:hAnsi="Book Antiqua"/>
          <w:b/>
        </w:rPr>
      </w:pPr>
      <w:r>
        <w:rPr>
          <w:rFonts w:ascii="Book Antiqua" w:hAnsi="Book Antiqua"/>
          <w:b/>
        </w:rPr>
        <w:br w:type="page"/>
      </w:r>
    </w:p>
    <w:p w:rsidR="00F7271E" w:rsidRPr="00A16C77" w:rsidRDefault="00F7271E" w:rsidP="00A16C77">
      <w:pPr>
        <w:pStyle w:val="ListParagraph"/>
        <w:spacing w:line="360" w:lineRule="auto"/>
        <w:ind w:firstLineChars="0" w:firstLine="0"/>
        <w:jc w:val="both"/>
        <w:rPr>
          <w:rFonts w:ascii="Book Antiqua" w:hAnsi="Book Antiqua"/>
          <w:b/>
        </w:rPr>
      </w:pPr>
      <w:r w:rsidRPr="00A16C77">
        <w:rPr>
          <w:rFonts w:ascii="Book Antiqua" w:hAnsi="Book Antiqua"/>
          <w:b/>
        </w:rPr>
        <w:lastRenderedPageBreak/>
        <w:t>REFERENCES</w:t>
      </w:r>
    </w:p>
    <w:p w:rsidR="00A16C77" w:rsidRPr="00A16C77" w:rsidRDefault="00A16C77" w:rsidP="00A16C77">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1 </w:t>
      </w:r>
      <w:r w:rsidRPr="00A16C77">
        <w:rPr>
          <w:rFonts w:ascii="Book Antiqua" w:eastAsia="宋体" w:hAnsi="Book Antiqua" w:cs="宋体"/>
          <w:lang w:val="en-US" w:eastAsia="zh-CN"/>
        </w:rPr>
        <w:t xml:space="preserve">EASL-EORTC clinical practice guidelines: management of hepatocellular carcinoma. </w:t>
      </w:r>
      <w:r w:rsidRPr="00A16C77">
        <w:rPr>
          <w:rFonts w:ascii="Book Antiqua" w:eastAsia="宋体" w:hAnsi="Book Antiqua" w:cs="宋体"/>
          <w:i/>
          <w:iCs/>
          <w:lang w:val="en-US" w:eastAsia="zh-CN"/>
        </w:rPr>
        <w:t xml:space="preserve">J </w:t>
      </w:r>
      <w:proofErr w:type="spellStart"/>
      <w:r w:rsidRPr="00A16C77">
        <w:rPr>
          <w:rFonts w:ascii="Book Antiqua" w:eastAsia="宋体" w:hAnsi="Book Antiqua" w:cs="宋体"/>
          <w:i/>
          <w:iCs/>
          <w:lang w:val="en-US" w:eastAsia="zh-CN"/>
        </w:rPr>
        <w:t>Hepatol</w:t>
      </w:r>
      <w:proofErr w:type="spellEnd"/>
      <w:r w:rsidRPr="00A16C77">
        <w:rPr>
          <w:rFonts w:ascii="Book Antiqua" w:eastAsia="宋体" w:hAnsi="Book Antiqua" w:cs="宋体"/>
          <w:lang w:val="en-US" w:eastAsia="zh-CN"/>
        </w:rPr>
        <w:t xml:space="preserve"> 2012; </w:t>
      </w:r>
      <w:r w:rsidRPr="00A16C77">
        <w:rPr>
          <w:rFonts w:ascii="Book Antiqua" w:eastAsia="宋体" w:hAnsi="Book Antiqua" w:cs="宋体"/>
          <w:b/>
          <w:bCs/>
          <w:lang w:val="en-US" w:eastAsia="zh-CN"/>
        </w:rPr>
        <w:t>56</w:t>
      </w:r>
      <w:r w:rsidRPr="00A16C77">
        <w:rPr>
          <w:rFonts w:ascii="Book Antiqua" w:eastAsia="宋体" w:hAnsi="Book Antiqua" w:cs="宋体"/>
          <w:lang w:val="en-US" w:eastAsia="zh-CN"/>
        </w:rPr>
        <w:t>: 908-943 [PMID: 22424438 DOI: 10.1016/j.jhep.2011.12.001]</w:t>
      </w:r>
    </w:p>
    <w:p w:rsidR="00A16C77" w:rsidRPr="00A16C77" w:rsidRDefault="00A16C77" w:rsidP="00A16C77">
      <w:pPr>
        <w:spacing w:line="360" w:lineRule="auto"/>
        <w:jc w:val="both"/>
        <w:rPr>
          <w:rFonts w:ascii="Book Antiqua" w:eastAsia="宋体" w:hAnsi="Book Antiqua" w:cs="宋体"/>
          <w:lang w:val="en-US" w:eastAsia="zh-CN"/>
        </w:rPr>
      </w:pPr>
      <w:r w:rsidRPr="00A16C77">
        <w:rPr>
          <w:rFonts w:ascii="Book Antiqua" w:eastAsia="宋体" w:hAnsi="Book Antiqua" w:cs="宋体"/>
          <w:lang w:val="en-US" w:eastAsia="zh-CN"/>
        </w:rPr>
        <w:t xml:space="preserve">2 </w:t>
      </w:r>
      <w:proofErr w:type="spellStart"/>
      <w:r w:rsidRPr="00A16C77">
        <w:rPr>
          <w:rFonts w:ascii="Book Antiqua" w:eastAsia="宋体" w:hAnsi="Book Antiqua" w:cs="宋体"/>
          <w:b/>
          <w:bCs/>
          <w:lang w:val="en-US" w:eastAsia="zh-CN"/>
        </w:rPr>
        <w:t>Llovet</w:t>
      </w:r>
      <w:proofErr w:type="spellEnd"/>
      <w:r w:rsidRPr="00A16C77">
        <w:rPr>
          <w:rFonts w:ascii="Book Antiqua" w:eastAsia="宋体" w:hAnsi="Book Antiqua" w:cs="宋体"/>
          <w:b/>
          <w:bCs/>
          <w:lang w:val="en-US" w:eastAsia="zh-CN"/>
        </w:rPr>
        <w:t xml:space="preserve"> JM</w:t>
      </w:r>
      <w:r w:rsidRPr="00A16C77">
        <w:rPr>
          <w:rFonts w:ascii="Book Antiqua" w:eastAsia="宋体" w:hAnsi="Book Antiqua" w:cs="宋体"/>
          <w:lang w:val="en-US" w:eastAsia="zh-CN"/>
        </w:rPr>
        <w:t xml:space="preserve">, </w:t>
      </w:r>
      <w:proofErr w:type="spellStart"/>
      <w:r w:rsidRPr="00A16C77">
        <w:rPr>
          <w:rFonts w:ascii="Book Antiqua" w:eastAsia="宋体" w:hAnsi="Book Antiqua" w:cs="宋体"/>
          <w:lang w:val="en-US" w:eastAsia="zh-CN"/>
        </w:rPr>
        <w:t>Bruix</w:t>
      </w:r>
      <w:proofErr w:type="spellEnd"/>
      <w:r w:rsidRPr="00A16C77">
        <w:rPr>
          <w:rFonts w:ascii="Book Antiqua" w:eastAsia="宋体" w:hAnsi="Book Antiqua" w:cs="宋体"/>
          <w:lang w:val="en-US" w:eastAsia="zh-CN"/>
        </w:rPr>
        <w:t xml:space="preserve"> J. Systematic review of randomized trials for </w:t>
      </w:r>
      <w:proofErr w:type="spellStart"/>
      <w:r w:rsidRPr="00A16C77">
        <w:rPr>
          <w:rFonts w:ascii="Book Antiqua" w:eastAsia="宋体" w:hAnsi="Book Antiqua" w:cs="宋体"/>
          <w:lang w:val="en-US" w:eastAsia="zh-CN"/>
        </w:rPr>
        <w:t>unresectable</w:t>
      </w:r>
      <w:proofErr w:type="spellEnd"/>
      <w:r w:rsidRPr="00A16C77">
        <w:rPr>
          <w:rFonts w:ascii="Book Antiqua" w:eastAsia="宋体" w:hAnsi="Book Antiqua" w:cs="宋体"/>
          <w:lang w:val="en-US" w:eastAsia="zh-CN"/>
        </w:rPr>
        <w:t xml:space="preserve"> hepatocellular carcinoma: Chemoembolization improves survival. </w:t>
      </w:r>
      <w:proofErr w:type="spellStart"/>
      <w:r w:rsidRPr="00A16C77">
        <w:rPr>
          <w:rFonts w:ascii="Book Antiqua" w:eastAsia="宋体" w:hAnsi="Book Antiqua" w:cs="宋体"/>
          <w:i/>
          <w:iCs/>
          <w:lang w:val="en-US" w:eastAsia="zh-CN"/>
        </w:rPr>
        <w:t>Hepatology</w:t>
      </w:r>
      <w:proofErr w:type="spellEnd"/>
      <w:r w:rsidRPr="00A16C77">
        <w:rPr>
          <w:rFonts w:ascii="Book Antiqua" w:eastAsia="宋体" w:hAnsi="Book Antiqua" w:cs="宋体"/>
          <w:lang w:val="en-US" w:eastAsia="zh-CN"/>
        </w:rPr>
        <w:t xml:space="preserve"> 2003; </w:t>
      </w:r>
      <w:r w:rsidRPr="00A16C77">
        <w:rPr>
          <w:rFonts w:ascii="Book Antiqua" w:eastAsia="宋体" w:hAnsi="Book Antiqua" w:cs="宋体"/>
          <w:b/>
          <w:bCs/>
          <w:lang w:val="en-US" w:eastAsia="zh-CN"/>
        </w:rPr>
        <w:t>37</w:t>
      </w:r>
      <w:r w:rsidRPr="00A16C77">
        <w:rPr>
          <w:rFonts w:ascii="Book Antiqua" w:eastAsia="宋体" w:hAnsi="Book Antiqua" w:cs="宋体"/>
          <w:lang w:val="en-US" w:eastAsia="zh-CN"/>
        </w:rPr>
        <w:t>: 429-442 [PMID: 12540794 DOI: 10.1053/jhep.2003.50047]</w:t>
      </w:r>
    </w:p>
    <w:p w:rsidR="00A16C77" w:rsidRPr="00A16C77" w:rsidRDefault="00A16C77" w:rsidP="00A16C77">
      <w:pPr>
        <w:spacing w:line="360" w:lineRule="auto"/>
        <w:jc w:val="both"/>
        <w:rPr>
          <w:rFonts w:ascii="Book Antiqua" w:eastAsia="宋体" w:hAnsi="Book Antiqua" w:cs="宋体"/>
          <w:lang w:val="en-US" w:eastAsia="zh-CN"/>
        </w:rPr>
      </w:pPr>
      <w:r w:rsidRPr="00A16C77">
        <w:rPr>
          <w:rFonts w:ascii="Book Antiqua" w:eastAsia="宋体" w:hAnsi="Book Antiqua" w:cs="宋体"/>
          <w:lang w:val="en-US" w:eastAsia="zh-CN"/>
        </w:rPr>
        <w:t xml:space="preserve">3 </w:t>
      </w:r>
      <w:proofErr w:type="spellStart"/>
      <w:r w:rsidRPr="00A16C77">
        <w:rPr>
          <w:rFonts w:ascii="Book Antiqua" w:eastAsia="宋体" w:hAnsi="Book Antiqua" w:cs="宋体"/>
          <w:b/>
          <w:bCs/>
          <w:lang w:val="en-US" w:eastAsia="zh-CN"/>
        </w:rPr>
        <w:t>Bruix</w:t>
      </w:r>
      <w:proofErr w:type="spellEnd"/>
      <w:r w:rsidRPr="00A16C77">
        <w:rPr>
          <w:rFonts w:ascii="Book Antiqua" w:eastAsia="宋体" w:hAnsi="Book Antiqua" w:cs="宋体"/>
          <w:b/>
          <w:bCs/>
          <w:lang w:val="en-US" w:eastAsia="zh-CN"/>
        </w:rPr>
        <w:t xml:space="preserve"> J</w:t>
      </w:r>
      <w:r w:rsidRPr="00A16C77">
        <w:rPr>
          <w:rFonts w:ascii="Book Antiqua" w:eastAsia="宋体" w:hAnsi="Book Antiqua" w:cs="宋体"/>
          <w:lang w:val="en-US" w:eastAsia="zh-CN"/>
        </w:rPr>
        <w:t xml:space="preserve">, Sherman M. Management of hepatocellular carcinoma: an update. </w:t>
      </w:r>
      <w:proofErr w:type="spellStart"/>
      <w:r w:rsidRPr="00A16C77">
        <w:rPr>
          <w:rFonts w:ascii="Book Antiqua" w:eastAsia="宋体" w:hAnsi="Book Antiqua" w:cs="宋体"/>
          <w:i/>
          <w:iCs/>
          <w:lang w:val="en-US" w:eastAsia="zh-CN"/>
        </w:rPr>
        <w:t>Hepatology</w:t>
      </w:r>
      <w:proofErr w:type="spellEnd"/>
      <w:r w:rsidRPr="00A16C77">
        <w:rPr>
          <w:rFonts w:ascii="Book Antiqua" w:eastAsia="宋体" w:hAnsi="Book Antiqua" w:cs="宋体"/>
          <w:lang w:val="en-US" w:eastAsia="zh-CN"/>
        </w:rPr>
        <w:t xml:space="preserve"> 2011; </w:t>
      </w:r>
      <w:r w:rsidRPr="00A16C77">
        <w:rPr>
          <w:rFonts w:ascii="Book Antiqua" w:eastAsia="宋体" w:hAnsi="Book Antiqua" w:cs="宋体"/>
          <w:b/>
          <w:bCs/>
          <w:lang w:val="en-US" w:eastAsia="zh-CN"/>
        </w:rPr>
        <w:t>53</w:t>
      </w:r>
      <w:r w:rsidRPr="00A16C77">
        <w:rPr>
          <w:rFonts w:ascii="Book Antiqua" w:eastAsia="宋体" w:hAnsi="Book Antiqua" w:cs="宋体"/>
          <w:lang w:val="en-US" w:eastAsia="zh-CN"/>
        </w:rPr>
        <w:t>: 1020-1022 [PMID: 21374666 DOI: 10.1002/hep.24199]</w:t>
      </w:r>
    </w:p>
    <w:p w:rsidR="00A16C77" w:rsidRPr="00A16C77" w:rsidRDefault="00A16C77" w:rsidP="00A16C77">
      <w:pPr>
        <w:spacing w:line="360" w:lineRule="auto"/>
        <w:jc w:val="both"/>
        <w:rPr>
          <w:rFonts w:ascii="Book Antiqua" w:eastAsia="宋体" w:hAnsi="Book Antiqua" w:cs="宋体"/>
          <w:lang w:val="en-US" w:eastAsia="zh-CN"/>
        </w:rPr>
      </w:pPr>
      <w:r w:rsidRPr="00A16C77">
        <w:rPr>
          <w:rFonts w:ascii="Book Antiqua" w:eastAsia="宋体" w:hAnsi="Book Antiqua" w:cs="宋体"/>
          <w:lang w:val="en-US" w:eastAsia="zh-CN"/>
        </w:rPr>
        <w:t xml:space="preserve">4 </w:t>
      </w:r>
      <w:proofErr w:type="spellStart"/>
      <w:r w:rsidRPr="00A16C77">
        <w:rPr>
          <w:rFonts w:ascii="Book Antiqua" w:eastAsia="宋体" w:hAnsi="Book Antiqua" w:cs="宋体"/>
          <w:b/>
          <w:bCs/>
          <w:lang w:val="en-US" w:eastAsia="zh-CN"/>
        </w:rPr>
        <w:t>Llovet</w:t>
      </w:r>
      <w:proofErr w:type="spellEnd"/>
      <w:r w:rsidRPr="00A16C77">
        <w:rPr>
          <w:rFonts w:ascii="Book Antiqua" w:eastAsia="宋体" w:hAnsi="Book Antiqua" w:cs="宋体"/>
          <w:b/>
          <w:bCs/>
          <w:lang w:val="en-US" w:eastAsia="zh-CN"/>
        </w:rPr>
        <w:t xml:space="preserve"> JM</w:t>
      </w:r>
      <w:r w:rsidRPr="00A16C77">
        <w:rPr>
          <w:rFonts w:ascii="Book Antiqua" w:eastAsia="宋体" w:hAnsi="Book Antiqua" w:cs="宋体"/>
          <w:lang w:val="en-US" w:eastAsia="zh-CN"/>
        </w:rPr>
        <w:t xml:space="preserve">, Real MI, </w:t>
      </w:r>
      <w:proofErr w:type="spellStart"/>
      <w:r w:rsidRPr="00A16C77">
        <w:rPr>
          <w:rFonts w:ascii="Book Antiqua" w:eastAsia="宋体" w:hAnsi="Book Antiqua" w:cs="宋体"/>
          <w:lang w:val="en-US" w:eastAsia="zh-CN"/>
        </w:rPr>
        <w:t>Montaña</w:t>
      </w:r>
      <w:proofErr w:type="spellEnd"/>
      <w:r w:rsidRPr="00A16C77">
        <w:rPr>
          <w:rFonts w:ascii="Book Antiqua" w:eastAsia="宋体" w:hAnsi="Book Antiqua" w:cs="宋体"/>
          <w:lang w:val="en-US" w:eastAsia="zh-CN"/>
        </w:rPr>
        <w:t xml:space="preserve"> X, </w:t>
      </w:r>
      <w:proofErr w:type="spellStart"/>
      <w:r w:rsidRPr="00A16C77">
        <w:rPr>
          <w:rFonts w:ascii="Book Antiqua" w:eastAsia="宋体" w:hAnsi="Book Antiqua" w:cs="宋体"/>
          <w:lang w:val="en-US" w:eastAsia="zh-CN"/>
        </w:rPr>
        <w:t>Planas</w:t>
      </w:r>
      <w:proofErr w:type="spellEnd"/>
      <w:r w:rsidRPr="00A16C77">
        <w:rPr>
          <w:rFonts w:ascii="Book Antiqua" w:eastAsia="宋体" w:hAnsi="Book Antiqua" w:cs="宋体"/>
          <w:lang w:val="en-US" w:eastAsia="zh-CN"/>
        </w:rPr>
        <w:t xml:space="preserve"> R, </w:t>
      </w:r>
      <w:proofErr w:type="spellStart"/>
      <w:r w:rsidRPr="00A16C77">
        <w:rPr>
          <w:rFonts w:ascii="Book Antiqua" w:eastAsia="宋体" w:hAnsi="Book Antiqua" w:cs="宋体"/>
          <w:lang w:val="en-US" w:eastAsia="zh-CN"/>
        </w:rPr>
        <w:t>Coll</w:t>
      </w:r>
      <w:proofErr w:type="spellEnd"/>
      <w:r w:rsidRPr="00A16C77">
        <w:rPr>
          <w:rFonts w:ascii="Book Antiqua" w:eastAsia="宋体" w:hAnsi="Book Antiqua" w:cs="宋体"/>
          <w:lang w:val="en-US" w:eastAsia="zh-CN"/>
        </w:rPr>
        <w:t xml:space="preserve"> S, Aponte J, </w:t>
      </w:r>
      <w:proofErr w:type="spellStart"/>
      <w:r w:rsidRPr="00A16C77">
        <w:rPr>
          <w:rFonts w:ascii="Book Antiqua" w:eastAsia="宋体" w:hAnsi="Book Antiqua" w:cs="宋体"/>
          <w:lang w:val="en-US" w:eastAsia="zh-CN"/>
        </w:rPr>
        <w:t>Ayuso</w:t>
      </w:r>
      <w:proofErr w:type="spellEnd"/>
      <w:r w:rsidRPr="00A16C77">
        <w:rPr>
          <w:rFonts w:ascii="Book Antiqua" w:eastAsia="宋体" w:hAnsi="Book Antiqua" w:cs="宋体"/>
          <w:lang w:val="en-US" w:eastAsia="zh-CN"/>
        </w:rPr>
        <w:t xml:space="preserve"> C, </w:t>
      </w:r>
      <w:proofErr w:type="spellStart"/>
      <w:r w:rsidRPr="00A16C77">
        <w:rPr>
          <w:rFonts w:ascii="Book Antiqua" w:eastAsia="宋体" w:hAnsi="Book Antiqua" w:cs="宋体"/>
          <w:lang w:val="en-US" w:eastAsia="zh-CN"/>
        </w:rPr>
        <w:t>Sala</w:t>
      </w:r>
      <w:proofErr w:type="spellEnd"/>
      <w:r w:rsidRPr="00A16C77">
        <w:rPr>
          <w:rFonts w:ascii="Book Antiqua" w:eastAsia="宋体" w:hAnsi="Book Antiqua" w:cs="宋体"/>
          <w:lang w:val="en-US" w:eastAsia="zh-CN"/>
        </w:rPr>
        <w:t xml:space="preserve"> M, </w:t>
      </w:r>
      <w:proofErr w:type="spellStart"/>
      <w:r w:rsidRPr="00A16C77">
        <w:rPr>
          <w:rFonts w:ascii="Book Antiqua" w:eastAsia="宋体" w:hAnsi="Book Antiqua" w:cs="宋体"/>
          <w:lang w:val="en-US" w:eastAsia="zh-CN"/>
        </w:rPr>
        <w:t>Muchart</w:t>
      </w:r>
      <w:proofErr w:type="spellEnd"/>
      <w:r w:rsidRPr="00A16C77">
        <w:rPr>
          <w:rFonts w:ascii="Book Antiqua" w:eastAsia="宋体" w:hAnsi="Book Antiqua" w:cs="宋体"/>
          <w:lang w:val="en-US" w:eastAsia="zh-CN"/>
        </w:rPr>
        <w:t xml:space="preserve"> J, </w:t>
      </w:r>
      <w:proofErr w:type="spellStart"/>
      <w:r w:rsidRPr="00A16C77">
        <w:rPr>
          <w:rFonts w:ascii="Book Antiqua" w:eastAsia="宋体" w:hAnsi="Book Antiqua" w:cs="宋体"/>
          <w:lang w:val="en-US" w:eastAsia="zh-CN"/>
        </w:rPr>
        <w:t>Solà</w:t>
      </w:r>
      <w:proofErr w:type="spellEnd"/>
      <w:r w:rsidRPr="00A16C77">
        <w:rPr>
          <w:rFonts w:ascii="Book Antiqua" w:eastAsia="宋体" w:hAnsi="Book Antiqua" w:cs="宋体"/>
          <w:lang w:val="en-US" w:eastAsia="zh-CN"/>
        </w:rPr>
        <w:t xml:space="preserve"> R, </w:t>
      </w:r>
      <w:proofErr w:type="spellStart"/>
      <w:r w:rsidRPr="00A16C77">
        <w:rPr>
          <w:rFonts w:ascii="Book Antiqua" w:eastAsia="宋体" w:hAnsi="Book Antiqua" w:cs="宋体"/>
          <w:lang w:val="en-US" w:eastAsia="zh-CN"/>
        </w:rPr>
        <w:t>Rodés</w:t>
      </w:r>
      <w:proofErr w:type="spellEnd"/>
      <w:r w:rsidRPr="00A16C77">
        <w:rPr>
          <w:rFonts w:ascii="Book Antiqua" w:eastAsia="宋体" w:hAnsi="Book Antiqua" w:cs="宋体"/>
          <w:lang w:val="en-US" w:eastAsia="zh-CN"/>
        </w:rPr>
        <w:t xml:space="preserve"> J, </w:t>
      </w:r>
      <w:proofErr w:type="spellStart"/>
      <w:r w:rsidRPr="00A16C77">
        <w:rPr>
          <w:rFonts w:ascii="Book Antiqua" w:eastAsia="宋体" w:hAnsi="Book Antiqua" w:cs="宋体"/>
          <w:lang w:val="en-US" w:eastAsia="zh-CN"/>
        </w:rPr>
        <w:t>Bruix</w:t>
      </w:r>
      <w:proofErr w:type="spellEnd"/>
      <w:r w:rsidRPr="00A16C77">
        <w:rPr>
          <w:rFonts w:ascii="Book Antiqua" w:eastAsia="宋体" w:hAnsi="Book Antiqua" w:cs="宋体"/>
          <w:lang w:val="en-US" w:eastAsia="zh-CN"/>
        </w:rPr>
        <w:t xml:space="preserve"> J. Arterial </w:t>
      </w:r>
      <w:proofErr w:type="spellStart"/>
      <w:r w:rsidRPr="00A16C77">
        <w:rPr>
          <w:rFonts w:ascii="Book Antiqua" w:eastAsia="宋体" w:hAnsi="Book Antiqua" w:cs="宋体"/>
          <w:lang w:val="en-US" w:eastAsia="zh-CN"/>
        </w:rPr>
        <w:t>embolisation</w:t>
      </w:r>
      <w:proofErr w:type="spellEnd"/>
      <w:r w:rsidRPr="00A16C77">
        <w:rPr>
          <w:rFonts w:ascii="Book Antiqua" w:eastAsia="宋体" w:hAnsi="Book Antiqua" w:cs="宋体"/>
          <w:lang w:val="en-US" w:eastAsia="zh-CN"/>
        </w:rPr>
        <w:t xml:space="preserve"> or </w:t>
      </w:r>
      <w:proofErr w:type="spellStart"/>
      <w:r w:rsidRPr="00A16C77">
        <w:rPr>
          <w:rFonts w:ascii="Book Antiqua" w:eastAsia="宋体" w:hAnsi="Book Antiqua" w:cs="宋体"/>
          <w:lang w:val="en-US" w:eastAsia="zh-CN"/>
        </w:rPr>
        <w:t>chemoembolisation</w:t>
      </w:r>
      <w:proofErr w:type="spellEnd"/>
      <w:r w:rsidRPr="00A16C77">
        <w:rPr>
          <w:rFonts w:ascii="Book Antiqua" w:eastAsia="宋体" w:hAnsi="Book Antiqua" w:cs="宋体"/>
          <w:lang w:val="en-US" w:eastAsia="zh-CN"/>
        </w:rPr>
        <w:t xml:space="preserve"> versus symptomatic treatment in patients with </w:t>
      </w:r>
      <w:proofErr w:type="spellStart"/>
      <w:r w:rsidRPr="00A16C77">
        <w:rPr>
          <w:rFonts w:ascii="Book Antiqua" w:eastAsia="宋体" w:hAnsi="Book Antiqua" w:cs="宋体"/>
          <w:lang w:val="en-US" w:eastAsia="zh-CN"/>
        </w:rPr>
        <w:t>unresectable</w:t>
      </w:r>
      <w:proofErr w:type="spellEnd"/>
      <w:r w:rsidRPr="00A16C77">
        <w:rPr>
          <w:rFonts w:ascii="Book Antiqua" w:eastAsia="宋体" w:hAnsi="Book Antiqua" w:cs="宋体"/>
          <w:lang w:val="en-US" w:eastAsia="zh-CN"/>
        </w:rPr>
        <w:t xml:space="preserve"> hepatocellular carcinoma: a </w:t>
      </w:r>
      <w:proofErr w:type="spellStart"/>
      <w:r w:rsidRPr="00A16C77">
        <w:rPr>
          <w:rFonts w:ascii="Book Antiqua" w:eastAsia="宋体" w:hAnsi="Book Antiqua" w:cs="宋体"/>
          <w:lang w:val="en-US" w:eastAsia="zh-CN"/>
        </w:rPr>
        <w:t>randomised</w:t>
      </w:r>
      <w:proofErr w:type="spellEnd"/>
      <w:r w:rsidRPr="00A16C77">
        <w:rPr>
          <w:rFonts w:ascii="Book Antiqua" w:eastAsia="宋体" w:hAnsi="Book Antiqua" w:cs="宋体"/>
          <w:lang w:val="en-US" w:eastAsia="zh-CN"/>
        </w:rPr>
        <w:t xml:space="preserve"> controlled trial. </w:t>
      </w:r>
      <w:r w:rsidRPr="00A16C77">
        <w:rPr>
          <w:rFonts w:ascii="Book Antiqua" w:eastAsia="宋体" w:hAnsi="Book Antiqua" w:cs="宋体"/>
          <w:i/>
          <w:iCs/>
          <w:lang w:val="en-US" w:eastAsia="zh-CN"/>
        </w:rPr>
        <w:t>Lancet</w:t>
      </w:r>
      <w:r w:rsidRPr="00A16C77">
        <w:rPr>
          <w:rFonts w:ascii="Book Antiqua" w:eastAsia="宋体" w:hAnsi="Book Antiqua" w:cs="宋体"/>
          <w:lang w:val="en-US" w:eastAsia="zh-CN"/>
        </w:rPr>
        <w:t xml:space="preserve"> 2002; </w:t>
      </w:r>
      <w:r w:rsidRPr="00A16C77">
        <w:rPr>
          <w:rFonts w:ascii="Book Antiqua" w:eastAsia="宋体" w:hAnsi="Book Antiqua" w:cs="宋体"/>
          <w:b/>
          <w:bCs/>
          <w:lang w:val="en-US" w:eastAsia="zh-CN"/>
        </w:rPr>
        <w:t>359</w:t>
      </w:r>
      <w:r w:rsidRPr="00A16C77">
        <w:rPr>
          <w:rFonts w:ascii="Book Antiqua" w:eastAsia="宋体" w:hAnsi="Book Antiqua" w:cs="宋体"/>
          <w:lang w:val="en-US" w:eastAsia="zh-CN"/>
        </w:rPr>
        <w:t>: 1734-1739 [PMID: 12049862 DOI: 10.1016/S0140-6736(02)08649-X]</w:t>
      </w:r>
    </w:p>
    <w:p w:rsidR="00A16C77" w:rsidRPr="00A16C77" w:rsidRDefault="00A16C77" w:rsidP="00A16C77">
      <w:pPr>
        <w:spacing w:line="360" w:lineRule="auto"/>
        <w:jc w:val="both"/>
        <w:rPr>
          <w:rFonts w:ascii="Book Antiqua" w:eastAsia="宋体" w:hAnsi="Book Antiqua" w:cs="宋体"/>
          <w:lang w:val="en-US" w:eastAsia="zh-CN"/>
        </w:rPr>
      </w:pPr>
      <w:r w:rsidRPr="00A16C77">
        <w:rPr>
          <w:rFonts w:ascii="Book Antiqua" w:eastAsia="宋体" w:hAnsi="Book Antiqua" w:cs="宋体"/>
          <w:lang w:val="en-US" w:eastAsia="zh-CN"/>
        </w:rPr>
        <w:t xml:space="preserve">5 </w:t>
      </w:r>
      <w:r w:rsidRPr="00A16C77">
        <w:rPr>
          <w:rFonts w:ascii="Book Antiqua" w:eastAsia="宋体" w:hAnsi="Book Antiqua" w:cs="宋体"/>
          <w:b/>
          <w:bCs/>
          <w:lang w:val="en-US" w:eastAsia="zh-CN"/>
        </w:rPr>
        <w:t>Lo CM</w:t>
      </w:r>
      <w:r w:rsidRPr="00A16C77">
        <w:rPr>
          <w:rFonts w:ascii="Book Antiqua" w:eastAsia="宋体" w:hAnsi="Book Antiqua" w:cs="宋体"/>
          <w:lang w:val="en-US" w:eastAsia="zh-CN"/>
        </w:rPr>
        <w:t xml:space="preserve">, </w:t>
      </w:r>
      <w:proofErr w:type="spellStart"/>
      <w:r w:rsidRPr="00A16C77">
        <w:rPr>
          <w:rFonts w:ascii="Book Antiqua" w:eastAsia="宋体" w:hAnsi="Book Antiqua" w:cs="宋体"/>
          <w:lang w:val="en-US" w:eastAsia="zh-CN"/>
        </w:rPr>
        <w:t>Ngan</w:t>
      </w:r>
      <w:proofErr w:type="spellEnd"/>
      <w:r w:rsidRPr="00A16C77">
        <w:rPr>
          <w:rFonts w:ascii="Book Antiqua" w:eastAsia="宋体" w:hAnsi="Book Antiqua" w:cs="宋体"/>
          <w:lang w:val="en-US" w:eastAsia="zh-CN"/>
        </w:rPr>
        <w:t xml:space="preserve"> H, </w:t>
      </w:r>
      <w:proofErr w:type="spellStart"/>
      <w:r w:rsidRPr="00A16C77">
        <w:rPr>
          <w:rFonts w:ascii="Book Antiqua" w:eastAsia="宋体" w:hAnsi="Book Antiqua" w:cs="宋体"/>
          <w:lang w:val="en-US" w:eastAsia="zh-CN"/>
        </w:rPr>
        <w:t>Tso</w:t>
      </w:r>
      <w:proofErr w:type="spellEnd"/>
      <w:r w:rsidRPr="00A16C77">
        <w:rPr>
          <w:rFonts w:ascii="Book Antiqua" w:eastAsia="宋体" w:hAnsi="Book Antiqua" w:cs="宋体"/>
          <w:lang w:val="en-US" w:eastAsia="zh-CN"/>
        </w:rPr>
        <w:t xml:space="preserve"> WK, Liu CL, Lam CM, Poon RT, Fan ST, Wong J. Randomized controlled trial of </w:t>
      </w:r>
      <w:proofErr w:type="spellStart"/>
      <w:r w:rsidRPr="00A16C77">
        <w:rPr>
          <w:rFonts w:ascii="Book Antiqua" w:eastAsia="宋体" w:hAnsi="Book Antiqua" w:cs="宋体"/>
          <w:lang w:val="en-US" w:eastAsia="zh-CN"/>
        </w:rPr>
        <w:t>transarterial</w:t>
      </w:r>
      <w:proofErr w:type="spellEnd"/>
      <w:r w:rsidRPr="00A16C77">
        <w:rPr>
          <w:rFonts w:ascii="Book Antiqua" w:eastAsia="宋体" w:hAnsi="Book Antiqua" w:cs="宋体"/>
          <w:lang w:val="en-US" w:eastAsia="zh-CN"/>
        </w:rPr>
        <w:t xml:space="preserve"> </w:t>
      </w:r>
      <w:proofErr w:type="spellStart"/>
      <w:r w:rsidRPr="00A16C77">
        <w:rPr>
          <w:rFonts w:ascii="Book Antiqua" w:eastAsia="宋体" w:hAnsi="Book Antiqua" w:cs="宋体"/>
          <w:lang w:val="en-US" w:eastAsia="zh-CN"/>
        </w:rPr>
        <w:t>lipiodol</w:t>
      </w:r>
      <w:proofErr w:type="spellEnd"/>
      <w:r w:rsidRPr="00A16C77">
        <w:rPr>
          <w:rFonts w:ascii="Book Antiqua" w:eastAsia="宋体" w:hAnsi="Book Antiqua" w:cs="宋体"/>
          <w:lang w:val="en-US" w:eastAsia="zh-CN"/>
        </w:rPr>
        <w:t xml:space="preserve"> chemoembolization for </w:t>
      </w:r>
      <w:proofErr w:type="spellStart"/>
      <w:r w:rsidRPr="00A16C77">
        <w:rPr>
          <w:rFonts w:ascii="Book Antiqua" w:eastAsia="宋体" w:hAnsi="Book Antiqua" w:cs="宋体"/>
          <w:lang w:val="en-US" w:eastAsia="zh-CN"/>
        </w:rPr>
        <w:t>unresectable</w:t>
      </w:r>
      <w:proofErr w:type="spellEnd"/>
      <w:r w:rsidRPr="00A16C77">
        <w:rPr>
          <w:rFonts w:ascii="Book Antiqua" w:eastAsia="宋体" w:hAnsi="Book Antiqua" w:cs="宋体"/>
          <w:lang w:val="en-US" w:eastAsia="zh-CN"/>
        </w:rPr>
        <w:t xml:space="preserve"> hepatocellular carcinoma. </w:t>
      </w:r>
      <w:proofErr w:type="spellStart"/>
      <w:r w:rsidRPr="00A16C77">
        <w:rPr>
          <w:rFonts w:ascii="Book Antiqua" w:eastAsia="宋体" w:hAnsi="Book Antiqua" w:cs="宋体"/>
          <w:i/>
          <w:iCs/>
          <w:lang w:val="en-US" w:eastAsia="zh-CN"/>
        </w:rPr>
        <w:t>Hepatology</w:t>
      </w:r>
      <w:proofErr w:type="spellEnd"/>
      <w:r w:rsidRPr="00A16C77">
        <w:rPr>
          <w:rFonts w:ascii="Book Antiqua" w:eastAsia="宋体" w:hAnsi="Book Antiqua" w:cs="宋体"/>
          <w:lang w:val="en-US" w:eastAsia="zh-CN"/>
        </w:rPr>
        <w:t xml:space="preserve"> 2002; </w:t>
      </w:r>
      <w:r w:rsidRPr="00A16C77">
        <w:rPr>
          <w:rFonts w:ascii="Book Antiqua" w:eastAsia="宋体" w:hAnsi="Book Antiqua" w:cs="宋体"/>
          <w:b/>
          <w:bCs/>
          <w:lang w:val="en-US" w:eastAsia="zh-CN"/>
        </w:rPr>
        <w:t>35</w:t>
      </w:r>
      <w:r w:rsidRPr="00A16C77">
        <w:rPr>
          <w:rFonts w:ascii="Book Antiqua" w:eastAsia="宋体" w:hAnsi="Book Antiqua" w:cs="宋体"/>
          <w:lang w:val="en-US" w:eastAsia="zh-CN"/>
        </w:rPr>
        <w:t>: 1164-1171 [PMID: 11981766 DOI: 10.1053/jhep.2002.33156]</w:t>
      </w:r>
    </w:p>
    <w:p w:rsidR="00A16C77" w:rsidRPr="00A16C77" w:rsidRDefault="00A16C77" w:rsidP="00A16C77">
      <w:pPr>
        <w:spacing w:line="360" w:lineRule="auto"/>
        <w:jc w:val="both"/>
        <w:rPr>
          <w:rFonts w:ascii="Book Antiqua" w:eastAsia="宋体" w:hAnsi="Book Antiqua" w:cs="宋体"/>
          <w:lang w:val="en-US" w:eastAsia="zh-CN"/>
        </w:rPr>
      </w:pPr>
      <w:r w:rsidRPr="00A16C77">
        <w:rPr>
          <w:rFonts w:ascii="Book Antiqua" w:eastAsia="宋体" w:hAnsi="Book Antiqua" w:cs="宋体"/>
          <w:lang w:val="en-US" w:eastAsia="zh-CN"/>
        </w:rPr>
        <w:t xml:space="preserve">6 </w:t>
      </w:r>
      <w:proofErr w:type="spellStart"/>
      <w:r w:rsidRPr="00A16C77">
        <w:rPr>
          <w:rFonts w:ascii="Book Antiqua" w:eastAsia="宋体" w:hAnsi="Book Antiqua" w:cs="宋体"/>
          <w:b/>
          <w:bCs/>
          <w:lang w:val="en-US" w:eastAsia="zh-CN"/>
        </w:rPr>
        <w:t>Llovet</w:t>
      </w:r>
      <w:proofErr w:type="spellEnd"/>
      <w:r w:rsidRPr="00A16C77">
        <w:rPr>
          <w:rFonts w:ascii="Book Antiqua" w:eastAsia="宋体" w:hAnsi="Book Antiqua" w:cs="宋体"/>
          <w:b/>
          <w:bCs/>
          <w:lang w:val="en-US" w:eastAsia="zh-CN"/>
        </w:rPr>
        <w:t xml:space="preserve"> JM</w:t>
      </w:r>
      <w:r w:rsidRPr="00A16C77">
        <w:rPr>
          <w:rFonts w:ascii="Book Antiqua" w:eastAsia="宋体" w:hAnsi="Book Antiqua" w:cs="宋体"/>
          <w:lang w:val="en-US" w:eastAsia="zh-CN"/>
        </w:rPr>
        <w:t xml:space="preserve">, Burroughs A, </w:t>
      </w:r>
      <w:proofErr w:type="spellStart"/>
      <w:r w:rsidRPr="00A16C77">
        <w:rPr>
          <w:rFonts w:ascii="Book Antiqua" w:eastAsia="宋体" w:hAnsi="Book Antiqua" w:cs="宋体"/>
          <w:lang w:val="en-US" w:eastAsia="zh-CN"/>
        </w:rPr>
        <w:t>Bruix</w:t>
      </w:r>
      <w:proofErr w:type="spellEnd"/>
      <w:r w:rsidRPr="00A16C77">
        <w:rPr>
          <w:rFonts w:ascii="Book Antiqua" w:eastAsia="宋体" w:hAnsi="Book Antiqua" w:cs="宋体"/>
          <w:lang w:val="en-US" w:eastAsia="zh-CN"/>
        </w:rPr>
        <w:t xml:space="preserve"> J. Hepatocellular carcinoma. </w:t>
      </w:r>
      <w:r w:rsidRPr="00A16C77">
        <w:rPr>
          <w:rFonts w:ascii="Book Antiqua" w:eastAsia="宋体" w:hAnsi="Book Antiqua" w:cs="宋体"/>
          <w:i/>
          <w:iCs/>
          <w:lang w:val="en-US" w:eastAsia="zh-CN"/>
        </w:rPr>
        <w:t>Lancet</w:t>
      </w:r>
      <w:r w:rsidRPr="00A16C77">
        <w:rPr>
          <w:rFonts w:ascii="Book Antiqua" w:eastAsia="宋体" w:hAnsi="Book Antiqua" w:cs="宋体"/>
          <w:lang w:val="en-US" w:eastAsia="zh-CN"/>
        </w:rPr>
        <w:t xml:space="preserve"> 2003; </w:t>
      </w:r>
      <w:r w:rsidRPr="00A16C77">
        <w:rPr>
          <w:rFonts w:ascii="Book Antiqua" w:eastAsia="宋体" w:hAnsi="Book Antiqua" w:cs="宋体"/>
          <w:b/>
          <w:bCs/>
          <w:lang w:val="en-US" w:eastAsia="zh-CN"/>
        </w:rPr>
        <w:t>362</w:t>
      </w:r>
      <w:r w:rsidRPr="00A16C77">
        <w:rPr>
          <w:rFonts w:ascii="Book Antiqua" w:eastAsia="宋体" w:hAnsi="Book Antiqua" w:cs="宋体"/>
          <w:lang w:val="en-US" w:eastAsia="zh-CN"/>
        </w:rPr>
        <w:t>: 1907-1917 [PMID: 14667750 DOI: 10.1016/S0140-6736(03)14964-1]</w:t>
      </w:r>
    </w:p>
    <w:p w:rsidR="00A16C77" w:rsidRPr="00A16C77" w:rsidRDefault="00A16C77" w:rsidP="00A16C77">
      <w:pPr>
        <w:spacing w:line="360" w:lineRule="auto"/>
        <w:jc w:val="both"/>
        <w:rPr>
          <w:rFonts w:ascii="Book Antiqua" w:eastAsia="宋体" w:hAnsi="Book Antiqua" w:cs="宋体"/>
          <w:lang w:val="en-US" w:eastAsia="zh-CN"/>
        </w:rPr>
      </w:pPr>
      <w:r w:rsidRPr="00A16C77">
        <w:rPr>
          <w:rFonts w:ascii="Book Antiqua" w:eastAsia="宋体" w:hAnsi="Book Antiqua" w:cs="宋体"/>
          <w:lang w:val="en-US" w:eastAsia="zh-CN"/>
        </w:rPr>
        <w:t xml:space="preserve">7 </w:t>
      </w:r>
      <w:r w:rsidRPr="00A16C77">
        <w:rPr>
          <w:rFonts w:ascii="Book Antiqua" w:eastAsia="宋体" w:hAnsi="Book Antiqua" w:cs="宋体"/>
          <w:b/>
          <w:bCs/>
          <w:lang w:val="en-US" w:eastAsia="zh-CN"/>
        </w:rPr>
        <w:t>Poon RT</w:t>
      </w:r>
      <w:r w:rsidRPr="00A16C77">
        <w:rPr>
          <w:rFonts w:ascii="Book Antiqua" w:eastAsia="宋体" w:hAnsi="Book Antiqua" w:cs="宋体"/>
          <w:lang w:val="en-US" w:eastAsia="zh-CN"/>
        </w:rPr>
        <w:t xml:space="preserve">, </w:t>
      </w:r>
      <w:proofErr w:type="spellStart"/>
      <w:r w:rsidRPr="00A16C77">
        <w:rPr>
          <w:rFonts w:ascii="Book Antiqua" w:eastAsia="宋体" w:hAnsi="Book Antiqua" w:cs="宋体"/>
          <w:lang w:val="en-US" w:eastAsia="zh-CN"/>
        </w:rPr>
        <w:t>Tso</w:t>
      </w:r>
      <w:proofErr w:type="spellEnd"/>
      <w:r w:rsidRPr="00A16C77">
        <w:rPr>
          <w:rFonts w:ascii="Book Antiqua" w:eastAsia="宋体" w:hAnsi="Book Antiqua" w:cs="宋体"/>
          <w:lang w:val="en-US" w:eastAsia="zh-CN"/>
        </w:rPr>
        <w:t xml:space="preserve"> WK, Pang RW, Ng KK, Woo R, Tai KS, Fan ST. A phase I/II trial of chemoembolization for hepatocellular carcinoma using a novel intra-arterial drug-eluting bead. </w:t>
      </w:r>
      <w:proofErr w:type="spellStart"/>
      <w:r w:rsidRPr="00A16C77">
        <w:rPr>
          <w:rFonts w:ascii="Book Antiqua" w:eastAsia="宋体" w:hAnsi="Book Antiqua" w:cs="宋体"/>
          <w:i/>
          <w:iCs/>
          <w:lang w:val="en-US" w:eastAsia="zh-CN"/>
        </w:rPr>
        <w:t>Clin</w:t>
      </w:r>
      <w:proofErr w:type="spellEnd"/>
      <w:r w:rsidRPr="00A16C77">
        <w:rPr>
          <w:rFonts w:ascii="Book Antiqua" w:eastAsia="宋体" w:hAnsi="Book Antiqua" w:cs="宋体"/>
          <w:i/>
          <w:iCs/>
          <w:lang w:val="en-US" w:eastAsia="zh-CN"/>
        </w:rPr>
        <w:t xml:space="preserve"> </w:t>
      </w:r>
      <w:proofErr w:type="spellStart"/>
      <w:r w:rsidRPr="00A16C77">
        <w:rPr>
          <w:rFonts w:ascii="Book Antiqua" w:eastAsia="宋体" w:hAnsi="Book Antiqua" w:cs="宋体"/>
          <w:i/>
          <w:iCs/>
          <w:lang w:val="en-US" w:eastAsia="zh-CN"/>
        </w:rPr>
        <w:t>Gastroenterol</w:t>
      </w:r>
      <w:proofErr w:type="spellEnd"/>
      <w:r w:rsidRPr="00A16C77">
        <w:rPr>
          <w:rFonts w:ascii="Book Antiqua" w:eastAsia="宋体" w:hAnsi="Book Antiqua" w:cs="宋体"/>
          <w:i/>
          <w:iCs/>
          <w:lang w:val="en-US" w:eastAsia="zh-CN"/>
        </w:rPr>
        <w:t xml:space="preserve"> </w:t>
      </w:r>
      <w:proofErr w:type="spellStart"/>
      <w:r w:rsidRPr="00A16C77">
        <w:rPr>
          <w:rFonts w:ascii="Book Antiqua" w:eastAsia="宋体" w:hAnsi="Book Antiqua" w:cs="宋体"/>
          <w:i/>
          <w:iCs/>
          <w:lang w:val="en-US" w:eastAsia="zh-CN"/>
        </w:rPr>
        <w:t>Hepatol</w:t>
      </w:r>
      <w:proofErr w:type="spellEnd"/>
      <w:r w:rsidRPr="00A16C77">
        <w:rPr>
          <w:rFonts w:ascii="Book Antiqua" w:eastAsia="宋体" w:hAnsi="Book Antiqua" w:cs="宋体"/>
          <w:lang w:val="en-US" w:eastAsia="zh-CN"/>
        </w:rPr>
        <w:t xml:space="preserve"> 2007; </w:t>
      </w:r>
      <w:r w:rsidRPr="00A16C77">
        <w:rPr>
          <w:rFonts w:ascii="Book Antiqua" w:eastAsia="宋体" w:hAnsi="Book Antiqua" w:cs="宋体"/>
          <w:b/>
          <w:bCs/>
          <w:lang w:val="en-US" w:eastAsia="zh-CN"/>
        </w:rPr>
        <w:t>5</w:t>
      </w:r>
      <w:r w:rsidRPr="00A16C77">
        <w:rPr>
          <w:rFonts w:ascii="Book Antiqua" w:eastAsia="宋体" w:hAnsi="Book Antiqua" w:cs="宋体"/>
          <w:lang w:val="en-US" w:eastAsia="zh-CN"/>
        </w:rPr>
        <w:t>: 1100-1108 [PMID: 17627902 DOI: 10.1016/j.cgh.2207.04.021]</w:t>
      </w:r>
    </w:p>
    <w:p w:rsidR="00A16C77" w:rsidRPr="00A16C77" w:rsidRDefault="00A16C77" w:rsidP="00A16C77">
      <w:pPr>
        <w:spacing w:line="360" w:lineRule="auto"/>
        <w:jc w:val="both"/>
        <w:rPr>
          <w:rFonts w:ascii="Book Antiqua" w:eastAsia="宋体" w:hAnsi="Book Antiqua" w:cs="宋体"/>
          <w:lang w:val="en-US" w:eastAsia="zh-CN"/>
        </w:rPr>
      </w:pPr>
      <w:r w:rsidRPr="00A16C77">
        <w:rPr>
          <w:rFonts w:ascii="Book Antiqua" w:eastAsia="宋体" w:hAnsi="Book Antiqua" w:cs="宋体"/>
          <w:lang w:val="en-US" w:eastAsia="zh-CN"/>
        </w:rPr>
        <w:t xml:space="preserve">8 </w:t>
      </w:r>
      <w:r w:rsidRPr="00A16C77">
        <w:rPr>
          <w:rFonts w:ascii="Book Antiqua" w:eastAsia="宋体" w:hAnsi="Book Antiqua" w:cs="宋体"/>
          <w:b/>
          <w:bCs/>
          <w:lang w:val="en-US" w:eastAsia="zh-CN"/>
        </w:rPr>
        <w:t>Varela M</w:t>
      </w:r>
      <w:r w:rsidRPr="00A16C77">
        <w:rPr>
          <w:rFonts w:ascii="Book Antiqua" w:eastAsia="宋体" w:hAnsi="Book Antiqua" w:cs="宋体"/>
          <w:lang w:val="en-US" w:eastAsia="zh-CN"/>
        </w:rPr>
        <w:t xml:space="preserve">, Real MI, </w:t>
      </w:r>
      <w:proofErr w:type="spellStart"/>
      <w:r w:rsidRPr="00A16C77">
        <w:rPr>
          <w:rFonts w:ascii="Book Antiqua" w:eastAsia="宋体" w:hAnsi="Book Antiqua" w:cs="宋体"/>
          <w:lang w:val="en-US" w:eastAsia="zh-CN"/>
        </w:rPr>
        <w:t>Burrel</w:t>
      </w:r>
      <w:proofErr w:type="spellEnd"/>
      <w:r w:rsidRPr="00A16C77">
        <w:rPr>
          <w:rFonts w:ascii="Book Antiqua" w:eastAsia="宋体" w:hAnsi="Book Antiqua" w:cs="宋体"/>
          <w:lang w:val="en-US" w:eastAsia="zh-CN"/>
        </w:rPr>
        <w:t xml:space="preserve"> M, </w:t>
      </w:r>
      <w:proofErr w:type="spellStart"/>
      <w:r w:rsidRPr="00A16C77">
        <w:rPr>
          <w:rFonts w:ascii="Book Antiqua" w:eastAsia="宋体" w:hAnsi="Book Antiqua" w:cs="宋体"/>
          <w:lang w:val="en-US" w:eastAsia="zh-CN"/>
        </w:rPr>
        <w:t>Forner</w:t>
      </w:r>
      <w:proofErr w:type="spellEnd"/>
      <w:r w:rsidRPr="00A16C77">
        <w:rPr>
          <w:rFonts w:ascii="Book Antiqua" w:eastAsia="宋体" w:hAnsi="Book Antiqua" w:cs="宋体"/>
          <w:lang w:val="en-US" w:eastAsia="zh-CN"/>
        </w:rPr>
        <w:t xml:space="preserve"> A, </w:t>
      </w:r>
      <w:proofErr w:type="spellStart"/>
      <w:r w:rsidRPr="00A16C77">
        <w:rPr>
          <w:rFonts w:ascii="Book Antiqua" w:eastAsia="宋体" w:hAnsi="Book Antiqua" w:cs="宋体"/>
          <w:lang w:val="en-US" w:eastAsia="zh-CN"/>
        </w:rPr>
        <w:t>Sala</w:t>
      </w:r>
      <w:proofErr w:type="spellEnd"/>
      <w:r w:rsidRPr="00A16C77">
        <w:rPr>
          <w:rFonts w:ascii="Book Antiqua" w:eastAsia="宋体" w:hAnsi="Book Antiqua" w:cs="宋体"/>
          <w:lang w:val="en-US" w:eastAsia="zh-CN"/>
        </w:rPr>
        <w:t xml:space="preserve"> M, Brunet M, </w:t>
      </w:r>
      <w:proofErr w:type="spellStart"/>
      <w:r w:rsidRPr="00A16C77">
        <w:rPr>
          <w:rFonts w:ascii="Book Antiqua" w:eastAsia="宋体" w:hAnsi="Book Antiqua" w:cs="宋体"/>
          <w:lang w:val="en-US" w:eastAsia="zh-CN"/>
        </w:rPr>
        <w:t>Ayuso</w:t>
      </w:r>
      <w:proofErr w:type="spellEnd"/>
      <w:r w:rsidRPr="00A16C77">
        <w:rPr>
          <w:rFonts w:ascii="Book Antiqua" w:eastAsia="宋体" w:hAnsi="Book Antiqua" w:cs="宋体"/>
          <w:lang w:val="en-US" w:eastAsia="zh-CN"/>
        </w:rPr>
        <w:t xml:space="preserve"> C, Castells L, </w:t>
      </w:r>
      <w:proofErr w:type="spellStart"/>
      <w:r w:rsidRPr="00A16C77">
        <w:rPr>
          <w:rFonts w:ascii="Book Antiqua" w:eastAsia="宋体" w:hAnsi="Book Antiqua" w:cs="宋体"/>
          <w:lang w:val="en-US" w:eastAsia="zh-CN"/>
        </w:rPr>
        <w:t>Montañá</w:t>
      </w:r>
      <w:proofErr w:type="spellEnd"/>
      <w:r w:rsidRPr="00A16C77">
        <w:rPr>
          <w:rFonts w:ascii="Book Antiqua" w:eastAsia="宋体" w:hAnsi="Book Antiqua" w:cs="宋体"/>
          <w:lang w:val="en-US" w:eastAsia="zh-CN"/>
        </w:rPr>
        <w:t xml:space="preserve"> X, </w:t>
      </w:r>
      <w:proofErr w:type="spellStart"/>
      <w:r w:rsidRPr="00A16C77">
        <w:rPr>
          <w:rFonts w:ascii="Book Antiqua" w:eastAsia="宋体" w:hAnsi="Book Antiqua" w:cs="宋体"/>
          <w:lang w:val="en-US" w:eastAsia="zh-CN"/>
        </w:rPr>
        <w:t>Llovet</w:t>
      </w:r>
      <w:proofErr w:type="spellEnd"/>
      <w:r w:rsidRPr="00A16C77">
        <w:rPr>
          <w:rFonts w:ascii="Book Antiqua" w:eastAsia="宋体" w:hAnsi="Book Antiqua" w:cs="宋体"/>
          <w:lang w:val="en-US" w:eastAsia="zh-CN"/>
        </w:rPr>
        <w:t xml:space="preserve"> JM, </w:t>
      </w:r>
      <w:proofErr w:type="spellStart"/>
      <w:r w:rsidRPr="00A16C77">
        <w:rPr>
          <w:rFonts w:ascii="Book Antiqua" w:eastAsia="宋体" w:hAnsi="Book Antiqua" w:cs="宋体"/>
          <w:lang w:val="en-US" w:eastAsia="zh-CN"/>
        </w:rPr>
        <w:t>Bruix</w:t>
      </w:r>
      <w:proofErr w:type="spellEnd"/>
      <w:r w:rsidRPr="00A16C77">
        <w:rPr>
          <w:rFonts w:ascii="Book Antiqua" w:eastAsia="宋体" w:hAnsi="Book Antiqua" w:cs="宋体"/>
          <w:lang w:val="en-US" w:eastAsia="zh-CN"/>
        </w:rPr>
        <w:t xml:space="preserve"> J. Chemoembolization of hepatocellular carcinoma with drug eluting beads: efficacy and doxorubicin pharmacokinetics. </w:t>
      </w:r>
      <w:r w:rsidRPr="00A16C77">
        <w:rPr>
          <w:rFonts w:ascii="Book Antiqua" w:eastAsia="宋体" w:hAnsi="Book Antiqua" w:cs="宋体"/>
          <w:i/>
          <w:iCs/>
          <w:lang w:val="en-US" w:eastAsia="zh-CN"/>
        </w:rPr>
        <w:t xml:space="preserve">J </w:t>
      </w:r>
      <w:proofErr w:type="spellStart"/>
      <w:r w:rsidRPr="00A16C77">
        <w:rPr>
          <w:rFonts w:ascii="Book Antiqua" w:eastAsia="宋体" w:hAnsi="Book Antiqua" w:cs="宋体"/>
          <w:i/>
          <w:iCs/>
          <w:lang w:val="en-US" w:eastAsia="zh-CN"/>
        </w:rPr>
        <w:t>Hepatol</w:t>
      </w:r>
      <w:proofErr w:type="spellEnd"/>
      <w:r w:rsidRPr="00A16C77">
        <w:rPr>
          <w:rFonts w:ascii="Book Antiqua" w:eastAsia="宋体" w:hAnsi="Book Antiqua" w:cs="宋体"/>
          <w:lang w:val="en-US" w:eastAsia="zh-CN"/>
        </w:rPr>
        <w:t xml:space="preserve"> 2007; </w:t>
      </w:r>
      <w:r w:rsidRPr="00A16C77">
        <w:rPr>
          <w:rFonts w:ascii="Book Antiqua" w:eastAsia="宋体" w:hAnsi="Book Antiqua" w:cs="宋体"/>
          <w:b/>
          <w:bCs/>
          <w:lang w:val="en-US" w:eastAsia="zh-CN"/>
        </w:rPr>
        <w:t>46</w:t>
      </w:r>
      <w:r w:rsidRPr="00A16C77">
        <w:rPr>
          <w:rFonts w:ascii="Book Antiqua" w:eastAsia="宋体" w:hAnsi="Book Antiqua" w:cs="宋体"/>
          <w:lang w:val="en-US" w:eastAsia="zh-CN"/>
        </w:rPr>
        <w:t>: 474-481 [PMID: 17239480 DOI: 10.1016/j.jhep.2006.10.020]</w:t>
      </w:r>
    </w:p>
    <w:p w:rsidR="00A16C77" w:rsidRPr="00A16C77" w:rsidRDefault="00A16C77" w:rsidP="00A16C77">
      <w:pPr>
        <w:spacing w:line="360" w:lineRule="auto"/>
        <w:jc w:val="both"/>
        <w:rPr>
          <w:rFonts w:ascii="Book Antiqua" w:eastAsia="宋体" w:hAnsi="Book Antiqua" w:cs="宋体"/>
          <w:lang w:val="en-US" w:eastAsia="zh-CN"/>
        </w:rPr>
      </w:pPr>
      <w:r w:rsidRPr="00A16C77">
        <w:rPr>
          <w:rFonts w:ascii="Book Antiqua" w:eastAsia="宋体" w:hAnsi="Book Antiqua" w:cs="宋体"/>
          <w:lang w:val="en-US" w:eastAsia="zh-CN"/>
        </w:rPr>
        <w:t xml:space="preserve">9 </w:t>
      </w:r>
      <w:r w:rsidRPr="00A16C77">
        <w:rPr>
          <w:rFonts w:ascii="Book Antiqua" w:eastAsia="宋体" w:hAnsi="Book Antiqua" w:cs="宋体"/>
          <w:b/>
          <w:bCs/>
          <w:lang w:val="en-US" w:eastAsia="zh-CN"/>
        </w:rPr>
        <w:t>Brown KT</w:t>
      </w:r>
      <w:r w:rsidRPr="00A16C77">
        <w:rPr>
          <w:rFonts w:ascii="Book Antiqua" w:eastAsia="宋体" w:hAnsi="Book Antiqua" w:cs="宋体"/>
          <w:lang w:val="en-US" w:eastAsia="zh-CN"/>
        </w:rPr>
        <w:t xml:space="preserve">, Do RK, </w:t>
      </w:r>
      <w:proofErr w:type="spellStart"/>
      <w:r w:rsidRPr="00A16C77">
        <w:rPr>
          <w:rFonts w:ascii="Book Antiqua" w:eastAsia="宋体" w:hAnsi="Book Antiqua" w:cs="宋体"/>
          <w:lang w:val="en-US" w:eastAsia="zh-CN"/>
        </w:rPr>
        <w:t>Gonen</w:t>
      </w:r>
      <w:proofErr w:type="spellEnd"/>
      <w:r w:rsidRPr="00A16C77">
        <w:rPr>
          <w:rFonts w:ascii="Book Antiqua" w:eastAsia="宋体" w:hAnsi="Book Antiqua" w:cs="宋体"/>
          <w:lang w:val="en-US" w:eastAsia="zh-CN"/>
        </w:rPr>
        <w:t xml:space="preserve"> M, Covey AM, </w:t>
      </w:r>
      <w:proofErr w:type="spellStart"/>
      <w:r w:rsidRPr="00A16C77">
        <w:rPr>
          <w:rFonts w:ascii="Book Antiqua" w:eastAsia="宋体" w:hAnsi="Book Antiqua" w:cs="宋体"/>
          <w:lang w:val="en-US" w:eastAsia="zh-CN"/>
        </w:rPr>
        <w:t>Getrajdman</w:t>
      </w:r>
      <w:proofErr w:type="spellEnd"/>
      <w:r w:rsidRPr="00A16C77">
        <w:rPr>
          <w:rFonts w:ascii="Book Antiqua" w:eastAsia="宋体" w:hAnsi="Book Antiqua" w:cs="宋体"/>
          <w:lang w:val="en-US" w:eastAsia="zh-CN"/>
        </w:rPr>
        <w:t xml:space="preserve"> GI, </w:t>
      </w:r>
      <w:proofErr w:type="spellStart"/>
      <w:r w:rsidRPr="00A16C77">
        <w:rPr>
          <w:rFonts w:ascii="Book Antiqua" w:eastAsia="宋体" w:hAnsi="Book Antiqua" w:cs="宋体"/>
          <w:lang w:val="en-US" w:eastAsia="zh-CN"/>
        </w:rPr>
        <w:t>Sofocleous</w:t>
      </w:r>
      <w:proofErr w:type="spellEnd"/>
      <w:r w:rsidRPr="00A16C77">
        <w:rPr>
          <w:rFonts w:ascii="Book Antiqua" w:eastAsia="宋体" w:hAnsi="Book Antiqua" w:cs="宋体"/>
          <w:lang w:val="en-US" w:eastAsia="zh-CN"/>
        </w:rPr>
        <w:t xml:space="preserve"> CT, </w:t>
      </w:r>
      <w:proofErr w:type="spellStart"/>
      <w:r w:rsidRPr="00A16C77">
        <w:rPr>
          <w:rFonts w:ascii="Book Antiqua" w:eastAsia="宋体" w:hAnsi="Book Antiqua" w:cs="宋体"/>
          <w:lang w:val="en-US" w:eastAsia="zh-CN"/>
        </w:rPr>
        <w:t>Jarnagin</w:t>
      </w:r>
      <w:proofErr w:type="spellEnd"/>
      <w:r w:rsidRPr="00A16C77">
        <w:rPr>
          <w:rFonts w:ascii="Book Antiqua" w:eastAsia="宋体" w:hAnsi="Book Antiqua" w:cs="宋体"/>
          <w:lang w:val="en-US" w:eastAsia="zh-CN"/>
        </w:rPr>
        <w:t xml:space="preserve"> WR, </w:t>
      </w:r>
      <w:proofErr w:type="spellStart"/>
      <w:r w:rsidRPr="00A16C77">
        <w:rPr>
          <w:rFonts w:ascii="Book Antiqua" w:eastAsia="宋体" w:hAnsi="Book Antiqua" w:cs="宋体"/>
          <w:lang w:val="en-US" w:eastAsia="zh-CN"/>
        </w:rPr>
        <w:t>D'Angelica</w:t>
      </w:r>
      <w:proofErr w:type="spellEnd"/>
      <w:r w:rsidRPr="00A16C77">
        <w:rPr>
          <w:rFonts w:ascii="Book Antiqua" w:eastAsia="宋体" w:hAnsi="Book Antiqua" w:cs="宋体"/>
          <w:lang w:val="en-US" w:eastAsia="zh-CN"/>
        </w:rPr>
        <w:t xml:space="preserve"> MI, Allen PJ, </w:t>
      </w:r>
      <w:proofErr w:type="spellStart"/>
      <w:r w:rsidRPr="00A16C77">
        <w:rPr>
          <w:rFonts w:ascii="Book Antiqua" w:eastAsia="宋体" w:hAnsi="Book Antiqua" w:cs="宋体"/>
          <w:lang w:val="en-US" w:eastAsia="zh-CN"/>
        </w:rPr>
        <w:t>Erinjeri</w:t>
      </w:r>
      <w:proofErr w:type="spellEnd"/>
      <w:r w:rsidRPr="00A16C77">
        <w:rPr>
          <w:rFonts w:ascii="Book Antiqua" w:eastAsia="宋体" w:hAnsi="Book Antiqua" w:cs="宋体"/>
          <w:lang w:val="en-US" w:eastAsia="zh-CN"/>
        </w:rPr>
        <w:t xml:space="preserve"> JP, Brody LA, O'Neill GP, Johnson KN, Garcia AR, Beattie C, Zhao B, Solomon SB, Schwartz LH, </w:t>
      </w:r>
      <w:proofErr w:type="spellStart"/>
      <w:r w:rsidRPr="00A16C77">
        <w:rPr>
          <w:rFonts w:ascii="Book Antiqua" w:eastAsia="宋体" w:hAnsi="Book Antiqua" w:cs="宋体"/>
          <w:lang w:val="en-US" w:eastAsia="zh-CN"/>
        </w:rPr>
        <w:t>DeMatteo</w:t>
      </w:r>
      <w:proofErr w:type="spellEnd"/>
      <w:r w:rsidRPr="00A16C77">
        <w:rPr>
          <w:rFonts w:ascii="Book Antiqua" w:eastAsia="宋体" w:hAnsi="Book Antiqua" w:cs="宋体"/>
          <w:lang w:val="en-US" w:eastAsia="zh-CN"/>
        </w:rPr>
        <w:t xml:space="preserve"> R, </w:t>
      </w:r>
      <w:proofErr w:type="spellStart"/>
      <w:r w:rsidRPr="00A16C77">
        <w:rPr>
          <w:rFonts w:ascii="Book Antiqua" w:eastAsia="宋体" w:hAnsi="Book Antiqua" w:cs="宋体"/>
          <w:lang w:val="en-US" w:eastAsia="zh-CN"/>
        </w:rPr>
        <w:t>Abou</w:t>
      </w:r>
      <w:proofErr w:type="spellEnd"/>
      <w:r w:rsidRPr="00A16C77">
        <w:rPr>
          <w:rFonts w:ascii="Book Antiqua" w:eastAsia="宋体" w:hAnsi="Book Antiqua" w:cs="宋体"/>
          <w:lang w:val="en-US" w:eastAsia="zh-CN"/>
        </w:rPr>
        <w:t xml:space="preserve">-Alfa GK. Randomized Trial of Hepatic Artery Embolization for Hepatocellular Carcinoma Using Doxorubicin-Eluting Microspheres Compared With Embolization With Microspheres Alone. </w:t>
      </w:r>
      <w:r w:rsidRPr="00A16C77">
        <w:rPr>
          <w:rFonts w:ascii="Book Antiqua" w:eastAsia="宋体" w:hAnsi="Book Antiqua" w:cs="宋体"/>
          <w:i/>
          <w:iCs/>
          <w:lang w:val="en-US" w:eastAsia="zh-CN"/>
        </w:rPr>
        <w:t xml:space="preserve">J </w:t>
      </w:r>
      <w:proofErr w:type="spellStart"/>
      <w:r w:rsidRPr="00A16C77">
        <w:rPr>
          <w:rFonts w:ascii="Book Antiqua" w:eastAsia="宋体" w:hAnsi="Book Antiqua" w:cs="宋体"/>
          <w:i/>
          <w:iCs/>
          <w:lang w:val="en-US" w:eastAsia="zh-CN"/>
        </w:rPr>
        <w:t>Clin</w:t>
      </w:r>
      <w:proofErr w:type="spellEnd"/>
      <w:r w:rsidRPr="00A16C77">
        <w:rPr>
          <w:rFonts w:ascii="Book Antiqua" w:eastAsia="宋体" w:hAnsi="Book Antiqua" w:cs="宋体"/>
          <w:i/>
          <w:iCs/>
          <w:lang w:val="en-US" w:eastAsia="zh-CN"/>
        </w:rPr>
        <w:t xml:space="preserve"> </w:t>
      </w:r>
      <w:proofErr w:type="spellStart"/>
      <w:r w:rsidRPr="00A16C77">
        <w:rPr>
          <w:rFonts w:ascii="Book Antiqua" w:eastAsia="宋体" w:hAnsi="Book Antiqua" w:cs="宋体"/>
          <w:i/>
          <w:iCs/>
          <w:lang w:val="en-US" w:eastAsia="zh-CN"/>
        </w:rPr>
        <w:t>Oncol</w:t>
      </w:r>
      <w:proofErr w:type="spellEnd"/>
      <w:r w:rsidRPr="00A16C77">
        <w:rPr>
          <w:rFonts w:ascii="Book Antiqua" w:eastAsia="宋体" w:hAnsi="Book Antiqua" w:cs="宋体"/>
          <w:lang w:val="en-US" w:eastAsia="zh-CN"/>
        </w:rPr>
        <w:t xml:space="preserve"> 2016; </w:t>
      </w:r>
      <w:r w:rsidRPr="00A16C77">
        <w:rPr>
          <w:rFonts w:ascii="Book Antiqua" w:eastAsia="宋体" w:hAnsi="Book Antiqua" w:cs="宋体"/>
          <w:b/>
          <w:bCs/>
          <w:lang w:val="en-US" w:eastAsia="zh-CN"/>
        </w:rPr>
        <w:t>34</w:t>
      </w:r>
      <w:r w:rsidRPr="00A16C77">
        <w:rPr>
          <w:rFonts w:ascii="Book Antiqua" w:eastAsia="宋体" w:hAnsi="Book Antiqua" w:cs="宋体"/>
          <w:lang w:val="en-US" w:eastAsia="zh-CN"/>
        </w:rPr>
        <w:t>: 2046-2053 [PMID: 26834067 DOI: 10.1200/JCO.2015.64.0821]</w:t>
      </w:r>
    </w:p>
    <w:p w:rsidR="00A16C77" w:rsidRPr="00A16C77" w:rsidRDefault="00A16C77" w:rsidP="00A16C77">
      <w:pPr>
        <w:spacing w:line="360" w:lineRule="auto"/>
        <w:jc w:val="both"/>
        <w:rPr>
          <w:rFonts w:ascii="Book Antiqua" w:eastAsia="宋体" w:hAnsi="Book Antiqua" w:cs="宋体"/>
          <w:lang w:val="en-US" w:eastAsia="zh-CN"/>
        </w:rPr>
      </w:pPr>
      <w:r w:rsidRPr="00A16C77">
        <w:rPr>
          <w:rFonts w:ascii="Book Antiqua" w:eastAsia="宋体" w:hAnsi="Book Antiqua" w:cs="宋体"/>
          <w:lang w:val="en-US" w:eastAsia="zh-CN"/>
        </w:rPr>
        <w:lastRenderedPageBreak/>
        <w:t xml:space="preserve">10 </w:t>
      </w:r>
      <w:r w:rsidRPr="00A16C77">
        <w:rPr>
          <w:rFonts w:ascii="Book Antiqua" w:eastAsia="宋体" w:hAnsi="Book Antiqua" w:cs="宋体"/>
          <w:b/>
          <w:bCs/>
          <w:lang w:val="en-US" w:eastAsia="zh-CN"/>
        </w:rPr>
        <w:t>Sacco R</w:t>
      </w:r>
      <w:r w:rsidRPr="00A16C77">
        <w:rPr>
          <w:rFonts w:ascii="Book Antiqua" w:eastAsia="宋体" w:hAnsi="Book Antiqua" w:cs="宋体"/>
          <w:lang w:val="en-US" w:eastAsia="zh-CN"/>
        </w:rPr>
        <w:t xml:space="preserve">, </w:t>
      </w:r>
      <w:proofErr w:type="spellStart"/>
      <w:r w:rsidRPr="00A16C77">
        <w:rPr>
          <w:rFonts w:ascii="Book Antiqua" w:eastAsia="宋体" w:hAnsi="Book Antiqua" w:cs="宋体"/>
          <w:lang w:val="en-US" w:eastAsia="zh-CN"/>
        </w:rPr>
        <w:t>Bargellini</w:t>
      </w:r>
      <w:proofErr w:type="spellEnd"/>
      <w:r w:rsidRPr="00A16C77">
        <w:rPr>
          <w:rFonts w:ascii="Book Antiqua" w:eastAsia="宋体" w:hAnsi="Book Antiqua" w:cs="宋体"/>
          <w:lang w:val="en-US" w:eastAsia="zh-CN"/>
        </w:rPr>
        <w:t xml:space="preserve"> I, </w:t>
      </w:r>
      <w:proofErr w:type="spellStart"/>
      <w:r w:rsidRPr="00A16C77">
        <w:rPr>
          <w:rFonts w:ascii="Book Antiqua" w:eastAsia="宋体" w:hAnsi="Book Antiqua" w:cs="宋体"/>
          <w:lang w:val="en-US" w:eastAsia="zh-CN"/>
        </w:rPr>
        <w:t>Bertini</w:t>
      </w:r>
      <w:proofErr w:type="spellEnd"/>
      <w:r w:rsidRPr="00A16C77">
        <w:rPr>
          <w:rFonts w:ascii="Book Antiqua" w:eastAsia="宋体" w:hAnsi="Book Antiqua" w:cs="宋体"/>
          <w:lang w:val="en-US" w:eastAsia="zh-CN"/>
        </w:rPr>
        <w:t xml:space="preserve"> M, </w:t>
      </w:r>
      <w:proofErr w:type="spellStart"/>
      <w:r w:rsidRPr="00A16C77">
        <w:rPr>
          <w:rFonts w:ascii="Book Antiqua" w:eastAsia="宋体" w:hAnsi="Book Antiqua" w:cs="宋体"/>
          <w:lang w:val="en-US" w:eastAsia="zh-CN"/>
        </w:rPr>
        <w:t>Bozzi</w:t>
      </w:r>
      <w:proofErr w:type="spellEnd"/>
      <w:r w:rsidRPr="00A16C77">
        <w:rPr>
          <w:rFonts w:ascii="Book Antiqua" w:eastAsia="宋体" w:hAnsi="Book Antiqua" w:cs="宋体"/>
          <w:lang w:val="en-US" w:eastAsia="zh-CN"/>
        </w:rPr>
        <w:t xml:space="preserve"> E, Romano A, </w:t>
      </w:r>
      <w:proofErr w:type="spellStart"/>
      <w:r w:rsidRPr="00A16C77">
        <w:rPr>
          <w:rFonts w:ascii="Book Antiqua" w:eastAsia="宋体" w:hAnsi="Book Antiqua" w:cs="宋体"/>
          <w:lang w:val="en-US" w:eastAsia="zh-CN"/>
        </w:rPr>
        <w:t>Petruzzi</w:t>
      </w:r>
      <w:proofErr w:type="spellEnd"/>
      <w:r w:rsidRPr="00A16C77">
        <w:rPr>
          <w:rFonts w:ascii="Book Antiqua" w:eastAsia="宋体" w:hAnsi="Book Antiqua" w:cs="宋体"/>
          <w:lang w:val="en-US" w:eastAsia="zh-CN"/>
        </w:rPr>
        <w:t xml:space="preserve"> P, </w:t>
      </w:r>
      <w:proofErr w:type="spellStart"/>
      <w:r w:rsidRPr="00A16C77">
        <w:rPr>
          <w:rFonts w:ascii="Book Antiqua" w:eastAsia="宋体" w:hAnsi="Book Antiqua" w:cs="宋体"/>
          <w:lang w:val="en-US" w:eastAsia="zh-CN"/>
        </w:rPr>
        <w:t>Tumino</w:t>
      </w:r>
      <w:proofErr w:type="spellEnd"/>
      <w:r w:rsidRPr="00A16C77">
        <w:rPr>
          <w:rFonts w:ascii="Book Antiqua" w:eastAsia="宋体" w:hAnsi="Book Antiqua" w:cs="宋体"/>
          <w:lang w:val="en-US" w:eastAsia="zh-CN"/>
        </w:rPr>
        <w:t xml:space="preserve"> E, </w:t>
      </w:r>
      <w:proofErr w:type="spellStart"/>
      <w:r w:rsidRPr="00A16C77">
        <w:rPr>
          <w:rFonts w:ascii="Book Antiqua" w:eastAsia="宋体" w:hAnsi="Book Antiqua" w:cs="宋体"/>
          <w:lang w:val="en-US" w:eastAsia="zh-CN"/>
        </w:rPr>
        <w:t>Ginanni</w:t>
      </w:r>
      <w:proofErr w:type="spellEnd"/>
      <w:r w:rsidRPr="00A16C77">
        <w:rPr>
          <w:rFonts w:ascii="Book Antiqua" w:eastAsia="宋体" w:hAnsi="Book Antiqua" w:cs="宋体"/>
          <w:lang w:val="en-US" w:eastAsia="zh-CN"/>
        </w:rPr>
        <w:t xml:space="preserve"> B, </w:t>
      </w:r>
      <w:proofErr w:type="spellStart"/>
      <w:r w:rsidRPr="00A16C77">
        <w:rPr>
          <w:rFonts w:ascii="Book Antiqua" w:eastAsia="宋体" w:hAnsi="Book Antiqua" w:cs="宋体"/>
          <w:lang w:val="en-US" w:eastAsia="zh-CN"/>
        </w:rPr>
        <w:t>Federici</w:t>
      </w:r>
      <w:proofErr w:type="spellEnd"/>
      <w:r w:rsidRPr="00A16C77">
        <w:rPr>
          <w:rFonts w:ascii="Book Antiqua" w:eastAsia="宋体" w:hAnsi="Book Antiqua" w:cs="宋体"/>
          <w:lang w:val="en-US" w:eastAsia="zh-CN"/>
        </w:rPr>
        <w:t xml:space="preserve"> G, </w:t>
      </w:r>
      <w:proofErr w:type="spellStart"/>
      <w:r w:rsidRPr="00A16C77">
        <w:rPr>
          <w:rFonts w:ascii="Book Antiqua" w:eastAsia="宋体" w:hAnsi="Book Antiqua" w:cs="宋体"/>
          <w:lang w:val="en-US" w:eastAsia="zh-CN"/>
        </w:rPr>
        <w:t>Cioni</w:t>
      </w:r>
      <w:proofErr w:type="spellEnd"/>
      <w:r w:rsidRPr="00A16C77">
        <w:rPr>
          <w:rFonts w:ascii="Book Antiqua" w:eastAsia="宋体" w:hAnsi="Book Antiqua" w:cs="宋体"/>
          <w:lang w:val="en-US" w:eastAsia="zh-CN"/>
        </w:rPr>
        <w:t xml:space="preserve"> R, </w:t>
      </w:r>
      <w:proofErr w:type="spellStart"/>
      <w:r w:rsidRPr="00A16C77">
        <w:rPr>
          <w:rFonts w:ascii="Book Antiqua" w:eastAsia="宋体" w:hAnsi="Book Antiqua" w:cs="宋体"/>
          <w:lang w:val="en-US" w:eastAsia="zh-CN"/>
        </w:rPr>
        <w:t>Metrangolo</w:t>
      </w:r>
      <w:proofErr w:type="spellEnd"/>
      <w:r w:rsidRPr="00A16C77">
        <w:rPr>
          <w:rFonts w:ascii="Book Antiqua" w:eastAsia="宋体" w:hAnsi="Book Antiqua" w:cs="宋体"/>
          <w:lang w:val="en-US" w:eastAsia="zh-CN"/>
        </w:rPr>
        <w:t xml:space="preserve"> S, </w:t>
      </w:r>
      <w:proofErr w:type="spellStart"/>
      <w:r w:rsidRPr="00A16C77">
        <w:rPr>
          <w:rFonts w:ascii="Book Antiqua" w:eastAsia="宋体" w:hAnsi="Book Antiqua" w:cs="宋体"/>
          <w:lang w:val="en-US" w:eastAsia="zh-CN"/>
        </w:rPr>
        <w:t>Bertoni</w:t>
      </w:r>
      <w:proofErr w:type="spellEnd"/>
      <w:r w:rsidRPr="00A16C77">
        <w:rPr>
          <w:rFonts w:ascii="Book Antiqua" w:eastAsia="宋体" w:hAnsi="Book Antiqua" w:cs="宋体"/>
          <w:lang w:val="en-US" w:eastAsia="zh-CN"/>
        </w:rPr>
        <w:t xml:space="preserve"> M, </w:t>
      </w:r>
      <w:proofErr w:type="spellStart"/>
      <w:r w:rsidRPr="00A16C77">
        <w:rPr>
          <w:rFonts w:ascii="Book Antiqua" w:eastAsia="宋体" w:hAnsi="Book Antiqua" w:cs="宋体"/>
          <w:lang w:val="en-US" w:eastAsia="zh-CN"/>
        </w:rPr>
        <w:t>Bresci</w:t>
      </w:r>
      <w:proofErr w:type="spellEnd"/>
      <w:r w:rsidRPr="00A16C77">
        <w:rPr>
          <w:rFonts w:ascii="Book Antiqua" w:eastAsia="宋体" w:hAnsi="Book Antiqua" w:cs="宋体"/>
          <w:lang w:val="en-US" w:eastAsia="zh-CN"/>
        </w:rPr>
        <w:t xml:space="preserve"> G, </w:t>
      </w:r>
      <w:proofErr w:type="spellStart"/>
      <w:r w:rsidRPr="00A16C77">
        <w:rPr>
          <w:rFonts w:ascii="Book Antiqua" w:eastAsia="宋体" w:hAnsi="Book Antiqua" w:cs="宋体"/>
          <w:lang w:val="en-US" w:eastAsia="zh-CN"/>
        </w:rPr>
        <w:t>Parisi</w:t>
      </w:r>
      <w:proofErr w:type="spellEnd"/>
      <w:r w:rsidRPr="00A16C77">
        <w:rPr>
          <w:rFonts w:ascii="Book Antiqua" w:eastAsia="宋体" w:hAnsi="Book Antiqua" w:cs="宋体"/>
          <w:lang w:val="en-US" w:eastAsia="zh-CN"/>
        </w:rPr>
        <w:t xml:space="preserve"> G, </w:t>
      </w:r>
      <w:proofErr w:type="spellStart"/>
      <w:r w:rsidRPr="00A16C77">
        <w:rPr>
          <w:rFonts w:ascii="Book Antiqua" w:eastAsia="宋体" w:hAnsi="Book Antiqua" w:cs="宋体"/>
          <w:lang w:val="en-US" w:eastAsia="zh-CN"/>
        </w:rPr>
        <w:t>Altomare</w:t>
      </w:r>
      <w:proofErr w:type="spellEnd"/>
      <w:r w:rsidRPr="00A16C77">
        <w:rPr>
          <w:rFonts w:ascii="Book Antiqua" w:eastAsia="宋体" w:hAnsi="Book Antiqua" w:cs="宋体"/>
          <w:lang w:val="en-US" w:eastAsia="zh-CN"/>
        </w:rPr>
        <w:t xml:space="preserve"> E, </w:t>
      </w:r>
      <w:proofErr w:type="spellStart"/>
      <w:r w:rsidRPr="00A16C77">
        <w:rPr>
          <w:rFonts w:ascii="Book Antiqua" w:eastAsia="宋体" w:hAnsi="Book Antiqua" w:cs="宋体"/>
          <w:lang w:val="en-US" w:eastAsia="zh-CN"/>
        </w:rPr>
        <w:t>Capria</w:t>
      </w:r>
      <w:proofErr w:type="spellEnd"/>
      <w:r w:rsidRPr="00A16C77">
        <w:rPr>
          <w:rFonts w:ascii="Book Antiqua" w:eastAsia="宋体" w:hAnsi="Book Antiqua" w:cs="宋体"/>
          <w:lang w:val="en-US" w:eastAsia="zh-CN"/>
        </w:rPr>
        <w:t xml:space="preserve"> A, </w:t>
      </w:r>
      <w:proofErr w:type="spellStart"/>
      <w:r w:rsidRPr="00A16C77">
        <w:rPr>
          <w:rFonts w:ascii="Book Antiqua" w:eastAsia="宋体" w:hAnsi="Book Antiqua" w:cs="宋体"/>
          <w:lang w:val="en-US" w:eastAsia="zh-CN"/>
        </w:rPr>
        <w:t>Bartolozzi</w:t>
      </w:r>
      <w:proofErr w:type="spellEnd"/>
      <w:r w:rsidRPr="00A16C77">
        <w:rPr>
          <w:rFonts w:ascii="Book Antiqua" w:eastAsia="宋体" w:hAnsi="Book Antiqua" w:cs="宋体"/>
          <w:lang w:val="en-US" w:eastAsia="zh-CN"/>
        </w:rPr>
        <w:t xml:space="preserve"> C. Conventional versus doxorubicin-eluting bead </w:t>
      </w:r>
      <w:proofErr w:type="spellStart"/>
      <w:r w:rsidRPr="00A16C77">
        <w:rPr>
          <w:rFonts w:ascii="Book Antiqua" w:eastAsia="宋体" w:hAnsi="Book Antiqua" w:cs="宋体"/>
          <w:lang w:val="en-US" w:eastAsia="zh-CN"/>
        </w:rPr>
        <w:t>transarterial</w:t>
      </w:r>
      <w:proofErr w:type="spellEnd"/>
      <w:r w:rsidRPr="00A16C77">
        <w:rPr>
          <w:rFonts w:ascii="Book Antiqua" w:eastAsia="宋体" w:hAnsi="Book Antiqua" w:cs="宋体"/>
          <w:lang w:val="en-US" w:eastAsia="zh-CN"/>
        </w:rPr>
        <w:t xml:space="preserve"> chemoembolization for hepatocellular carcinoma. </w:t>
      </w:r>
      <w:r w:rsidRPr="00A16C77">
        <w:rPr>
          <w:rFonts w:ascii="Book Antiqua" w:eastAsia="宋体" w:hAnsi="Book Antiqua" w:cs="宋体"/>
          <w:i/>
          <w:iCs/>
          <w:lang w:val="en-US" w:eastAsia="zh-CN"/>
        </w:rPr>
        <w:t xml:space="preserve">J </w:t>
      </w:r>
      <w:proofErr w:type="spellStart"/>
      <w:r w:rsidRPr="00A16C77">
        <w:rPr>
          <w:rFonts w:ascii="Book Antiqua" w:eastAsia="宋体" w:hAnsi="Book Antiqua" w:cs="宋体"/>
          <w:i/>
          <w:iCs/>
          <w:lang w:val="en-US" w:eastAsia="zh-CN"/>
        </w:rPr>
        <w:t>Vasc</w:t>
      </w:r>
      <w:proofErr w:type="spellEnd"/>
      <w:r w:rsidRPr="00A16C77">
        <w:rPr>
          <w:rFonts w:ascii="Book Antiqua" w:eastAsia="宋体" w:hAnsi="Book Antiqua" w:cs="宋体"/>
          <w:i/>
          <w:iCs/>
          <w:lang w:val="en-US" w:eastAsia="zh-CN"/>
        </w:rPr>
        <w:t xml:space="preserve"> </w:t>
      </w:r>
      <w:proofErr w:type="spellStart"/>
      <w:r w:rsidRPr="00A16C77">
        <w:rPr>
          <w:rFonts w:ascii="Book Antiqua" w:eastAsia="宋体" w:hAnsi="Book Antiqua" w:cs="宋体"/>
          <w:i/>
          <w:iCs/>
          <w:lang w:val="en-US" w:eastAsia="zh-CN"/>
        </w:rPr>
        <w:t>Interv</w:t>
      </w:r>
      <w:proofErr w:type="spellEnd"/>
      <w:r w:rsidRPr="00A16C77">
        <w:rPr>
          <w:rFonts w:ascii="Book Antiqua" w:eastAsia="宋体" w:hAnsi="Book Antiqua" w:cs="宋体"/>
          <w:i/>
          <w:iCs/>
          <w:lang w:val="en-US" w:eastAsia="zh-CN"/>
        </w:rPr>
        <w:t xml:space="preserve"> </w:t>
      </w:r>
      <w:proofErr w:type="spellStart"/>
      <w:r w:rsidRPr="00A16C77">
        <w:rPr>
          <w:rFonts w:ascii="Book Antiqua" w:eastAsia="宋体" w:hAnsi="Book Antiqua" w:cs="宋体"/>
          <w:i/>
          <w:iCs/>
          <w:lang w:val="en-US" w:eastAsia="zh-CN"/>
        </w:rPr>
        <w:t>Radiol</w:t>
      </w:r>
      <w:proofErr w:type="spellEnd"/>
      <w:r w:rsidRPr="00A16C77">
        <w:rPr>
          <w:rFonts w:ascii="Book Antiqua" w:eastAsia="宋体" w:hAnsi="Book Antiqua" w:cs="宋体"/>
          <w:lang w:val="en-US" w:eastAsia="zh-CN"/>
        </w:rPr>
        <w:t xml:space="preserve"> 2011; </w:t>
      </w:r>
      <w:r w:rsidRPr="00A16C77">
        <w:rPr>
          <w:rFonts w:ascii="Book Antiqua" w:eastAsia="宋体" w:hAnsi="Book Antiqua" w:cs="宋体"/>
          <w:b/>
          <w:bCs/>
          <w:lang w:val="en-US" w:eastAsia="zh-CN"/>
        </w:rPr>
        <w:t>22</w:t>
      </w:r>
      <w:r w:rsidRPr="00A16C77">
        <w:rPr>
          <w:rFonts w:ascii="Book Antiqua" w:eastAsia="宋体" w:hAnsi="Book Antiqua" w:cs="宋体"/>
          <w:lang w:val="en-US" w:eastAsia="zh-CN"/>
        </w:rPr>
        <w:t>: 1545-1552 [PMID: 21849247 DOI: 10.1016/j.jvir.2011.07.00217]</w:t>
      </w:r>
    </w:p>
    <w:p w:rsidR="00A16C77" w:rsidRPr="00A16C77" w:rsidRDefault="00A16C77" w:rsidP="00A16C77">
      <w:pPr>
        <w:spacing w:line="360" w:lineRule="auto"/>
        <w:jc w:val="both"/>
        <w:rPr>
          <w:rFonts w:ascii="Book Antiqua" w:eastAsia="宋体" w:hAnsi="Book Antiqua" w:cs="宋体"/>
          <w:lang w:val="en-US" w:eastAsia="zh-CN"/>
        </w:rPr>
      </w:pPr>
      <w:r w:rsidRPr="00A16C77">
        <w:rPr>
          <w:rFonts w:ascii="Book Antiqua" w:eastAsia="宋体" w:hAnsi="Book Antiqua" w:cs="宋体"/>
          <w:lang w:val="en-US" w:eastAsia="zh-CN"/>
        </w:rPr>
        <w:t xml:space="preserve">11 </w:t>
      </w:r>
      <w:proofErr w:type="spellStart"/>
      <w:r w:rsidRPr="00A16C77">
        <w:rPr>
          <w:rFonts w:ascii="Book Antiqua" w:eastAsia="宋体" w:hAnsi="Book Antiqua" w:cs="宋体"/>
          <w:b/>
          <w:bCs/>
          <w:lang w:val="en-US" w:eastAsia="zh-CN"/>
        </w:rPr>
        <w:t>Lammer</w:t>
      </w:r>
      <w:proofErr w:type="spellEnd"/>
      <w:r w:rsidRPr="00A16C77">
        <w:rPr>
          <w:rFonts w:ascii="Book Antiqua" w:eastAsia="宋体" w:hAnsi="Book Antiqua" w:cs="宋体"/>
          <w:b/>
          <w:bCs/>
          <w:lang w:val="en-US" w:eastAsia="zh-CN"/>
        </w:rPr>
        <w:t xml:space="preserve"> J</w:t>
      </w:r>
      <w:r w:rsidRPr="00A16C77">
        <w:rPr>
          <w:rFonts w:ascii="Book Antiqua" w:eastAsia="宋体" w:hAnsi="Book Antiqua" w:cs="宋体"/>
          <w:lang w:val="en-US" w:eastAsia="zh-CN"/>
        </w:rPr>
        <w:t xml:space="preserve">, </w:t>
      </w:r>
      <w:proofErr w:type="spellStart"/>
      <w:r w:rsidRPr="00A16C77">
        <w:rPr>
          <w:rFonts w:ascii="Book Antiqua" w:eastAsia="宋体" w:hAnsi="Book Antiqua" w:cs="宋体"/>
          <w:lang w:val="en-US" w:eastAsia="zh-CN"/>
        </w:rPr>
        <w:t>Malagari</w:t>
      </w:r>
      <w:proofErr w:type="spellEnd"/>
      <w:r w:rsidRPr="00A16C77">
        <w:rPr>
          <w:rFonts w:ascii="Book Antiqua" w:eastAsia="宋体" w:hAnsi="Book Antiqua" w:cs="宋体"/>
          <w:lang w:val="en-US" w:eastAsia="zh-CN"/>
        </w:rPr>
        <w:t xml:space="preserve"> K, </w:t>
      </w:r>
      <w:proofErr w:type="spellStart"/>
      <w:r w:rsidRPr="00A16C77">
        <w:rPr>
          <w:rFonts w:ascii="Book Antiqua" w:eastAsia="宋体" w:hAnsi="Book Antiqua" w:cs="宋体"/>
          <w:lang w:val="en-US" w:eastAsia="zh-CN"/>
        </w:rPr>
        <w:t>Vogl</w:t>
      </w:r>
      <w:proofErr w:type="spellEnd"/>
      <w:r w:rsidRPr="00A16C77">
        <w:rPr>
          <w:rFonts w:ascii="Book Antiqua" w:eastAsia="宋体" w:hAnsi="Book Antiqua" w:cs="宋体"/>
          <w:lang w:val="en-US" w:eastAsia="zh-CN"/>
        </w:rPr>
        <w:t xml:space="preserve"> T, </w:t>
      </w:r>
      <w:proofErr w:type="spellStart"/>
      <w:r w:rsidRPr="00A16C77">
        <w:rPr>
          <w:rFonts w:ascii="Book Antiqua" w:eastAsia="宋体" w:hAnsi="Book Antiqua" w:cs="宋体"/>
          <w:lang w:val="en-US" w:eastAsia="zh-CN"/>
        </w:rPr>
        <w:t>Pilleul</w:t>
      </w:r>
      <w:proofErr w:type="spellEnd"/>
      <w:r w:rsidRPr="00A16C77">
        <w:rPr>
          <w:rFonts w:ascii="Book Antiqua" w:eastAsia="宋体" w:hAnsi="Book Antiqua" w:cs="宋体"/>
          <w:lang w:val="en-US" w:eastAsia="zh-CN"/>
        </w:rPr>
        <w:t xml:space="preserve"> F, Denys A, Watkinson A, </w:t>
      </w:r>
      <w:proofErr w:type="spellStart"/>
      <w:r w:rsidRPr="00A16C77">
        <w:rPr>
          <w:rFonts w:ascii="Book Antiqua" w:eastAsia="宋体" w:hAnsi="Book Antiqua" w:cs="宋体"/>
          <w:lang w:val="en-US" w:eastAsia="zh-CN"/>
        </w:rPr>
        <w:t>Pitton</w:t>
      </w:r>
      <w:proofErr w:type="spellEnd"/>
      <w:r w:rsidRPr="00A16C77">
        <w:rPr>
          <w:rFonts w:ascii="Book Antiqua" w:eastAsia="宋体" w:hAnsi="Book Antiqua" w:cs="宋体"/>
          <w:lang w:val="en-US" w:eastAsia="zh-CN"/>
        </w:rPr>
        <w:t xml:space="preserve"> M, </w:t>
      </w:r>
      <w:proofErr w:type="spellStart"/>
      <w:r w:rsidRPr="00A16C77">
        <w:rPr>
          <w:rFonts w:ascii="Book Antiqua" w:eastAsia="宋体" w:hAnsi="Book Antiqua" w:cs="宋体"/>
          <w:lang w:val="en-US" w:eastAsia="zh-CN"/>
        </w:rPr>
        <w:t>Sergent</w:t>
      </w:r>
      <w:proofErr w:type="spellEnd"/>
      <w:r w:rsidRPr="00A16C77">
        <w:rPr>
          <w:rFonts w:ascii="Book Antiqua" w:eastAsia="宋体" w:hAnsi="Book Antiqua" w:cs="宋体"/>
          <w:lang w:val="en-US" w:eastAsia="zh-CN"/>
        </w:rPr>
        <w:t xml:space="preserve"> G, </w:t>
      </w:r>
      <w:proofErr w:type="spellStart"/>
      <w:r w:rsidRPr="00A16C77">
        <w:rPr>
          <w:rFonts w:ascii="Book Antiqua" w:eastAsia="宋体" w:hAnsi="Book Antiqua" w:cs="宋体"/>
          <w:lang w:val="en-US" w:eastAsia="zh-CN"/>
        </w:rPr>
        <w:t>Pfammatter</w:t>
      </w:r>
      <w:proofErr w:type="spellEnd"/>
      <w:r w:rsidRPr="00A16C77">
        <w:rPr>
          <w:rFonts w:ascii="Book Antiqua" w:eastAsia="宋体" w:hAnsi="Book Antiqua" w:cs="宋体"/>
          <w:lang w:val="en-US" w:eastAsia="zh-CN"/>
        </w:rPr>
        <w:t xml:space="preserve"> T, </w:t>
      </w:r>
      <w:proofErr w:type="spellStart"/>
      <w:r w:rsidRPr="00A16C77">
        <w:rPr>
          <w:rFonts w:ascii="Book Antiqua" w:eastAsia="宋体" w:hAnsi="Book Antiqua" w:cs="宋体"/>
          <w:lang w:val="en-US" w:eastAsia="zh-CN"/>
        </w:rPr>
        <w:t>Terraz</w:t>
      </w:r>
      <w:proofErr w:type="spellEnd"/>
      <w:r w:rsidRPr="00A16C77">
        <w:rPr>
          <w:rFonts w:ascii="Book Antiqua" w:eastAsia="宋体" w:hAnsi="Book Antiqua" w:cs="宋体"/>
          <w:lang w:val="en-US" w:eastAsia="zh-CN"/>
        </w:rPr>
        <w:t xml:space="preserve"> S, </w:t>
      </w:r>
      <w:proofErr w:type="spellStart"/>
      <w:r w:rsidRPr="00A16C77">
        <w:rPr>
          <w:rFonts w:ascii="Book Antiqua" w:eastAsia="宋体" w:hAnsi="Book Antiqua" w:cs="宋体"/>
          <w:lang w:val="en-US" w:eastAsia="zh-CN"/>
        </w:rPr>
        <w:t>Benhamou</w:t>
      </w:r>
      <w:proofErr w:type="spellEnd"/>
      <w:r w:rsidRPr="00A16C77">
        <w:rPr>
          <w:rFonts w:ascii="Book Antiqua" w:eastAsia="宋体" w:hAnsi="Book Antiqua" w:cs="宋体"/>
          <w:lang w:val="en-US" w:eastAsia="zh-CN"/>
        </w:rPr>
        <w:t xml:space="preserve"> Y, </w:t>
      </w:r>
      <w:proofErr w:type="spellStart"/>
      <w:r w:rsidRPr="00A16C77">
        <w:rPr>
          <w:rFonts w:ascii="Book Antiqua" w:eastAsia="宋体" w:hAnsi="Book Antiqua" w:cs="宋体"/>
          <w:lang w:val="en-US" w:eastAsia="zh-CN"/>
        </w:rPr>
        <w:t>Avajon</w:t>
      </w:r>
      <w:proofErr w:type="spellEnd"/>
      <w:r w:rsidRPr="00A16C77">
        <w:rPr>
          <w:rFonts w:ascii="Book Antiqua" w:eastAsia="宋体" w:hAnsi="Book Antiqua" w:cs="宋体"/>
          <w:lang w:val="en-US" w:eastAsia="zh-CN"/>
        </w:rPr>
        <w:t xml:space="preserve"> Y, </w:t>
      </w:r>
      <w:proofErr w:type="spellStart"/>
      <w:r w:rsidRPr="00A16C77">
        <w:rPr>
          <w:rFonts w:ascii="Book Antiqua" w:eastAsia="宋体" w:hAnsi="Book Antiqua" w:cs="宋体"/>
          <w:lang w:val="en-US" w:eastAsia="zh-CN"/>
        </w:rPr>
        <w:t>Gruenberger</w:t>
      </w:r>
      <w:proofErr w:type="spellEnd"/>
      <w:r w:rsidRPr="00A16C77">
        <w:rPr>
          <w:rFonts w:ascii="Book Antiqua" w:eastAsia="宋体" w:hAnsi="Book Antiqua" w:cs="宋体"/>
          <w:lang w:val="en-US" w:eastAsia="zh-CN"/>
        </w:rPr>
        <w:t xml:space="preserve"> T, </w:t>
      </w:r>
      <w:proofErr w:type="spellStart"/>
      <w:r w:rsidRPr="00A16C77">
        <w:rPr>
          <w:rFonts w:ascii="Book Antiqua" w:eastAsia="宋体" w:hAnsi="Book Antiqua" w:cs="宋体"/>
          <w:lang w:val="en-US" w:eastAsia="zh-CN"/>
        </w:rPr>
        <w:t>Pomoni</w:t>
      </w:r>
      <w:proofErr w:type="spellEnd"/>
      <w:r w:rsidRPr="00A16C77">
        <w:rPr>
          <w:rFonts w:ascii="Book Antiqua" w:eastAsia="宋体" w:hAnsi="Book Antiqua" w:cs="宋体"/>
          <w:lang w:val="en-US" w:eastAsia="zh-CN"/>
        </w:rPr>
        <w:t xml:space="preserve"> M, </w:t>
      </w:r>
      <w:proofErr w:type="spellStart"/>
      <w:r w:rsidRPr="00A16C77">
        <w:rPr>
          <w:rFonts w:ascii="Book Antiqua" w:eastAsia="宋体" w:hAnsi="Book Antiqua" w:cs="宋体"/>
          <w:lang w:val="en-US" w:eastAsia="zh-CN"/>
        </w:rPr>
        <w:t>Langenberger</w:t>
      </w:r>
      <w:proofErr w:type="spellEnd"/>
      <w:r w:rsidRPr="00A16C77">
        <w:rPr>
          <w:rFonts w:ascii="Book Antiqua" w:eastAsia="宋体" w:hAnsi="Book Antiqua" w:cs="宋体"/>
          <w:lang w:val="en-US" w:eastAsia="zh-CN"/>
        </w:rPr>
        <w:t xml:space="preserve"> H, </w:t>
      </w:r>
      <w:proofErr w:type="spellStart"/>
      <w:r w:rsidRPr="00A16C77">
        <w:rPr>
          <w:rFonts w:ascii="Book Antiqua" w:eastAsia="宋体" w:hAnsi="Book Antiqua" w:cs="宋体"/>
          <w:lang w:val="en-US" w:eastAsia="zh-CN"/>
        </w:rPr>
        <w:t>Schuchmann</w:t>
      </w:r>
      <w:proofErr w:type="spellEnd"/>
      <w:r w:rsidRPr="00A16C77">
        <w:rPr>
          <w:rFonts w:ascii="Book Antiqua" w:eastAsia="宋体" w:hAnsi="Book Antiqua" w:cs="宋体"/>
          <w:lang w:val="en-US" w:eastAsia="zh-CN"/>
        </w:rPr>
        <w:t xml:space="preserve"> M, </w:t>
      </w:r>
      <w:proofErr w:type="spellStart"/>
      <w:r w:rsidRPr="00A16C77">
        <w:rPr>
          <w:rFonts w:ascii="Book Antiqua" w:eastAsia="宋体" w:hAnsi="Book Antiqua" w:cs="宋体"/>
          <w:lang w:val="en-US" w:eastAsia="zh-CN"/>
        </w:rPr>
        <w:t>Dumortier</w:t>
      </w:r>
      <w:proofErr w:type="spellEnd"/>
      <w:r w:rsidRPr="00A16C77">
        <w:rPr>
          <w:rFonts w:ascii="Book Antiqua" w:eastAsia="宋体" w:hAnsi="Book Antiqua" w:cs="宋体"/>
          <w:lang w:val="en-US" w:eastAsia="zh-CN"/>
        </w:rPr>
        <w:t xml:space="preserve"> J, Mueller C, </w:t>
      </w:r>
      <w:proofErr w:type="spellStart"/>
      <w:r w:rsidRPr="00A16C77">
        <w:rPr>
          <w:rFonts w:ascii="Book Antiqua" w:eastAsia="宋体" w:hAnsi="Book Antiqua" w:cs="宋体"/>
          <w:lang w:val="en-US" w:eastAsia="zh-CN"/>
        </w:rPr>
        <w:t>Chevallier</w:t>
      </w:r>
      <w:proofErr w:type="spellEnd"/>
      <w:r w:rsidRPr="00A16C77">
        <w:rPr>
          <w:rFonts w:ascii="Book Antiqua" w:eastAsia="宋体" w:hAnsi="Book Antiqua" w:cs="宋体"/>
          <w:lang w:val="en-US" w:eastAsia="zh-CN"/>
        </w:rPr>
        <w:t xml:space="preserve"> P, </w:t>
      </w:r>
      <w:proofErr w:type="spellStart"/>
      <w:r w:rsidRPr="00A16C77">
        <w:rPr>
          <w:rFonts w:ascii="Book Antiqua" w:eastAsia="宋体" w:hAnsi="Book Antiqua" w:cs="宋体"/>
          <w:lang w:val="en-US" w:eastAsia="zh-CN"/>
        </w:rPr>
        <w:t>Lencioni</w:t>
      </w:r>
      <w:proofErr w:type="spellEnd"/>
      <w:r w:rsidRPr="00A16C77">
        <w:rPr>
          <w:rFonts w:ascii="Book Antiqua" w:eastAsia="宋体" w:hAnsi="Book Antiqua" w:cs="宋体"/>
          <w:lang w:val="en-US" w:eastAsia="zh-CN"/>
        </w:rPr>
        <w:t xml:space="preserve"> R. Prospective randomized study of doxorubicin-eluting-bead embolization in the treatment of hepatocellular carcinoma: results of the PRECISION V study. </w:t>
      </w:r>
      <w:proofErr w:type="spellStart"/>
      <w:r w:rsidRPr="00A16C77">
        <w:rPr>
          <w:rFonts w:ascii="Book Antiqua" w:eastAsia="宋体" w:hAnsi="Book Antiqua" w:cs="宋体"/>
          <w:i/>
          <w:iCs/>
          <w:lang w:val="en-US" w:eastAsia="zh-CN"/>
        </w:rPr>
        <w:t>Cardiovasc</w:t>
      </w:r>
      <w:proofErr w:type="spellEnd"/>
      <w:r w:rsidRPr="00A16C77">
        <w:rPr>
          <w:rFonts w:ascii="Book Antiqua" w:eastAsia="宋体" w:hAnsi="Book Antiqua" w:cs="宋体"/>
          <w:i/>
          <w:iCs/>
          <w:lang w:val="en-US" w:eastAsia="zh-CN"/>
        </w:rPr>
        <w:t xml:space="preserve"> </w:t>
      </w:r>
      <w:proofErr w:type="spellStart"/>
      <w:r w:rsidRPr="00A16C77">
        <w:rPr>
          <w:rFonts w:ascii="Book Antiqua" w:eastAsia="宋体" w:hAnsi="Book Antiqua" w:cs="宋体"/>
          <w:i/>
          <w:iCs/>
          <w:lang w:val="en-US" w:eastAsia="zh-CN"/>
        </w:rPr>
        <w:t>Intervent</w:t>
      </w:r>
      <w:proofErr w:type="spellEnd"/>
      <w:r w:rsidRPr="00A16C77">
        <w:rPr>
          <w:rFonts w:ascii="Book Antiqua" w:eastAsia="宋体" w:hAnsi="Book Antiqua" w:cs="宋体"/>
          <w:i/>
          <w:iCs/>
          <w:lang w:val="en-US" w:eastAsia="zh-CN"/>
        </w:rPr>
        <w:t xml:space="preserve"> </w:t>
      </w:r>
      <w:proofErr w:type="spellStart"/>
      <w:r w:rsidRPr="00A16C77">
        <w:rPr>
          <w:rFonts w:ascii="Book Antiqua" w:eastAsia="宋体" w:hAnsi="Book Antiqua" w:cs="宋体"/>
          <w:i/>
          <w:iCs/>
          <w:lang w:val="en-US" w:eastAsia="zh-CN"/>
        </w:rPr>
        <w:t>Radiol</w:t>
      </w:r>
      <w:proofErr w:type="spellEnd"/>
      <w:r w:rsidRPr="00A16C77">
        <w:rPr>
          <w:rFonts w:ascii="Book Antiqua" w:eastAsia="宋体" w:hAnsi="Book Antiqua" w:cs="宋体"/>
          <w:lang w:val="en-US" w:eastAsia="zh-CN"/>
        </w:rPr>
        <w:t xml:space="preserve"> 2010; </w:t>
      </w:r>
      <w:r w:rsidRPr="00A16C77">
        <w:rPr>
          <w:rFonts w:ascii="Book Antiqua" w:eastAsia="宋体" w:hAnsi="Book Antiqua" w:cs="宋体"/>
          <w:b/>
          <w:bCs/>
          <w:lang w:val="en-US" w:eastAsia="zh-CN"/>
        </w:rPr>
        <w:t>33</w:t>
      </w:r>
      <w:r w:rsidRPr="00A16C77">
        <w:rPr>
          <w:rFonts w:ascii="Book Antiqua" w:eastAsia="宋体" w:hAnsi="Book Antiqua" w:cs="宋体"/>
          <w:lang w:val="en-US" w:eastAsia="zh-CN"/>
        </w:rPr>
        <w:t>: 41-52 [PMID: 19908093 DOI: 10.1007/s00270-099-9711-7]</w:t>
      </w:r>
    </w:p>
    <w:p w:rsidR="00A16C77" w:rsidRPr="00A16C77" w:rsidRDefault="00A16C77" w:rsidP="00A16C77">
      <w:pPr>
        <w:spacing w:line="360" w:lineRule="auto"/>
        <w:jc w:val="both"/>
        <w:rPr>
          <w:rFonts w:ascii="Book Antiqua" w:eastAsia="宋体" w:hAnsi="Book Antiqua" w:cs="宋体"/>
          <w:lang w:val="en-US" w:eastAsia="zh-CN"/>
        </w:rPr>
      </w:pPr>
      <w:r w:rsidRPr="00A16C77">
        <w:rPr>
          <w:rFonts w:ascii="Book Antiqua" w:eastAsia="宋体" w:hAnsi="Book Antiqua" w:cs="宋体"/>
          <w:lang w:val="en-US" w:eastAsia="zh-CN"/>
        </w:rPr>
        <w:t xml:space="preserve">12 </w:t>
      </w:r>
      <w:r w:rsidRPr="00A16C77">
        <w:rPr>
          <w:rFonts w:ascii="Book Antiqua" w:eastAsia="宋体" w:hAnsi="Book Antiqua" w:cs="宋体"/>
          <w:b/>
          <w:bCs/>
          <w:lang w:val="en-US" w:eastAsia="zh-CN"/>
        </w:rPr>
        <w:t>Song MJ</w:t>
      </w:r>
      <w:r w:rsidRPr="00A16C77">
        <w:rPr>
          <w:rFonts w:ascii="Book Antiqua" w:eastAsia="宋体" w:hAnsi="Book Antiqua" w:cs="宋体"/>
          <w:lang w:val="en-US" w:eastAsia="zh-CN"/>
        </w:rPr>
        <w:t xml:space="preserve">, Chun HJ, Song DS, Kim HY, </w:t>
      </w:r>
      <w:proofErr w:type="spellStart"/>
      <w:r w:rsidRPr="00A16C77">
        <w:rPr>
          <w:rFonts w:ascii="Book Antiqua" w:eastAsia="宋体" w:hAnsi="Book Antiqua" w:cs="宋体"/>
          <w:lang w:val="en-US" w:eastAsia="zh-CN"/>
        </w:rPr>
        <w:t>Yoo</w:t>
      </w:r>
      <w:proofErr w:type="spellEnd"/>
      <w:r w:rsidRPr="00A16C77">
        <w:rPr>
          <w:rFonts w:ascii="Book Antiqua" w:eastAsia="宋体" w:hAnsi="Book Antiqua" w:cs="宋体"/>
          <w:lang w:val="en-US" w:eastAsia="zh-CN"/>
        </w:rPr>
        <w:t xml:space="preserve"> SH, Park CH, </w:t>
      </w:r>
      <w:proofErr w:type="spellStart"/>
      <w:r w:rsidRPr="00A16C77">
        <w:rPr>
          <w:rFonts w:ascii="Book Antiqua" w:eastAsia="宋体" w:hAnsi="Book Antiqua" w:cs="宋体"/>
          <w:lang w:val="en-US" w:eastAsia="zh-CN"/>
        </w:rPr>
        <w:t>Bae</w:t>
      </w:r>
      <w:proofErr w:type="spellEnd"/>
      <w:r w:rsidRPr="00A16C77">
        <w:rPr>
          <w:rFonts w:ascii="Book Antiqua" w:eastAsia="宋体" w:hAnsi="Book Antiqua" w:cs="宋体"/>
          <w:lang w:val="en-US" w:eastAsia="zh-CN"/>
        </w:rPr>
        <w:t xml:space="preserve"> SH, Choi JY, Chang UI, Yang JM, Lee HG, Yoon SK. Comparative study between doxorubicin-eluting beads and conventional </w:t>
      </w:r>
      <w:proofErr w:type="spellStart"/>
      <w:r w:rsidRPr="00A16C77">
        <w:rPr>
          <w:rFonts w:ascii="Book Antiqua" w:eastAsia="宋体" w:hAnsi="Book Antiqua" w:cs="宋体"/>
          <w:lang w:val="en-US" w:eastAsia="zh-CN"/>
        </w:rPr>
        <w:t>transarterial</w:t>
      </w:r>
      <w:proofErr w:type="spellEnd"/>
      <w:r w:rsidRPr="00A16C77">
        <w:rPr>
          <w:rFonts w:ascii="Book Antiqua" w:eastAsia="宋体" w:hAnsi="Book Antiqua" w:cs="宋体"/>
          <w:lang w:val="en-US" w:eastAsia="zh-CN"/>
        </w:rPr>
        <w:t xml:space="preserve"> chemoembolization for treatment of hepatocellular carcinoma. </w:t>
      </w:r>
      <w:r w:rsidRPr="00A16C77">
        <w:rPr>
          <w:rFonts w:ascii="Book Antiqua" w:eastAsia="宋体" w:hAnsi="Book Antiqua" w:cs="宋体"/>
          <w:i/>
          <w:iCs/>
          <w:lang w:val="en-US" w:eastAsia="zh-CN"/>
        </w:rPr>
        <w:t xml:space="preserve">J </w:t>
      </w:r>
      <w:proofErr w:type="spellStart"/>
      <w:r w:rsidRPr="00A16C77">
        <w:rPr>
          <w:rFonts w:ascii="Book Antiqua" w:eastAsia="宋体" w:hAnsi="Book Antiqua" w:cs="宋体"/>
          <w:i/>
          <w:iCs/>
          <w:lang w:val="en-US" w:eastAsia="zh-CN"/>
        </w:rPr>
        <w:t>Hepatol</w:t>
      </w:r>
      <w:proofErr w:type="spellEnd"/>
      <w:r w:rsidRPr="00A16C77">
        <w:rPr>
          <w:rFonts w:ascii="Book Antiqua" w:eastAsia="宋体" w:hAnsi="Book Antiqua" w:cs="宋体"/>
          <w:lang w:val="en-US" w:eastAsia="zh-CN"/>
        </w:rPr>
        <w:t xml:space="preserve"> 2012; </w:t>
      </w:r>
      <w:r w:rsidRPr="00A16C77">
        <w:rPr>
          <w:rFonts w:ascii="Book Antiqua" w:eastAsia="宋体" w:hAnsi="Book Antiqua" w:cs="宋体"/>
          <w:b/>
          <w:bCs/>
          <w:lang w:val="en-US" w:eastAsia="zh-CN"/>
        </w:rPr>
        <w:t>57</w:t>
      </w:r>
      <w:r w:rsidRPr="00A16C77">
        <w:rPr>
          <w:rFonts w:ascii="Book Antiqua" w:eastAsia="宋体" w:hAnsi="Book Antiqua" w:cs="宋体"/>
          <w:lang w:val="en-US" w:eastAsia="zh-CN"/>
        </w:rPr>
        <w:t>: 1244-1250 [PMID: 22824821 DOI: 10.1016/j.jhep.2012.07.017]</w:t>
      </w:r>
    </w:p>
    <w:p w:rsidR="00A16C77" w:rsidRPr="00A16C77" w:rsidRDefault="00A16C77" w:rsidP="00A16C77">
      <w:pPr>
        <w:spacing w:line="360" w:lineRule="auto"/>
        <w:jc w:val="both"/>
        <w:rPr>
          <w:rFonts w:ascii="Book Antiqua" w:eastAsia="宋体" w:hAnsi="Book Antiqua" w:cs="宋体"/>
          <w:lang w:val="en-US" w:eastAsia="zh-CN"/>
        </w:rPr>
      </w:pPr>
      <w:r w:rsidRPr="00A16C77">
        <w:rPr>
          <w:rFonts w:ascii="Book Antiqua" w:eastAsia="宋体" w:hAnsi="Book Antiqua" w:cs="宋体"/>
          <w:lang w:val="en-US" w:eastAsia="zh-CN"/>
        </w:rPr>
        <w:t xml:space="preserve">13 </w:t>
      </w:r>
      <w:proofErr w:type="spellStart"/>
      <w:r w:rsidRPr="00A16C77">
        <w:rPr>
          <w:rFonts w:ascii="Book Antiqua" w:eastAsia="宋体" w:hAnsi="Book Antiqua" w:cs="宋体"/>
          <w:b/>
          <w:bCs/>
          <w:lang w:val="en-US" w:eastAsia="zh-CN"/>
        </w:rPr>
        <w:t>Facciorusso</w:t>
      </w:r>
      <w:proofErr w:type="spellEnd"/>
      <w:r w:rsidRPr="00A16C77">
        <w:rPr>
          <w:rFonts w:ascii="Book Antiqua" w:eastAsia="宋体" w:hAnsi="Book Antiqua" w:cs="宋体"/>
          <w:b/>
          <w:bCs/>
          <w:lang w:val="en-US" w:eastAsia="zh-CN"/>
        </w:rPr>
        <w:t xml:space="preserve"> A</w:t>
      </w:r>
      <w:r w:rsidRPr="00A16C77">
        <w:rPr>
          <w:rFonts w:ascii="Book Antiqua" w:eastAsia="宋体" w:hAnsi="Book Antiqua" w:cs="宋体"/>
          <w:lang w:val="en-US" w:eastAsia="zh-CN"/>
        </w:rPr>
        <w:t xml:space="preserve">, Di </w:t>
      </w:r>
      <w:proofErr w:type="spellStart"/>
      <w:r w:rsidRPr="00A16C77">
        <w:rPr>
          <w:rFonts w:ascii="Book Antiqua" w:eastAsia="宋体" w:hAnsi="Book Antiqua" w:cs="宋体"/>
          <w:lang w:val="en-US" w:eastAsia="zh-CN"/>
        </w:rPr>
        <w:t>Maso</w:t>
      </w:r>
      <w:proofErr w:type="spellEnd"/>
      <w:r w:rsidRPr="00A16C77">
        <w:rPr>
          <w:rFonts w:ascii="Book Antiqua" w:eastAsia="宋体" w:hAnsi="Book Antiqua" w:cs="宋体"/>
          <w:lang w:val="en-US" w:eastAsia="zh-CN"/>
        </w:rPr>
        <w:t xml:space="preserve"> M, </w:t>
      </w:r>
      <w:proofErr w:type="spellStart"/>
      <w:r w:rsidRPr="00A16C77">
        <w:rPr>
          <w:rFonts w:ascii="Book Antiqua" w:eastAsia="宋体" w:hAnsi="Book Antiqua" w:cs="宋体"/>
          <w:lang w:val="en-US" w:eastAsia="zh-CN"/>
        </w:rPr>
        <w:t>Muscatiello</w:t>
      </w:r>
      <w:proofErr w:type="spellEnd"/>
      <w:r w:rsidRPr="00A16C77">
        <w:rPr>
          <w:rFonts w:ascii="Book Antiqua" w:eastAsia="宋体" w:hAnsi="Book Antiqua" w:cs="宋体"/>
          <w:lang w:val="en-US" w:eastAsia="zh-CN"/>
        </w:rPr>
        <w:t xml:space="preserve"> N. Drug-eluting beads versus conventional chemoembolization for the treatment of </w:t>
      </w:r>
      <w:proofErr w:type="spellStart"/>
      <w:r w:rsidRPr="00A16C77">
        <w:rPr>
          <w:rFonts w:ascii="Book Antiqua" w:eastAsia="宋体" w:hAnsi="Book Antiqua" w:cs="宋体"/>
          <w:lang w:val="en-US" w:eastAsia="zh-CN"/>
        </w:rPr>
        <w:t>unresectable</w:t>
      </w:r>
      <w:proofErr w:type="spellEnd"/>
      <w:r w:rsidRPr="00A16C77">
        <w:rPr>
          <w:rFonts w:ascii="Book Antiqua" w:eastAsia="宋体" w:hAnsi="Book Antiqua" w:cs="宋体"/>
          <w:lang w:val="en-US" w:eastAsia="zh-CN"/>
        </w:rPr>
        <w:t xml:space="preserve"> hepatocellular carcinoma: A meta-analysis. </w:t>
      </w:r>
      <w:r w:rsidRPr="00A16C77">
        <w:rPr>
          <w:rFonts w:ascii="Book Antiqua" w:eastAsia="宋体" w:hAnsi="Book Antiqua" w:cs="宋体"/>
          <w:i/>
          <w:iCs/>
          <w:lang w:val="en-US" w:eastAsia="zh-CN"/>
        </w:rPr>
        <w:t>Dig Liver Dis</w:t>
      </w:r>
      <w:r w:rsidRPr="00A16C77">
        <w:rPr>
          <w:rFonts w:ascii="Book Antiqua" w:eastAsia="宋体" w:hAnsi="Book Antiqua" w:cs="宋体"/>
          <w:lang w:val="en-US" w:eastAsia="zh-CN"/>
        </w:rPr>
        <w:t xml:space="preserve"> 2016; </w:t>
      </w:r>
      <w:r w:rsidRPr="00A16C77">
        <w:rPr>
          <w:rFonts w:ascii="Book Antiqua" w:eastAsia="宋体" w:hAnsi="Book Antiqua" w:cs="宋体"/>
          <w:b/>
          <w:bCs/>
          <w:lang w:val="en-US" w:eastAsia="zh-CN"/>
        </w:rPr>
        <w:t>48</w:t>
      </w:r>
      <w:r w:rsidRPr="00A16C77">
        <w:rPr>
          <w:rFonts w:ascii="Book Antiqua" w:eastAsia="宋体" w:hAnsi="Book Antiqua" w:cs="宋体"/>
          <w:lang w:val="en-US" w:eastAsia="zh-CN"/>
        </w:rPr>
        <w:t>: 571-577 [PMID: 26965785 DOI: 10.1016/j.dld.2016.02.005]</w:t>
      </w:r>
    </w:p>
    <w:p w:rsidR="00A16C77" w:rsidRPr="00A16C77" w:rsidRDefault="00A16C77" w:rsidP="00A16C77">
      <w:pPr>
        <w:spacing w:line="360" w:lineRule="auto"/>
        <w:jc w:val="both"/>
        <w:rPr>
          <w:rFonts w:ascii="Book Antiqua" w:eastAsia="宋体" w:hAnsi="Book Antiqua" w:cs="宋体"/>
          <w:lang w:val="en-US" w:eastAsia="zh-CN"/>
        </w:rPr>
      </w:pPr>
      <w:r w:rsidRPr="00A16C77">
        <w:rPr>
          <w:rFonts w:ascii="Book Antiqua" w:eastAsia="宋体" w:hAnsi="Book Antiqua" w:cs="宋体"/>
          <w:lang w:val="en-US" w:eastAsia="zh-CN"/>
        </w:rPr>
        <w:t xml:space="preserve">14 </w:t>
      </w:r>
      <w:proofErr w:type="spellStart"/>
      <w:r w:rsidRPr="00A16C77">
        <w:rPr>
          <w:rFonts w:ascii="Book Antiqua" w:eastAsia="宋体" w:hAnsi="Book Antiqua" w:cs="宋体"/>
          <w:b/>
          <w:bCs/>
          <w:lang w:val="en-US" w:eastAsia="zh-CN"/>
        </w:rPr>
        <w:t>Spreafico</w:t>
      </w:r>
      <w:proofErr w:type="spellEnd"/>
      <w:r w:rsidRPr="00A16C77">
        <w:rPr>
          <w:rFonts w:ascii="Book Antiqua" w:eastAsia="宋体" w:hAnsi="Book Antiqua" w:cs="宋体"/>
          <w:b/>
          <w:bCs/>
          <w:lang w:val="en-US" w:eastAsia="zh-CN"/>
        </w:rPr>
        <w:t xml:space="preserve"> C</w:t>
      </w:r>
      <w:r w:rsidRPr="00A16C77">
        <w:rPr>
          <w:rFonts w:ascii="Book Antiqua" w:eastAsia="宋体" w:hAnsi="Book Antiqua" w:cs="宋体"/>
          <w:lang w:val="en-US" w:eastAsia="zh-CN"/>
        </w:rPr>
        <w:t xml:space="preserve">, </w:t>
      </w:r>
      <w:proofErr w:type="spellStart"/>
      <w:r w:rsidRPr="00A16C77">
        <w:rPr>
          <w:rFonts w:ascii="Book Antiqua" w:eastAsia="宋体" w:hAnsi="Book Antiqua" w:cs="宋体"/>
          <w:lang w:val="en-US" w:eastAsia="zh-CN"/>
        </w:rPr>
        <w:t>Cascella</w:t>
      </w:r>
      <w:proofErr w:type="spellEnd"/>
      <w:r w:rsidRPr="00A16C77">
        <w:rPr>
          <w:rFonts w:ascii="Book Antiqua" w:eastAsia="宋体" w:hAnsi="Book Antiqua" w:cs="宋体"/>
          <w:lang w:val="en-US" w:eastAsia="zh-CN"/>
        </w:rPr>
        <w:t xml:space="preserve"> T, </w:t>
      </w:r>
      <w:proofErr w:type="spellStart"/>
      <w:r w:rsidRPr="00A16C77">
        <w:rPr>
          <w:rFonts w:ascii="Book Antiqua" w:eastAsia="宋体" w:hAnsi="Book Antiqua" w:cs="宋体"/>
          <w:lang w:val="en-US" w:eastAsia="zh-CN"/>
        </w:rPr>
        <w:t>Facciorusso</w:t>
      </w:r>
      <w:proofErr w:type="spellEnd"/>
      <w:r w:rsidRPr="00A16C77">
        <w:rPr>
          <w:rFonts w:ascii="Book Antiqua" w:eastAsia="宋体" w:hAnsi="Book Antiqua" w:cs="宋体"/>
          <w:lang w:val="en-US" w:eastAsia="zh-CN"/>
        </w:rPr>
        <w:t xml:space="preserve"> A, </w:t>
      </w:r>
      <w:proofErr w:type="spellStart"/>
      <w:r w:rsidRPr="00A16C77">
        <w:rPr>
          <w:rFonts w:ascii="Book Antiqua" w:eastAsia="宋体" w:hAnsi="Book Antiqua" w:cs="宋体"/>
          <w:lang w:val="en-US" w:eastAsia="zh-CN"/>
        </w:rPr>
        <w:t>Sposito</w:t>
      </w:r>
      <w:proofErr w:type="spellEnd"/>
      <w:r w:rsidRPr="00A16C77">
        <w:rPr>
          <w:rFonts w:ascii="Book Antiqua" w:eastAsia="宋体" w:hAnsi="Book Antiqua" w:cs="宋体"/>
          <w:lang w:val="en-US" w:eastAsia="zh-CN"/>
        </w:rPr>
        <w:t xml:space="preserve"> C, Rodolfo L, </w:t>
      </w:r>
      <w:proofErr w:type="spellStart"/>
      <w:r w:rsidRPr="00A16C77">
        <w:rPr>
          <w:rFonts w:ascii="Book Antiqua" w:eastAsia="宋体" w:hAnsi="Book Antiqua" w:cs="宋体"/>
          <w:lang w:val="en-US" w:eastAsia="zh-CN"/>
        </w:rPr>
        <w:t>Morosi</w:t>
      </w:r>
      <w:proofErr w:type="spellEnd"/>
      <w:r w:rsidRPr="00A16C77">
        <w:rPr>
          <w:rFonts w:ascii="Book Antiqua" w:eastAsia="宋体" w:hAnsi="Book Antiqua" w:cs="宋体"/>
          <w:lang w:val="en-US" w:eastAsia="zh-CN"/>
        </w:rPr>
        <w:t xml:space="preserve"> C, </w:t>
      </w:r>
      <w:proofErr w:type="spellStart"/>
      <w:r w:rsidRPr="00A16C77">
        <w:rPr>
          <w:rFonts w:ascii="Book Antiqua" w:eastAsia="宋体" w:hAnsi="Book Antiqua" w:cs="宋体"/>
          <w:lang w:val="en-US" w:eastAsia="zh-CN"/>
        </w:rPr>
        <w:t>Civelli</w:t>
      </w:r>
      <w:proofErr w:type="spellEnd"/>
      <w:r w:rsidRPr="00A16C77">
        <w:rPr>
          <w:rFonts w:ascii="Book Antiqua" w:eastAsia="宋体" w:hAnsi="Book Antiqua" w:cs="宋体"/>
          <w:lang w:val="en-US" w:eastAsia="zh-CN"/>
        </w:rPr>
        <w:t xml:space="preserve"> EM, </w:t>
      </w:r>
      <w:proofErr w:type="spellStart"/>
      <w:r w:rsidRPr="00A16C77">
        <w:rPr>
          <w:rFonts w:ascii="Book Antiqua" w:eastAsia="宋体" w:hAnsi="Book Antiqua" w:cs="宋体"/>
          <w:lang w:val="en-US" w:eastAsia="zh-CN"/>
        </w:rPr>
        <w:t>Vaiani</w:t>
      </w:r>
      <w:proofErr w:type="spellEnd"/>
      <w:r w:rsidRPr="00A16C77">
        <w:rPr>
          <w:rFonts w:ascii="Book Antiqua" w:eastAsia="宋体" w:hAnsi="Book Antiqua" w:cs="宋体"/>
          <w:lang w:val="en-US" w:eastAsia="zh-CN"/>
        </w:rPr>
        <w:t xml:space="preserve"> M, </w:t>
      </w:r>
      <w:proofErr w:type="spellStart"/>
      <w:r w:rsidRPr="00A16C77">
        <w:rPr>
          <w:rFonts w:ascii="Book Antiqua" w:eastAsia="宋体" w:hAnsi="Book Antiqua" w:cs="宋体"/>
          <w:lang w:val="en-US" w:eastAsia="zh-CN"/>
        </w:rPr>
        <w:t>Bhoori</w:t>
      </w:r>
      <w:proofErr w:type="spellEnd"/>
      <w:r w:rsidRPr="00A16C77">
        <w:rPr>
          <w:rFonts w:ascii="Book Antiqua" w:eastAsia="宋体" w:hAnsi="Book Antiqua" w:cs="宋体"/>
          <w:lang w:val="en-US" w:eastAsia="zh-CN"/>
        </w:rPr>
        <w:t xml:space="preserve"> S, </w:t>
      </w:r>
      <w:proofErr w:type="spellStart"/>
      <w:r w:rsidRPr="00A16C77">
        <w:rPr>
          <w:rFonts w:ascii="Book Antiqua" w:eastAsia="宋体" w:hAnsi="Book Antiqua" w:cs="宋体"/>
          <w:lang w:val="en-US" w:eastAsia="zh-CN"/>
        </w:rPr>
        <w:t>Pellegrinelli</w:t>
      </w:r>
      <w:proofErr w:type="spellEnd"/>
      <w:r w:rsidRPr="00A16C77">
        <w:rPr>
          <w:rFonts w:ascii="Book Antiqua" w:eastAsia="宋体" w:hAnsi="Book Antiqua" w:cs="宋体"/>
          <w:lang w:val="en-US" w:eastAsia="zh-CN"/>
        </w:rPr>
        <w:t xml:space="preserve"> A, </w:t>
      </w:r>
      <w:proofErr w:type="spellStart"/>
      <w:r w:rsidRPr="00A16C77">
        <w:rPr>
          <w:rFonts w:ascii="Book Antiqua" w:eastAsia="宋体" w:hAnsi="Book Antiqua" w:cs="宋体"/>
          <w:lang w:val="en-US" w:eastAsia="zh-CN"/>
        </w:rPr>
        <w:t>Marchianò</w:t>
      </w:r>
      <w:proofErr w:type="spellEnd"/>
      <w:r w:rsidRPr="00A16C77">
        <w:rPr>
          <w:rFonts w:ascii="Book Antiqua" w:eastAsia="宋体" w:hAnsi="Book Antiqua" w:cs="宋体"/>
          <w:lang w:val="en-US" w:eastAsia="zh-CN"/>
        </w:rPr>
        <w:t xml:space="preserve"> A, </w:t>
      </w:r>
      <w:proofErr w:type="spellStart"/>
      <w:r w:rsidRPr="00A16C77">
        <w:rPr>
          <w:rFonts w:ascii="Book Antiqua" w:eastAsia="宋体" w:hAnsi="Book Antiqua" w:cs="宋体"/>
          <w:lang w:val="en-US" w:eastAsia="zh-CN"/>
        </w:rPr>
        <w:t>Mazzaferro</w:t>
      </w:r>
      <w:proofErr w:type="spellEnd"/>
      <w:r w:rsidRPr="00A16C77">
        <w:rPr>
          <w:rFonts w:ascii="Book Antiqua" w:eastAsia="宋体" w:hAnsi="Book Antiqua" w:cs="宋体"/>
          <w:lang w:val="en-US" w:eastAsia="zh-CN"/>
        </w:rPr>
        <w:t xml:space="preserve"> V. </w:t>
      </w:r>
      <w:proofErr w:type="spellStart"/>
      <w:r w:rsidRPr="00A16C77">
        <w:rPr>
          <w:rFonts w:ascii="Book Antiqua" w:eastAsia="宋体" w:hAnsi="Book Antiqua" w:cs="宋体"/>
          <w:lang w:val="en-US" w:eastAsia="zh-CN"/>
        </w:rPr>
        <w:t>Transarterial</w:t>
      </w:r>
      <w:proofErr w:type="spellEnd"/>
      <w:r w:rsidRPr="00A16C77">
        <w:rPr>
          <w:rFonts w:ascii="Book Antiqua" w:eastAsia="宋体" w:hAnsi="Book Antiqua" w:cs="宋体"/>
          <w:lang w:val="en-US" w:eastAsia="zh-CN"/>
        </w:rPr>
        <w:t xml:space="preserve"> chemoembolization for hepatocellular carcinoma with a new generation of beads: clinical-radiological outcomes and safety profile. </w:t>
      </w:r>
      <w:proofErr w:type="spellStart"/>
      <w:r w:rsidRPr="00A16C77">
        <w:rPr>
          <w:rFonts w:ascii="Book Antiqua" w:eastAsia="宋体" w:hAnsi="Book Antiqua" w:cs="宋体"/>
          <w:i/>
          <w:iCs/>
          <w:lang w:val="en-US" w:eastAsia="zh-CN"/>
        </w:rPr>
        <w:t>Cardiovasc</w:t>
      </w:r>
      <w:proofErr w:type="spellEnd"/>
      <w:r w:rsidRPr="00A16C77">
        <w:rPr>
          <w:rFonts w:ascii="Book Antiqua" w:eastAsia="宋体" w:hAnsi="Book Antiqua" w:cs="宋体"/>
          <w:i/>
          <w:iCs/>
          <w:lang w:val="en-US" w:eastAsia="zh-CN"/>
        </w:rPr>
        <w:t xml:space="preserve"> </w:t>
      </w:r>
      <w:proofErr w:type="spellStart"/>
      <w:r w:rsidRPr="00A16C77">
        <w:rPr>
          <w:rFonts w:ascii="Book Antiqua" w:eastAsia="宋体" w:hAnsi="Book Antiqua" w:cs="宋体"/>
          <w:i/>
          <w:iCs/>
          <w:lang w:val="en-US" w:eastAsia="zh-CN"/>
        </w:rPr>
        <w:t>Intervent</w:t>
      </w:r>
      <w:proofErr w:type="spellEnd"/>
      <w:r w:rsidRPr="00A16C77">
        <w:rPr>
          <w:rFonts w:ascii="Book Antiqua" w:eastAsia="宋体" w:hAnsi="Book Antiqua" w:cs="宋体"/>
          <w:i/>
          <w:iCs/>
          <w:lang w:val="en-US" w:eastAsia="zh-CN"/>
        </w:rPr>
        <w:t xml:space="preserve"> </w:t>
      </w:r>
      <w:proofErr w:type="spellStart"/>
      <w:r w:rsidRPr="00A16C77">
        <w:rPr>
          <w:rFonts w:ascii="Book Antiqua" w:eastAsia="宋体" w:hAnsi="Book Antiqua" w:cs="宋体"/>
          <w:i/>
          <w:iCs/>
          <w:lang w:val="en-US" w:eastAsia="zh-CN"/>
        </w:rPr>
        <w:t>Radiol</w:t>
      </w:r>
      <w:proofErr w:type="spellEnd"/>
      <w:r w:rsidRPr="00A16C77">
        <w:rPr>
          <w:rFonts w:ascii="Book Antiqua" w:eastAsia="宋体" w:hAnsi="Book Antiqua" w:cs="宋体"/>
          <w:lang w:val="en-US" w:eastAsia="zh-CN"/>
        </w:rPr>
        <w:t xml:space="preserve"> 2015; </w:t>
      </w:r>
      <w:r w:rsidRPr="00A16C77">
        <w:rPr>
          <w:rFonts w:ascii="Book Antiqua" w:eastAsia="宋体" w:hAnsi="Book Antiqua" w:cs="宋体"/>
          <w:b/>
          <w:bCs/>
          <w:lang w:val="en-US" w:eastAsia="zh-CN"/>
        </w:rPr>
        <w:t>38</w:t>
      </w:r>
      <w:r w:rsidRPr="00A16C77">
        <w:rPr>
          <w:rFonts w:ascii="Book Antiqua" w:eastAsia="宋体" w:hAnsi="Book Antiqua" w:cs="宋体"/>
          <w:lang w:val="en-US" w:eastAsia="zh-CN"/>
        </w:rPr>
        <w:t>: 129-134 [PMID: 24870698 DOI: 10.1007/s00270-014-0907-0]</w:t>
      </w:r>
    </w:p>
    <w:p w:rsidR="00A16C77" w:rsidRPr="00A16C77" w:rsidRDefault="00A16C77" w:rsidP="00A16C77">
      <w:pPr>
        <w:spacing w:line="360" w:lineRule="auto"/>
        <w:jc w:val="both"/>
        <w:rPr>
          <w:rFonts w:ascii="Book Antiqua" w:eastAsia="宋体" w:hAnsi="Book Antiqua" w:cs="宋体"/>
          <w:lang w:val="en-US" w:eastAsia="zh-CN"/>
        </w:rPr>
      </w:pPr>
      <w:r w:rsidRPr="00A16C77">
        <w:rPr>
          <w:rFonts w:ascii="Book Antiqua" w:eastAsia="宋体" w:hAnsi="Book Antiqua" w:cs="宋体"/>
          <w:lang w:val="en-US" w:eastAsia="zh-CN"/>
        </w:rPr>
        <w:t xml:space="preserve">15 </w:t>
      </w:r>
      <w:proofErr w:type="spellStart"/>
      <w:r w:rsidRPr="00A16C77">
        <w:rPr>
          <w:rFonts w:ascii="Book Antiqua" w:eastAsia="宋体" w:hAnsi="Book Antiqua" w:cs="宋体"/>
          <w:b/>
          <w:bCs/>
          <w:lang w:val="en-US" w:eastAsia="zh-CN"/>
        </w:rPr>
        <w:t>Odisio</w:t>
      </w:r>
      <w:proofErr w:type="spellEnd"/>
      <w:r w:rsidRPr="00A16C77">
        <w:rPr>
          <w:rFonts w:ascii="Book Antiqua" w:eastAsia="宋体" w:hAnsi="Book Antiqua" w:cs="宋体"/>
          <w:b/>
          <w:bCs/>
          <w:lang w:val="en-US" w:eastAsia="zh-CN"/>
        </w:rPr>
        <w:t xml:space="preserve"> BC</w:t>
      </w:r>
      <w:r w:rsidRPr="00A16C77">
        <w:rPr>
          <w:rFonts w:ascii="Book Antiqua" w:eastAsia="宋体" w:hAnsi="Book Antiqua" w:cs="宋体"/>
          <w:lang w:val="en-US" w:eastAsia="zh-CN"/>
        </w:rPr>
        <w:t xml:space="preserve">, Ashton A, Yan Y, Wei W, </w:t>
      </w:r>
      <w:proofErr w:type="spellStart"/>
      <w:r w:rsidRPr="00A16C77">
        <w:rPr>
          <w:rFonts w:ascii="Book Antiqua" w:eastAsia="宋体" w:hAnsi="Book Antiqua" w:cs="宋体"/>
          <w:lang w:val="en-US" w:eastAsia="zh-CN"/>
        </w:rPr>
        <w:t>Kaseb</w:t>
      </w:r>
      <w:proofErr w:type="spellEnd"/>
      <w:r w:rsidRPr="00A16C77">
        <w:rPr>
          <w:rFonts w:ascii="Book Antiqua" w:eastAsia="宋体" w:hAnsi="Book Antiqua" w:cs="宋体"/>
          <w:lang w:val="en-US" w:eastAsia="zh-CN"/>
        </w:rPr>
        <w:t xml:space="preserve"> A, Wallace MJ, </w:t>
      </w:r>
      <w:proofErr w:type="spellStart"/>
      <w:r w:rsidRPr="00A16C77">
        <w:rPr>
          <w:rFonts w:ascii="Book Antiqua" w:eastAsia="宋体" w:hAnsi="Book Antiqua" w:cs="宋体"/>
          <w:lang w:val="en-US" w:eastAsia="zh-CN"/>
        </w:rPr>
        <w:t>Vauthey</w:t>
      </w:r>
      <w:proofErr w:type="spellEnd"/>
      <w:r w:rsidRPr="00A16C77">
        <w:rPr>
          <w:rFonts w:ascii="Book Antiqua" w:eastAsia="宋体" w:hAnsi="Book Antiqua" w:cs="宋体"/>
          <w:lang w:val="en-US" w:eastAsia="zh-CN"/>
        </w:rPr>
        <w:t xml:space="preserve"> JN, Gupta S, Tam AL. </w:t>
      </w:r>
      <w:proofErr w:type="spellStart"/>
      <w:r w:rsidRPr="00A16C77">
        <w:rPr>
          <w:rFonts w:ascii="Book Antiqua" w:eastAsia="宋体" w:hAnsi="Book Antiqua" w:cs="宋体"/>
          <w:lang w:val="en-US" w:eastAsia="zh-CN"/>
        </w:rPr>
        <w:t>Transarterial</w:t>
      </w:r>
      <w:proofErr w:type="spellEnd"/>
      <w:r w:rsidRPr="00A16C77">
        <w:rPr>
          <w:rFonts w:ascii="Book Antiqua" w:eastAsia="宋体" w:hAnsi="Book Antiqua" w:cs="宋体"/>
          <w:lang w:val="en-US" w:eastAsia="zh-CN"/>
        </w:rPr>
        <w:t xml:space="preserve"> hepatic chemoembolization with 70-150 µm drug-eluting beads: assessment of clinical safety and liver toxicity profile. </w:t>
      </w:r>
      <w:r w:rsidRPr="00A16C77">
        <w:rPr>
          <w:rFonts w:ascii="Book Antiqua" w:eastAsia="宋体" w:hAnsi="Book Antiqua" w:cs="宋体"/>
          <w:i/>
          <w:iCs/>
          <w:lang w:val="en-US" w:eastAsia="zh-CN"/>
        </w:rPr>
        <w:t xml:space="preserve">J </w:t>
      </w:r>
      <w:proofErr w:type="spellStart"/>
      <w:r w:rsidRPr="00A16C77">
        <w:rPr>
          <w:rFonts w:ascii="Book Antiqua" w:eastAsia="宋体" w:hAnsi="Book Antiqua" w:cs="宋体"/>
          <w:i/>
          <w:iCs/>
          <w:lang w:val="en-US" w:eastAsia="zh-CN"/>
        </w:rPr>
        <w:t>Vasc</w:t>
      </w:r>
      <w:proofErr w:type="spellEnd"/>
      <w:r w:rsidRPr="00A16C77">
        <w:rPr>
          <w:rFonts w:ascii="Book Antiqua" w:eastAsia="宋体" w:hAnsi="Book Antiqua" w:cs="宋体"/>
          <w:i/>
          <w:iCs/>
          <w:lang w:val="en-US" w:eastAsia="zh-CN"/>
        </w:rPr>
        <w:t xml:space="preserve"> </w:t>
      </w:r>
      <w:proofErr w:type="spellStart"/>
      <w:r w:rsidRPr="00A16C77">
        <w:rPr>
          <w:rFonts w:ascii="Book Antiqua" w:eastAsia="宋体" w:hAnsi="Book Antiqua" w:cs="宋体"/>
          <w:i/>
          <w:iCs/>
          <w:lang w:val="en-US" w:eastAsia="zh-CN"/>
        </w:rPr>
        <w:t>Interv</w:t>
      </w:r>
      <w:proofErr w:type="spellEnd"/>
      <w:r w:rsidRPr="00A16C77">
        <w:rPr>
          <w:rFonts w:ascii="Book Antiqua" w:eastAsia="宋体" w:hAnsi="Book Antiqua" w:cs="宋体"/>
          <w:i/>
          <w:iCs/>
          <w:lang w:val="en-US" w:eastAsia="zh-CN"/>
        </w:rPr>
        <w:t xml:space="preserve"> </w:t>
      </w:r>
      <w:proofErr w:type="spellStart"/>
      <w:r w:rsidRPr="00A16C77">
        <w:rPr>
          <w:rFonts w:ascii="Book Antiqua" w:eastAsia="宋体" w:hAnsi="Book Antiqua" w:cs="宋体"/>
          <w:i/>
          <w:iCs/>
          <w:lang w:val="en-US" w:eastAsia="zh-CN"/>
        </w:rPr>
        <w:t>Radiol</w:t>
      </w:r>
      <w:proofErr w:type="spellEnd"/>
      <w:r w:rsidRPr="00A16C77">
        <w:rPr>
          <w:rFonts w:ascii="Book Antiqua" w:eastAsia="宋体" w:hAnsi="Book Antiqua" w:cs="宋体"/>
          <w:lang w:val="en-US" w:eastAsia="zh-CN"/>
        </w:rPr>
        <w:t xml:space="preserve"> 2015; </w:t>
      </w:r>
      <w:r w:rsidRPr="00A16C77">
        <w:rPr>
          <w:rFonts w:ascii="Book Antiqua" w:eastAsia="宋体" w:hAnsi="Book Antiqua" w:cs="宋体"/>
          <w:b/>
          <w:bCs/>
          <w:lang w:val="en-US" w:eastAsia="zh-CN"/>
        </w:rPr>
        <w:t>26</w:t>
      </w:r>
      <w:r w:rsidRPr="00A16C77">
        <w:rPr>
          <w:rFonts w:ascii="Book Antiqua" w:eastAsia="宋体" w:hAnsi="Book Antiqua" w:cs="宋体"/>
          <w:lang w:val="en-US" w:eastAsia="zh-CN"/>
        </w:rPr>
        <w:t>: 965-971 [PMID: 25979305 DOI: 10.1016/j.jvir.2015.03.020]</w:t>
      </w:r>
    </w:p>
    <w:p w:rsidR="00A16C77" w:rsidRPr="00A16C77" w:rsidRDefault="00A16C77" w:rsidP="00A16C77">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16 </w:t>
      </w:r>
      <w:proofErr w:type="spellStart"/>
      <w:r w:rsidRPr="00A16C77">
        <w:rPr>
          <w:rFonts w:ascii="Book Antiqua" w:eastAsia="宋体" w:hAnsi="Book Antiqua" w:cs="宋体"/>
          <w:b/>
          <w:lang w:val="en-US" w:eastAsia="zh-CN"/>
        </w:rPr>
        <w:t>Blümmel</w:t>
      </w:r>
      <w:proofErr w:type="spellEnd"/>
      <w:r w:rsidRPr="00A16C77">
        <w:rPr>
          <w:rFonts w:ascii="Book Antiqua" w:eastAsia="宋体" w:hAnsi="Book Antiqua" w:cs="宋体"/>
          <w:b/>
          <w:lang w:val="en-US" w:eastAsia="zh-CN"/>
        </w:rPr>
        <w:t xml:space="preserve"> J</w:t>
      </w:r>
      <w:r w:rsidRPr="00A16C77">
        <w:rPr>
          <w:rFonts w:ascii="Book Antiqua" w:eastAsia="宋体" w:hAnsi="Book Antiqua" w:cs="宋体"/>
          <w:lang w:val="en-US" w:eastAsia="zh-CN"/>
        </w:rPr>
        <w:t xml:space="preserve">, Reinhardt S, </w:t>
      </w:r>
      <w:proofErr w:type="spellStart"/>
      <w:r w:rsidRPr="00A16C77">
        <w:rPr>
          <w:rFonts w:ascii="Book Antiqua" w:eastAsia="宋体" w:hAnsi="Book Antiqua" w:cs="宋体"/>
          <w:lang w:val="en-US" w:eastAsia="zh-CN"/>
        </w:rPr>
        <w:t>Schäfer</w:t>
      </w:r>
      <w:proofErr w:type="spellEnd"/>
      <w:r w:rsidRPr="00A16C77">
        <w:rPr>
          <w:rFonts w:ascii="Book Antiqua" w:eastAsia="宋体" w:hAnsi="Book Antiqua" w:cs="宋体"/>
          <w:lang w:val="en-US" w:eastAsia="zh-CN"/>
        </w:rPr>
        <w:t xml:space="preserve"> M, Gilbert C, Sun L, </w:t>
      </w:r>
      <w:proofErr w:type="spellStart"/>
      <w:r w:rsidRPr="00A16C77">
        <w:rPr>
          <w:rFonts w:ascii="Book Antiqua" w:eastAsia="宋体" w:hAnsi="Book Antiqua" w:cs="宋体"/>
          <w:lang w:val="en-US" w:eastAsia="zh-CN"/>
        </w:rPr>
        <w:t>Ren</w:t>
      </w:r>
      <w:proofErr w:type="spellEnd"/>
      <w:r w:rsidRPr="00A16C77">
        <w:rPr>
          <w:rFonts w:ascii="Book Antiqua" w:eastAsia="宋体" w:hAnsi="Book Antiqua" w:cs="宋体"/>
          <w:lang w:val="en-US" w:eastAsia="zh-CN"/>
        </w:rPr>
        <w:t xml:space="preserve"> J. Drug-eluting Beads in the Treatment of Hepatocellular Carcinoma and Colorectal Cancer Metastases to the Liver. </w:t>
      </w:r>
      <w:proofErr w:type="spellStart"/>
      <w:r w:rsidRPr="00A16C77">
        <w:rPr>
          <w:rFonts w:ascii="Book Antiqua" w:eastAsia="宋体" w:hAnsi="Book Antiqua" w:cs="宋体"/>
          <w:i/>
          <w:lang w:val="en-US" w:eastAsia="zh-CN"/>
        </w:rPr>
        <w:t>Eur</w:t>
      </w:r>
      <w:proofErr w:type="spellEnd"/>
      <w:r w:rsidRPr="00A16C77">
        <w:rPr>
          <w:rFonts w:ascii="Book Antiqua" w:eastAsia="宋体" w:hAnsi="Book Antiqua" w:cs="宋体"/>
          <w:i/>
          <w:lang w:val="en-US" w:eastAsia="zh-CN"/>
        </w:rPr>
        <w:t xml:space="preserve"> </w:t>
      </w:r>
      <w:proofErr w:type="spellStart"/>
      <w:r w:rsidRPr="00A16C77">
        <w:rPr>
          <w:rFonts w:ascii="Book Antiqua" w:eastAsia="宋体" w:hAnsi="Book Antiqua" w:cs="宋体"/>
          <w:i/>
          <w:lang w:val="en-US" w:eastAsia="zh-CN"/>
        </w:rPr>
        <w:t>Oncol</w:t>
      </w:r>
      <w:proofErr w:type="spellEnd"/>
      <w:r w:rsidRPr="00A16C77">
        <w:rPr>
          <w:rFonts w:ascii="Book Antiqua" w:eastAsia="宋体" w:hAnsi="Book Antiqua" w:cs="宋体"/>
          <w:i/>
          <w:lang w:val="en-US" w:eastAsia="zh-CN"/>
        </w:rPr>
        <w:t xml:space="preserve"> </w:t>
      </w:r>
      <w:proofErr w:type="spellStart"/>
      <w:r w:rsidRPr="00A16C77">
        <w:rPr>
          <w:rFonts w:ascii="Book Antiqua" w:eastAsia="宋体" w:hAnsi="Book Antiqua" w:cs="宋体"/>
          <w:i/>
          <w:lang w:val="en-US" w:eastAsia="zh-CN"/>
        </w:rPr>
        <w:t>Haematol</w:t>
      </w:r>
      <w:proofErr w:type="spellEnd"/>
      <w:r w:rsidRPr="00A16C77">
        <w:rPr>
          <w:rFonts w:ascii="Book Antiqua" w:eastAsia="宋体" w:hAnsi="Book Antiqua" w:cs="宋体"/>
          <w:lang w:val="en-US" w:eastAsia="zh-CN"/>
        </w:rPr>
        <w:t xml:space="preserve"> 2012;</w:t>
      </w:r>
      <w:r w:rsidRPr="00A16C77">
        <w:rPr>
          <w:rFonts w:ascii="Book Antiqua" w:eastAsia="宋体" w:hAnsi="Book Antiqua" w:cs="宋体"/>
          <w:b/>
          <w:lang w:val="en-US" w:eastAsia="zh-CN"/>
        </w:rPr>
        <w:t xml:space="preserve"> 8</w:t>
      </w:r>
      <w:r w:rsidRPr="00A16C77">
        <w:rPr>
          <w:rFonts w:ascii="Book Antiqua" w:eastAsia="宋体" w:hAnsi="Book Antiqua" w:cs="宋体"/>
          <w:lang w:val="en-US" w:eastAsia="zh-CN"/>
        </w:rPr>
        <w:t>: 162-166 [DOI: 10.17925/EOH.2012.08.3.162]</w:t>
      </w:r>
    </w:p>
    <w:p w:rsidR="00A16C77" w:rsidRPr="00A16C77" w:rsidRDefault="00A16C77" w:rsidP="00A16C77">
      <w:pPr>
        <w:spacing w:line="360" w:lineRule="auto"/>
        <w:jc w:val="both"/>
        <w:rPr>
          <w:rFonts w:ascii="Book Antiqua" w:eastAsia="宋体" w:hAnsi="Book Antiqua" w:cs="宋体"/>
          <w:lang w:val="en-US" w:eastAsia="zh-CN"/>
        </w:rPr>
      </w:pPr>
      <w:r w:rsidRPr="00A16C77">
        <w:rPr>
          <w:rFonts w:ascii="Book Antiqua" w:eastAsia="宋体" w:hAnsi="Book Antiqua" w:cs="宋体"/>
          <w:lang w:val="en-US" w:eastAsia="zh-CN"/>
        </w:rPr>
        <w:t xml:space="preserve">17 </w:t>
      </w:r>
      <w:proofErr w:type="spellStart"/>
      <w:r w:rsidRPr="00A16C77">
        <w:rPr>
          <w:rFonts w:ascii="Book Antiqua" w:eastAsia="宋体" w:hAnsi="Book Antiqua" w:cs="宋体"/>
          <w:b/>
          <w:bCs/>
          <w:lang w:val="en-US" w:eastAsia="zh-CN"/>
        </w:rPr>
        <w:t>Lencioni</w:t>
      </w:r>
      <w:proofErr w:type="spellEnd"/>
      <w:r w:rsidRPr="00A16C77">
        <w:rPr>
          <w:rFonts w:ascii="Book Antiqua" w:eastAsia="宋体" w:hAnsi="Book Antiqua" w:cs="宋体"/>
          <w:b/>
          <w:bCs/>
          <w:lang w:val="en-US" w:eastAsia="zh-CN"/>
        </w:rPr>
        <w:t xml:space="preserve"> R</w:t>
      </w:r>
      <w:r w:rsidRPr="00A16C77">
        <w:rPr>
          <w:rFonts w:ascii="Book Antiqua" w:eastAsia="宋体" w:hAnsi="Book Antiqua" w:cs="宋体"/>
          <w:lang w:val="en-US" w:eastAsia="zh-CN"/>
        </w:rPr>
        <w:t xml:space="preserve">, de </w:t>
      </w:r>
      <w:proofErr w:type="spellStart"/>
      <w:r w:rsidRPr="00A16C77">
        <w:rPr>
          <w:rFonts w:ascii="Book Antiqua" w:eastAsia="宋体" w:hAnsi="Book Antiqua" w:cs="宋体"/>
          <w:lang w:val="en-US" w:eastAsia="zh-CN"/>
        </w:rPr>
        <w:t>Baere</w:t>
      </w:r>
      <w:proofErr w:type="spellEnd"/>
      <w:r w:rsidRPr="00A16C77">
        <w:rPr>
          <w:rFonts w:ascii="Book Antiqua" w:eastAsia="宋体" w:hAnsi="Book Antiqua" w:cs="宋体"/>
          <w:lang w:val="en-US" w:eastAsia="zh-CN"/>
        </w:rPr>
        <w:t xml:space="preserve"> T, </w:t>
      </w:r>
      <w:proofErr w:type="spellStart"/>
      <w:r w:rsidRPr="00A16C77">
        <w:rPr>
          <w:rFonts w:ascii="Book Antiqua" w:eastAsia="宋体" w:hAnsi="Book Antiqua" w:cs="宋体"/>
          <w:lang w:val="en-US" w:eastAsia="zh-CN"/>
        </w:rPr>
        <w:t>Burrel</w:t>
      </w:r>
      <w:proofErr w:type="spellEnd"/>
      <w:r w:rsidRPr="00A16C77">
        <w:rPr>
          <w:rFonts w:ascii="Book Antiqua" w:eastAsia="宋体" w:hAnsi="Book Antiqua" w:cs="宋体"/>
          <w:lang w:val="en-US" w:eastAsia="zh-CN"/>
        </w:rPr>
        <w:t xml:space="preserve"> M, </w:t>
      </w:r>
      <w:proofErr w:type="spellStart"/>
      <w:r w:rsidRPr="00A16C77">
        <w:rPr>
          <w:rFonts w:ascii="Book Antiqua" w:eastAsia="宋体" w:hAnsi="Book Antiqua" w:cs="宋体"/>
          <w:lang w:val="en-US" w:eastAsia="zh-CN"/>
        </w:rPr>
        <w:t>Caridi</w:t>
      </w:r>
      <w:proofErr w:type="spellEnd"/>
      <w:r w:rsidRPr="00A16C77">
        <w:rPr>
          <w:rFonts w:ascii="Book Antiqua" w:eastAsia="宋体" w:hAnsi="Book Antiqua" w:cs="宋体"/>
          <w:lang w:val="en-US" w:eastAsia="zh-CN"/>
        </w:rPr>
        <w:t xml:space="preserve"> JG, </w:t>
      </w:r>
      <w:proofErr w:type="spellStart"/>
      <w:r w:rsidRPr="00A16C77">
        <w:rPr>
          <w:rFonts w:ascii="Book Antiqua" w:eastAsia="宋体" w:hAnsi="Book Antiqua" w:cs="宋体"/>
          <w:lang w:val="en-US" w:eastAsia="zh-CN"/>
        </w:rPr>
        <w:t>Lammer</w:t>
      </w:r>
      <w:proofErr w:type="spellEnd"/>
      <w:r w:rsidRPr="00A16C77">
        <w:rPr>
          <w:rFonts w:ascii="Book Antiqua" w:eastAsia="宋体" w:hAnsi="Book Antiqua" w:cs="宋体"/>
          <w:lang w:val="en-US" w:eastAsia="zh-CN"/>
        </w:rPr>
        <w:t xml:space="preserve"> J, </w:t>
      </w:r>
      <w:proofErr w:type="spellStart"/>
      <w:r w:rsidRPr="00A16C77">
        <w:rPr>
          <w:rFonts w:ascii="Book Antiqua" w:eastAsia="宋体" w:hAnsi="Book Antiqua" w:cs="宋体"/>
          <w:lang w:val="en-US" w:eastAsia="zh-CN"/>
        </w:rPr>
        <w:t>Malagari</w:t>
      </w:r>
      <w:proofErr w:type="spellEnd"/>
      <w:r w:rsidRPr="00A16C77">
        <w:rPr>
          <w:rFonts w:ascii="Book Antiqua" w:eastAsia="宋体" w:hAnsi="Book Antiqua" w:cs="宋体"/>
          <w:lang w:val="en-US" w:eastAsia="zh-CN"/>
        </w:rPr>
        <w:t xml:space="preserve"> K, Martin RC, O'Grady E, Real MI, </w:t>
      </w:r>
      <w:proofErr w:type="spellStart"/>
      <w:r w:rsidRPr="00A16C77">
        <w:rPr>
          <w:rFonts w:ascii="Book Antiqua" w:eastAsia="宋体" w:hAnsi="Book Antiqua" w:cs="宋体"/>
          <w:lang w:val="en-US" w:eastAsia="zh-CN"/>
        </w:rPr>
        <w:t>Vogl</w:t>
      </w:r>
      <w:proofErr w:type="spellEnd"/>
      <w:r w:rsidRPr="00A16C77">
        <w:rPr>
          <w:rFonts w:ascii="Book Antiqua" w:eastAsia="宋体" w:hAnsi="Book Antiqua" w:cs="宋体"/>
          <w:lang w:val="en-US" w:eastAsia="zh-CN"/>
        </w:rPr>
        <w:t xml:space="preserve"> TJ, Watkinson A, </w:t>
      </w:r>
      <w:proofErr w:type="spellStart"/>
      <w:r w:rsidRPr="00A16C77">
        <w:rPr>
          <w:rFonts w:ascii="Book Antiqua" w:eastAsia="宋体" w:hAnsi="Book Antiqua" w:cs="宋体"/>
          <w:lang w:val="en-US" w:eastAsia="zh-CN"/>
        </w:rPr>
        <w:t>Geschwind</w:t>
      </w:r>
      <w:proofErr w:type="spellEnd"/>
      <w:r w:rsidRPr="00A16C77">
        <w:rPr>
          <w:rFonts w:ascii="Book Antiqua" w:eastAsia="宋体" w:hAnsi="Book Antiqua" w:cs="宋体"/>
          <w:lang w:val="en-US" w:eastAsia="zh-CN"/>
        </w:rPr>
        <w:t xml:space="preserve"> JF. </w:t>
      </w:r>
      <w:proofErr w:type="spellStart"/>
      <w:r w:rsidRPr="00A16C77">
        <w:rPr>
          <w:rFonts w:ascii="Book Antiqua" w:eastAsia="宋体" w:hAnsi="Book Antiqua" w:cs="宋体"/>
          <w:lang w:val="en-US" w:eastAsia="zh-CN"/>
        </w:rPr>
        <w:t>Transcatheter</w:t>
      </w:r>
      <w:proofErr w:type="spellEnd"/>
      <w:r w:rsidRPr="00A16C77">
        <w:rPr>
          <w:rFonts w:ascii="Book Antiqua" w:eastAsia="宋体" w:hAnsi="Book Antiqua" w:cs="宋体"/>
          <w:lang w:val="en-US" w:eastAsia="zh-CN"/>
        </w:rPr>
        <w:t xml:space="preserve"> treatment of </w:t>
      </w:r>
      <w:r w:rsidRPr="00A16C77">
        <w:rPr>
          <w:rFonts w:ascii="Book Antiqua" w:eastAsia="宋体" w:hAnsi="Book Antiqua" w:cs="宋体"/>
          <w:lang w:val="en-US" w:eastAsia="zh-CN"/>
        </w:rPr>
        <w:lastRenderedPageBreak/>
        <w:t xml:space="preserve">hepatocellular carcinoma with Doxorubicin-loaded DC Bead (DEBDOX): technical recommendations. </w:t>
      </w:r>
      <w:proofErr w:type="spellStart"/>
      <w:r w:rsidRPr="00A16C77">
        <w:rPr>
          <w:rFonts w:ascii="Book Antiqua" w:eastAsia="宋体" w:hAnsi="Book Antiqua" w:cs="宋体"/>
          <w:i/>
          <w:iCs/>
          <w:lang w:val="en-US" w:eastAsia="zh-CN"/>
        </w:rPr>
        <w:t>Cardiovasc</w:t>
      </w:r>
      <w:proofErr w:type="spellEnd"/>
      <w:r w:rsidRPr="00A16C77">
        <w:rPr>
          <w:rFonts w:ascii="Book Antiqua" w:eastAsia="宋体" w:hAnsi="Book Antiqua" w:cs="宋体"/>
          <w:i/>
          <w:iCs/>
          <w:lang w:val="en-US" w:eastAsia="zh-CN"/>
        </w:rPr>
        <w:t xml:space="preserve"> </w:t>
      </w:r>
      <w:proofErr w:type="spellStart"/>
      <w:r w:rsidRPr="00A16C77">
        <w:rPr>
          <w:rFonts w:ascii="Book Antiqua" w:eastAsia="宋体" w:hAnsi="Book Antiqua" w:cs="宋体"/>
          <w:i/>
          <w:iCs/>
          <w:lang w:val="en-US" w:eastAsia="zh-CN"/>
        </w:rPr>
        <w:t>Intervent</w:t>
      </w:r>
      <w:proofErr w:type="spellEnd"/>
      <w:r w:rsidRPr="00A16C77">
        <w:rPr>
          <w:rFonts w:ascii="Book Antiqua" w:eastAsia="宋体" w:hAnsi="Book Antiqua" w:cs="宋体"/>
          <w:i/>
          <w:iCs/>
          <w:lang w:val="en-US" w:eastAsia="zh-CN"/>
        </w:rPr>
        <w:t xml:space="preserve"> </w:t>
      </w:r>
      <w:proofErr w:type="spellStart"/>
      <w:r w:rsidRPr="00A16C77">
        <w:rPr>
          <w:rFonts w:ascii="Book Antiqua" w:eastAsia="宋体" w:hAnsi="Book Antiqua" w:cs="宋体"/>
          <w:i/>
          <w:iCs/>
          <w:lang w:val="en-US" w:eastAsia="zh-CN"/>
        </w:rPr>
        <w:t>Radiol</w:t>
      </w:r>
      <w:proofErr w:type="spellEnd"/>
      <w:r w:rsidRPr="00A16C77">
        <w:rPr>
          <w:rFonts w:ascii="Book Antiqua" w:eastAsia="宋体" w:hAnsi="Book Antiqua" w:cs="宋体"/>
          <w:lang w:val="en-US" w:eastAsia="zh-CN"/>
        </w:rPr>
        <w:t xml:space="preserve"> 2012; </w:t>
      </w:r>
      <w:r w:rsidRPr="00A16C77">
        <w:rPr>
          <w:rFonts w:ascii="Book Antiqua" w:eastAsia="宋体" w:hAnsi="Book Antiqua" w:cs="宋体"/>
          <w:b/>
          <w:bCs/>
          <w:lang w:val="en-US" w:eastAsia="zh-CN"/>
        </w:rPr>
        <w:t>35</w:t>
      </w:r>
      <w:r w:rsidRPr="00A16C77">
        <w:rPr>
          <w:rFonts w:ascii="Book Antiqua" w:eastAsia="宋体" w:hAnsi="Book Antiqua" w:cs="宋体"/>
          <w:lang w:val="en-US" w:eastAsia="zh-CN"/>
        </w:rPr>
        <w:t>: 980-985 [PMID: 22009576 DOI: 10.1007/s00270-011-0287-7]</w:t>
      </w:r>
    </w:p>
    <w:p w:rsidR="00A16C77" w:rsidRPr="00A16C77" w:rsidRDefault="00A16C77" w:rsidP="00A16C77">
      <w:pPr>
        <w:spacing w:line="360" w:lineRule="auto"/>
        <w:jc w:val="both"/>
        <w:rPr>
          <w:rFonts w:ascii="Book Antiqua" w:eastAsia="宋体" w:hAnsi="Book Antiqua" w:cs="宋体"/>
          <w:lang w:val="en-US" w:eastAsia="zh-CN"/>
        </w:rPr>
      </w:pPr>
      <w:r w:rsidRPr="00A16C77">
        <w:rPr>
          <w:rFonts w:ascii="Book Antiqua" w:eastAsia="宋体" w:hAnsi="Book Antiqua" w:cs="宋体"/>
          <w:lang w:val="en-US" w:eastAsia="zh-CN"/>
        </w:rPr>
        <w:t xml:space="preserve">18 </w:t>
      </w:r>
      <w:proofErr w:type="spellStart"/>
      <w:r w:rsidRPr="00A16C77">
        <w:rPr>
          <w:rFonts w:ascii="Book Antiqua" w:eastAsia="宋体" w:hAnsi="Book Antiqua" w:cs="宋体"/>
          <w:b/>
          <w:bCs/>
          <w:lang w:val="en-US" w:eastAsia="zh-CN"/>
        </w:rPr>
        <w:t>Malagari</w:t>
      </w:r>
      <w:proofErr w:type="spellEnd"/>
      <w:r w:rsidRPr="00A16C77">
        <w:rPr>
          <w:rFonts w:ascii="Book Antiqua" w:eastAsia="宋体" w:hAnsi="Book Antiqua" w:cs="宋体"/>
          <w:b/>
          <w:bCs/>
          <w:lang w:val="en-US" w:eastAsia="zh-CN"/>
        </w:rPr>
        <w:t xml:space="preserve"> K</w:t>
      </w:r>
      <w:r w:rsidRPr="00A16C77">
        <w:rPr>
          <w:rFonts w:ascii="Book Antiqua" w:eastAsia="宋体" w:hAnsi="Book Antiqua" w:cs="宋体"/>
          <w:lang w:val="en-US" w:eastAsia="zh-CN"/>
        </w:rPr>
        <w:t xml:space="preserve">, </w:t>
      </w:r>
      <w:proofErr w:type="spellStart"/>
      <w:r w:rsidRPr="00A16C77">
        <w:rPr>
          <w:rFonts w:ascii="Book Antiqua" w:eastAsia="宋体" w:hAnsi="Book Antiqua" w:cs="宋体"/>
          <w:lang w:val="en-US" w:eastAsia="zh-CN"/>
        </w:rPr>
        <w:t>Pomoni</w:t>
      </w:r>
      <w:proofErr w:type="spellEnd"/>
      <w:r w:rsidRPr="00A16C77">
        <w:rPr>
          <w:rFonts w:ascii="Book Antiqua" w:eastAsia="宋体" w:hAnsi="Book Antiqua" w:cs="宋体"/>
          <w:lang w:val="en-US" w:eastAsia="zh-CN"/>
        </w:rPr>
        <w:t xml:space="preserve"> M, </w:t>
      </w:r>
      <w:proofErr w:type="spellStart"/>
      <w:r w:rsidRPr="00A16C77">
        <w:rPr>
          <w:rFonts w:ascii="Book Antiqua" w:eastAsia="宋体" w:hAnsi="Book Antiqua" w:cs="宋体"/>
          <w:lang w:val="en-US" w:eastAsia="zh-CN"/>
        </w:rPr>
        <w:t>Moschouris</w:t>
      </w:r>
      <w:proofErr w:type="spellEnd"/>
      <w:r w:rsidRPr="00A16C77">
        <w:rPr>
          <w:rFonts w:ascii="Book Antiqua" w:eastAsia="宋体" w:hAnsi="Book Antiqua" w:cs="宋体"/>
          <w:lang w:val="en-US" w:eastAsia="zh-CN"/>
        </w:rPr>
        <w:t xml:space="preserve"> H, </w:t>
      </w:r>
      <w:proofErr w:type="spellStart"/>
      <w:r w:rsidRPr="00A16C77">
        <w:rPr>
          <w:rFonts w:ascii="Book Antiqua" w:eastAsia="宋体" w:hAnsi="Book Antiqua" w:cs="宋体"/>
          <w:lang w:val="en-US" w:eastAsia="zh-CN"/>
        </w:rPr>
        <w:t>Kelekis</w:t>
      </w:r>
      <w:proofErr w:type="spellEnd"/>
      <w:r w:rsidRPr="00A16C77">
        <w:rPr>
          <w:rFonts w:ascii="Book Antiqua" w:eastAsia="宋体" w:hAnsi="Book Antiqua" w:cs="宋体"/>
          <w:lang w:val="en-US" w:eastAsia="zh-CN"/>
        </w:rPr>
        <w:t xml:space="preserve"> A, </w:t>
      </w:r>
      <w:proofErr w:type="spellStart"/>
      <w:r w:rsidRPr="00A16C77">
        <w:rPr>
          <w:rFonts w:ascii="Book Antiqua" w:eastAsia="宋体" w:hAnsi="Book Antiqua" w:cs="宋体"/>
          <w:lang w:val="en-US" w:eastAsia="zh-CN"/>
        </w:rPr>
        <w:t>Charokopakis</w:t>
      </w:r>
      <w:proofErr w:type="spellEnd"/>
      <w:r w:rsidRPr="00A16C77">
        <w:rPr>
          <w:rFonts w:ascii="Book Antiqua" w:eastAsia="宋体" w:hAnsi="Book Antiqua" w:cs="宋体"/>
          <w:lang w:val="en-US" w:eastAsia="zh-CN"/>
        </w:rPr>
        <w:t xml:space="preserve"> A, </w:t>
      </w:r>
      <w:proofErr w:type="spellStart"/>
      <w:r w:rsidRPr="00A16C77">
        <w:rPr>
          <w:rFonts w:ascii="Book Antiqua" w:eastAsia="宋体" w:hAnsi="Book Antiqua" w:cs="宋体"/>
          <w:lang w:val="en-US" w:eastAsia="zh-CN"/>
        </w:rPr>
        <w:t>Bouma</w:t>
      </w:r>
      <w:proofErr w:type="spellEnd"/>
      <w:r w:rsidRPr="00A16C77">
        <w:rPr>
          <w:rFonts w:ascii="Book Antiqua" w:eastAsia="宋体" w:hAnsi="Book Antiqua" w:cs="宋体"/>
          <w:lang w:val="en-US" w:eastAsia="zh-CN"/>
        </w:rPr>
        <w:t xml:space="preserve"> E, </w:t>
      </w:r>
      <w:proofErr w:type="spellStart"/>
      <w:r w:rsidRPr="00A16C77">
        <w:rPr>
          <w:rFonts w:ascii="Book Antiqua" w:eastAsia="宋体" w:hAnsi="Book Antiqua" w:cs="宋体"/>
          <w:lang w:val="en-US" w:eastAsia="zh-CN"/>
        </w:rPr>
        <w:t>Spyridopoulos</w:t>
      </w:r>
      <w:proofErr w:type="spellEnd"/>
      <w:r w:rsidRPr="00A16C77">
        <w:rPr>
          <w:rFonts w:ascii="Book Antiqua" w:eastAsia="宋体" w:hAnsi="Book Antiqua" w:cs="宋体"/>
          <w:lang w:val="en-US" w:eastAsia="zh-CN"/>
        </w:rPr>
        <w:t xml:space="preserve"> T, </w:t>
      </w:r>
      <w:proofErr w:type="spellStart"/>
      <w:r w:rsidRPr="00A16C77">
        <w:rPr>
          <w:rFonts w:ascii="Book Antiqua" w:eastAsia="宋体" w:hAnsi="Book Antiqua" w:cs="宋体"/>
          <w:lang w:val="en-US" w:eastAsia="zh-CN"/>
        </w:rPr>
        <w:t>Chatziioannou</w:t>
      </w:r>
      <w:proofErr w:type="spellEnd"/>
      <w:r w:rsidRPr="00A16C77">
        <w:rPr>
          <w:rFonts w:ascii="Book Antiqua" w:eastAsia="宋体" w:hAnsi="Book Antiqua" w:cs="宋体"/>
          <w:lang w:val="en-US" w:eastAsia="zh-CN"/>
        </w:rPr>
        <w:t xml:space="preserve"> A, </w:t>
      </w:r>
      <w:proofErr w:type="spellStart"/>
      <w:r w:rsidRPr="00A16C77">
        <w:rPr>
          <w:rFonts w:ascii="Book Antiqua" w:eastAsia="宋体" w:hAnsi="Book Antiqua" w:cs="宋体"/>
          <w:lang w:val="en-US" w:eastAsia="zh-CN"/>
        </w:rPr>
        <w:t>Sotirchos</w:t>
      </w:r>
      <w:proofErr w:type="spellEnd"/>
      <w:r w:rsidRPr="00A16C77">
        <w:rPr>
          <w:rFonts w:ascii="Book Antiqua" w:eastAsia="宋体" w:hAnsi="Book Antiqua" w:cs="宋体"/>
          <w:lang w:val="en-US" w:eastAsia="zh-CN"/>
        </w:rPr>
        <w:t xml:space="preserve"> V, </w:t>
      </w:r>
      <w:proofErr w:type="spellStart"/>
      <w:r w:rsidRPr="00A16C77">
        <w:rPr>
          <w:rFonts w:ascii="Book Antiqua" w:eastAsia="宋体" w:hAnsi="Book Antiqua" w:cs="宋体"/>
          <w:lang w:val="en-US" w:eastAsia="zh-CN"/>
        </w:rPr>
        <w:t>Karampelas</w:t>
      </w:r>
      <w:proofErr w:type="spellEnd"/>
      <w:r w:rsidRPr="00A16C77">
        <w:rPr>
          <w:rFonts w:ascii="Book Antiqua" w:eastAsia="宋体" w:hAnsi="Book Antiqua" w:cs="宋体"/>
          <w:lang w:val="en-US" w:eastAsia="zh-CN"/>
        </w:rPr>
        <w:t xml:space="preserve"> T, </w:t>
      </w:r>
      <w:proofErr w:type="spellStart"/>
      <w:r w:rsidRPr="00A16C77">
        <w:rPr>
          <w:rFonts w:ascii="Book Antiqua" w:eastAsia="宋体" w:hAnsi="Book Antiqua" w:cs="宋体"/>
          <w:lang w:val="en-US" w:eastAsia="zh-CN"/>
        </w:rPr>
        <w:t>Tamvakopoulos</w:t>
      </w:r>
      <w:proofErr w:type="spellEnd"/>
      <w:r w:rsidRPr="00A16C77">
        <w:rPr>
          <w:rFonts w:ascii="Book Antiqua" w:eastAsia="宋体" w:hAnsi="Book Antiqua" w:cs="宋体"/>
          <w:lang w:val="en-US" w:eastAsia="zh-CN"/>
        </w:rPr>
        <w:t xml:space="preserve"> C, </w:t>
      </w:r>
      <w:proofErr w:type="spellStart"/>
      <w:r w:rsidRPr="00A16C77">
        <w:rPr>
          <w:rFonts w:ascii="Book Antiqua" w:eastAsia="宋体" w:hAnsi="Book Antiqua" w:cs="宋体"/>
          <w:lang w:val="en-US" w:eastAsia="zh-CN"/>
        </w:rPr>
        <w:t>Filippiadis</w:t>
      </w:r>
      <w:proofErr w:type="spellEnd"/>
      <w:r w:rsidRPr="00A16C77">
        <w:rPr>
          <w:rFonts w:ascii="Book Antiqua" w:eastAsia="宋体" w:hAnsi="Book Antiqua" w:cs="宋体"/>
          <w:lang w:val="en-US" w:eastAsia="zh-CN"/>
        </w:rPr>
        <w:t xml:space="preserve"> D, </w:t>
      </w:r>
      <w:proofErr w:type="spellStart"/>
      <w:r w:rsidRPr="00A16C77">
        <w:rPr>
          <w:rFonts w:ascii="Book Antiqua" w:eastAsia="宋体" w:hAnsi="Book Antiqua" w:cs="宋体"/>
          <w:lang w:val="en-US" w:eastAsia="zh-CN"/>
        </w:rPr>
        <w:t>Karagiannis</w:t>
      </w:r>
      <w:proofErr w:type="spellEnd"/>
      <w:r w:rsidRPr="00A16C77">
        <w:rPr>
          <w:rFonts w:ascii="Book Antiqua" w:eastAsia="宋体" w:hAnsi="Book Antiqua" w:cs="宋体"/>
          <w:lang w:val="en-US" w:eastAsia="zh-CN"/>
        </w:rPr>
        <w:t xml:space="preserve"> E, </w:t>
      </w:r>
      <w:proofErr w:type="spellStart"/>
      <w:r w:rsidRPr="00A16C77">
        <w:rPr>
          <w:rFonts w:ascii="Book Antiqua" w:eastAsia="宋体" w:hAnsi="Book Antiqua" w:cs="宋体"/>
          <w:lang w:val="en-US" w:eastAsia="zh-CN"/>
        </w:rPr>
        <w:t>Marinis</w:t>
      </w:r>
      <w:proofErr w:type="spellEnd"/>
      <w:r w:rsidRPr="00A16C77">
        <w:rPr>
          <w:rFonts w:ascii="Book Antiqua" w:eastAsia="宋体" w:hAnsi="Book Antiqua" w:cs="宋体"/>
          <w:lang w:val="en-US" w:eastAsia="zh-CN"/>
        </w:rPr>
        <w:t xml:space="preserve"> A, </w:t>
      </w:r>
      <w:proofErr w:type="spellStart"/>
      <w:r w:rsidRPr="00A16C77">
        <w:rPr>
          <w:rFonts w:ascii="Book Antiqua" w:eastAsia="宋体" w:hAnsi="Book Antiqua" w:cs="宋体"/>
          <w:lang w:val="en-US" w:eastAsia="zh-CN"/>
        </w:rPr>
        <w:t>Koskinas</w:t>
      </w:r>
      <w:proofErr w:type="spellEnd"/>
      <w:r w:rsidRPr="00A16C77">
        <w:rPr>
          <w:rFonts w:ascii="Book Antiqua" w:eastAsia="宋体" w:hAnsi="Book Antiqua" w:cs="宋体"/>
          <w:lang w:val="en-US" w:eastAsia="zh-CN"/>
        </w:rPr>
        <w:t xml:space="preserve"> J, </w:t>
      </w:r>
      <w:proofErr w:type="spellStart"/>
      <w:r w:rsidRPr="00A16C77">
        <w:rPr>
          <w:rFonts w:ascii="Book Antiqua" w:eastAsia="宋体" w:hAnsi="Book Antiqua" w:cs="宋体"/>
          <w:lang w:val="en-US" w:eastAsia="zh-CN"/>
        </w:rPr>
        <w:t>Kelekis</w:t>
      </w:r>
      <w:proofErr w:type="spellEnd"/>
      <w:r w:rsidRPr="00A16C77">
        <w:rPr>
          <w:rFonts w:ascii="Book Antiqua" w:eastAsia="宋体" w:hAnsi="Book Antiqua" w:cs="宋体"/>
          <w:lang w:val="en-US" w:eastAsia="zh-CN"/>
        </w:rPr>
        <w:t xml:space="preserve"> DA. </w:t>
      </w:r>
      <w:proofErr w:type="gramStart"/>
      <w:r w:rsidRPr="00A16C77">
        <w:rPr>
          <w:rFonts w:ascii="Book Antiqua" w:eastAsia="宋体" w:hAnsi="Book Antiqua" w:cs="宋体"/>
          <w:lang w:val="en-US" w:eastAsia="zh-CN"/>
        </w:rPr>
        <w:t xml:space="preserve">Chemoembolization of hepatocellular carcinoma with </w:t>
      </w:r>
      <w:proofErr w:type="spellStart"/>
      <w:r w:rsidRPr="00A16C77">
        <w:rPr>
          <w:rFonts w:ascii="Book Antiqua" w:eastAsia="宋体" w:hAnsi="Book Antiqua" w:cs="宋体"/>
          <w:lang w:val="en-US" w:eastAsia="zh-CN"/>
        </w:rPr>
        <w:t>HepaSphere</w:t>
      </w:r>
      <w:proofErr w:type="spellEnd"/>
      <w:r w:rsidRPr="00A16C77">
        <w:rPr>
          <w:rFonts w:ascii="Book Antiqua" w:eastAsia="宋体" w:hAnsi="Book Antiqua" w:cs="宋体"/>
          <w:lang w:val="en-US" w:eastAsia="zh-CN"/>
        </w:rPr>
        <w:t xml:space="preserve"> 30-60 </w:t>
      </w:r>
      <w:proofErr w:type="spellStart"/>
      <w:r w:rsidRPr="00A16C77">
        <w:rPr>
          <w:rFonts w:ascii="Book Antiqua" w:eastAsia="宋体" w:hAnsi="Book Antiqua" w:cs="宋体"/>
          <w:lang w:val="en-US" w:eastAsia="zh-CN"/>
        </w:rPr>
        <w:t>μm</w:t>
      </w:r>
      <w:proofErr w:type="spellEnd"/>
      <w:r w:rsidRPr="00A16C77">
        <w:rPr>
          <w:rFonts w:ascii="Book Antiqua" w:eastAsia="宋体" w:hAnsi="Book Antiqua" w:cs="宋体"/>
          <w:lang w:val="en-US" w:eastAsia="zh-CN"/>
        </w:rPr>
        <w:t>.</w:t>
      </w:r>
      <w:proofErr w:type="gramEnd"/>
      <w:r w:rsidRPr="00A16C77">
        <w:rPr>
          <w:rFonts w:ascii="Book Antiqua" w:eastAsia="宋体" w:hAnsi="Book Antiqua" w:cs="宋体"/>
          <w:lang w:val="en-US" w:eastAsia="zh-CN"/>
        </w:rPr>
        <w:t xml:space="preserve"> Safety and efficacy study. </w:t>
      </w:r>
      <w:proofErr w:type="spellStart"/>
      <w:r w:rsidRPr="00A16C77">
        <w:rPr>
          <w:rFonts w:ascii="Book Antiqua" w:eastAsia="宋体" w:hAnsi="Book Antiqua" w:cs="宋体"/>
          <w:i/>
          <w:iCs/>
          <w:lang w:val="en-US" w:eastAsia="zh-CN"/>
        </w:rPr>
        <w:t>Cardiovasc</w:t>
      </w:r>
      <w:proofErr w:type="spellEnd"/>
      <w:r w:rsidRPr="00A16C77">
        <w:rPr>
          <w:rFonts w:ascii="Book Antiqua" w:eastAsia="宋体" w:hAnsi="Book Antiqua" w:cs="宋体"/>
          <w:i/>
          <w:iCs/>
          <w:lang w:val="en-US" w:eastAsia="zh-CN"/>
        </w:rPr>
        <w:t xml:space="preserve"> </w:t>
      </w:r>
      <w:proofErr w:type="spellStart"/>
      <w:r w:rsidRPr="00A16C77">
        <w:rPr>
          <w:rFonts w:ascii="Book Antiqua" w:eastAsia="宋体" w:hAnsi="Book Antiqua" w:cs="宋体"/>
          <w:i/>
          <w:iCs/>
          <w:lang w:val="en-US" w:eastAsia="zh-CN"/>
        </w:rPr>
        <w:t>Intervent</w:t>
      </w:r>
      <w:proofErr w:type="spellEnd"/>
      <w:r w:rsidRPr="00A16C77">
        <w:rPr>
          <w:rFonts w:ascii="Book Antiqua" w:eastAsia="宋体" w:hAnsi="Book Antiqua" w:cs="宋体"/>
          <w:i/>
          <w:iCs/>
          <w:lang w:val="en-US" w:eastAsia="zh-CN"/>
        </w:rPr>
        <w:t xml:space="preserve"> </w:t>
      </w:r>
      <w:proofErr w:type="spellStart"/>
      <w:r w:rsidRPr="00A16C77">
        <w:rPr>
          <w:rFonts w:ascii="Book Antiqua" w:eastAsia="宋体" w:hAnsi="Book Antiqua" w:cs="宋体"/>
          <w:i/>
          <w:iCs/>
          <w:lang w:val="en-US" w:eastAsia="zh-CN"/>
        </w:rPr>
        <w:t>Radiol</w:t>
      </w:r>
      <w:proofErr w:type="spellEnd"/>
      <w:r w:rsidRPr="00A16C77">
        <w:rPr>
          <w:rFonts w:ascii="Book Antiqua" w:eastAsia="宋体" w:hAnsi="Book Antiqua" w:cs="宋体"/>
          <w:lang w:val="en-US" w:eastAsia="zh-CN"/>
        </w:rPr>
        <w:t xml:space="preserve"> 2014; </w:t>
      </w:r>
      <w:r w:rsidRPr="00A16C77">
        <w:rPr>
          <w:rFonts w:ascii="Book Antiqua" w:eastAsia="宋体" w:hAnsi="Book Antiqua" w:cs="宋体"/>
          <w:b/>
          <w:bCs/>
          <w:lang w:val="en-US" w:eastAsia="zh-CN"/>
        </w:rPr>
        <w:t>37</w:t>
      </w:r>
      <w:r w:rsidRPr="00A16C77">
        <w:rPr>
          <w:rFonts w:ascii="Book Antiqua" w:eastAsia="宋体" w:hAnsi="Book Antiqua" w:cs="宋体"/>
          <w:lang w:val="en-US" w:eastAsia="zh-CN"/>
        </w:rPr>
        <w:t>: 165-175 [PMID: 24263774 DOI: 10.1007/s00270-013-0777-x]</w:t>
      </w:r>
    </w:p>
    <w:p w:rsidR="00A16C77" w:rsidRPr="00A16C77" w:rsidRDefault="000C277D" w:rsidP="00A16C77">
      <w:pPr>
        <w:spacing w:line="360" w:lineRule="auto"/>
        <w:jc w:val="both"/>
        <w:rPr>
          <w:rFonts w:ascii="Book Antiqua" w:eastAsia="宋体" w:hAnsi="Book Antiqua" w:cs="宋体"/>
          <w:lang w:val="en-US" w:eastAsia="zh-CN"/>
        </w:rPr>
      </w:pPr>
      <w:proofErr w:type="gramStart"/>
      <w:r>
        <w:rPr>
          <w:rFonts w:ascii="Book Antiqua" w:eastAsia="宋体" w:hAnsi="Book Antiqua" w:cs="宋体"/>
          <w:lang w:val="en-US" w:eastAsia="zh-CN"/>
        </w:rPr>
        <w:t xml:space="preserve">19 </w:t>
      </w:r>
      <w:r w:rsidR="00A16C77" w:rsidRPr="00A16C77">
        <w:rPr>
          <w:rFonts w:ascii="Book Antiqua" w:eastAsia="宋体" w:hAnsi="Book Antiqua" w:cs="宋体"/>
          <w:b/>
          <w:lang w:val="en-US" w:eastAsia="zh-CN"/>
        </w:rPr>
        <w:t>National Cancer Institute</w:t>
      </w:r>
      <w:r w:rsidR="00A16C77" w:rsidRPr="00A16C77">
        <w:rPr>
          <w:rFonts w:ascii="Book Antiqua" w:eastAsia="宋体" w:hAnsi="Book Antiqua" w:cs="宋体"/>
          <w:lang w:val="en-US" w:eastAsia="zh-CN"/>
        </w:rPr>
        <w:t>.</w:t>
      </w:r>
      <w:proofErr w:type="gramEnd"/>
      <w:r w:rsidR="00A16C77" w:rsidRPr="00A16C77">
        <w:rPr>
          <w:rFonts w:ascii="Book Antiqua" w:eastAsia="宋体" w:hAnsi="Book Antiqua" w:cs="宋体"/>
          <w:lang w:val="en-US" w:eastAsia="zh-CN"/>
        </w:rPr>
        <w:t xml:space="preserve"> </w:t>
      </w:r>
      <w:proofErr w:type="gramStart"/>
      <w:r w:rsidR="00A16C77" w:rsidRPr="00A16C77">
        <w:rPr>
          <w:rFonts w:ascii="Book Antiqua" w:eastAsia="宋体" w:hAnsi="Book Antiqua" w:cs="宋体"/>
          <w:lang w:val="en-US" w:eastAsia="zh-CN"/>
        </w:rPr>
        <w:t>Common terminology criteria for adverse events v4.0.</w:t>
      </w:r>
      <w:proofErr w:type="gramEnd"/>
      <w:r w:rsidR="00A16C77" w:rsidRPr="00A16C77">
        <w:rPr>
          <w:rFonts w:ascii="Book Antiqua" w:eastAsia="宋体" w:hAnsi="Book Antiqua" w:cs="宋体"/>
          <w:lang w:val="en-US" w:eastAsia="zh-CN"/>
        </w:rPr>
        <w:t xml:space="preserve"> NCI, NIH, DHHS. May 29, 2009. </w:t>
      </w:r>
      <w:proofErr w:type="gramStart"/>
      <w:r w:rsidR="00A16C77" w:rsidRPr="00A16C77">
        <w:rPr>
          <w:rFonts w:ascii="Book Antiqua" w:eastAsia="宋体" w:hAnsi="Book Antiqua" w:cs="宋体"/>
          <w:lang w:val="en-US" w:eastAsia="zh-CN"/>
        </w:rPr>
        <w:t>NIH publication 09-</w:t>
      </w:r>
      <w:r>
        <w:rPr>
          <w:rFonts w:ascii="Book Antiqua" w:eastAsia="宋体" w:hAnsi="Book Antiqua" w:cs="宋体"/>
          <w:lang w:val="en-US" w:eastAsia="zh-CN"/>
        </w:rPr>
        <w:t>7473</w:t>
      </w:r>
      <w:r>
        <w:rPr>
          <w:rFonts w:ascii="Book Antiqua" w:eastAsia="宋体" w:hAnsi="Book Antiqua" w:cs="宋体" w:hint="eastAsia"/>
          <w:lang w:val="en-US" w:eastAsia="zh-CN"/>
        </w:rPr>
        <w:t>.</w:t>
      </w:r>
      <w:proofErr w:type="gramEnd"/>
      <w:r>
        <w:rPr>
          <w:rFonts w:ascii="Book Antiqua" w:eastAsia="宋体" w:hAnsi="Book Antiqua" w:cs="宋体"/>
          <w:lang w:val="en-US" w:eastAsia="zh-CN"/>
        </w:rPr>
        <w:t xml:space="preserve"> Available from: URL: http:</w:t>
      </w:r>
      <w:r w:rsidR="00A16C77" w:rsidRPr="00A16C77">
        <w:rPr>
          <w:rFonts w:ascii="Book Antiqua" w:eastAsia="宋体" w:hAnsi="Book Antiqua" w:cs="宋体"/>
          <w:lang w:val="en-US" w:eastAsia="zh-CN"/>
        </w:rPr>
        <w:t>//www.hrc.govt.nz/sites/default/files/CTCAE manual - DMCC.pdf</w:t>
      </w:r>
    </w:p>
    <w:p w:rsidR="00A16C77" w:rsidRPr="00A16C77" w:rsidRDefault="00A16C77" w:rsidP="00A16C77">
      <w:pPr>
        <w:spacing w:line="360" w:lineRule="auto"/>
        <w:jc w:val="both"/>
        <w:rPr>
          <w:rFonts w:ascii="Book Antiqua" w:eastAsia="宋体" w:hAnsi="Book Antiqua" w:cs="宋体"/>
          <w:lang w:val="en-US" w:eastAsia="zh-CN"/>
        </w:rPr>
      </w:pPr>
      <w:proofErr w:type="gramStart"/>
      <w:r w:rsidRPr="00A16C77">
        <w:rPr>
          <w:rFonts w:ascii="Book Antiqua" w:eastAsia="宋体" w:hAnsi="Book Antiqua" w:cs="宋体"/>
          <w:lang w:val="en-US" w:eastAsia="zh-CN"/>
        </w:rPr>
        <w:t xml:space="preserve">20 </w:t>
      </w:r>
      <w:proofErr w:type="spellStart"/>
      <w:r w:rsidRPr="00A16C77">
        <w:rPr>
          <w:rFonts w:ascii="Book Antiqua" w:eastAsia="宋体" w:hAnsi="Book Antiqua" w:cs="宋体"/>
          <w:b/>
          <w:bCs/>
          <w:lang w:val="en-US" w:eastAsia="zh-CN"/>
        </w:rPr>
        <w:t>Lencioni</w:t>
      </w:r>
      <w:proofErr w:type="spellEnd"/>
      <w:r w:rsidRPr="00A16C77">
        <w:rPr>
          <w:rFonts w:ascii="Book Antiqua" w:eastAsia="宋体" w:hAnsi="Book Antiqua" w:cs="宋体"/>
          <w:b/>
          <w:bCs/>
          <w:lang w:val="en-US" w:eastAsia="zh-CN"/>
        </w:rPr>
        <w:t xml:space="preserve"> R</w:t>
      </w:r>
      <w:r w:rsidRPr="00A16C77">
        <w:rPr>
          <w:rFonts w:ascii="Book Antiqua" w:eastAsia="宋体" w:hAnsi="Book Antiqua" w:cs="宋体"/>
          <w:lang w:val="en-US" w:eastAsia="zh-CN"/>
        </w:rPr>
        <w:t xml:space="preserve">, </w:t>
      </w:r>
      <w:proofErr w:type="spellStart"/>
      <w:r w:rsidRPr="00A16C77">
        <w:rPr>
          <w:rFonts w:ascii="Book Antiqua" w:eastAsia="宋体" w:hAnsi="Book Antiqua" w:cs="宋体"/>
          <w:lang w:val="en-US" w:eastAsia="zh-CN"/>
        </w:rPr>
        <w:t>Llovet</w:t>
      </w:r>
      <w:proofErr w:type="spellEnd"/>
      <w:r w:rsidRPr="00A16C77">
        <w:rPr>
          <w:rFonts w:ascii="Book Antiqua" w:eastAsia="宋体" w:hAnsi="Book Antiqua" w:cs="宋体"/>
          <w:lang w:val="en-US" w:eastAsia="zh-CN"/>
        </w:rPr>
        <w:t xml:space="preserve"> JM.</w:t>
      </w:r>
      <w:proofErr w:type="gramEnd"/>
      <w:r w:rsidRPr="00A16C77">
        <w:rPr>
          <w:rFonts w:ascii="Book Antiqua" w:eastAsia="宋体" w:hAnsi="Book Antiqua" w:cs="宋体"/>
          <w:lang w:val="en-US" w:eastAsia="zh-CN"/>
        </w:rPr>
        <w:t xml:space="preserve"> Modified RECIST (</w:t>
      </w:r>
      <w:proofErr w:type="spellStart"/>
      <w:r w:rsidRPr="00A16C77">
        <w:rPr>
          <w:rFonts w:ascii="Book Antiqua" w:eastAsia="宋体" w:hAnsi="Book Antiqua" w:cs="宋体"/>
          <w:lang w:val="en-US" w:eastAsia="zh-CN"/>
        </w:rPr>
        <w:t>mRECIST</w:t>
      </w:r>
      <w:proofErr w:type="spellEnd"/>
      <w:r w:rsidRPr="00A16C77">
        <w:rPr>
          <w:rFonts w:ascii="Book Antiqua" w:eastAsia="宋体" w:hAnsi="Book Antiqua" w:cs="宋体"/>
          <w:lang w:val="en-US" w:eastAsia="zh-CN"/>
        </w:rPr>
        <w:t xml:space="preserve">) assessment for hepatocellular carcinoma. </w:t>
      </w:r>
      <w:proofErr w:type="spellStart"/>
      <w:r w:rsidRPr="00A16C77">
        <w:rPr>
          <w:rFonts w:ascii="Book Antiqua" w:eastAsia="宋体" w:hAnsi="Book Antiqua" w:cs="宋体"/>
          <w:i/>
          <w:iCs/>
          <w:lang w:val="en-US" w:eastAsia="zh-CN"/>
        </w:rPr>
        <w:t>Semin</w:t>
      </w:r>
      <w:proofErr w:type="spellEnd"/>
      <w:r w:rsidRPr="00A16C77">
        <w:rPr>
          <w:rFonts w:ascii="Book Antiqua" w:eastAsia="宋体" w:hAnsi="Book Antiqua" w:cs="宋体"/>
          <w:i/>
          <w:iCs/>
          <w:lang w:val="en-US" w:eastAsia="zh-CN"/>
        </w:rPr>
        <w:t xml:space="preserve"> Liver Dis</w:t>
      </w:r>
      <w:r w:rsidRPr="00A16C77">
        <w:rPr>
          <w:rFonts w:ascii="Book Antiqua" w:eastAsia="宋体" w:hAnsi="Book Antiqua" w:cs="宋体"/>
          <w:lang w:val="en-US" w:eastAsia="zh-CN"/>
        </w:rPr>
        <w:t xml:space="preserve"> 2010; </w:t>
      </w:r>
      <w:r w:rsidRPr="00A16C77">
        <w:rPr>
          <w:rFonts w:ascii="Book Antiqua" w:eastAsia="宋体" w:hAnsi="Book Antiqua" w:cs="宋体"/>
          <w:b/>
          <w:bCs/>
          <w:lang w:val="en-US" w:eastAsia="zh-CN"/>
        </w:rPr>
        <w:t>30</w:t>
      </w:r>
      <w:r w:rsidRPr="00A16C77">
        <w:rPr>
          <w:rFonts w:ascii="Book Antiqua" w:eastAsia="宋体" w:hAnsi="Book Antiqua" w:cs="宋体"/>
          <w:lang w:val="en-US" w:eastAsia="zh-CN"/>
        </w:rPr>
        <w:t>: 52-60 [PMID: 20175033 DOI: 10.1055/s-0030-1247132]</w:t>
      </w:r>
    </w:p>
    <w:p w:rsidR="00A16C77" w:rsidRPr="00A16C77" w:rsidRDefault="00A16C77" w:rsidP="00A16C77">
      <w:pPr>
        <w:spacing w:line="360" w:lineRule="auto"/>
        <w:jc w:val="both"/>
        <w:rPr>
          <w:rFonts w:ascii="Book Antiqua" w:eastAsia="宋体" w:hAnsi="Book Antiqua" w:cs="宋体"/>
          <w:lang w:val="en-US" w:eastAsia="zh-CN"/>
        </w:rPr>
      </w:pPr>
      <w:r w:rsidRPr="00A16C77">
        <w:rPr>
          <w:rFonts w:ascii="Book Antiqua" w:eastAsia="宋体" w:hAnsi="Book Antiqua" w:cs="宋体"/>
          <w:lang w:val="en-US" w:eastAsia="zh-CN"/>
        </w:rPr>
        <w:t xml:space="preserve">21 </w:t>
      </w:r>
      <w:r w:rsidRPr="00A16C77">
        <w:rPr>
          <w:rFonts w:ascii="Book Antiqua" w:eastAsia="宋体" w:hAnsi="Book Antiqua" w:cs="宋体"/>
          <w:b/>
          <w:bCs/>
          <w:lang w:val="en-US" w:eastAsia="zh-CN"/>
        </w:rPr>
        <w:t>Kim BK</w:t>
      </w:r>
      <w:r w:rsidRPr="00A16C77">
        <w:rPr>
          <w:rFonts w:ascii="Book Antiqua" w:eastAsia="宋体" w:hAnsi="Book Antiqua" w:cs="宋体"/>
          <w:lang w:val="en-US" w:eastAsia="zh-CN"/>
        </w:rPr>
        <w:t xml:space="preserve">, Kim SU, Kim KA, Chung YE, Kim MJ, Park MS, Park JY, Kim do Y, </w:t>
      </w:r>
      <w:proofErr w:type="spellStart"/>
      <w:r w:rsidRPr="00A16C77">
        <w:rPr>
          <w:rFonts w:ascii="Book Antiqua" w:eastAsia="宋体" w:hAnsi="Book Antiqua" w:cs="宋体"/>
          <w:lang w:val="en-US" w:eastAsia="zh-CN"/>
        </w:rPr>
        <w:t>Ahn</w:t>
      </w:r>
      <w:proofErr w:type="spellEnd"/>
      <w:r w:rsidRPr="00A16C77">
        <w:rPr>
          <w:rFonts w:ascii="Book Antiqua" w:eastAsia="宋体" w:hAnsi="Book Antiqua" w:cs="宋体"/>
          <w:lang w:val="en-US" w:eastAsia="zh-CN"/>
        </w:rPr>
        <w:t xml:space="preserve"> SH, Kim MD, Park SI, Won JY, Lee DY, Han KH. Complete response at first chemoembolization is still the most robust predictor for favorable outcome in hepatocellular carcinoma. </w:t>
      </w:r>
      <w:r w:rsidRPr="00A16C77">
        <w:rPr>
          <w:rFonts w:ascii="Book Antiqua" w:eastAsia="宋体" w:hAnsi="Book Antiqua" w:cs="宋体"/>
          <w:i/>
          <w:iCs/>
          <w:lang w:val="en-US" w:eastAsia="zh-CN"/>
        </w:rPr>
        <w:t xml:space="preserve">J </w:t>
      </w:r>
      <w:proofErr w:type="spellStart"/>
      <w:r w:rsidRPr="00A16C77">
        <w:rPr>
          <w:rFonts w:ascii="Book Antiqua" w:eastAsia="宋体" w:hAnsi="Book Antiqua" w:cs="宋体"/>
          <w:i/>
          <w:iCs/>
          <w:lang w:val="en-US" w:eastAsia="zh-CN"/>
        </w:rPr>
        <w:t>Hepatol</w:t>
      </w:r>
      <w:proofErr w:type="spellEnd"/>
      <w:r w:rsidRPr="00A16C77">
        <w:rPr>
          <w:rFonts w:ascii="Book Antiqua" w:eastAsia="宋体" w:hAnsi="Book Antiqua" w:cs="宋体"/>
          <w:lang w:val="en-US" w:eastAsia="zh-CN"/>
        </w:rPr>
        <w:t xml:space="preserve"> 2015; </w:t>
      </w:r>
      <w:r w:rsidRPr="00A16C77">
        <w:rPr>
          <w:rFonts w:ascii="Book Antiqua" w:eastAsia="宋体" w:hAnsi="Book Antiqua" w:cs="宋体"/>
          <w:b/>
          <w:bCs/>
          <w:lang w:val="en-US" w:eastAsia="zh-CN"/>
        </w:rPr>
        <w:t>62</w:t>
      </w:r>
      <w:r w:rsidRPr="00A16C77">
        <w:rPr>
          <w:rFonts w:ascii="Book Antiqua" w:eastAsia="宋体" w:hAnsi="Book Antiqua" w:cs="宋体"/>
          <w:lang w:val="en-US" w:eastAsia="zh-CN"/>
        </w:rPr>
        <w:t>: 1304-1310 [PMID: 25637785 DOI: 10.1016/j.jhep.2015.01.022]</w:t>
      </w:r>
    </w:p>
    <w:p w:rsidR="00A16C77" w:rsidRPr="00A16C77" w:rsidRDefault="00A16C77" w:rsidP="00A16C77">
      <w:pPr>
        <w:spacing w:line="360" w:lineRule="auto"/>
        <w:jc w:val="both"/>
        <w:rPr>
          <w:rFonts w:ascii="Book Antiqua" w:eastAsia="宋体" w:hAnsi="Book Antiqua" w:cs="宋体"/>
          <w:lang w:val="en-US" w:eastAsia="zh-CN"/>
        </w:rPr>
      </w:pPr>
      <w:r w:rsidRPr="00A16C77">
        <w:rPr>
          <w:rFonts w:ascii="Book Antiqua" w:eastAsia="宋体" w:hAnsi="Book Antiqua" w:cs="宋体"/>
          <w:lang w:val="en-US" w:eastAsia="zh-CN"/>
        </w:rPr>
        <w:t xml:space="preserve">22 </w:t>
      </w:r>
      <w:r w:rsidRPr="00A16C77">
        <w:rPr>
          <w:rFonts w:ascii="Book Antiqua" w:eastAsia="宋体" w:hAnsi="Book Antiqua" w:cs="宋体"/>
          <w:b/>
          <w:bCs/>
          <w:lang w:val="en-US" w:eastAsia="zh-CN"/>
        </w:rPr>
        <w:t>Xia J</w:t>
      </w:r>
      <w:r w:rsidRPr="00A16C77">
        <w:rPr>
          <w:rFonts w:ascii="Book Antiqua" w:eastAsia="宋体" w:hAnsi="Book Antiqua" w:cs="宋体"/>
          <w:lang w:val="en-US" w:eastAsia="zh-CN"/>
        </w:rPr>
        <w:t xml:space="preserve">, </w:t>
      </w:r>
      <w:proofErr w:type="spellStart"/>
      <w:r w:rsidRPr="00A16C77">
        <w:rPr>
          <w:rFonts w:ascii="Book Antiqua" w:eastAsia="宋体" w:hAnsi="Book Antiqua" w:cs="宋体"/>
          <w:lang w:val="en-US" w:eastAsia="zh-CN"/>
        </w:rPr>
        <w:t>Ren</w:t>
      </w:r>
      <w:proofErr w:type="spellEnd"/>
      <w:r w:rsidRPr="00A16C77">
        <w:rPr>
          <w:rFonts w:ascii="Book Antiqua" w:eastAsia="宋体" w:hAnsi="Book Antiqua" w:cs="宋体"/>
          <w:lang w:val="en-US" w:eastAsia="zh-CN"/>
        </w:rPr>
        <w:t xml:space="preserve"> Z, Ye S, Sharma D, Lin Z, </w:t>
      </w:r>
      <w:proofErr w:type="spellStart"/>
      <w:r w:rsidRPr="00A16C77">
        <w:rPr>
          <w:rFonts w:ascii="Book Antiqua" w:eastAsia="宋体" w:hAnsi="Book Antiqua" w:cs="宋体"/>
          <w:lang w:val="en-US" w:eastAsia="zh-CN"/>
        </w:rPr>
        <w:t>Gan</w:t>
      </w:r>
      <w:proofErr w:type="spellEnd"/>
      <w:r w:rsidRPr="00A16C77">
        <w:rPr>
          <w:rFonts w:ascii="Book Antiqua" w:eastAsia="宋体" w:hAnsi="Book Antiqua" w:cs="宋体"/>
          <w:lang w:val="en-US" w:eastAsia="zh-CN"/>
        </w:rPr>
        <w:t xml:space="preserve"> Y, Chen Y, </w:t>
      </w:r>
      <w:proofErr w:type="spellStart"/>
      <w:r w:rsidRPr="00A16C77">
        <w:rPr>
          <w:rFonts w:ascii="Book Antiqua" w:eastAsia="宋体" w:hAnsi="Book Antiqua" w:cs="宋体"/>
          <w:lang w:val="en-US" w:eastAsia="zh-CN"/>
        </w:rPr>
        <w:t>Ge</w:t>
      </w:r>
      <w:proofErr w:type="spellEnd"/>
      <w:r w:rsidRPr="00A16C77">
        <w:rPr>
          <w:rFonts w:ascii="Book Antiqua" w:eastAsia="宋体" w:hAnsi="Book Antiqua" w:cs="宋体"/>
          <w:lang w:val="en-US" w:eastAsia="zh-CN"/>
        </w:rPr>
        <w:t xml:space="preserve"> N, Ma Z, Wu Z, Fan J, Qin L, Zhou X, Tang Z, Yang B. Study of severe and rare complications of </w:t>
      </w:r>
      <w:proofErr w:type="spellStart"/>
      <w:r w:rsidRPr="00A16C77">
        <w:rPr>
          <w:rFonts w:ascii="Book Antiqua" w:eastAsia="宋体" w:hAnsi="Book Antiqua" w:cs="宋体"/>
          <w:lang w:val="en-US" w:eastAsia="zh-CN"/>
        </w:rPr>
        <w:t>transarterial</w:t>
      </w:r>
      <w:proofErr w:type="spellEnd"/>
      <w:r w:rsidRPr="00A16C77">
        <w:rPr>
          <w:rFonts w:ascii="Book Antiqua" w:eastAsia="宋体" w:hAnsi="Book Antiqua" w:cs="宋体"/>
          <w:lang w:val="en-US" w:eastAsia="zh-CN"/>
        </w:rPr>
        <w:t xml:space="preserve"> chemoembolization (TACE) for liver cancer. </w:t>
      </w:r>
      <w:proofErr w:type="spellStart"/>
      <w:r w:rsidRPr="00A16C77">
        <w:rPr>
          <w:rFonts w:ascii="Book Antiqua" w:eastAsia="宋体" w:hAnsi="Book Antiqua" w:cs="宋体"/>
          <w:i/>
          <w:iCs/>
          <w:lang w:val="en-US" w:eastAsia="zh-CN"/>
        </w:rPr>
        <w:t>Eur</w:t>
      </w:r>
      <w:proofErr w:type="spellEnd"/>
      <w:r w:rsidRPr="00A16C77">
        <w:rPr>
          <w:rFonts w:ascii="Book Antiqua" w:eastAsia="宋体" w:hAnsi="Book Antiqua" w:cs="宋体"/>
          <w:i/>
          <w:iCs/>
          <w:lang w:val="en-US" w:eastAsia="zh-CN"/>
        </w:rPr>
        <w:t xml:space="preserve"> J </w:t>
      </w:r>
      <w:proofErr w:type="spellStart"/>
      <w:r w:rsidRPr="00A16C77">
        <w:rPr>
          <w:rFonts w:ascii="Book Antiqua" w:eastAsia="宋体" w:hAnsi="Book Antiqua" w:cs="宋体"/>
          <w:i/>
          <w:iCs/>
          <w:lang w:val="en-US" w:eastAsia="zh-CN"/>
        </w:rPr>
        <w:t>Radiol</w:t>
      </w:r>
      <w:proofErr w:type="spellEnd"/>
      <w:r w:rsidRPr="00A16C77">
        <w:rPr>
          <w:rFonts w:ascii="Book Antiqua" w:eastAsia="宋体" w:hAnsi="Book Antiqua" w:cs="宋体"/>
          <w:lang w:val="en-US" w:eastAsia="zh-CN"/>
        </w:rPr>
        <w:t xml:space="preserve"> 2006; </w:t>
      </w:r>
      <w:r w:rsidRPr="00A16C77">
        <w:rPr>
          <w:rFonts w:ascii="Book Antiqua" w:eastAsia="宋体" w:hAnsi="Book Antiqua" w:cs="宋体"/>
          <w:b/>
          <w:bCs/>
          <w:lang w:val="en-US" w:eastAsia="zh-CN"/>
        </w:rPr>
        <w:t>59</w:t>
      </w:r>
      <w:r w:rsidRPr="00A16C77">
        <w:rPr>
          <w:rFonts w:ascii="Book Antiqua" w:eastAsia="宋体" w:hAnsi="Book Antiqua" w:cs="宋体"/>
          <w:lang w:val="en-US" w:eastAsia="zh-CN"/>
        </w:rPr>
        <w:t>: 407-412 [PMID: 16621394 DOI: 10.1016/j.ejrad.2006.03.002]</w:t>
      </w:r>
    </w:p>
    <w:p w:rsidR="00A16C77" w:rsidRPr="00A16C77" w:rsidRDefault="00A16C77" w:rsidP="00A16C77">
      <w:pPr>
        <w:spacing w:line="360" w:lineRule="auto"/>
        <w:jc w:val="both"/>
        <w:rPr>
          <w:rFonts w:ascii="Book Antiqua" w:eastAsia="宋体" w:hAnsi="Book Antiqua" w:cs="宋体"/>
          <w:lang w:val="en-US" w:eastAsia="zh-CN"/>
        </w:rPr>
      </w:pPr>
      <w:r w:rsidRPr="00A16C77">
        <w:rPr>
          <w:rFonts w:ascii="Book Antiqua" w:eastAsia="宋体" w:hAnsi="Book Antiqua" w:cs="宋体"/>
          <w:lang w:val="en-US" w:eastAsia="zh-CN"/>
        </w:rPr>
        <w:t xml:space="preserve">23 </w:t>
      </w:r>
      <w:proofErr w:type="spellStart"/>
      <w:r w:rsidRPr="00A16C77">
        <w:rPr>
          <w:rFonts w:ascii="Book Antiqua" w:eastAsia="宋体" w:hAnsi="Book Antiqua" w:cs="宋体"/>
          <w:b/>
          <w:bCs/>
          <w:lang w:val="en-US" w:eastAsia="zh-CN"/>
        </w:rPr>
        <w:t>Malagari</w:t>
      </w:r>
      <w:proofErr w:type="spellEnd"/>
      <w:r w:rsidRPr="00A16C77">
        <w:rPr>
          <w:rFonts w:ascii="Book Antiqua" w:eastAsia="宋体" w:hAnsi="Book Antiqua" w:cs="宋体"/>
          <w:b/>
          <w:bCs/>
          <w:lang w:val="en-US" w:eastAsia="zh-CN"/>
        </w:rPr>
        <w:t xml:space="preserve"> K</w:t>
      </w:r>
      <w:r w:rsidRPr="00A16C77">
        <w:rPr>
          <w:rFonts w:ascii="Book Antiqua" w:eastAsia="宋体" w:hAnsi="Book Antiqua" w:cs="宋体"/>
          <w:lang w:val="en-US" w:eastAsia="zh-CN"/>
        </w:rPr>
        <w:t xml:space="preserve">, </w:t>
      </w:r>
      <w:proofErr w:type="spellStart"/>
      <w:r w:rsidRPr="00A16C77">
        <w:rPr>
          <w:rFonts w:ascii="Book Antiqua" w:eastAsia="宋体" w:hAnsi="Book Antiqua" w:cs="宋体"/>
          <w:lang w:val="en-US" w:eastAsia="zh-CN"/>
        </w:rPr>
        <w:t>Alexopoulou</w:t>
      </w:r>
      <w:proofErr w:type="spellEnd"/>
      <w:r w:rsidRPr="00A16C77">
        <w:rPr>
          <w:rFonts w:ascii="Book Antiqua" w:eastAsia="宋体" w:hAnsi="Book Antiqua" w:cs="宋体"/>
          <w:lang w:val="en-US" w:eastAsia="zh-CN"/>
        </w:rPr>
        <w:t xml:space="preserve"> E, </w:t>
      </w:r>
      <w:proofErr w:type="spellStart"/>
      <w:r w:rsidRPr="00A16C77">
        <w:rPr>
          <w:rFonts w:ascii="Book Antiqua" w:eastAsia="宋体" w:hAnsi="Book Antiqua" w:cs="宋体"/>
          <w:lang w:val="en-US" w:eastAsia="zh-CN"/>
        </w:rPr>
        <w:t>Chatzimichail</w:t>
      </w:r>
      <w:proofErr w:type="spellEnd"/>
      <w:r w:rsidRPr="00A16C77">
        <w:rPr>
          <w:rFonts w:ascii="Book Antiqua" w:eastAsia="宋体" w:hAnsi="Book Antiqua" w:cs="宋体"/>
          <w:lang w:val="en-US" w:eastAsia="zh-CN"/>
        </w:rPr>
        <w:t xml:space="preserve"> K, Hall B, </w:t>
      </w:r>
      <w:proofErr w:type="spellStart"/>
      <w:r w:rsidRPr="00A16C77">
        <w:rPr>
          <w:rFonts w:ascii="Book Antiqua" w:eastAsia="宋体" w:hAnsi="Book Antiqua" w:cs="宋体"/>
          <w:lang w:val="en-US" w:eastAsia="zh-CN"/>
        </w:rPr>
        <w:t>Koskinas</w:t>
      </w:r>
      <w:proofErr w:type="spellEnd"/>
      <w:r w:rsidRPr="00A16C77">
        <w:rPr>
          <w:rFonts w:ascii="Book Antiqua" w:eastAsia="宋体" w:hAnsi="Book Antiqua" w:cs="宋体"/>
          <w:lang w:val="en-US" w:eastAsia="zh-CN"/>
        </w:rPr>
        <w:t xml:space="preserve"> J, Ryan S, Gallardo E, </w:t>
      </w:r>
      <w:proofErr w:type="spellStart"/>
      <w:r w:rsidRPr="00A16C77">
        <w:rPr>
          <w:rFonts w:ascii="Book Antiqua" w:eastAsia="宋体" w:hAnsi="Book Antiqua" w:cs="宋体"/>
          <w:lang w:val="en-US" w:eastAsia="zh-CN"/>
        </w:rPr>
        <w:t>Kelekis</w:t>
      </w:r>
      <w:proofErr w:type="spellEnd"/>
      <w:r w:rsidRPr="00A16C77">
        <w:rPr>
          <w:rFonts w:ascii="Book Antiqua" w:eastAsia="宋体" w:hAnsi="Book Antiqua" w:cs="宋体"/>
          <w:lang w:val="en-US" w:eastAsia="zh-CN"/>
        </w:rPr>
        <w:t xml:space="preserve"> A, </w:t>
      </w:r>
      <w:proofErr w:type="spellStart"/>
      <w:r w:rsidRPr="00A16C77">
        <w:rPr>
          <w:rFonts w:ascii="Book Antiqua" w:eastAsia="宋体" w:hAnsi="Book Antiqua" w:cs="宋体"/>
          <w:lang w:val="en-US" w:eastAsia="zh-CN"/>
        </w:rPr>
        <w:t>Gouliamos</w:t>
      </w:r>
      <w:proofErr w:type="spellEnd"/>
      <w:r w:rsidRPr="00A16C77">
        <w:rPr>
          <w:rFonts w:ascii="Book Antiqua" w:eastAsia="宋体" w:hAnsi="Book Antiqua" w:cs="宋体"/>
          <w:lang w:val="en-US" w:eastAsia="zh-CN"/>
        </w:rPr>
        <w:t xml:space="preserve"> A, </w:t>
      </w:r>
      <w:proofErr w:type="spellStart"/>
      <w:r w:rsidRPr="00A16C77">
        <w:rPr>
          <w:rFonts w:ascii="Book Antiqua" w:eastAsia="宋体" w:hAnsi="Book Antiqua" w:cs="宋体"/>
          <w:lang w:val="en-US" w:eastAsia="zh-CN"/>
        </w:rPr>
        <w:t>Kelekis</w:t>
      </w:r>
      <w:proofErr w:type="spellEnd"/>
      <w:r w:rsidRPr="00A16C77">
        <w:rPr>
          <w:rFonts w:ascii="Book Antiqua" w:eastAsia="宋体" w:hAnsi="Book Antiqua" w:cs="宋体"/>
          <w:lang w:val="en-US" w:eastAsia="zh-CN"/>
        </w:rPr>
        <w:t xml:space="preserve"> D. </w:t>
      </w:r>
      <w:proofErr w:type="spellStart"/>
      <w:r w:rsidRPr="00A16C77">
        <w:rPr>
          <w:rFonts w:ascii="Book Antiqua" w:eastAsia="宋体" w:hAnsi="Book Antiqua" w:cs="宋体"/>
          <w:lang w:val="en-US" w:eastAsia="zh-CN"/>
        </w:rPr>
        <w:t>Transcatheter</w:t>
      </w:r>
      <w:proofErr w:type="spellEnd"/>
      <w:r w:rsidRPr="00A16C77">
        <w:rPr>
          <w:rFonts w:ascii="Book Antiqua" w:eastAsia="宋体" w:hAnsi="Book Antiqua" w:cs="宋体"/>
          <w:lang w:val="en-US" w:eastAsia="zh-CN"/>
        </w:rPr>
        <w:t xml:space="preserve"> chemoembolization in the treatment of HCC in patients not eligible for curative treatments: midterm results of doxorubicin-loaded DC bead. </w:t>
      </w:r>
      <w:proofErr w:type="spellStart"/>
      <w:r w:rsidRPr="00A16C77">
        <w:rPr>
          <w:rFonts w:ascii="Book Antiqua" w:eastAsia="宋体" w:hAnsi="Book Antiqua" w:cs="宋体"/>
          <w:i/>
          <w:iCs/>
          <w:lang w:val="en-US" w:eastAsia="zh-CN"/>
        </w:rPr>
        <w:t>Abdom</w:t>
      </w:r>
      <w:proofErr w:type="spellEnd"/>
      <w:r w:rsidRPr="00A16C77">
        <w:rPr>
          <w:rFonts w:ascii="Book Antiqua" w:eastAsia="宋体" w:hAnsi="Book Antiqua" w:cs="宋体"/>
          <w:i/>
          <w:iCs/>
          <w:lang w:val="en-US" w:eastAsia="zh-CN"/>
        </w:rPr>
        <w:t xml:space="preserve"> Imaging</w:t>
      </w:r>
      <w:r w:rsidRPr="00A16C77">
        <w:rPr>
          <w:rFonts w:ascii="Book Antiqua" w:eastAsia="宋体" w:hAnsi="Book Antiqua" w:cs="宋体"/>
          <w:lang w:val="en-US" w:eastAsia="zh-CN"/>
        </w:rPr>
        <w:t xml:space="preserve"> </w:t>
      </w:r>
      <w:r w:rsidR="00E5200B">
        <w:rPr>
          <w:rFonts w:ascii="Book Antiqua" w:eastAsia="宋体" w:hAnsi="Book Antiqua" w:cs="宋体" w:hint="eastAsia"/>
          <w:lang w:val="en-US" w:eastAsia="zh-CN"/>
        </w:rPr>
        <w:t>2008</w:t>
      </w:r>
      <w:r w:rsidRPr="00A16C77">
        <w:rPr>
          <w:rFonts w:ascii="Book Antiqua" w:eastAsia="宋体" w:hAnsi="Book Antiqua" w:cs="宋体"/>
          <w:lang w:val="en-US" w:eastAsia="zh-CN"/>
        </w:rPr>
        <w:t xml:space="preserve">; </w:t>
      </w:r>
      <w:r w:rsidRPr="00A16C77">
        <w:rPr>
          <w:rFonts w:ascii="Book Antiqua" w:eastAsia="宋体" w:hAnsi="Book Antiqua" w:cs="宋体"/>
          <w:b/>
          <w:bCs/>
          <w:lang w:val="en-US" w:eastAsia="zh-CN"/>
        </w:rPr>
        <w:t>33</w:t>
      </w:r>
      <w:r w:rsidRPr="00A16C77">
        <w:rPr>
          <w:rFonts w:ascii="Book Antiqua" w:eastAsia="宋体" w:hAnsi="Book Antiqua" w:cs="宋体"/>
          <w:lang w:val="en-US" w:eastAsia="zh-CN"/>
        </w:rPr>
        <w:t>: 512-519 [PMID: 17938995 DOI: 10.1007/s00261-007-9334-x]</w:t>
      </w:r>
    </w:p>
    <w:p w:rsidR="00A16C77" w:rsidRPr="00A16C77" w:rsidRDefault="00A16C77" w:rsidP="00A16C77">
      <w:pPr>
        <w:spacing w:line="360" w:lineRule="auto"/>
        <w:jc w:val="both"/>
        <w:rPr>
          <w:rFonts w:ascii="Book Antiqua" w:eastAsia="宋体" w:hAnsi="Book Antiqua" w:cs="宋体"/>
          <w:lang w:val="en-US" w:eastAsia="zh-CN"/>
        </w:rPr>
      </w:pPr>
      <w:r w:rsidRPr="00A16C77">
        <w:rPr>
          <w:rFonts w:ascii="Book Antiqua" w:eastAsia="宋体" w:hAnsi="Book Antiqua" w:cs="宋体"/>
          <w:lang w:val="en-US" w:eastAsia="zh-CN"/>
        </w:rPr>
        <w:t xml:space="preserve">24 </w:t>
      </w:r>
      <w:proofErr w:type="spellStart"/>
      <w:r w:rsidRPr="00A16C77">
        <w:rPr>
          <w:rFonts w:ascii="Book Antiqua" w:eastAsia="宋体" w:hAnsi="Book Antiqua" w:cs="宋体"/>
          <w:b/>
          <w:bCs/>
          <w:lang w:val="en-US" w:eastAsia="zh-CN"/>
        </w:rPr>
        <w:t>Golfieri</w:t>
      </w:r>
      <w:proofErr w:type="spellEnd"/>
      <w:r w:rsidRPr="00A16C77">
        <w:rPr>
          <w:rFonts w:ascii="Book Antiqua" w:eastAsia="宋体" w:hAnsi="Book Antiqua" w:cs="宋体"/>
          <w:b/>
          <w:bCs/>
          <w:lang w:val="en-US" w:eastAsia="zh-CN"/>
        </w:rPr>
        <w:t xml:space="preserve"> R</w:t>
      </w:r>
      <w:r w:rsidRPr="00A16C77">
        <w:rPr>
          <w:rFonts w:ascii="Book Antiqua" w:eastAsia="宋体" w:hAnsi="Book Antiqua" w:cs="宋体"/>
          <w:lang w:val="en-US" w:eastAsia="zh-CN"/>
        </w:rPr>
        <w:t xml:space="preserve">, </w:t>
      </w:r>
      <w:proofErr w:type="spellStart"/>
      <w:r w:rsidRPr="00A16C77">
        <w:rPr>
          <w:rFonts w:ascii="Book Antiqua" w:eastAsia="宋体" w:hAnsi="Book Antiqua" w:cs="宋体"/>
          <w:lang w:val="en-US" w:eastAsia="zh-CN"/>
        </w:rPr>
        <w:t>Giampalma</w:t>
      </w:r>
      <w:proofErr w:type="spellEnd"/>
      <w:r w:rsidRPr="00A16C77">
        <w:rPr>
          <w:rFonts w:ascii="Book Antiqua" w:eastAsia="宋体" w:hAnsi="Book Antiqua" w:cs="宋体"/>
          <w:lang w:val="en-US" w:eastAsia="zh-CN"/>
        </w:rPr>
        <w:t xml:space="preserve"> E, </w:t>
      </w:r>
      <w:proofErr w:type="spellStart"/>
      <w:r w:rsidRPr="00A16C77">
        <w:rPr>
          <w:rFonts w:ascii="Book Antiqua" w:eastAsia="宋体" w:hAnsi="Book Antiqua" w:cs="宋体"/>
          <w:lang w:val="en-US" w:eastAsia="zh-CN"/>
        </w:rPr>
        <w:t>Renzulli</w:t>
      </w:r>
      <w:proofErr w:type="spellEnd"/>
      <w:r w:rsidRPr="00A16C77">
        <w:rPr>
          <w:rFonts w:ascii="Book Antiqua" w:eastAsia="宋体" w:hAnsi="Book Antiqua" w:cs="宋体"/>
          <w:lang w:val="en-US" w:eastAsia="zh-CN"/>
        </w:rPr>
        <w:t xml:space="preserve"> M, </w:t>
      </w:r>
      <w:proofErr w:type="spellStart"/>
      <w:r w:rsidRPr="00A16C77">
        <w:rPr>
          <w:rFonts w:ascii="Book Antiqua" w:eastAsia="宋体" w:hAnsi="Book Antiqua" w:cs="宋体"/>
          <w:lang w:val="en-US" w:eastAsia="zh-CN"/>
        </w:rPr>
        <w:t>Cioni</w:t>
      </w:r>
      <w:proofErr w:type="spellEnd"/>
      <w:r w:rsidRPr="00A16C77">
        <w:rPr>
          <w:rFonts w:ascii="Book Antiqua" w:eastAsia="宋体" w:hAnsi="Book Antiqua" w:cs="宋体"/>
          <w:lang w:val="en-US" w:eastAsia="zh-CN"/>
        </w:rPr>
        <w:t xml:space="preserve"> R, </w:t>
      </w:r>
      <w:proofErr w:type="spellStart"/>
      <w:r w:rsidRPr="00A16C77">
        <w:rPr>
          <w:rFonts w:ascii="Book Antiqua" w:eastAsia="宋体" w:hAnsi="Book Antiqua" w:cs="宋体"/>
          <w:lang w:val="en-US" w:eastAsia="zh-CN"/>
        </w:rPr>
        <w:t>Bargellini</w:t>
      </w:r>
      <w:proofErr w:type="spellEnd"/>
      <w:r w:rsidRPr="00A16C77">
        <w:rPr>
          <w:rFonts w:ascii="Book Antiqua" w:eastAsia="宋体" w:hAnsi="Book Antiqua" w:cs="宋体"/>
          <w:lang w:val="en-US" w:eastAsia="zh-CN"/>
        </w:rPr>
        <w:t xml:space="preserve"> I, </w:t>
      </w:r>
      <w:proofErr w:type="spellStart"/>
      <w:r w:rsidRPr="00A16C77">
        <w:rPr>
          <w:rFonts w:ascii="Book Antiqua" w:eastAsia="宋体" w:hAnsi="Book Antiqua" w:cs="宋体"/>
          <w:lang w:val="en-US" w:eastAsia="zh-CN"/>
        </w:rPr>
        <w:t>Bartolozzi</w:t>
      </w:r>
      <w:proofErr w:type="spellEnd"/>
      <w:r w:rsidRPr="00A16C77">
        <w:rPr>
          <w:rFonts w:ascii="Book Antiqua" w:eastAsia="宋体" w:hAnsi="Book Antiqua" w:cs="宋体"/>
          <w:lang w:val="en-US" w:eastAsia="zh-CN"/>
        </w:rPr>
        <w:t xml:space="preserve"> C, </w:t>
      </w:r>
      <w:proofErr w:type="spellStart"/>
      <w:r w:rsidRPr="00A16C77">
        <w:rPr>
          <w:rFonts w:ascii="Book Antiqua" w:eastAsia="宋体" w:hAnsi="Book Antiqua" w:cs="宋体"/>
          <w:lang w:val="en-US" w:eastAsia="zh-CN"/>
        </w:rPr>
        <w:t>Breatta</w:t>
      </w:r>
      <w:proofErr w:type="spellEnd"/>
      <w:r w:rsidRPr="00A16C77">
        <w:rPr>
          <w:rFonts w:ascii="Book Antiqua" w:eastAsia="宋体" w:hAnsi="Book Antiqua" w:cs="宋体"/>
          <w:lang w:val="en-US" w:eastAsia="zh-CN"/>
        </w:rPr>
        <w:t xml:space="preserve"> AD, </w:t>
      </w:r>
      <w:proofErr w:type="spellStart"/>
      <w:r w:rsidRPr="00A16C77">
        <w:rPr>
          <w:rFonts w:ascii="Book Antiqua" w:eastAsia="宋体" w:hAnsi="Book Antiqua" w:cs="宋体"/>
          <w:lang w:val="en-US" w:eastAsia="zh-CN"/>
        </w:rPr>
        <w:t>Gandini</w:t>
      </w:r>
      <w:proofErr w:type="spellEnd"/>
      <w:r w:rsidRPr="00A16C77">
        <w:rPr>
          <w:rFonts w:ascii="Book Antiqua" w:eastAsia="宋体" w:hAnsi="Book Antiqua" w:cs="宋体"/>
          <w:lang w:val="en-US" w:eastAsia="zh-CN"/>
        </w:rPr>
        <w:t xml:space="preserve"> G, </w:t>
      </w:r>
      <w:proofErr w:type="spellStart"/>
      <w:r w:rsidRPr="00A16C77">
        <w:rPr>
          <w:rFonts w:ascii="Book Antiqua" w:eastAsia="宋体" w:hAnsi="Book Antiqua" w:cs="宋体"/>
          <w:lang w:val="en-US" w:eastAsia="zh-CN"/>
        </w:rPr>
        <w:t>Nani</w:t>
      </w:r>
      <w:proofErr w:type="spellEnd"/>
      <w:r w:rsidRPr="00A16C77">
        <w:rPr>
          <w:rFonts w:ascii="Book Antiqua" w:eastAsia="宋体" w:hAnsi="Book Antiqua" w:cs="宋体"/>
          <w:lang w:val="en-US" w:eastAsia="zh-CN"/>
        </w:rPr>
        <w:t xml:space="preserve"> R, </w:t>
      </w:r>
      <w:proofErr w:type="spellStart"/>
      <w:r w:rsidRPr="00A16C77">
        <w:rPr>
          <w:rFonts w:ascii="Book Antiqua" w:eastAsia="宋体" w:hAnsi="Book Antiqua" w:cs="宋体"/>
          <w:lang w:val="en-US" w:eastAsia="zh-CN"/>
        </w:rPr>
        <w:t>Gasparini</w:t>
      </w:r>
      <w:proofErr w:type="spellEnd"/>
      <w:r w:rsidRPr="00A16C77">
        <w:rPr>
          <w:rFonts w:ascii="Book Antiqua" w:eastAsia="宋体" w:hAnsi="Book Antiqua" w:cs="宋体"/>
          <w:lang w:val="en-US" w:eastAsia="zh-CN"/>
        </w:rPr>
        <w:t xml:space="preserve"> D, </w:t>
      </w:r>
      <w:proofErr w:type="spellStart"/>
      <w:r w:rsidRPr="00A16C77">
        <w:rPr>
          <w:rFonts w:ascii="Book Antiqua" w:eastAsia="宋体" w:hAnsi="Book Antiqua" w:cs="宋体"/>
          <w:lang w:val="en-US" w:eastAsia="zh-CN"/>
        </w:rPr>
        <w:t>Cucchetti</w:t>
      </w:r>
      <w:proofErr w:type="spellEnd"/>
      <w:r w:rsidRPr="00A16C77">
        <w:rPr>
          <w:rFonts w:ascii="Book Antiqua" w:eastAsia="宋体" w:hAnsi="Book Antiqua" w:cs="宋体"/>
          <w:lang w:val="en-US" w:eastAsia="zh-CN"/>
        </w:rPr>
        <w:t xml:space="preserve"> A, </w:t>
      </w:r>
      <w:proofErr w:type="spellStart"/>
      <w:r w:rsidRPr="00A16C77">
        <w:rPr>
          <w:rFonts w:ascii="Book Antiqua" w:eastAsia="宋体" w:hAnsi="Book Antiqua" w:cs="宋体"/>
          <w:lang w:val="en-US" w:eastAsia="zh-CN"/>
        </w:rPr>
        <w:t>Bolondi</w:t>
      </w:r>
      <w:proofErr w:type="spellEnd"/>
      <w:r w:rsidRPr="00A16C77">
        <w:rPr>
          <w:rFonts w:ascii="Book Antiqua" w:eastAsia="宋体" w:hAnsi="Book Antiqua" w:cs="宋体"/>
          <w:lang w:val="en-US" w:eastAsia="zh-CN"/>
        </w:rPr>
        <w:t xml:space="preserve"> L, </w:t>
      </w:r>
      <w:proofErr w:type="spellStart"/>
      <w:r w:rsidRPr="00A16C77">
        <w:rPr>
          <w:rFonts w:ascii="Book Antiqua" w:eastAsia="宋体" w:hAnsi="Book Antiqua" w:cs="宋体"/>
          <w:lang w:val="en-US" w:eastAsia="zh-CN"/>
        </w:rPr>
        <w:t>Trevisani</w:t>
      </w:r>
      <w:proofErr w:type="spellEnd"/>
      <w:r w:rsidRPr="00A16C77">
        <w:rPr>
          <w:rFonts w:ascii="Book Antiqua" w:eastAsia="宋体" w:hAnsi="Book Antiqua" w:cs="宋体"/>
          <w:lang w:val="en-US" w:eastAsia="zh-CN"/>
        </w:rPr>
        <w:t xml:space="preserve"> F. </w:t>
      </w:r>
      <w:proofErr w:type="spellStart"/>
      <w:r w:rsidRPr="00A16C77">
        <w:rPr>
          <w:rFonts w:ascii="Book Antiqua" w:eastAsia="宋体" w:hAnsi="Book Antiqua" w:cs="宋体"/>
          <w:lang w:val="en-US" w:eastAsia="zh-CN"/>
        </w:rPr>
        <w:t>Randomised</w:t>
      </w:r>
      <w:proofErr w:type="spellEnd"/>
      <w:r w:rsidRPr="00A16C77">
        <w:rPr>
          <w:rFonts w:ascii="Book Antiqua" w:eastAsia="宋体" w:hAnsi="Book Antiqua" w:cs="宋体"/>
          <w:lang w:val="en-US" w:eastAsia="zh-CN"/>
        </w:rPr>
        <w:t xml:space="preserve"> controlled trial of doxorubicin-eluting beads </w:t>
      </w:r>
      <w:proofErr w:type="spellStart"/>
      <w:r w:rsidRPr="00A16C77">
        <w:rPr>
          <w:rFonts w:ascii="Book Antiqua" w:eastAsia="宋体" w:hAnsi="Book Antiqua" w:cs="宋体"/>
          <w:lang w:val="en-US" w:eastAsia="zh-CN"/>
        </w:rPr>
        <w:t>vs</w:t>
      </w:r>
      <w:proofErr w:type="spellEnd"/>
      <w:r w:rsidRPr="00A16C77">
        <w:rPr>
          <w:rFonts w:ascii="Book Antiqua" w:eastAsia="宋体" w:hAnsi="Book Antiqua" w:cs="宋体"/>
          <w:lang w:val="en-US" w:eastAsia="zh-CN"/>
        </w:rPr>
        <w:t xml:space="preserve"> conventional </w:t>
      </w:r>
      <w:proofErr w:type="spellStart"/>
      <w:r w:rsidRPr="00A16C77">
        <w:rPr>
          <w:rFonts w:ascii="Book Antiqua" w:eastAsia="宋体" w:hAnsi="Book Antiqua" w:cs="宋体"/>
          <w:lang w:val="en-US" w:eastAsia="zh-CN"/>
        </w:rPr>
        <w:t>chemoembolisation</w:t>
      </w:r>
      <w:proofErr w:type="spellEnd"/>
      <w:r w:rsidRPr="00A16C77">
        <w:rPr>
          <w:rFonts w:ascii="Book Antiqua" w:eastAsia="宋体" w:hAnsi="Book Antiqua" w:cs="宋体"/>
          <w:lang w:val="en-US" w:eastAsia="zh-CN"/>
        </w:rPr>
        <w:t xml:space="preserve"> for </w:t>
      </w:r>
      <w:r w:rsidRPr="00A16C77">
        <w:rPr>
          <w:rFonts w:ascii="Book Antiqua" w:eastAsia="宋体" w:hAnsi="Book Antiqua" w:cs="宋体"/>
          <w:lang w:val="en-US" w:eastAsia="zh-CN"/>
        </w:rPr>
        <w:lastRenderedPageBreak/>
        <w:t xml:space="preserve">hepatocellular carcinoma. </w:t>
      </w:r>
      <w:r w:rsidRPr="00A16C77">
        <w:rPr>
          <w:rFonts w:ascii="Book Antiqua" w:eastAsia="宋体" w:hAnsi="Book Antiqua" w:cs="宋体"/>
          <w:i/>
          <w:iCs/>
          <w:lang w:val="en-US" w:eastAsia="zh-CN"/>
        </w:rPr>
        <w:t>Br J Cancer</w:t>
      </w:r>
      <w:r w:rsidRPr="00A16C77">
        <w:rPr>
          <w:rFonts w:ascii="Book Antiqua" w:eastAsia="宋体" w:hAnsi="Book Antiqua" w:cs="宋体"/>
          <w:lang w:val="en-US" w:eastAsia="zh-CN"/>
        </w:rPr>
        <w:t xml:space="preserve"> 2014; </w:t>
      </w:r>
      <w:r w:rsidRPr="00A16C77">
        <w:rPr>
          <w:rFonts w:ascii="Book Antiqua" w:eastAsia="宋体" w:hAnsi="Book Antiqua" w:cs="宋体"/>
          <w:b/>
          <w:bCs/>
          <w:lang w:val="en-US" w:eastAsia="zh-CN"/>
        </w:rPr>
        <w:t>111</w:t>
      </w:r>
      <w:r w:rsidRPr="00A16C77">
        <w:rPr>
          <w:rFonts w:ascii="Book Antiqua" w:eastAsia="宋体" w:hAnsi="Book Antiqua" w:cs="宋体"/>
          <w:lang w:val="en-US" w:eastAsia="zh-CN"/>
        </w:rPr>
        <w:t>: 255-264 [PMID: 24937669 DOI: 10.1038/bjc.2014.199]</w:t>
      </w:r>
    </w:p>
    <w:p w:rsidR="00A16C77" w:rsidRPr="00A16C77" w:rsidRDefault="00A16C77" w:rsidP="00A16C77">
      <w:pPr>
        <w:spacing w:line="360" w:lineRule="auto"/>
        <w:jc w:val="both"/>
        <w:rPr>
          <w:rFonts w:ascii="Book Antiqua" w:eastAsia="宋体" w:hAnsi="Book Antiqua" w:cs="宋体"/>
          <w:lang w:val="en-US" w:eastAsia="zh-CN"/>
        </w:rPr>
      </w:pPr>
      <w:r w:rsidRPr="00A16C77">
        <w:rPr>
          <w:rFonts w:ascii="Book Antiqua" w:eastAsia="宋体" w:hAnsi="Book Antiqua" w:cs="宋体"/>
          <w:lang w:val="en-US" w:eastAsia="zh-CN"/>
        </w:rPr>
        <w:t xml:space="preserve">25 </w:t>
      </w:r>
      <w:proofErr w:type="spellStart"/>
      <w:r w:rsidRPr="00A16C77">
        <w:rPr>
          <w:rFonts w:ascii="Book Antiqua" w:eastAsia="宋体" w:hAnsi="Book Antiqua" w:cs="宋体"/>
          <w:b/>
          <w:bCs/>
          <w:lang w:val="en-US" w:eastAsia="zh-CN"/>
        </w:rPr>
        <w:t>Xie</w:t>
      </w:r>
      <w:proofErr w:type="spellEnd"/>
      <w:r w:rsidRPr="00A16C77">
        <w:rPr>
          <w:rFonts w:ascii="Book Antiqua" w:eastAsia="宋体" w:hAnsi="Book Antiqua" w:cs="宋体"/>
          <w:b/>
          <w:bCs/>
          <w:lang w:val="en-US" w:eastAsia="zh-CN"/>
        </w:rPr>
        <w:t xml:space="preserve"> ZB</w:t>
      </w:r>
      <w:r w:rsidRPr="00A16C77">
        <w:rPr>
          <w:rFonts w:ascii="Book Antiqua" w:eastAsia="宋体" w:hAnsi="Book Antiqua" w:cs="宋体"/>
          <w:lang w:val="en-US" w:eastAsia="zh-CN"/>
        </w:rPr>
        <w:t xml:space="preserve">, Wang XB, </w:t>
      </w:r>
      <w:proofErr w:type="spellStart"/>
      <w:r w:rsidRPr="00A16C77">
        <w:rPr>
          <w:rFonts w:ascii="Book Antiqua" w:eastAsia="宋体" w:hAnsi="Book Antiqua" w:cs="宋体"/>
          <w:lang w:val="en-US" w:eastAsia="zh-CN"/>
        </w:rPr>
        <w:t>Peng</w:t>
      </w:r>
      <w:proofErr w:type="spellEnd"/>
      <w:r w:rsidRPr="00A16C77">
        <w:rPr>
          <w:rFonts w:ascii="Book Antiqua" w:eastAsia="宋体" w:hAnsi="Book Antiqua" w:cs="宋体"/>
          <w:lang w:val="en-US" w:eastAsia="zh-CN"/>
        </w:rPr>
        <w:t xml:space="preserve"> YC, Zhu SL, Ma L, Xiang BD, Gong WF, Chen J, You XM, Jiang JH, Li LQ, </w:t>
      </w:r>
      <w:proofErr w:type="spellStart"/>
      <w:r w:rsidRPr="00A16C77">
        <w:rPr>
          <w:rFonts w:ascii="Book Antiqua" w:eastAsia="宋体" w:hAnsi="Book Antiqua" w:cs="宋体"/>
          <w:lang w:val="en-US" w:eastAsia="zh-CN"/>
        </w:rPr>
        <w:t>Zhong</w:t>
      </w:r>
      <w:proofErr w:type="spellEnd"/>
      <w:r w:rsidRPr="00A16C77">
        <w:rPr>
          <w:rFonts w:ascii="Book Antiqua" w:eastAsia="宋体" w:hAnsi="Book Antiqua" w:cs="宋体"/>
          <w:lang w:val="en-US" w:eastAsia="zh-CN"/>
        </w:rPr>
        <w:t xml:space="preserve"> JH. Systematic review comparing the safety and efficacy of conventional and drug-eluting bead </w:t>
      </w:r>
      <w:proofErr w:type="spellStart"/>
      <w:r w:rsidRPr="00A16C77">
        <w:rPr>
          <w:rFonts w:ascii="Book Antiqua" w:eastAsia="宋体" w:hAnsi="Book Antiqua" w:cs="宋体"/>
          <w:lang w:val="en-US" w:eastAsia="zh-CN"/>
        </w:rPr>
        <w:t>transarterial</w:t>
      </w:r>
      <w:proofErr w:type="spellEnd"/>
      <w:r w:rsidRPr="00A16C77">
        <w:rPr>
          <w:rFonts w:ascii="Book Antiqua" w:eastAsia="宋体" w:hAnsi="Book Antiqua" w:cs="宋体"/>
          <w:lang w:val="en-US" w:eastAsia="zh-CN"/>
        </w:rPr>
        <w:t xml:space="preserve"> chemoembolization for inoperable hepatocellular carcinoma. </w:t>
      </w:r>
      <w:proofErr w:type="spellStart"/>
      <w:r w:rsidRPr="00A16C77">
        <w:rPr>
          <w:rFonts w:ascii="Book Antiqua" w:eastAsia="宋体" w:hAnsi="Book Antiqua" w:cs="宋体"/>
          <w:i/>
          <w:iCs/>
          <w:lang w:val="en-US" w:eastAsia="zh-CN"/>
        </w:rPr>
        <w:t>Hepatol</w:t>
      </w:r>
      <w:proofErr w:type="spellEnd"/>
      <w:r w:rsidRPr="00A16C77">
        <w:rPr>
          <w:rFonts w:ascii="Book Antiqua" w:eastAsia="宋体" w:hAnsi="Book Antiqua" w:cs="宋体"/>
          <w:i/>
          <w:iCs/>
          <w:lang w:val="en-US" w:eastAsia="zh-CN"/>
        </w:rPr>
        <w:t xml:space="preserve"> Res</w:t>
      </w:r>
      <w:r w:rsidRPr="00A16C77">
        <w:rPr>
          <w:rFonts w:ascii="Book Antiqua" w:eastAsia="宋体" w:hAnsi="Book Antiqua" w:cs="宋体"/>
          <w:lang w:val="en-US" w:eastAsia="zh-CN"/>
        </w:rPr>
        <w:t xml:space="preserve"> 2015; </w:t>
      </w:r>
      <w:r w:rsidRPr="00A16C77">
        <w:rPr>
          <w:rFonts w:ascii="Book Antiqua" w:eastAsia="宋体" w:hAnsi="Book Antiqua" w:cs="宋体"/>
          <w:b/>
          <w:bCs/>
          <w:lang w:val="en-US" w:eastAsia="zh-CN"/>
        </w:rPr>
        <w:t>45</w:t>
      </w:r>
      <w:r w:rsidRPr="00A16C77">
        <w:rPr>
          <w:rFonts w:ascii="Book Antiqua" w:eastAsia="宋体" w:hAnsi="Book Antiqua" w:cs="宋体"/>
          <w:lang w:val="en-US" w:eastAsia="zh-CN"/>
        </w:rPr>
        <w:t>: 190-200 [PMID: 25388603 DOI: 10.1111/hepr.12450]</w:t>
      </w:r>
    </w:p>
    <w:p w:rsidR="00A16C77" w:rsidRPr="00A16C77" w:rsidRDefault="00A16C77" w:rsidP="00A16C77">
      <w:pPr>
        <w:spacing w:line="360" w:lineRule="auto"/>
        <w:jc w:val="both"/>
        <w:rPr>
          <w:rFonts w:ascii="Book Antiqua" w:eastAsia="宋体" w:hAnsi="Book Antiqua" w:cs="宋体"/>
          <w:lang w:val="en-US" w:eastAsia="zh-CN"/>
        </w:rPr>
      </w:pPr>
      <w:r w:rsidRPr="00A16C77">
        <w:rPr>
          <w:rFonts w:ascii="Book Antiqua" w:eastAsia="宋体" w:hAnsi="Book Antiqua" w:cs="宋体"/>
          <w:lang w:val="en-US" w:eastAsia="zh-CN"/>
        </w:rPr>
        <w:t xml:space="preserve">26 </w:t>
      </w:r>
      <w:proofErr w:type="spellStart"/>
      <w:r w:rsidRPr="00A16C77">
        <w:rPr>
          <w:rFonts w:ascii="Book Antiqua" w:eastAsia="宋体" w:hAnsi="Book Antiqua" w:cs="宋体"/>
          <w:b/>
          <w:bCs/>
          <w:lang w:val="en-US" w:eastAsia="zh-CN"/>
        </w:rPr>
        <w:t>Facciorusso</w:t>
      </w:r>
      <w:proofErr w:type="spellEnd"/>
      <w:r w:rsidRPr="00A16C77">
        <w:rPr>
          <w:rFonts w:ascii="Book Antiqua" w:eastAsia="宋体" w:hAnsi="Book Antiqua" w:cs="宋体"/>
          <w:b/>
          <w:bCs/>
          <w:lang w:val="en-US" w:eastAsia="zh-CN"/>
        </w:rPr>
        <w:t xml:space="preserve"> A</w:t>
      </w:r>
      <w:r w:rsidRPr="00A16C77">
        <w:rPr>
          <w:rFonts w:ascii="Book Antiqua" w:eastAsia="宋体" w:hAnsi="Book Antiqua" w:cs="宋体"/>
          <w:lang w:val="en-US" w:eastAsia="zh-CN"/>
        </w:rPr>
        <w:t xml:space="preserve">, </w:t>
      </w:r>
      <w:proofErr w:type="spellStart"/>
      <w:r w:rsidRPr="00A16C77">
        <w:rPr>
          <w:rFonts w:ascii="Book Antiqua" w:eastAsia="宋体" w:hAnsi="Book Antiqua" w:cs="宋体"/>
          <w:lang w:val="en-US" w:eastAsia="zh-CN"/>
        </w:rPr>
        <w:t>Mariani</w:t>
      </w:r>
      <w:proofErr w:type="spellEnd"/>
      <w:r w:rsidRPr="00A16C77">
        <w:rPr>
          <w:rFonts w:ascii="Book Antiqua" w:eastAsia="宋体" w:hAnsi="Book Antiqua" w:cs="宋体"/>
          <w:lang w:val="en-US" w:eastAsia="zh-CN"/>
        </w:rPr>
        <w:t xml:space="preserve"> L, </w:t>
      </w:r>
      <w:proofErr w:type="spellStart"/>
      <w:r w:rsidRPr="00A16C77">
        <w:rPr>
          <w:rFonts w:ascii="Book Antiqua" w:eastAsia="宋体" w:hAnsi="Book Antiqua" w:cs="宋体"/>
          <w:lang w:val="en-US" w:eastAsia="zh-CN"/>
        </w:rPr>
        <w:t>Sposito</w:t>
      </w:r>
      <w:proofErr w:type="spellEnd"/>
      <w:r w:rsidRPr="00A16C77">
        <w:rPr>
          <w:rFonts w:ascii="Book Antiqua" w:eastAsia="宋体" w:hAnsi="Book Antiqua" w:cs="宋体"/>
          <w:lang w:val="en-US" w:eastAsia="zh-CN"/>
        </w:rPr>
        <w:t xml:space="preserve"> C, </w:t>
      </w:r>
      <w:proofErr w:type="spellStart"/>
      <w:r w:rsidRPr="00A16C77">
        <w:rPr>
          <w:rFonts w:ascii="Book Antiqua" w:eastAsia="宋体" w:hAnsi="Book Antiqua" w:cs="宋体"/>
          <w:lang w:val="en-US" w:eastAsia="zh-CN"/>
        </w:rPr>
        <w:t>Spreafico</w:t>
      </w:r>
      <w:proofErr w:type="spellEnd"/>
      <w:r w:rsidRPr="00A16C77">
        <w:rPr>
          <w:rFonts w:ascii="Book Antiqua" w:eastAsia="宋体" w:hAnsi="Book Antiqua" w:cs="宋体"/>
          <w:lang w:val="en-US" w:eastAsia="zh-CN"/>
        </w:rPr>
        <w:t xml:space="preserve"> C, </w:t>
      </w:r>
      <w:proofErr w:type="spellStart"/>
      <w:r w:rsidRPr="00A16C77">
        <w:rPr>
          <w:rFonts w:ascii="Book Antiqua" w:eastAsia="宋体" w:hAnsi="Book Antiqua" w:cs="宋体"/>
          <w:lang w:val="en-US" w:eastAsia="zh-CN"/>
        </w:rPr>
        <w:t>Bongini</w:t>
      </w:r>
      <w:proofErr w:type="spellEnd"/>
      <w:r w:rsidRPr="00A16C77">
        <w:rPr>
          <w:rFonts w:ascii="Book Antiqua" w:eastAsia="宋体" w:hAnsi="Book Antiqua" w:cs="宋体"/>
          <w:lang w:val="en-US" w:eastAsia="zh-CN"/>
        </w:rPr>
        <w:t xml:space="preserve"> M, </w:t>
      </w:r>
      <w:proofErr w:type="spellStart"/>
      <w:r w:rsidRPr="00A16C77">
        <w:rPr>
          <w:rFonts w:ascii="Book Antiqua" w:eastAsia="宋体" w:hAnsi="Book Antiqua" w:cs="宋体"/>
          <w:lang w:val="en-US" w:eastAsia="zh-CN"/>
        </w:rPr>
        <w:t>Morosi</w:t>
      </w:r>
      <w:proofErr w:type="spellEnd"/>
      <w:r w:rsidRPr="00A16C77">
        <w:rPr>
          <w:rFonts w:ascii="Book Antiqua" w:eastAsia="宋体" w:hAnsi="Book Antiqua" w:cs="宋体"/>
          <w:lang w:val="en-US" w:eastAsia="zh-CN"/>
        </w:rPr>
        <w:t xml:space="preserve"> C, </w:t>
      </w:r>
      <w:proofErr w:type="spellStart"/>
      <w:r w:rsidRPr="00A16C77">
        <w:rPr>
          <w:rFonts w:ascii="Book Antiqua" w:eastAsia="宋体" w:hAnsi="Book Antiqua" w:cs="宋体"/>
          <w:lang w:val="en-US" w:eastAsia="zh-CN"/>
        </w:rPr>
        <w:t>Cascella</w:t>
      </w:r>
      <w:proofErr w:type="spellEnd"/>
      <w:r w:rsidRPr="00A16C77">
        <w:rPr>
          <w:rFonts w:ascii="Book Antiqua" w:eastAsia="宋体" w:hAnsi="Book Antiqua" w:cs="宋体"/>
          <w:lang w:val="en-US" w:eastAsia="zh-CN"/>
        </w:rPr>
        <w:t xml:space="preserve"> T, </w:t>
      </w:r>
      <w:proofErr w:type="spellStart"/>
      <w:r w:rsidRPr="00A16C77">
        <w:rPr>
          <w:rFonts w:ascii="Book Antiqua" w:eastAsia="宋体" w:hAnsi="Book Antiqua" w:cs="宋体"/>
          <w:lang w:val="en-US" w:eastAsia="zh-CN"/>
        </w:rPr>
        <w:t>Marchianò</w:t>
      </w:r>
      <w:proofErr w:type="spellEnd"/>
      <w:r w:rsidRPr="00A16C77">
        <w:rPr>
          <w:rFonts w:ascii="Book Antiqua" w:eastAsia="宋体" w:hAnsi="Book Antiqua" w:cs="宋体"/>
          <w:lang w:val="en-US" w:eastAsia="zh-CN"/>
        </w:rPr>
        <w:t xml:space="preserve"> A, </w:t>
      </w:r>
      <w:proofErr w:type="spellStart"/>
      <w:r w:rsidRPr="00A16C77">
        <w:rPr>
          <w:rFonts w:ascii="Book Antiqua" w:eastAsia="宋体" w:hAnsi="Book Antiqua" w:cs="宋体"/>
          <w:lang w:val="en-US" w:eastAsia="zh-CN"/>
        </w:rPr>
        <w:t>Camerini</w:t>
      </w:r>
      <w:proofErr w:type="spellEnd"/>
      <w:r w:rsidRPr="00A16C77">
        <w:rPr>
          <w:rFonts w:ascii="Book Antiqua" w:eastAsia="宋体" w:hAnsi="Book Antiqua" w:cs="宋体"/>
          <w:lang w:val="en-US" w:eastAsia="zh-CN"/>
        </w:rPr>
        <w:t xml:space="preserve"> T, </w:t>
      </w:r>
      <w:proofErr w:type="spellStart"/>
      <w:r w:rsidRPr="00A16C77">
        <w:rPr>
          <w:rFonts w:ascii="Book Antiqua" w:eastAsia="宋体" w:hAnsi="Book Antiqua" w:cs="宋体"/>
          <w:lang w:val="en-US" w:eastAsia="zh-CN"/>
        </w:rPr>
        <w:t>Bhoori</w:t>
      </w:r>
      <w:proofErr w:type="spellEnd"/>
      <w:r w:rsidRPr="00A16C77">
        <w:rPr>
          <w:rFonts w:ascii="Book Antiqua" w:eastAsia="宋体" w:hAnsi="Book Antiqua" w:cs="宋体"/>
          <w:lang w:val="en-US" w:eastAsia="zh-CN"/>
        </w:rPr>
        <w:t xml:space="preserve"> S, </w:t>
      </w:r>
      <w:proofErr w:type="spellStart"/>
      <w:r w:rsidRPr="00A16C77">
        <w:rPr>
          <w:rFonts w:ascii="Book Antiqua" w:eastAsia="宋体" w:hAnsi="Book Antiqua" w:cs="宋体"/>
          <w:lang w:val="en-US" w:eastAsia="zh-CN"/>
        </w:rPr>
        <w:t>Brunero</w:t>
      </w:r>
      <w:proofErr w:type="spellEnd"/>
      <w:r w:rsidRPr="00A16C77">
        <w:rPr>
          <w:rFonts w:ascii="Book Antiqua" w:eastAsia="宋体" w:hAnsi="Book Antiqua" w:cs="宋体"/>
          <w:lang w:val="en-US" w:eastAsia="zh-CN"/>
        </w:rPr>
        <w:t xml:space="preserve"> F, </w:t>
      </w:r>
      <w:proofErr w:type="spellStart"/>
      <w:r w:rsidRPr="00A16C77">
        <w:rPr>
          <w:rFonts w:ascii="Book Antiqua" w:eastAsia="宋体" w:hAnsi="Book Antiqua" w:cs="宋体"/>
          <w:lang w:val="en-US" w:eastAsia="zh-CN"/>
        </w:rPr>
        <w:t>Barone</w:t>
      </w:r>
      <w:proofErr w:type="spellEnd"/>
      <w:r w:rsidRPr="00A16C77">
        <w:rPr>
          <w:rFonts w:ascii="Book Antiqua" w:eastAsia="宋体" w:hAnsi="Book Antiqua" w:cs="宋体"/>
          <w:lang w:val="en-US" w:eastAsia="zh-CN"/>
        </w:rPr>
        <w:t xml:space="preserve"> M, </w:t>
      </w:r>
      <w:proofErr w:type="spellStart"/>
      <w:r w:rsidRPr="00A16C77">
        <w:rPr>
          <w:rFonts w:ascii="Book Antiqua" w:eastAsia="宋体" w:hAnsi="Book Antiqua" w:cs="宋体"/>
          <w:lang w:val="en-US" w:eastAsia="zh-CN"/>
        </w:rPr>
        <w:t>Mazzaferro</w:t>
      </w:r>
      <w:proofErr w:type="spellEnd"/>
      <w:r w:rsidRPr="00A16C77">
        <w:rPr>
          <w:rFonts w:ascii="Book Antiqua" w:eastAsia="宋体" w:hAnsi="Book Antiqua" w:cs="宋体"/>
          <w:lang w:val="en-US" w:eastAsia="zh-CN"/>
        </w:rPr>
        <w:t xml:space="preserve"> V. Drug-eluting beads versus conventional chemoembolization for the treatment of </w:t>
      </w:r>
      <w:proofErr w:type="spellStart"/>
      <w:r w:rsidRPr="00A16C77">
        <w:rPr>
          <w:rFonts w:ascii="Book Antiqua" w:eastAsia="宋体" w:hAnsi="Book Antiqua" w:cs="宋体"/>
          <w:lang w:val="en-US" w:eastAsia="zh-CN"/>
        </w:rPr>
        <w:t>unresectable</w:t>
      </w:r>
      <w:proofErr w:type="spellEnd"/>
      <w:r w:rsidRPr="00A16C77">
        <w:rPr>
          <w:rFonts w:ascii="Book Antiqua" w:eastAsia="宋体" w:hAnsi="Book Antiqua" w:cs="宋体"/>
          <w:lang w:val="en-US" w:eastAsia="zh-CN"/>
        </w:rPr>
        <w:t xml:space="preserve"> hepatocellular carcinoma. </w:t>
      </w:r>
      <w:r w:rsidRPr="00A16C77">
        <w:rPr>
          <w:rFonts w:ascii="Book Antiqua" w:eastAsia="宋体" w:hAnsi="Book Antiqua" w:cs="宋体"/>
          <w:i/>
          <w:iCs/>
          <w:lang w:val="en-US" w:eastAsia="zh-CN"/>
        </w:rPr>
        <w:t xml:space="preserve">J </w:t>
      </w:r>
      <w:proofErr w:type="spellStart"/>
      <w:r w:rsidRPr="00A16C77">
        <w:rPr>
          <w:rFonts w:ascii="Book Antiqua" w:eastAsia="宋体" w:hAnsi="Book Antiqua" w:cs="宋体"/>
          <w:i/>
          <w:iCs/>
          <w:lang w:val="en-US" w:eastAsia="zh-CN"/>
        </w:rPr>
        <w:t>Gastroenterol</w:t>
      </w:r>
      <w:proofErr w:type="spellEnd"/>
      <w:r w:rsidRPr="00A16C77">
        <w:rPr>
          <w:rFonts w:ascii="Book Antiqua" w:eastAsia="宋体" w:hAnsi="Book Antiqua" w:cs="宋体"/>
          <w:i/>
          <w:iCs/>
          <w:lang w:val="en-US" w:eastAsia="zh-CN"/>
        </w:rPr>
        <w:t xml:space="preserve"> </w:t>
      </w:r>
      <w:proofErr w:type="spellStart"/>
      <w:r w:rsidRPr="00A16C77">
        <w:rPr>
          <w:rFonts w:ascii="Book Antiqua" w:eastAsia="宋体" w:hAnsi="Book Antiqua" w:cs="宋体"/>
          <w:i/>
          <w:iCs/>
          <w:lang w:val="en-US" w:eastAsia="zh-CN"/>
        </w:rPr>
        <w:t>Hepatol</w:t>
      </w:r>
      <w:proofErr w:type="spellEnd"/>
      <w:r w:rsidRPr="00A16C77">
        <w:rPr>
          <w:rFonts w:ascii="Book Antiqua" w:eastAsia="宋体" w:hAnsi="Book Antiqua" w:cs="宋体"/>
          <w:lang w:val="en-US" w:eastAsia="zh-CN"/>
        </w:rPr>
        <w:t xml:space="preserve"> 2016; </w:t>
      </w:r>
      <w:r w:rsidRPr="00A16C77">
        <w:rPr>
          <w:rFonts w:ascii="Book Antiqua" w:eastAsia="宋体" w:hAnsi="Book Antiqua" w:cs="宋体"/>
          <w:b/>
          <w:bCs/>
          <w:lang w:val="en-US" w:eastAsia="zh-CN"/>
        </w:rPr>
        <w:t>31</w:t>
      </w:r>
      <w:r w:rsidRPr="00A16C77">
        <w:rPr>
          <w:rFonts w:ascii="Book Antiqua" w:eastAsia="宋体" w:hAnsi="Book Antiqua" w:cs="宋体"/>
          <w:lang w:val="en-US" w:eastAsia="zh-CN"/>
        </w:rPr>
        <w:t>: 645-653 [PMID: 26331807 DOI: 10.1111/jgh.13147]</w:t>
      </w:r>
    </w:p>
    <w:p w:rsidR="00A16C77" w:rsidRPr="00A16C77" w:rsidRDefault="00A16C77" w:rsidP="00A16C77">
      <w:pPr>
        <w:spacing w:line="360" w:lineRule="auto"/>
        <w:jc w:val="both"/>
        <w:rPr>
          <w:rFonts w:ascii="Book Antiqua" w:eastAsia="宋体" w:hAnsi="Book Antiqua" w:cs="宋体"/>
          <w:lang w:val="en-US" w:eastAsia="zh-CN"/>
        </w:rPr>
      </w:pPr>
      <w:r w:rsidRPr="00A16C77">
        <w:rPr>
          <w:rFonts w:ascii="Book Antiqua" w:eastAsia="宋体" w:hAnsi="Book Antiqua" w:cs="宋体"/>
          <w:lang w:val="en-US" w:eastAsia="zh-CN"/>
        </w:rPr>
        <w:t xml:space="preserve">27 </w:t>
      </w:r>
      <w:r w:rsidRPr="00A16C77">
        <w:rPr>
          <w:rFonts w:ascii="Book Antiqua" w:eastAsia="宋体" w:hAnsi="Book Antiqua" w:cs="宋体"/>
          <w:b/>
          <w:bCs/>
          <w:lang w:val="en-US" w:eastAsia="zh-CN"/>
        </w:rPr>
        <w:t>Wang B</w:t>
      </w:r>
      <w:r w:rsidRPr="00A16C77">
        <w:rPr>
          <w:rFonts w:ascii="Book Antiqua" w:eastAsia="宋体" w:hAnsi="Book Antiqua" w:cs="宋体"/>
          <w:lang w:val="en-US" w:eastAsia="zh-CN"/>
        </w:rPr>
        <w:t xml:space="preserve">, </w:t>
      </w:r>
      <w:proofErr w:type="spellStart"/>
      <w:r w:rsidRPr="00A16C77">
        <w:rPr>
          <w:rFonts w:ascii="Book Antiqua" w:eastAsia="宋体" w:hAnsi="Book Antiqua" w:cs="宋体"/>
          <w:lang w:val="en-US" w:eastAsia="zh-CN"/>
        </w:rPr>
        <w:t>Xu</w:t>
      </w:r>
      <w:proofErr w:type="spellEnd"/>
      <w:r w:rsidRPr="00A16C77">
        <w:rPr>
          <w:rFonts w:ascii="Book Antiqua" w:eastAsia="宋体" w:hAnsi="Book Antiqua" w:cs="宋体"/>
          <w:lang w:val="en-US" w:eastAsia="zh-CN"/>
        </w:rPr>
        <w:t xml:space="preserve"> H, </w:t>
      </w:r>
      <w:proofErr w:type="spellStart"/>
      <w:r w:rsidRPr="00A16C77">
        <w:rPr>
          <w:rFonts w:ascii="Book Antiqua" w:eastAsia="宋体" w:hAnsi="Book Antiqua" w:cs="宋体"/>
          <w:lang w:val="en-US" w:eastAsia="zh-CN"/>
        </w:rPr>
        <w:t>Gao</w:t>
      </w:r>
      <w:proofErr w:type="spellEnd"/>
      <w:r w:rsidRPr="00A16C77">
        <w:rPr>
          <w:rFonts w:ascii="Book Antiqua" w:eastAsia="宋体" w:hAnsi="Book Antiqua" w:cs="宋体"/>
          <w:lang w:val="en-US" w:eastAsia="zh-CN"/>
        </w:rPr>
        <w:t xml:space="preserve"> ZQ, </w:t>
      </w:r>
      <w:proofErr w:type="spellStart"/>
      <w:r w:rsidRPr="00A16C77">
        <w:rPr>
          <w:rFonts w:ascii="Book Antiqua" w:eastAsia="宋体" w:hAnsi="Book Antiqua" w:cs="宋体"/>
          <w:lang w:val="en-US" w:eastAsia="zh-CN"/>
        </w:rPr>
        <w:t>Ning</w:t>
      </w:r>
      <w:proofErr w:type="spellEnd"/>
      <w:r w:rsidRPr="00A16C77">
        <w:rPr>
          <w:rFonts w:ascii="Book Antiqua" w:eastAsia="宋体" w:hAnsi="Book Antiqua" w:cs="宋体"/>
          <w:lang w:val="en-US" w:eastAsia="zh-CN"/>
        </w:rPr>
        <w:t xml:space="preserve"> HF, Sun YQ, Cao GW. </w:t>
      </w:r>
      <w:proofErr w:type="gramStart"/>
      <w:r w:rsidRPr="00A16C77">
        <w:rPr>
          <w:rFonts w:ascii="Book Antiqua" w:eastAsia="宋体" w:hAnsi="Book Antiqua" w:cs="宋体"/>
          <w:lang w:val="en-US" w:eastAsia="zh-CN"/>
        </w:rPr>
        <w:t xml:space="preserve">Increased expression of vascular endothelial growth factor in hepatocellular carcinoma after </w:t>
      </w:r>
      <w:proofErr w:type="spellStart"/>
      <w:r w:rsidRPr="00A16C77">
        <w:rPr>
          <w:rFonts w:ascii="Book Antiqua" w:eastAsia="宋体" w:hAnsi="Book Antiqua" w:cs="宋体"/>
          <w:lang w:val="en-US" w:eastAsia="zh-CN"/>
        </w:rPr>
        <w:t>transcatheter</w:t>
      </w:r>
      <w:proofErr w:type="spellEnd"/>
      <w:r w:rsidRPr="00A16C77">
        <w:rPr>
          <w:rFonts w:ascii="Book Antiqua" w:eastAsia="宋体" w:hAnsi="Book Antiqua" w:cs="宋体"/>
          <w:lang w:val="en-US" w:eastAsia="zh-CN"/>
        </w:rPr>
        <w:t xml:space="preserve"> arterial chemoembolization.</w:t>
      </w:r>
      <w:proofErr w:type="gramEnd"/>
      <w:r w:rsidRPr="00A16C77">
        <w:rPr>
          <w:rFonts w:ascii="Book Antiqua" w:eastAsia="宋体" w:hAnsi="Book Antiqua" w:cs="宋体"/>
          <w:lang w:val="en-US" w:eastAsia="zh-CN"/>
        </w:rPr>
        <w:t xml:space="preserve"> </w:t>
      </w:r>
      <w:proofErr w:type="spellStart"/>
      <w:r w:rsidRPr="00A16C77">
        <w:rPr>
          <w:rFonts w:ascii="Book Antiqua" w:eastAsia="宋体" w:hAnsi="Book Antiqua" w:cs="宋体"/>
          <w:i/>
          <w:iCs/>
          <w:lang w:val="en-US" w:eastAsia="zh-CN"/>
        </w:rPr>
        <w:t>Acta</w:t>
      </w:r>
      <w:proofErr w:type="spellEnd"/>
      <w:r w:rsidRPr="00A16C77">
        <w:rPr>
          <w:rFonts w:ascii="Book Antiqua" w:eastAsia="宋体" w:hAnsi="Book Antiqua" w:cs="宋体"/>
          <w:i/>
          <w:iCs/>
          <w:lang w:val="en-US" w:eastAsia="zh-CN"/>
        </w:rPr>
        <w:t xml:space="preserve"> </w:t>
      </w:r>
      <w:proofErr w:type="spellStart"/>
      <w:r w:rsidRPr="00A16C77">
        <w:rPr>
          <w:rFonts w:ascii="Book Antiqua" w:eastAsia="宋体" w:hAnsi="Book Antiqua" w:cs="宋体"/>
          <w:i/>
          <w:iCs/>
          <w:lang w:val="en-US" w:eastAsia="zh-CN"/>
        </w:rPr>
        <w:t>Radiol</w:t>
      </w:r>
      <w:proofErr w:type="spellEnd"/>
      <w:r w:rsidRPr="00A16C77">
        <w:rPr>
          <w:rFonts w:ascii="Book Antiqua" w:eastAsia="宋体" w:hAnsi="Book Antiqua" w:cs="宋体"/>
          <w:lang w:val="en-US" w:eastAsia="zh-CN"/>
        </w:rPr>
        <w:t xml:space="preserve"> 2008; </w:t>
      </w:r>
      <w:r w:rsidRPr="00A16C77">
        <w:rPr>
          <w:rFonts w:ascii="Book Antiqua" w:eastAsia="宋体" w:hAnsi="Book Antiqua" w:cs="宋体"/>
          <w:b/>
          <w:bCs/>
          <w:lang w:val="en-US" w:eastAsia="zh-CN"/>
        </w:rPr>
        <w:t>49</w:t>
      </w:r>
      <w:r w:rsidRPr="00A16C77">
        <w:rPr>
          <w:rFonts w:ascii="Book Antiqua" w:eastAsia="宋体" w:hAnsi="Book Antiqua" w:cs="宋体"/>
          <w:lang w:val="en-US" w:eastAsia="zh-CN"/>
        </w:rPr>
        <w:t>: 523-529 [PMID: 18568538 DOI: 10.1080/02841850801958890]</w:t>
      </w:r>
    </w:p>
    <w:p w:rsidR="00A16C77" w:rsidRPr="00A16C77" w:rsidRDefault="00A16C77" w:rsidP="00A16C77">
      <w:pPr>
        <w:spacing w:line="360" w:lineRule="auto"/>
        <w:jc w:val="both"/>
        <w:rPr>
          <w:rFonts w:ascii="Book Antiqua" w:eastAsia="宋体" w:hAnsi="Book Antiqua" w:cs="宋体"/>
          <w:lang w:val="en-US" w:eastAsia="zh-CN"/>
        </w:rPr>
      </w:pPr>
      <w:r w:rsidRPr="00A16C77">
        <w:rPr>
          <w:rFonts w:ascii="Book Antiqua" w:eastAsia="宋体" w:hAnsi="Book Antiqua" w:cs="宋体"/>
          <w:lang w:val="en-US" w:eastAsia="zh-CN"/>
        </w:rPr>
        <w:t xml:space="preserve">28 </w:t>
      </w:r>
      <w:r w:rsidRPr="00A16C77">
        <w:rPr>
          <w:rFonts w:ascii="Book Antiqua" w:eastAsia="宋体" w:hAnsi="Book Antiqua" w:cs="宋体"/>
          <w:b/>
          <w:bCs/>
          <w:lang w:val="en-US" w:eastAsia="zh-CN"/>
        </w:rPr>
        <w:t>Kobayashi N</w:t>
      </w:r>
      <w:r w:rsidRPr="00A16C77">
        <w:rPr>
          <w:rFonts w:ascii="Book Antiqua" w:eastAsia="宋体" w:hAnsi="Book Antiqua" w:cs="宋体"/>
          <w:lang w:val="en-US" w:eastAsia="zh-CN"/>
        </w:rPr>
        <w:t xml:space="preserve">, Ishii M, Ueno Y, </w:t>
      </w:r>
      <w:proofErr w:type="spellStart"/>
      <w:r w:rsidRPr="00A16C77">
        <w:rPr>
          <w:rFonts w:ascii="Book Antiqua" w:eastAsia="宋体" w:hAnsi="Book Antiqua" w:cs="宋体"/>
          <w:lang w:val="en-US" w:eastAsia="zh-CN"/>
        </w:rPr>
        <w:t>Kisara</w:t>
      </w:r>
      <w:proofErr w:type="spellEnd"/>
      <w:r w:rsidRPr="00A16C77">
        <w:rPr>
          <w:rFonts w:ascii="Book Antiqua" w:eastAsia="宋体" w:hAnsi="Book Antiqua" w:cs="宋体"/>
          <w:lang w:val="en-US" w:eastAsia="zh-CN"/>
        </w:rPr>
        <w:t xml:space="preserve"> N, </w:t>
      </w:r>
      <w:proofErr w:type="spellStart"/>
      <w:r w:rsidRPr="00A16C77">
        <w:rPr>
          <w:rFonts w:ascii="Book Antiqua" w:eastAsia="宋体" w:hAnsi="Book Antiqua" w:cs="宋体"/>
          <w:lang w:val="en-US" w:eastAsia="zh-CN"/>
        </w:rPr>
        <w:t>Chida</w:t>
      </w:r>
      <w:proofErr w:type="spellEnd"/>
      <w:r w:rsidRPr="00A16C77">
        <w:rPr>
          <w:rFonts w:ascii="Book Antiqua" w:eastAsia="宋体" w:hAnsi="Book Antiqua" w:cs="宋体"/>
          <w:lang w:val="en-US" w:eastAsia="zh-CN"/>
        </w:rPr>
        <w:t xml:space="preserve"> N, Iwasaki T, Toyota T. Co-expression of Bcl-2 protein and vascular endothelial growth factor in hepatocellular carcinomas treated by chemoembolization. </w:t>
      </w:r>
      <w:r w:rsidRPr="00A16C77">
        <w:rPr>
          <w:rFonts w:ascii="Book Antiqua" w:eastAsia="宋体" w:hAnsi="Book Antiqua" w:cs="宋体"/>
          <w:i/>
          <w:iCs/>
          <w:lang w:val="en-US" w:eastAsia="zh-CN"/>
        </w:rPr>
        <w:t>Liver</w:t>
      </w:r>
      <w:r w:rsidRPr="00A16C77">
        <w:rPr>
          <w:rFonts w:ascii="Book Antiqua" w:eastAsia="宋体" w:hAnsi="Book Antiqua" w:cs="宋体"/>
          <w:lang w:val="en-US" w:eastAsia="zh-CN"/>
        </w:rPr>
        <w:t xml:space="preserve"> 1999; </w:t>
      </w:r>
      <w:r w:rsidRPr="00A16C77">
        <w:rPr>
          <w:rFonts w:ascii="Book Antiqua" w:eastAsia="宋体" w:hAnsi="Book Antiqua" w:cs="宋体"/>
          <w:b/>
          <w:bCs/>
          <w:lang w:val="en-US" w:eastAsia="zh-CN"/>
        </w:rPr>
        <w:t>19</w:t>
      </w:r>
      <w:r w:rsidRPr="00A16C77">
        <w:rPr>
          <w:rFonts w:ascii="Book Antiqua" w:eastAsia="宋体" w:hAnsi="Book Antiqua" w:cs="宋体"/>
          <w:lang w:val="en-US" w:eastAsia="zh-CN"/>
        </w:rPr>
        <w:t>: 25-31 [PMID: 9928762]</w:t>
      </w:r>
    </w:p>
    <w:p w:rsidR="00A16C77" w:rsidRPr="00A16C77" w:rsidRDefault="00A16C77" w:rsidP="00A16C77">
      <w:pPr>
        <w:spacing w:line="360" w:lineRule="auto"/>
        <w:jc w:val="both"/>
        <w:rPr>
          <w:rFonts w:ascii="Book Antiqua" w:eastAsia="宋体" w:hAnsi="Book Antiqua" w:cs="宋体"/>
          <w:lang w:val="en-US" w:eastAsia="zh-CN"/>
        </w:rPr>
      </w:pPr>
      <w:r w:rsidRPr="00A16C77">
        <w:rPr>
          <w:rFonts w:ascii="Book Antiqua" w:eastAsia="宋体" w:hAnsi="Book Antiqua" w:cs="宋体"/>
          <w:lang w:val="en-US" w:eastAsia="zh-CN"/>
        </w:rPr>
        <w:t xml:space="preserve">29 </w:t>
      </w:r>
      <w:proofErr w:type="spellStart"/>
      <w:r w:rsidRPr="00A16C77">
        <w:rPr>
          <w:rFonts w:ascii="Book Antiqua" w:eastAsia="宋体" w:hAnsi="Book Antiqua" w:cs="宋体"/>
          <w:b/>
          <w:bCs/>
          <w:lang w:val="en-US" w:eastAsia="zh-CN"/>
        </w:rPr>
        <w:t>Bonomo</w:t>
      </w:r>
      <w:proofErr w:type="spellEnd"/>
      <w:r w:rsidRPr="00A16C77">
        <w:rPr>
          <w:rFonts w:ascii="Book Antiqua" w:eastAsia="宋体" w:hAnsi="Book Antiqua" w:cs="宋体"/>
          <w:b/>
          <w:bCs/>
          <w:lang w:val="en-US" w:eastAsia="zh-CN"/>
        </w:rPr>
        <w:t xml:space="preserve"> G</w:t>
      </w:r>
      <w:r w:rsidRPr="00A16C77">
        <w:rPr>
          <w:rFonts w:ascii="Book Antiqua" w:eastAsia="宋体" w:hAnsi="Book Antiqua" w:cs="宋体"/>
          <w:lang w:val="en-US" w:eastAsia="zh-CN"/>
        </w:rPr>
        <w:t xml:space="preserve">, </w:t>
      </w:r>
      <w:proofErr w:type="spellStart"/>
      <w:r w:rsidRPr="00A16C77">
        <w:rPr>
          <w:rFonts w:ascii="Book Antiqua" w:eastAsia="宋体" w:hAnsi="Book Antiqua" w:cs="宋体"/>
          <w:lang w:val="en-US" w:eastAsia="zh-CN"/>
        </w:rPr>
        <w:t>Pedicini</w:t>
      </w:r>
      <w:proofErr w:type="spellEnd"/>
      <w:r w:rsidRPr="00A16C77">
        <w:rPr>
          <w:rFonts w:ascii="Book Antiqua" w:eastAsia="宋体" w:hAnsi="Book Antiqua" w:cs="宋体"/>
          <w:lang w:val="en-US" w:eastAsia="zh-CN"/>
        </w:rPr>
        <w:t xml:space="preserve"> V, </w:t>
      </w:r>
      <w:proofErr w:type="spellStart"/>
      <w:r w:rsidRPr="00A16C77">
        <w:rPr>
          <w:rFonts w:ascii="Book Antiqua" w:eastAsia="宋体" w:hAnsi="Book Antiqua" w:cs="宋体"/>
          <w:lang w:val="en-US" w:eastAsia="zh-CN"/>
        </w:rPr>
        <w:t>Monfardini</w:t>
      </w:r>
      <w:proofErr w:type="spellEnd"/>
      <w:r w:rsidRPr="00A16C77">
        <w:rPr>
          <w:rFonts w:ascii="Book Antiqua" w:eastAsia="宋体" w:hAnsi="Book Antiqua" w:cs="宋体"/>
          <w:lang w:val="en-US" w:eastAsia="zh-CN"/>
        </w:rPr>
        <w:t xml:space="preserve"> L, Della </w:t>
      </w:r>
      <w:proofErr w:type="spellStart"/>
      <w:r w:rsidRPr="00A16C77">
        <w:rPr>
          <w:rFonts w:ascii="Book Antiqua" w:eastAsia="宋体" w:hAnsi="Book Antiqua" w:cs="宋体"/>
          <w:lang w:val="en-US" w:eastAsia="zh-CN"/>
        </w:rPr>
        <w:t>Vigna</w:t>
      </w:r>
      <w:proofErr w:type="spellEnd"/>
      <w:r w:rsidRPr="00A16C77">
        <w:rPr>
          <w:rFonts w:ascii="Book Antiqua" w:eastAsia="宋体" w:hAnsi="Book Antiqua" w:cs="宋体"/>
          <w:lang w:val="en-US" w:eastAsia="zh-CN"/>
        </w:rPr>
        <w:t xml:space="preserve"> P, </w:t>
      </w:r>
      <w:proofErr w:type="spellStart"/>
      <w:r w:rsidRPr="00A16C77">
        <w:rPr>
          <w:rFonts w:ascii="Book Antiqua" w:eastAsia="宋体" w:hAnsi="Book Antiqua" w:cs="宋体"/>
          <w:lang w:val="en-US" w:eastAsia="zh-CN"/>
        </w:rPr>
        <w:t>Poretti</w:t>
      </w:r>
      <w:proofErr w:type="spellEnd"/>
      <w:r w:rsidRPr="00A16C77">
        <w:rPr>
          <w:rFonts w:ascii="Book Antiqua" w:eastAsia="宋体" w:hAnsi="Book Antiqua" w:cs="宋体"/>
          <w:lang w:val="en-US" w:eastAsia="zh-CN"/>
        </w:rPr>
        <w:t xml:space="preserve"> D, </w:t>
      </w:r>
      <w:proofErr w:type="spellStart"/>
      <w:r w:rsidRPr="00A16C77">
        <w:rPr>
          <w:rFonts w:ascii="Book Antiqua" w:eastAsia="宋体" w:hAnsi="Book Antiqua" w:cs="宋体"/>
          <w:lang w:val="en-US" w:eastAsia="zh-CN"/>
        </w:rPr>
        <w:t>Orgera</w:t>
      </w:r>
      <w:proofErr w:type="spellEnd"/>
      <w:r w:rsidRPr="00A16C77">
        <w:rPr>
          <w:rFonts w:ascii="Book Antiqua" w:eastAsia="宋体" w:hAnsi="Book Antiqua" w:cs="宋体"/>
          <w:lang w:val="en-US" w:eastAsia="zh-CN"/>
        </w:rPr>
        <w:t xml:space="preserve"> G, </w:t>
      </w:r>
      <w:proofErr w:type="spellStart"/>
      <w:r w:rsidRPr="00A16C77">
        <w:rPr>
          <w:rFonts w:ascii="Book Antiqua" w:eastAsia="宋体" w:hAnsi="Book Antiqua" w:cs="宋体"/>
          <w:lang w:val="en-US" w:eastAsia="zh-CN"/>
        </w:rPr>
        <w:t>Orsi</w:t>
      </w:r>
      <w:proofErr w:type="spellEnd"/>
      <w:r w:rsidRPr="00A16C77">
        <w:rPr>
          <w:rFonts w:ascii="Book Antiqua" w:eastAsia="宋体" w:hAnsi="Book Antiqua" w:cs="宋体"/>
          <w:lang w:val="en-US" w:eastAsia="zh-CN"/>
        </w:rPr>
        <w:t xml:space="preserve"> F. Bland embolization in patients with </w:t>
      </w:r>
      <w:proofErr w:type="spellStart"/>
      <w:r w:rsidRPr="00A16C77">
        <w:rPr>
          <w:rFonts w:ascii="Book Antiqua" w:eastAsia="宋体" w:hAnsi="Book Antiqua" w:cs="宋体"/>
          <w:lang w:val="en-US" w:eastAsia="zh-CN"/>
        </w:rPr>
        <w:t>unresectable</w:t>
      </w:r>
      <w:proofErr w:type="spellEnd"/>
      <w:r w:rsidRPr="00A16C77">
        <w:rPr>
          <w:rFonts w:ascii="Book Antiqua" w:eastAsia="宋体" w:hAnsi="Book Antiqua" w:cs="宋体"/>
          <w:lang w:val="en-US" w:eastAsia="zh-CN"/>
        </w:rPr>
        <w:t xml:space="preserve"> hepatocellular carcinoma using precise, tightly size-calibrated, anti-inflammatory </w:t>
      </w:r>
      <w:proofErr w:type="spellStart"/>
      <w:r w:rsidRPr="00A16C77">
        <w:rPr>
          <w:rFonts w:ascii="Book Antiqua" w:eastAsia="宋体" w:hAnsi="Book Antiqua" w:cs="宋体"/>
          <w:lang w:val="en-US" w:eastAsia="zh-CN"/>
        </w:rPr>
        <w:t>microparticles</w:t>
      </w:r>
      <w:proofErr w:type="spellEnd"/>
      <w:r w:rsidRPr="00A16C77">
        <w:rPr>
          <w:rFonts w:ascii="Book Antiqua" w:eastAsia="宋体" w:hAnsi="Book Antiqua" w:cs="宋体"/>
          <w:lang w:val="en-US" w:eastAsia="zh-CN"/>
        </w:rPr>
        <w:t xml:space="preserve">: first clinical experience and one-year follow-up. </w:t>
      </w:r>
      <w:proofErr w:type="spellStart"/>
      <w:r w:rsidRPr="00A16C77">
        <w:rPr>
          <w:rFonts w:ascii="Book Antiqua" w:eastAsia="宋体" w:hAnsi="Book Antiqua" w:cs="宋体"/>
          <w:i/>
          <w:iCs/>
          <w:lang w:val="en-US" w:eastAsia="zh-CN"/>
        </w:rPr>
        <w:t>Cardiovasc</w:t>
      </w:r>
      <w:proofErr w:type="spellEnd"/>
      <w:r w:rsidRPr="00A16C77">
        <w:rPr>
          <w:rFonts w:ascii="Book Antiqua" w:eastAsia="宋体" w:hAnsi="Book Antiqua" w:cs="宋体"/>
          <w:i/>
          <w:iCs/>
          <w:lang w:val="en-US" w:eastAsia="zh-CN"/>
        </w:rPr>
        <w:t xml:space="preserve"> </w:t>
      </w:r>
      <w:proofErr w:type="spellStart"/>
      <w:r w:rsidRPr="00A16C77">
        <w:rPr>
          <w:rFonts w:ascii="Book Antiqua" w:eastAsia="宋体" w:hAnsi="Book Antiqua" w:cs="宋体"/>
          <w:i/>
          <w:iCs/>
          <w:lang w:val="en-US" w:eastAsia="zh-CN"/>
        </w:rPr>
        <w:t>Intervent</w:t>
      </w:r>
      <w:proofErr w:type="spellEnd"/>
      <w:r w:rsidRPr="00A16C77">
        <w:rPr>
          <w:rFonts w:ascii="Book Antiqua" w:eastAsia="宋体" w:hAnsi="Book Antiqua" w:cs="宋体"/>
          <w:i/>
          <w:iCs/>
          <w:lang w:val="en-US" w:eastAsia="zh-CN"/>
        </w:rPr>
        <w:t xml:space="preserve"> </w:t>
      </w:r>
      <w:proofErr w:type="spellStart"/>
      <w:r w:rsidRPr="00A16C77">
        <w:rPr>
          <w:rFonts w:ascii="Book Antiqua" w:eastAsia="宋体" w:hAnsi="Book Antiqua" w:cs="宋体"/>
          <w:i/>
          <w:iCs/>
          <w:lang w:val="en-US" w:eastAsia="zh-CN"/>
        </w:rPr>
        <w:t>Radiol</w:t>
      </w:r>
      <w:proofErr w:type="spellEnd"/>
      <w:r w:rsidRPr="00A16C77">
        <w:rPr>
          <w:rFonts w:ascii="Book Antiqua" w:eastAsia="宋体" w:hAnsi="Book Antiqua" w:cs="宋体"/>
          <w:lang w:val="en-US" w:eastAsia="zh-CN"/>
        </w:rPr>
        <w:t xml:space="preserve"> 2010; </w:t>
      </w:r>
      <w:r w:rsidRPr="00A16C77">
        <w:rPr>
          <w:rFonts w:ascii="Book Antiqua" w:eastAsia="宋体" w:hAnsi="Book Antiqua" w:cs="宋体"/>
          <w:b/>
          <w:bCs/>
          <w:lang w:val="en-US" w:eastAsia="zh-CN"/>
        </w:rPr>
        <w:t>33</w:t>
      </w:r>
      <w:r w:rsidRPr="00A16C77">
        <w:rPr>
          <w:rFonts w:ascii="Book Antiqua" w:eastAsia="宋体" w:hAnsi="Book Antiqua" w:cs="宋体"/>
          <w:lang w:val="en-US" w:eastAsia="zh-CN"/>
        </w:rPr>
        <w:t>: 552-559 [PMID: 19957182 DOI: 10.1007/s00270-009-9752-y]</w:t>
      </w:r>
    </w:p>
    <w:p w:rsidR="00A16C77" w:rsidRPr="00A16C77" w:rsidRDefault="00A16C77" w:rsidP="00A16C77">
      <w:pPr>
        <w:spacing w:line="360" w:lineRule="auto"/>
        <w:jc w:val="both"/>
        <w:rPr>
          <w:rFonts w:ascii="Book Antiqua" w:eastAsia="宋体" w:hAnsi="Book Antiqua" w:cs="宋体"/>
          <w:lang w:val="en-US" w:eastAsia="zh-CN"/>
        </w:rPr>
      </w:pPr>
      <w:r w:rsidRPr="00A16C77">
        <w:rPr>
          <w:rFonts w:ascii="Book Antiqua" w:eastAsia="宋体" w:hAnsi="Book Antiqua" w:cs="宋体"/>
          <w:lang w:val="en-US" w:eastAsia="zh-CN"/>
        </w:rPr>
        <w:t xml:space="preserve">30 </w:t>
      </w:r>
      <w:proofErr w:type="spellStart"/>
      <w:r w:rsidRPr="00A16C77">
        <w:rPr>
          <w:rFonts w:ascii="Book Antiqua" w:eastAsia="宋体" w:hAnsi="Book Antiqua" w:cs="宋体"/>
          <w:b/>
          <w:bCs/>
          <w:lang w:val="en-US" w:eastAsia="zh-CN"/>
        </w:rPr>
        <w:t>Maluccio</w:t>
      </w:r>
      <w:proofErr w:type="spellEnd"/>
      <w:r w:rsidRPr="00A16C77">
        <w:rPr>
          <w:rFonts w:ascii="Book Antiqua" w:eastAsia="宋体" w:hAnsi="Book Antiqua" w:cs="宋体"/>
          <w:b/>
          <w:bCs/>
          <w:lang w:val="en-US" w:eastAsia="zh-CN"/>
        </w:rPr>
        <w:t xml:space="preserve"> MA</w:t>
      </w:r>
      <w:r w:rsidRPr="00A16C77">
        <w:rPr>
          <w:rFonts w:ascii="Book Antiqua" w:eastAsia="宋体" w:hAnsi="Book Antiqua" w:cs="宋体"/>
          <w:lang w:val="en-US" w:eastAsia="zh-CN"/>
        </w:rPr>
        <w:t xml:space="preserve">, Covey AM, </w:t>
      </w:r>
      <w:proofErr w:type="spellStart"/>
      <w:r w:rsidRPr="00A16C77">
        <w:rPr>
          <w:rFonts w:ascii="Book Antiqua" w:eastAsia="宋体" w:hAnsi="Book Antiqua" w:cs="宋体"/>
          <w:lang w:val="en-US" w:eastAsia="zh-CN"/>
        </w:rPr>
        <w:t>Porat</w:t>
      </w:r>
      <w:proofErr w:type="spellEnd"/>
      <w:r w:rsidRPr="00A16C77">
        <w:rPr>
          <w:rFonts w:ascii="Book Antiqua" w:eastAsia="宋体" w:hAnsi="Book Antiqua" w:cs="宋体"/>
          <w:lang w:val="en-US" w:eastAsia="zh-CN"/>
        </w:rPr>
        <w:t xml:space="preserve"> LB, Schubert J, Brody LA, </w:t>
      </w:r>
      <w:proofErr w:type="spellStart"/>
      <w:r w:rsidRPr="00A16C77">
        <w:rPr>
          <w:rFonts w:ascii="Book Antiqua" w:eastAsia="宋体" w:hAnsi="Book Antiqua" w:cs="宋体"/>
          <w:lang w:val="en-US" w:eastAsia="zh-CN"/>
        </w:rPr>
        <w:t>Sofocleous</w:t>
      </w:r>
      <w:proofErr w:type="spellEnd"/>
      <w:r w:rsidRPr="00A16C77">
        <w:rPr>
          <w:rFonts w:ascii="Book Antiqua" w:eastAsia="宋体" w:hAnsi="Book Antiqua" w:cs="宋体"/>
          <w:lang w:val="en-US" w:eastAsia="zh-CN"/>
        </w:rPr>
        <w:t xml:space="preserve"> CT, </w:t>
      </w:r>
      <w:proofErr w:type="spellStart"/>
      <w:r w:rsidRPr="00A16C77">
        <w:rPr>
          <w:rFonts w:ascii="Book Antiqua" w:eastAsia="宋体" w:hAnsi="Book Antiqua" w:cs="宋体"/>
          <w:lang w:val="en-US" w:eastAsia="zh-CN"/>
        </w:rPr>
        <w:t>Getrajdman</w:t>
      </w:r>
      <w:proofErr w:type="spellEnd"/>
      <w:r w:rsidRPr="00A16C77">
        <w:rPr>
          <w:rFonts w:ascii="Book Antiqua" w:eastAsia="宋体" w:hAnsi="Book Antiqua" w:cs="宋体"/>
          <w:lang w:val="en-US" w:eastAsia="zh-CN"/>
        </w:rPr>
        <w:t xml:space="preserve"> GI, </w:t>
      </w:r>
      <w:proofErr w:type="spellStart"/>
      <w:r w:rsidRPr="00A16C77">
        <w:rPr>
          <w:rFonts w:ascii="Book Antiqua" w:eastAsia="宋体" w:hAnsi="Book Antiqua" w:cs="宋体"/>
          <w:lang w:val="en-US" w:eastAsia="zh-CN"/>
        </w:rPr>
        <w:t>Jarnagin</w:t>
      </w:r>
      <w:proofErr w:type="spellEnd"/>
      <w:r w:rsidRPr="00A16C77">
        <w:rPr>
          <w:rFonts w:ascii="Book Antiqua" w:eastAsia="宋体" w:hAnsi="Book Antiqua" w:cs="宋体"/>
          <w:lang w:val="en-US" w:eastAsia="zh-CN"/>
        </w:rPr>
        <w:t xml:space="preserve"> W, </w:t>
      </w:r>
      <w:proofErr w:type="spellStart"/>
      <w:r w:rsidRPr="00A16C77">
        <w:rPr>
          <w:rFonts w:ascii="Book Antiqua" w:eastAsia="宋体" w:hAnsi="Book Antiqua" w:cs="宋体"/>
          <w:lang w:val="en-US" w:eastAsia="zh-CN"/>
        </w:rPr>
        <w:t>Dematteo</w:t>
      </w:r>
      <w:proofErr w:type="spellEnd"/>
      <w:r w:rsidRPr="00A16C77">
        <w:rPr>
          <w:rFonts w:ascii="Book Antiqua" w:eastAsia="宋体" w:hAnsi="Book Antiqua" w:cs="宋体"/>
          <w:lang w:val="en-US" w:eastAsia="zh-CN"/>
        </w:rPr>
        <w:t xml:space="preserve"> R, </w:t>
      </w:r>
      <w:proofErr w:type="spellStart"/>
      <w:r w:rsidRPr="00A16C77">
        <w:rPr>
          <w:rFonts w:ascii="Book Antiqua" w:eastAsia="宋体" w:hAnsi="Book Antiqua" w:cs="宋体"/>
          <w:lang w:val="en-US" w:eastAsia="zh-CN"/>
        </w:rPr>
        <w:t>Blumgart</w:t>
      </w:r>
      <w:proofErr w:type="spellEnd"/>
      <w:r w:rsidRPr="00A16C77">
        <w:rPr>
          <w:rFonts w:ascii="Book Antiqua" w:eastAsia="宋体" w:hAnsi="Book Antiqua" w:cs="宋体"/>
          <w:lang w:val="en-US" w:eastAsia="zh-CN"/>
        </w:rPr>
        <w:t xml:space="preserve"> LH, Fong Y, Brown KT. </w:t>
      </w:r>
      <w:proofErr w:type="spellStart"/>
      <w:r w:rsidRPr="00A16C77">
        <w:rPr>
          <w:rFonts w:ascii="Book Antiqua" w:eastAsia="宋体" w:hAnsi="Book Antiqua" w:cs="宋体"/>
          <w:lang w:val="en-US" w:eastAsia="zh-CN"/>
        </w:rPr>
        <w:t>Transcatheter</w:t>
      </w:r>
      <w:proofErr w:type="spellEnd"/>
      <w:r w:rsidRPr="00A16C77">
        <w:rPr>
          <w:rFonts w:ascii="Book Antiqua" w:eastAsia="宋体" w:hAnsi="Book Antiqua" w:cs="宋体"/>
          <w:lang w:val="en-US" w:eastAsia="zh-CN"/>
        </w:rPr>
        <w:t xml:space="preserve"> arterial embolization with only particles for the treatment of </w:t>
      </w:r>
      <w:proofErr w:type="spellStart"/>
      <w:r w:rsidRPr="00A16C77">
        <w:rPr>
          <w:rFonts w:ascii="Book Antiqua" w:eastAsia="宋体" w:hAnsi="Book Antiqua" w:cs="宋体"/>
          <w:lang w:val="en-US" w:eastAsia="zh-CN"/>
        </w:rPr>
        <w:t>unresectable</w:t>
      </w:r>
      <w:proofErr w:type="spellEnd"/>
      <w:r w:rsidRPr="00A16C77">
        <w:rPr>
          <w:rFonts w:ascii="Book Antiqua" w:eastAsia="宋体" w:hAnsi="Book Antiqua" w:cs="宋体"/>
          <w:lang w:val="en-US" w:eastAsia="zh-CN"/>
        </w:rPr>
        <w:t xml:space="preserve"> hepatocellular carcinoma. </w:t>
      </w:r>
      <w:r w:rsidRPr="00A16C77">
        <w:rPr>
          <w:rFonts w:ascii="Book Antiqua" w:eastAsia="宋体" w:hAnsi="Book Antiqua" w:cs="宋体"/>
          <w:i/>
          <w:iCs/>
          <w:lang w:val="en-US" w:eastAsia="zh-CN"/>
        </w:rPr>
        <w:t xml:space="preserve">J </w:t>
      </w:r>
      <w:proofErr w:type="spellStart"/>
      <w:r w:rsidRPr="00A16C77">
        <w:rPr>
          <w:rFonts w:ascii="Book Antiqua" w:eastAsia="宋体" w:hAnsi="Book Antiqua" w:cs="宋体"/>
          <w:i/>
          <w:iCs/>
          <w:lang w:val="en-US" w:eastAsia="zh-CN"/>
        </w:rPr>
        <w:t>Vasc</w:t>
      </w:r>
      <w:proofErr w:type="spellEnd"/>
      <w:r w:rsidRPr="00A16C77">
        <w:rPr>
          <w:rFonts w:ascii="Book Antiqua" w:eastAsia="宋体" w:hAnsi="Book Antiqua" w:cs="宋体"/>
          <w:i/>
          <w:iCs/>
          <w:lang w:val="en-US" w:eastAsia="zh-CN"/>
        </w:rPr>
        <w:t xml:space="preserve"> </w:t>
      </w:r>
      <w:proofErr w:type="spellStart"/>
      <w:r w:rsidRPr="00A16C77">
        <w:rPr>
          <w:rFonts w:ascii="Book Antiqua" w:eastAsia="宋体" w:hAnsi="Book Antiqua" w:cs="宋体"/>
          <w:i/>
          <w:iCs/>
          <w:lang w:val="en-US" w:eastAsia="zh-CN"/>
        </w:rPr>
        <w:t>Interv</w:t>
      </w:r>
      <w:proofErr w:type="spellEnd"/>
      <w:r w:rsidRPr="00A16C77">
        <w:rPr>
          <w:rFonts w:ascii="Book Antiqua" w:eastAsia="宋体" w:hAnsi="Book Antiqua" w:cs="宋体"/>
          <w:i/>
          <w:iCs/>
          <w:lang w:val="en-US" w:eastAsia="zh-CN"/>
        </w:rPr>
        <w:t xml:space="preserve"> </w:t>
      </w:r>
      <w:proofErr w:type="spellStart"/>
      <w:r w:rsidRPr="00A16C77">
        <w:rPr>
          <w:rFonts w:ascii="Book Antiqua" w:eastAsia="宋体" w:hAnsi="Book Antiqua" w:cs="宋体"/>
          <w:i/>
          <w:iCs/>
          <w:lang w:val="en-US" w:eastAsia="zh-CN"/>
        </w:rPr>
        <w:t>Radiol</w:t>
      </w:r>
      <w:proofErr w:type="spellEnd"/>
      <w:r w:rsidRPr="00A16C77">
        <w:rPr>
          <w:rFonts w:ascii="Book Antiqua" w:eastAsia="宋体" w:hAnsi="Book Antiqua" w:cs="宋体"/>
          <w:lang w:val="en-US" w:eastAsia="zh-CN"/>
        </w:rPr>
        <w:t xml:space="preserve"> 2008; </w:t>
      </w:r>
      <w:r w:rsidRPr="00A16C77">
        <w:rPr>
          <w:rFonts w:ascii="Book Antiqua" w:eastAsia="宋体" w:hAnsi="Book Antiqua" w:cs="宋体"/>
          <w:b/>
          <w:bCs/>
          <w:lang w:val="en-US" w:eastAsia="zh-CN"/>
        </w:rPr>
        <w:t>19</w:t>
      </w:r>
      <w:r w:rsidRPr="00A16C77">
        <w:rPr>
          <w:rFonts w:ascii="Book Antiqua" w:eastAsia="宋体" w:hAnsi="Book Antiqua" w:cs="宋体"/>
          <w:lang w:val="en-US" w:eastAsia="zh-CN"/>
        </w:rPr>
        <w:t>: 862-869 [PMID: 18503900 DOI: 10.1016/j.jvir.2008.02.013]</w:t>
      </w:r>
    </w:p>
    <w:p w:rsidR="00A16C77" w:rsidRPr="00A16C77" w:rsidRDefault="00A16C77" w:rsidP="00A16C77">
      <w:pPr>
        <w:spacing w:line="360" w:lineRule="auto"/>
        <w:jc w:val="both"/>
        <w:rPr>
          <w:rFonts w:ascii="Book Antiqua" w:eastAsia="宋体" w:hAnsi="Book Antiqua" w:cs="宋体"/>
          <w:lang w:val="en-US" w:eastAsia="zh-CN"/>
        </w:rPr>
      </w:pPr>
      <w:r w:rsidRPr="00A16C77">
        <w:rPr>
          <w:rFonts w:ascii="Book Antiqua" w:eastAsia="宋体" w:hAnsi="Book Antiqua" w:cs="宋体"/>
          <w:lang w:val="en-US" w:eastAsia="zh-CN"/>
        </w:rPr>
        <w:t xml:space="preserve">31 </w:t>
      </w:r>
      <w:proofErr w:type="spellStart"/>
      <w:r w:rsidRPr="00A16C77">
        <w:rPr>
          <w:rFonts w:ascii="Book Antiqua" w:eastAsia="宋体" w:hAnsi="Book Antiqua" w:cs="宋体"/>
          <w:b/>
          <w:bCs/>
          <w:lang w:val="en-US" w:eastAsia="zh-CN"/>
        </w:rPr>
        <w:t>López-Benítez</w:t>
      </w:r>
      <w:proofErr w:type="spellEnd"/>
      <w:r w:rsidRPr="00A16C77">
        <w:rPr>
          <w:rFonts w:ascii="Book Antiqua" w:eastAsia="宋体" w:hAnsi="Book Antiqua" w:cs="宋体"/>
          <w:b/>
          <w:bCs/>
          <w:lang w:val="en-US" w:eastAsia="zh-CN"/>
        </w:rPr>
        <w:t xml:space="preserve"> R</w:t>
      </w:r>
      <w:r w:rsidRPr="00A16C77">
        <w:rPr>
          <w:rFonts w:ascii="Book Antiqua" w:eastAsia="宋体" w:hAnsi="Book Antiqua" w:cs="宋体"/>
          <w:lang w:val="en-US" w:eastAsia="zh-CN"/>
        </w:rPr>
        <w:t xml:space="preserve">, Richter GM, </w:t>
      </w:r>
      <w:proofErr w:type="spellStart"/>
      <w:r w:rsidRPr="00A16C77">
        <w:rPr>
          <w:rFonts w:ascii="Book Antiqua" w:eastAsia="宋体" w:hAnsi="Book Antiqua" w:cs="宋体"/>
          <w:lang w:val="en-US" w:eastAsia="zh-CN"/>
        </w:rPr>
        <w:t>Kauczor</w:t>
      </w:r>
      <w:proofErr w:type="spellEnd"/>
      <w:r w:rsidRPr="00A16C77">
        <w:rPr>
          <w:rFonts w:ascii="Book Antiqua" w:eastAsia="宋体" w:hAnsi="Book Antiqua" w:cs="宋体"/>
          <w:lang w:val="en-US" w:eastAsia="zh-CN"/>
        </w:rPr>
        <w:t xml:space="preserve"> HU, </w:t>
      </w:r>
      <w:proofErr w:type="spellStart"/>
      <w:r w:rsidRPr="00A16C77">
        <w:rPr>
          <w:rFonts w:ascii="Book Antiqua" w:eastAsia="宋体" w:hAnsi="Book Antiqua" w:cs="宋体"/>
          <w:lang w:val="en-US" w:eastAsia="zh-CN"/>
        </w:rPr>
        <w:t>Stampfl</w:t>
      </w:r>
      <w:proofErr w:type="spellEnd"/>
      <w:r w:rsidRPr="00A16C77">
        <w:rPr>
          <w:rFonts w:ascii="Book Antiqua" w:eastAsia="宋体" w:hAnsi="Book Antiqua" w:cs="宋体"/>
          <w:lang w:val="en-US" w:eastAsia="zh-CN"/>
        </w:rPr>
        <w:t xml:space="preserve"> S, </w:t>
      </w:r>
      <w:proofErr w:type="spellStart"/>
      <w:r w:rsidRPr="00A16C77">
        <w:rPr>
          <w:rFonts w:ascii="Book Antiqua" w:eastAsia="宋体" w:hAnsi="Book Antiqua" w:cs="宋体"/>
          <w:lang w:val="en-US" w:eastAsia="zh-CN"/>
        </w:rPr>
        <w:t>Kladeck</w:t>
      </w:r>
      <w:proofErr w:type="spellEnd"/>
      <w:r w:rsidRPr="00A16C77">
        <w:rPr>
          <w:rFonts w:ascii="Book Antiqua" w:eastAsia="宋体" w:hAnsi="Book Antiqua" w:cs="宋体"/>
          <w:lang w:val="en-US" w:eastAsia="zh-CN"/>
        </w:rPr>
        <w:t xml:space="preserve"> J, </w:t>
      </w:r>
      <w:proofErr w:type="spellStart"/>
      <w:r w:rsidRPr="00A16C77">
        <w:rPr>
          <w:rFonts w:ascii="Book Antiqua" w:eastAsia="宋体" w:hAnsi="Book Antiqua" w:cs="宋体"/>
          <w:lang w:val="en-US" w:eastAsia="zh-CN"/>
        </w:rPr>
        <w:t>Radeleff</w:t>
      </w:r>
      <w:proofErr w:type="spellEnd"/>
      <w:r w:rsidRPr="00A16C77">
        <w:rPr>
          <w:rFonts w:ascii="Book Antiqua" w:eastAsia="宋体" w:hAnsi="Book Antiqua" w:cs="宋体"/>
          <w:lang w:val="en-US" w:eastAsia="zh-CN"/>
        </w:rPr>
        <w:t xml:space="preserve"> BA, </w:t>
      </w:r>
      <w:proofErr w:type="spellStart"/>
      <w:r w:rsidRPr="00A16C77">
        <w:rPr>
          <w:rFonts w:ascii="Book Antiqua" w:eastAsia="宋体" w:hAnsi="Book Antiqua" w:cs="宋体"/>
          <w:lang w:val="en-US" w:eastAsia="zh-CN"/>
        </w:rPr>
        <w:t>Neukamm</w:t>
      </w:r>
      <w:proofErr w:type="spellEnd"/>
      <w:r w:rsidRPr="00A16C77">
        <w:rPr>
          <w:rFonts w:ascii="Book Antiqua" w:eastAsia="宋体" w:hAnsi="Book Antiqua" w:cs="宋体"/>
          <w:lang w:val="en-US" w:eastAsia="zh-CN"/>
        </w:rPr>
        <w:t xml:space="preserve"> M, </w:t>
      </w:r>
      <w:proofErr w:type="spellStart"/>
      <w:r w:rsidRPr="00A16C77">
        <w:rPr>
          <w:rFonts w:ascii="Book Antiqua" w:eastAsia="宋体" w:hAnsi="Book Antiqua" w:cs="宋体"/>
          <w:lang w:val="en-US" w:eastAsia="zh-CN"/>
        </w:rPr>
        <w:t>Hallscheidt</w:t>
      </w:r>
      <w:proofErr w:type="spellEnd"/>
      <w:r w:rsidRPr="00A16C77">
        <w:rPr>
          <w:rFonts w:ascii="Book Antiqua" w:eastAsia="宋体" w:hAnsi="Book Antiqua" w:cs="宋体"/>
          <w:lang w:val="en-US" w:eastAsia="zh-CN"/>
        </w:rPr>
        <w:t xml:space="preserve"> PJ. </w:t>
      </w:r>
      <w:proofErr w:type="gramStart"/>
      <w:r w:rsidRPr="00A16C77">
        <w:rPr>
          <w:rFonts w:ascii="Book Antiqua" w:eastAsia="宋体" w:hAnsi="Book Antiqua" w:cs="宋体"/>
          <w:lang w:val="en-US" w:eastAsia="zh-CN"/>
        </w:rPr>
        <w:t xml:space="preserve">Analysis of </w:t>
      </w:r>
      <w:proofErr w:type="spellStart"/>
      <w:r w:rsidRPr="00A16C77">
        <w:rPr>
          <w:rFonts w:ascii="Book Antiqua" w:eastAsia="宋体" w:hAnsi="Book Antiqua" w:cs="宋体"/>
          <w:lang w:val="en-US" w:eastAsia="zh-CN"/>
        </w:rPr>
        <w:t>nontarget</w:t>
      </w:r>
      <w:proofErr w:type="spellEnd"/>
      <w:r w:rsidRPr="00A16C77">
        <w:rPr>
          <w:rFonts w:ascii="Book Antiqua" w:eastAsia="宋体" w:hAnsi="Book Antiqua" w:cs="宋体"/>
          <w:lang w:val="en-US" w:eastAsia="zh-CN"/>
        </w:rPr>
        <w:t xml:space="preserve"> embolization mechanisms during embolization and chemoembolization procedures.</w:t>
      </w:r>
      <w:proofErr w:type="gramEnd"/>
      <w:r w:rsidRPr="00A16C77">
        <w:rPr>
          <w:rFonts w:ascii="Book Antiqua" w:eastAsia="宋体" w:hAnsi="Book Antiqua" w:cs="宋体"/>
          <w:lang w:val="en-US" w:eastAsia="zh-CN"/>
        </w:rPr>
        <w:t xml:space="preserve"> </w:t>
      </w:r>
      <w:proofErr w:type="spellStart"/>
      <w:r w:rsidRPr="00A16C77">
        <w:rPr>
          <w:rFonts w:ascii="Book Antiqua" w:eastAsia="宋体" w:hAnsi="Book Antiqua" w:cs="宋体"/>
          <w:i/>
          <w:iCs/>
          <w:lang w:val="en-US" w:eastAsia="zh-CN"/>
        </w:rPr>
        <w:t>Cardiovasc</w:t>
      </w:r>
      <w:proofErr w:type="spellEnd"/>
      <w:r w:rsidRPr="00A16C77">
        <w:rPr>
          <w:rFonts w:ascii="Book Antiqua" w:eastAsia="宋体" w:hAnsi="Book Antiqua" w:cs="宋体"/>
          <w:i/>
          <w:iCs/>
          <w:lang w:val="en-US" w:eastAsia="zh-CN"/>
        </w:rPr>
        <w:t xml:space="preserve"> </w:t>
      </w:r>
      <w:proofErr w:type="spellStart"/>
      <w:r w:rsidRPr="00A16C77">
        <w:rPr>
          <w:rFonts w:ascii="Book Antiqua" w:eastAsia="宋体" w:hAnsi="Book Antiqua" w:cs="宋体"/>
          <w:i/>
          <w:iCs/>
          <w:lang w:val="en-US" w:eastAsia="zh-CN"/>
        </w:rPr>
        <w:t>Intervent</w:t>
      </w:r>
      <w:proofErr w:type="spellEnd"/>
      <w:r w:rsidRPr="00A16C77">
        <w:rPr>
          <w:rFonts w:ascii="Book Antiqua" w:eastAsia="宋体" w:hAnsi="Book Antiqua" w:cs="宋体"/>
          <w:i/>
          <w:iCs/>
          <w:lang w:val="en-US" w:eastAsia="zh-CN"/>
        </w:rPr>
        <w:t xml:space="preserve"> </w:t>
      </w:r>
      <w:proofErr w:type="spellStart"/>
      <w:r w:rsidRPr="00A16C77">
        <w:rPr>
          <w:rFonts w:ascii="Book Antiqua" w:eastAsia="宋体" w:hAnsi="Book Antiqua" w:cs="宋体"/>
          <w:i/>
          <w:iCs/>
          <w:lang w:val="en-US" w:eastAsia="zh-CN"/>
        </w:rPr>
        <w:t>Radiol</w:t>
      </w:r>
      <w:proofErr w:type="spellEnd"/>
      <w:r w:rsidRPr="00A16C77">
        <w:rPr>
          <w:rFonts w:ascii="Book Antiqua" w:eastAsia="宋体" w:hAnsi="Book Antiqua" w:cs="宋体"/>
          <w:lang w:val="en-US" w:eastAsia="zh-CN"/>
        </w:rPr>
        <w:t xml:space="preserve"> 2009; </w:t>
      </w:r>
      <w:r w:rsidRPr="00A16C77">
        <w:rPr>
          <w:rFonts w:ascii="Book Antiqua" w:eastAsia="宋体" w:hAnsi="Book Antiqua" w:cs="宋体"/>
          <w:b/>
          <w:bCs/>
          <w:lang w:val="en-US" w:eastAsia="zh-CN"/>
        </w:rPr>
        <w:t>32</w:t>
      </w:r>
      <w:r w:rsidRPr="00A16C77">
        <w:rPr>
          <w:rFonts w:ascii="Book Antiqua" w:eastAsia="宋体" w:hAnsi="Book Antiqua" w:cs="宋体"/>
          <w:lang w:val="en-US" w:eastAsia="zh-CN"/>
        </w:rPr>
        <w:t>: 615-622 [PMID: 19387732 DOI: 10.1007/s00270-009-9568-9]</w:t>
      </w:r>
    </w:p>
    <w:p w:rsidR="00A16C77" w:rsidRPr="00A16C77" w:rsidRDefault="00A16C77" w:rsidP="00A16C77">
      <w:pPr>
        <w:spacing w:line="360" w:lineRule="auto"/>
        <w:jc w:val="both"/>
        <w:rPr>
          <w:rFonts w:ascii="Book Antiqua" w:eastAsia="宋体" w:hAnsi="Book Antiqua" w:cs="宋体"/>
          <w:lang w:val="en-US" w:eastAsia="zh-CN"/>
        </w:rPr>
      </w:pPr>
      <w:r w:rsidRPr="00A16C77">
        <w:rPr>
          <w:rFonts w:ascii="Book Antiqua" w:eastAsia="宋体" w:hAnsi="Book Antiqua" w:cs="宋体"/>
          <w:lang w:val="en-US" w:eastAsia="zh-CN"/>
        </w:rPr>
        <w:lastRenderedPageBreak/>
        <w:t xml:space="preserve">32 </w:t>
      </w:r>
      <w:proofErr w:type="spellStart"/>
      <w:r w:rsidRPr="00A16C77">
        <w:rPr>
          <w:rFonts w:ascii="Book Antiqua" w:eastAsia="宋体" w:hAnsi="Book Antiqua" w:cs="宋体"/>
          <w:b/>
          <w:bCs/>
          <w:lang w:val="en-US" w:eastAsia="zh-CN"/>
        </w:rPr>
        <w:t>Nicolini</w:t>
      </w:r>
      <w:proofErr w:type="spellEnd"/>
      <w:r w:rsidRPr="00A16C77">
        <w:rPr>
          <w:rFonts w:ascii="Book Antiqua" w:eastAsia="宋体" w:hAnsi="Book Antiqua" w:cs="宋体"/>
          <w:b/>
          <w:bCs/>
          <w:lang w:val="en-US" w:eastAsia="zh-CN"/>
        </w:rPr>
        <w:t xml:space="preserve"> A</w:t>
      </w:r>
      <w:r w:rsidRPr="00A16C77">
        <w:rPr>
          <w:rFonts w:ascii="Book Antiqua" w:eastAsia="宋体" w:hAnsi="Book Antiqua" w:cs="宋体"/>
          <w:lang w:val="en-US" w:eastAsia="zh-CN"/>
        </w:rPr>
        <w:t xml:space="preserve">, </w:t>
      </w:r>
      <w:proofErr w:type="spellStart"/>
      <w:r w:rsidRPr="00A16C77">
        <w:rPr>
          <w:rFonts w:ascii="Book Antiqua" w:eastAsia="宋体" w:hAnsi="Book Antiqua" w:cs="宋体"/>
          <w:lang w:val="en-US" w:eastAsia="zh-CN"/>
        </w:rPr>
        <w:t>Martinetti</w:t>
      </w:r>
      <w:proofErr w:type="spellEnd"/>
      <w:r w:rsidRPr="00A16C77">
        <w:rPr>
          <w:rFonts w:ascii="Book Antiqua" w:eastAsia="宋体" w:hAnsi="Book Antiqua" w:cs="宋体"/>
          <w:lang w:val="en-US" w:eastAsia="zh-CN"/>
        </w:rPr>
        <w:t xml:space="preserve"> L, </w:t>
      </w:r>
      <w:proofErr w:type="spellStart"/>
      <w:r w:rsidRPr="00A16C77">
        <w:rPr>
          <w:rFonts w:ascii="Book Antiqua" w:eastAsia="宋体" w:hAnsi="Book Antiqua" w:cs="宋体"/>
          <w:lang w:val="en-US" w:eastAsia="zh-CN"/>
        </w:rPr>
        <w:t>Crespi</w:t>
      </w:r>
      <w:proofErr w:type="spellEnd"/>
      <w:r w:rsidRPr="00A16C77">
        <w:rPr>
          <w:rFonts w:ascii="Book Antiqua" w:eastAsia="宋体" w:hAnsi="Book Antiqua" w:cs="宋体"/>
          <w:lang w:val="en-US" w:eastAsia="zh-CN"/>
        </w:rPr>
        <w:t xml:space="preserve"> S, </w:t>
      </w:r>
      <w:proofErr w:type="spellStart"/>
      <w:r w:rsidRPr="00A16C77">
        <w:rPr>
          <w:rFonts w:ascii="Book Antiqua" w:eastAsia="宋体" w:hAnsi="Book Antiqua" w:cs="宋体"/>
          <w:lang w:val="en-US" w:eastAsia="zh-CN"/>
        </w:rPr>
        <w:t>Maggioni</w:t>
      </w:r>
      <w:proofErr w:type="spellEnd"/>
      <w:r w:rsidRPr="00A16C77">
        <w:rPr>
          <w:rFonts w:ascii="Book Antiqua" w:eastAsia="宋体" w:hAnsi="Book Antiqua" w:cs="宋体"/>
          <w:lang w:val="en-US" w:eastAsia="zh-CN"/>
        </w:rPr>
        <w:t xml:space="preserve"> M, </w:t>
      </w:r>
      <w:proofErr w:type="spellStart"/>
      <w:r w:rsidRPr="00A16C77">
        <w:rPr>
          <w:rFonts w:ascii="Book Antiqua" w:eastAsia="宋体" w:hAnsi="Book Antiqua" w:cs="宋体"/>
          <w:lang w:val="en-US" w:eastAsia="zh-CN"/>
        </w:rPr>
        <w:t>Sangiovanni</w:t>
      </w:r>
      <w:proofErr w:type="spellEnd"/>
      <w:r w:rsidRPr="00A16C77">
        <w:rPr>
          <w:rFonts w:ascii="Book Antiqua" w:eastAsia="宋体" w:hAnsi="Book Antiqua" w:cs="宋体"/>
          <w:lang w:val="en-US" w:eastAsia="zh-CN"/>
        </w:rPr>
        <w:t xml:space="preserve"> A. </w:t>
      </w:r>
      <w:proofErr w:type="spellStart"/>
      <w:r w:rsidRPr="00A16C77">
        <w:rPr>
          <w:rFonts w:ascii="Book Antiqua" w:eastAsia="宋体" w:hAnsi="Book Antiqua" w:cs="宋体"/>
          <w:lang w:val="en-US" w:eastAsia="zh-CN"/>
        </w:rPr>
        <w:t>Transarterial</w:t>
      </w:r>
      <w:proofErr w:type="spellEnd"/>
      <w:r w:rsidRPr="00A16C77">
        <w:rPr>
          <w:rFonts w:ascii="Book Antiqua" w:eastAsia="宋体" w:hAnsi="Book Antiqua" w:cs="宋体"/>
          <w:lang w:val="en-US" w:eastAsia="zh-CN"/>
        </w:rPr>
        <w:t xml:space="preserve"> chemoembolization with </w:t>
      </w:r>
      <w:proofErr w:type="spellStart"/>
      <w:r w:rsidRPr="00A16C77">
        <w:rPr>
          <w:rFonts w:ascii="Book Antiqua" w:eastAsia="宋体" w:hAnsi="Book Antiqua" w:cs="宋体"/>
          <w:lang w:val="en-US" w:eastAsia="zh-CN"/>
        </w:rPr>
        <w:t>epirubicin</w:t>
      </w:r>
      <w:proofErr w:type="spellEnd"/>
      <w:r w:rsidRPr="00A16C77">
        <w:rPr>
          <w:rFonts w:ascii="Book Antiqua" w:eastAsia="宋体" w:hAnsi="Book Antiqua" w:cs="宋体"/>
          <w:lang w:val="en-US" w:eastAsia="zh-CN"/>
        </w:rPr>
        <w:t xml:space="preserve">-eluting beads versus </w:t>
      </w:r>
      <w:proofErr w:type="spellStart"/>
      <w:r w:rsidRPr="00A16C77">
        <w:rPr>
          <w:rFonts w:ascii="Book Antiqua" w:eastAsia="宋体" w:hAnsi="Book Antiqua" w:cs="宋体"/>
          <w:lang w:val="en-US" w:eastAsia="zh-CN"/>
        </w:rPr>
        <w:t>transarterial</w:t>
      </w:r>
      <w:proofErr w:type="spellEnd"/>
      <w:r w:rsidRPr="00A16C77">
        <w:rPr>
          <w:rFonts w:ascii="Book Antiqua" w:eastAsia="宋体" w:hAnsi="Book Antiqua" w:cs="宋体"/>
          <w:lang w:val="en-US" w:eastAsia="zh-CN"/>
        </w:rPr>
        <w:t xml:space="preserve"> embolization before liver transplantation for hepatocellular carcinoma. </w:t>
      </w:r>
      <w:r w:rsidRPr="00A16C77">
        <w:rPr>
          <w:rFonts w:ascii="Book Antiqua" w:eastAsia="宋体" w:hAnsi="Book Antiqua" w:cs="宋体"/>
          <w:i/>
          <w:iCs/>
          <w:lang w:val="en-US" w:eastAsia="zh-CN"/>
        </w:rPr>
        <w:t xml:space="preserve">J </w:t>
      </w:r>
      <w:proofErr w:type="spellStart"/>
      <w:r w:rsidRPr="00A16C77">
        <w:rPr>
          <w:rFonts w:ascii="Book Antiqua" w:eastAsia="宋体" w:hAnsi="Book Antiqua" w:cs="宋体"/>
          <w:i/>
          <w:iCs/>
          <w:lang w:val="en-US" w:eastAsia="zh-CN"/>
        </w:rPr>
        <w:t>Vasc</w:t>
      </w:r>
      <w:proofErr w:type="spellEnd"/>
      <w:r w:rsidRPr="00A16C77">
        <w:rPr>
          <w:rFonts w:ascii="Book Antiqua" w:eastAsia="宋体" w:hAnsi="Book Antiqua" w:cs="宋体"/>
          <w:i/>
          <w:iCs/>
          <w:lang w:val="en-US" w:eastAsia="zh-CN"/>
        </w:rPr>
        <w:t xml:space="preserve"> </w:t>
      </w:r>
      <w:proofErr w:type="spellStart"/>
      <w:r w:rsidRPr="00A16C77">
        <w:rPr>
          <w:rFonts w:ascii="Book Antiqua" w:eastAsia="宋体" w:hAnsi="Book Antiqua" w:cs="宋体"/>
          <w:i/>
          <w:iCs/>
          <w:lang w:val="en-US" w:eastAsia="zh-CN"/>
        </w:rPr>
        <w:t>Interv</w:t>
      </w:r>
      <w:proofErr w:type="spellEnd"/>
      <w:r w:rsidRPr="00A16C77">
        <w:rPr>
          <w:rFonts w:ascii="Book Antiqua" w:eastAsia="宋体" w:hAnsi="Book Antiqua" w:cs="宋体"/>
          <w:i/>
          <w:iCs/>
          <w:lang w:val="en-US" w:eastAsia="zh-CN"/>
        </w:rPr>
        <w:t xml:space="preserve"> </w:t>
      </w:r>
      <w:proofErr w:type="spellStart"/>
      <w:r w:rsidRPr="00A16C77">
        <w:rPr>
          <w:rFonts w:ascii="Book Antiqua" w:eastAsia="宋体" w:hAnsi="Book Antiqua" w:cs="宋体"/>
          <w:i/>
          <w:iCs/>
          <w:lang w:val="en-US" w:eastAsia="zh-CN"/>
        </w:rPr>
        <w:t>Radiol</w:t>
      </w:r>
      <w:proofErr w:type="spellEnd"/>
      <w:r w:rsidRPr="00A16C77">
        <w:rPr>
          <w:rFonts w:ascii="Book Antiqua" w:eastAsia="宋体" w:hAnsi="Book Antiqua" w:cs="宋体"/>
          <w:lang w:val="en-US" w:eastAsia="zh-CN"/>
        </w:rPr>
        <w:t xml:space="preserve"> 2010; </w:t>
      </w:r>
      <w:r w:rsidRPr="00A16C77">
        <w:rPr>
          <w:rFonts w:ascii="Book Antiqua" w:eastAsia="宋体" w:hAnsi="Book Antiqua" w:cs="宋体"/>
          <w:b/>
          <w:bCs/>
          <w:lang w:val="en-US" w:eastAsia="zh-CN"/>
        </w:rPr>
        <w:t>21</w:t>
      </w:r>
      <w:r w:rsidRPr="00A16C77">
        <w:rPr>
          <w:rFonts w:ascii="Book Antiqua" w:eastAsia="宋体" w:hAnsi="Book Antiqua" w:cs="宋体"/>
          <w:lang w:val="en-US" w:eastAsia="zh-CN"/>
        </w:rPr>
        <w:t>: 327-332 [PMID: 20097098 DOI: 10.1016/j.jvir.2009.10.038]</w:t>
      </w:r>
    </w:p>
    <w:p w:rsidR="00A16C77" w:rsidRPr="00A16C77" w:rsidRDefault="00A16C77" w:rsidP="00A16C77">
      <w:pPr>
        <w:spacing w:line="360" w:lineRule="auto"/>
        <w:jc w:val="both"/>
        <w:rPr>
          <w:rFonts w:ascii="Book Antiqua" w:eastAsia="宋体" w:hAnsi="Book Antiqua" w:cs="宋体"/>
          <w:lang w:val="en-US" w:eastAsia="zh-CN"/>
        </w:rPr>
      </w:pPr>
      <w:r w:rsidRPr="00A16C77">
        <w:rPr>
          <w:rFonts w:ascii="Book Antiqua" w:eastAsia="宋体" w:hAnsi="Book Antiqua" w:cs="宋体"/>
          <w:lang w:val="en-US" w:eastAsia="zh-CN"/>
        </w:rPr>
        <w:t xml:space="preserve">33 </w:t>
      </w:r>
      <w:proofErr w:type="spellStart"/>
      <w:r w:rsidRPr="00A16C77">
        <w:rPr>
          <w:rFonts w:ascii="Book Antiqua" w:eastAsia="宋体" w:hAnsi="Book Antiqua" w:cs="宋体"/>
          <w:b/>
          <w:bCs/>
          <w:lang w:val="en-US" w:eastAsia="zh-CN"/>
        </w:rPr>
        <w:t>Nicolini</w:t>
      </w:r>
      <w:proofErr w:type="spellEnd"/>
      <w:r w:rsidRPr="00A16C77">
        <w:rPr>
          <w:rFonts w:ascii="Book Antiqua" w:eastAsia="宋体" w:hAnsi="Book Antiqua" w:cs="宋体"/>
          <w:b/>
          <w:bCs/>
          <w:lang w:val="en-US" w:eastAsia="zh-CN"/>
        </w:rPr>
        <w:t xml:space="preserve"> D</w:t>
      </w:r>
      <w:r w:rsidRPr="00A16C77">
        <w:rPr>
          <w:rFonts w:ascii="Book Antiqua" w:eastAsia="宋体" w:hAnsi="Book Antiqua" w:cs="宋体"/>
          <w:lang w:val="en-US" w:eastAsia="zh-CN"/>
        </w:rPr>
        <w:t xml:space="preserve">, </w:t>
      </w:r>
      <w:proofErr w:type="spellStart"/>
      <w:r w:rsidRPr="00A16C77">
        <w:rPr>
          <w:rFonts w:ascii="Book Antiqua" w:eastAsia="宋体" w:hAnsi="Book Antiqua" w:cs="宋体"/>
          <w:lang w:val="en-US" w:eastAsia="zh-CN"/>
        </w:rPr>
        <w:t>Svegliati-Baroni</w:t>
      </w:r>
      <w:proofErr w:type="spellEnd"/>
      <w:r w:rsidRPr="00A16C77">
        <w:rPr>
          <w:rFonts w:ascii="Book Antiqua" w:eastAsia="宋体" w:hAnsi="Book Antiqua" w:cs="宋体"/>
          <w:lang w:val="en-US" w:eastAsia="zh-CN"/>
        </w:rPr>
        <w:t xml:space="preserve"> G, </w:t>
      </w:r>
      <w:proofErr w:type="spellStart"/>
      <w:r w:rsidRPr="00A16C77">
        <w:rPr>
          <w:rFonts w:ascii="Book Antiqua" w:eastAsia="宋体" w:hAnsi="Book Antiqua" w:cs="宋体"/>
          <w:lang w:val="en-US" w:eastAsia="zh-CN"/>
        </w:rPr>
        <w:t>Candelari</w:t>
      </w:r>
      <w:proofErr w:type="spellEnd"/>
      <w:r w:rsidRPr="00A16C77">
        <w:rPr>
          <w:rFonts w:ascii="Book Antiqua" w:eastAsia="宋体" w:hAnsi="Book Antiqua" w:cs="宋体"/>
          <w:lang w:val="en-US" w:eastAsia="zh-CN"/>
        </w:rPr>
        <w:t xml:space="preserve"> R, </w:t>
      </w:r>
      <w:proofErr w:type="spellStart"/>
      <w:r w:rsidRPr="00A16C77">
        <w:rPr>
          <w:rFonts w:ascii="Book Antiqua" w:eastAsia="宋体" w:hAnsi="Book Antiqua" w:cs="宋体"/>
          <w:lang w:val="en-US" w:eastAsia="zh-CN"/>
        </w:rPr>
        <w:t>Mincarelli</w:t>
      </w:r>
      <w:proofErr w:type="spellEnd"/>
      <w:r w:rsidRPr="00A16C77">
        <w:rPr>
          <w:rFonts w:ascii="Book Antiqua" w:eastAsia="宋体" w:hAnsi="Book Antiqua" w:cs="宋体"/>
          <w:lang w:val="en-US" w:eastAsia="zh-CN"/>
        </w:rPr>
        <w:t xml:space="preserve"> C, </w:t>
      </w:r>
      <w:proofErr w:type="spellStart"/>
      <w:r w:rsidRPr="00A16C77">
        <w:rPr>
          <w:rFonts w:ascii="Book Antiqua" w:eastAsia="宋体" w:hAnsi="Book Antiqua" w:cs="宋体"/>
          <w:lang w:val="en-US" w:eastAsia="zh-CN"/>
        </w:rPr>
        <w:t>Mandolesi</w:t>
      </w:r>
      <w:proofErr w:type="spellEnd"/>
      <w:r w:rsidRPr="00A16C77">
        <w:rPr>
          <w:rFonts w:ascii="Book Antiqua" w:eastAsia="宋体" w:hAnsi="Book Antiqua" w:cs="宋体"/>
          <w:lang w:val="en-US" w:eastAsia="zh-CN"/>
        </w:rPr>
        <w:t xml:space="preserve"> A, </w:t>
      </w:r>
      <w:proofErr w:type="spellStart"/>
      <w:r w:rsidRPr="00A16C77">
        <w:rPr>
          <w:rFonts w:ascii="Book Antiqua" w:eastAsia="宋体" w:hAnsi="Book Antiqua" w:cs="宋体"/>
          <w:lang w:val="en-US" w:eastAsia="zh-CN"/>
        </w:rPr>
        <w:t>Bearzi</w:t>
      </w:r>
      <w:proofErr w:type="spellEnd"/>
      <w:r w:rsidRPr="00A16C77">
        <w:rPr>
          <w:rFonts w:ascii="Book Antiqua" w:eastAsia="宋体" w:hAnsi="Book Antiqua" w:cs="宋体"/>
          <w:lang w:val="en-US" w:eastAsia="zh-CN"/>
        </w:rPr>
        <w:t xml:space="preserve"> I, </w:t>
      </w:r>
      <w:proofErr w:type="spellStart"/>
      <w:r w:rsidRPr="00A16C77">
        <w:rPr>
          <w:rFonts w:ascii="Book Antiqua" w:eastAsia="宋体" w:hAnsi="Book Antiqua" w:cs="宋体"/>
          <w:lang w:val="en-US" w:eastAsia="zh-CN"/>
        </w:rPr>
        <w:t>Mocchegiani</w:t>
      </w:r>
      <w:proofErr w:type="spellEnd"/>
      <w:r w:rsidRPr="00A16C77">
        <w:rPr>
          <w:rFonts w:ascii="Book Antiqua" w:eastAsia="宋体" w:hAnsi="Book Antiqua" w:cs="宋体"/>
          <w:lang w:val="en-US" w:eastAsia="zh-CN"/>
        </w:rPr>
        <w:t xml:space="preserve"> F, </w:t>
      </w:r>
      <w:proofErr w:type="spellStart"/>
      <w:r w:rsidRPr="00A16C77">
        <w:rPr>
          <w:rFonts w:ascii="Book Antiqua" w:eastAsia="宋体" w:hAnsi="Book Antiqua" w:cs="宋体"/>
          <w:lang w:val="en-US" w:eastAsia="zh-CN"/>
        </w:rPr>
        <w:t>Vecchi</w:t>
      </w:r>
      <w:proofErr w:type="spellEnd"/>
      <w:r w:rsidRPr="00A16C77">
        <w:rPr>
          <w:rFonts w:ascii="Book Antiqua" w:eastAsia="宋体" w:hAnsi="Book Antiqua" w:cs="宋体"/>
          <w:lang w:val="en-US" w:eastAsia="zh-CN"/>
        </w:rPr>
        <w:t xml:space="preserve"> A, </w:t>
      </w:r>
      <w:proofErr w:type="spellStart"/>
      <w:r w:rsidRPr="00A16C77">
        <w:rPr>
          <w:rFonts w:ascii="Book Antiqua" w:eastAsia="宋体" w:hAnsi="Book Antiqua" w:cs="宋体"/>
          <w:lang w:val="en-US" w:eastAsia="zh-CN"/>
        </w:rPr>
        <w:t>Montalti</w:t>
      </w:r>
      <w:proofErr w:type="spellEnd"/>
      <w:r w:rsidRPr="00A16C77">
        <w:rPr>
          <w:rFonts w:ascii="Book Antiqua" w:eastAsia="宋体" w:hAnsi="Book Antiqua" w:cs="宋体"/>
          <w:lang w:val="en-US" w:eastAsia="zh-CN"/>
        </w:rPr>
        <w:t xml:space="preserve"> R, Benedetti A, </w:t>
      </w:r>
      <w:proofErr w:type="spellStart"/>
      <w:r w:rsidRPr="00A16C77">
        <w:rPr>
          <w:rFonts w:ascii="Book Antiqua" w:eastAsia="宋体" w:hAnsi="Book Antiqua" w:cs="宋体"/>
          <w:lang w:val="en-US" w:eastAsia="zh-CN"/>
        </w:rPr>
        <w:t>Risaliti</w:t>
      </w:r>
      <w:proofErr w:type="spellEnd"/>
      <w:r w:rsidRPr="00A16C77">
        <w:rPr>
          <w:rFonts w:ascii="Book Antiqua" w:eastAsia="宋体" w:hAnsi="Book Antiqua" w:cs="宋体"/>
          <w:lang w:val="en-US" w:eastAsia="zh-CN"/>
        </w:rPr>
        <w:t xml:space="preserve"> A, </w:t>
      </w:r>
      <w:proofErr w:type="spellStart"/>
      <w:r w:rsidRPr="00A16C77">
        <w:rPr>
          <w:rFonts w:ascii="Book Antiqua" w:eastAsia="宋体" w:hAnsi="Book Antiqua" w:cs="宋体"/>
          <w:lang w:val="en-US" w:eastAsia="zh-CN"/>
        </w:rPr>
        <w:t>Vivarelli</w:t>
      </w:r>
      <w:proofErr w:type="spellEnd"/>
      <w:r w:rsidRPr="00A16C77">
        <w:rPr>
          <w:rFonts w:ascii="Book Antiqua" w:eastAsia="宋体" w:hAnsi="Book Antiqua" w:cs="宋体"/>
          <w:lang w:val="en-US" w:eastAsia="zh-CN"/>
        </w:rPr>
        <w:t xml:space="preserve"> M. Doxorubicin-eluting bead </w:t>
      </w:r>
      <w:proofErr w:type="spellStart"/>
      <w:r w:rsidRPr="00A16C77">
        <w:rPr>
          <w:rFonts w:ascii="Book Antiqua" w:eastAsia="宋体" w:hAnsi="Book Antiqua" w:cs="宋体"/>
          <w:lang w:val="en-US" w:eastAsia="zh-CN"/>
        </w:rPr>
        <w:t>vs</w:t>
      </w:r>
      <w:proofErr w:type="spellEnd"/>
      <w:r w:rsidRPr="00A16C77">
        <w:rPr>
          <w:rFonts w:ascii="Book Antiqua" w:eastAsia="宋体" w:hAnsi="Book Antiqua" w:cs="宋体"/>
          <w:lang w:val="en-US" w:eastAsia="zh-CN"/>
        </w:rPr>
        <w:t xml:space="preserve"> conventional </w:t>
      </w:r>
      <w:proofErr w:type="spellStart"/>
      <w:r w:rsidRPr="00A16C77">
        <w:rPr>
          <w:rFonts w:ascii="Book Antiqua" w:eastAsia="宋体" w:hAnsi="Book Antiqua" w:cs="宋体"/>
          <w:lang w:val="en-US" w:eastAsia="zh-CN"/>
        </w:rPr>
        <w:t>transcatheter</w:t>
      </w:r>
      <w:proofErr w:type="spellEnd"/>
      <w:r w:rsidRPr="00A16C77">
        <w:rPr>
          <w:rFonts w:ascii="Book Antiqua" w:eastAsia="宋体" w:hAnsi="Book Antiqua" w:cs="宋体"/>
          <w:lang w:val="en-US" w:eastAsia="zh-CN"/>
        </w:rPr>
        <w:t xml:space="preserve"> arterial chemoembolization for hepatocellular carcinoma before liver transplantation. </w:t>
      </w:r>
      <w:r w:rsidRPr="00A16C77">
        <w:rPr>
          <w:rFonts w:ascii="Book Antiqua" w:eastAsia="宋体" w:hAnsi="Book Antiqua" w:cs="宋体"/>
          <w:i/>
          <w:iCs/>
          <w:lang w:val="en-US" w:eastAsia="zh-CN"/>
        </w:rPr>
        <w:t xml:space="preserve">World J </w:t>
      </w:r>
      <w:proofErr w:type="spellStart"/>
      <w:r w:rsidRPr="00A16C77">
        <w:rPr>
          <w:rFonts w:ascii="Book Antiqua" w:eastAsia="宋体" w:hAnsi="Book Antiqua" w:cs="宋体"/>
          <w:i/>
          <w:iCs/>
          <w:lang w:val="en-US" w:eastAsia="zh-CN"/>
        </w:rPr>
        <w:t>Gastroenterol</w:t>
      </w:r>
      <w:proofErr w:type="spellEnd"/>
      <w:r w:rsidRPr="00A16C77">
        <w:rPr>
          <w:rFonts w:ascii="Book Antiqua" w:eastAsia="宋体" w:hAnsi="Book Antiqua" w:cs="宋体"/>
          <w:lang w:val="en-US" w:eastAsia="zh-CN"/>
        </w:rPr>
        <w:t xml:space="preserve"> 2013; </w:t>
      </w:r>
      <w:r w:rsidRPr="00A16C77">
        <w:rPr>
          <w:rFonts w:ascii="Book Antiqua" w:eastAsia="宋体" w:hAnsi="Book Antiqua" w:cs="宋体"/>
          <w:b/>
          <w:bCs/>
          <w:lang w:val="en-US" w:eastAsia="zh-CN"/>
        </w:rPr>
        <w:t>19</w:t>
      </w:r>
      <w:r w:rsidRPr="00A16C77">
        <w:rPr>
          <w:rFonts w:ascii="Book Antiqua" w:eastAsia="宋体" w:hAnsi="Book Antiqua" w:cs="宋体"/>
          <w:lang w:val="en-US" w:eastAsia="zh-CN"/>
        </w:rPr>
        <w:t>: 5622-5632 [PMID: 24039354 DOI: 10.3748/wjg.v19.i34.5622]</w:t>
      </w:r>
    </w:p>
    <w:p w:rsidR="001057C1" w:rsidRPr="00A16C77" w:rsidRDefault="001057C1" w:rsidP="00A16C77">
      <w:pPr>
        <w:spacing w:line="360" w:lineRule="auto"/>
        <w:jc w:val="both"/>
        <w:rPr>
          <w:rFonts w:ascii="Book Antiqua" w:hAnsi="Book Antiqua"/>
          <w:b/>
        </w:rPr>
      </w:pPr>
    </w:p>
    <w:p w:rsidR="00D04837" w:rsidRPr="00E5200B" w:rsidRDefault="00593A99" w:rsidP="00E5200B">
      <w:pPr>
        <w:spacing w:line="360" w:lineRule="auto"/>
        <w:jc w:val="right"/>
        <w:rPr>
          <w:rFonts w:ascii="Book Antiqua" w:hAnsi="Book Antiqua"/>
          <w:b/>
        </w:rPr>
      </w:pPr>
      <w:r w:rsidRPr="00E5200B">
        <w:rPr>
          <w:rFonts w:ascii="Book Antiqua" w:hAnsi="Book Antiqua"/>
          <w:b/>
        </w:rPr>
        <w:t xml:space="preserve">P-Reviewer: </w:t>
      </w:r>
      <w:proofErr w:type="spellStart"/>
      <w:r w:rsidR="00375763" w:rsidRPr="00E5200B">
        <w:rPr>
          <w:rFonts w:ascii="Book Antiqua" w:hAnsi="Book Antiqua"/>
          <w:color w:val="000000"/>
        </w:rPr>
        <w:t>Edeline</w:t>
      </w:r>
      <w:proofErr w:type="spellEnd"/>
      <w:r w:rsidR="00375763" w:rsidRPr="00E5200B">
        <w:rPr>
          <w:rFonts w:ascii="Book Antiqua" w:hAnsi="Book Antiqua"/>
          <w:color w:val="000000"/>
          <w:lang w:eastAsia="zh-CN"/>
        </w:rPr>
        <w:t xml:space="preserve"> J, </w:t>
      </w:r>
      <w:r w:rsidR="00375763" w:rsidRPr="00E5200B">
        <w:rPr>
          <w:rFonts w:ascii="Book Antiqua" w:hAnsi="Book Antiqua"/>
          <w:color w:val="000000"/>
        </w:rPr>
        <w:t>Jin</w:t>
      </w:r>
      <w:r w:rsidR="00375763" w:rsidRPr="00E5200B">
        <w:rPr>
          <w:rFonts w:ascii="Book Antiqua" w:hAnsi="Book Antiqua"/>
          <w:color w:val="000000"/>
          <w:lang w:eastAsia="zh-CN"/>
        </w:rPr>
        <w:t xml:space="preserve"> B, </w:t>
      </w:r>
      <w:proofErr w:type="spellStart"/>
      <w:r w:rsidR="00375763" w:rsidRPr="00E5200B">
        <w:rPr>
          <w:rFonts w:ascii="Book Antiqua" w:hAnsi="Book Antiqua"/>
          <w:color w:val="000000"/>
        </w:rPr>
        <w:t>Ohira</w:t>
      </w:r>
      <w:proofErr w:type="spellEnd"/>
      <w:r w:rsidR="00375763" w:rsidRPr="00E5200B">
        <w:rPr>
          <w:rFonts w:ascii="Book Antiqua" w:hAnsi="Book Antiqua"/>
          <w:color w:val="000000"/>
          <w:lang w:eastAsia="zh-CN"/>
        </w:rPr>
        <w:t xml:space="preserve"> M </w:t>
      </w:r>
      <w:r w:rsidRPr="00E5200B">
        <w:rPr>
          <w:rFonts w:ascii="Book Antiqua" w:hAnsi="Book Antiqua"/>
          <w:b/>
        </w:rPr>
        <w:t xml:space="preserve">S-Editor: </w:t>
      </w:r>
      <w:proofErr w:type="spellStart"/>
      <w:r w:rsidRPr="00E5200B">
        <w:rPr>
          <w:rFonts w:ascii="Book Antiqua" w:hAnsi="Book Antiqua"/>
        </w:rPr>
        <w:t>Ji</w:t>
      </w:r>
      <w:proofErr w:type="spellEnd"/>
      <w:r w:rsidRPr="00E5200B">
        <w:rPr>
          <w:rFonts w:ascii="Book Antiqua" w:hAnsi="Book Antiqua"/>
        </w:rPr>
        <w:t xml:space="preserve"> FF</w:t>
      </w:r>
      <w:r w:rsidRPr="00E5200B">
        <w:rPr>
          <w:rFonts w:ascii="Book Antiqua" w:hAnsi="Book Antiqua"/>
          <w:b/>
        </w:rPr>
        <w:t xml:space="preserve"> L-Editor: E-Editor:</w:t>
      </w:r>
    </w:p>
    <w:p w:rsidR="00780887" w:rsidRPr="00A16C77" w:rsidRDefault="00780887" w:rsidP="00A16C77">
      <w:pPr>
        <w:spacing w:line="360" w:lineRule="auto"/>
        <w:jc w:val="both"/>
        <w:rPr>
          <w:rFonts w:ascii="Book Antiqua" w:hAnsi="Book Antiqua"/>
        </w:rPr>
      </w:pPr>
      <w:r w:rsidRPr="00A16C77">
        <w:rPr>
          <w:rFonts w:ascii="Book Antiqua" w:hAnsi="Book Antiqua"/>
        </w:rPr>
        <w:br w:type="page"/>
      </w:r>
    </w:p>
    <w:p w:rsidR="00276A29" w:rsidRPr="00276A29" w:rsidRDefault="006B37AC" w:rsidP="00276A29">
      <w:pPr>
        <w:spacing w:line="360" w:lineRule="auto"/>
        <w:jc w:val="both"/>
        <w:rPr>
          <w:rFonts w:ascii="Book Antiqua" w:hAnsi="Book Antiqua"/>
          <w:b/>
          <w:lang w:eastAsia="zh-CN"/>
        </w:rPr>
      </w:pPr>
      <w:r>
        <w:rPr>
          <w:rFonts w:ascii="Book Antiqua" w:hAnsi="Book Antiqua" w:hint="eastAsia"/>
          <w:b/>
          <w:lang w:eastAsia="zh-CN"/>
        </w:rPr>
        <w:lastRenderedPageBreak/>
        <w:t>A                                                B</w:t>
      </w:r>
    </w:p>
    <w:p w:rsidR="00276A29" w:rsidRPr="00276A29" w:rsidRDefault="00276A29" w:rsidP="00276A29">
      <w:pPr>
        <w:spacing w:line="360" w:lineRule="auto"/>
        <w:jc w:val="both"/>
        <w:rPr>
          <w:rFonts w:ascii="Book Antiqua" w:hAnsi="Book Antiqua"/>
          <w:noProof/>
          <w:lang w:eastAsia="en-US"/>
        </w:rPr>
      </w:pPr>
      <w:r w:rsidRPr="00276A29">
        <w:rPr>
          <w:rFonts w:ascii="Book Antiqua" w:hAnsi="Book Antiqua"/>
          <w:noProof/>
          <w:lang w:val="en-US" w:eastAsia="en-US"/>
        </w:rPr>
        <w:drawing>
          <wp:inline distT="0" distB="0" distL="0" distR="0" wp14:anchorId="162F7D2C" wp14:editId="36E1AEE1">
            <wp:extent cx="1988820" cy="1496060"/>
            <wp:effectExtent l="0" t="0" r="0" b="0"/>
            <wp:docPr id="7" name="图片 7" descr="说明: berna 2 risposta corret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说明: berna 2 risposta corrett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8820" cy="1496060"/>
                    </a:xfrm>
                    <a:prstGeom prst="rect">
                      <a:avLst/>
                    </a:prstGeom>
                    <a:noFill/>
                    <a:ln>
                      <a:noFill/>
                    </a:ln>
                  </pic:spPr>
                </pic:pic>
              </a:graphicData>
            </a:graphic>
          </wp:inline>
        </w:drawing>
      </w:r>
      <w:r w:rsidRPr="00276A29">
        <w:rPr>
          <w:rFonts w:ascii="Book Antiqua" w:hAnsi="Book Antiqua"/>
          <w:noProof/>
          <w:lang w:val="en-US" w:eastAsia="en-US"/>
        </w:rPr>
        <w:drawing>
          <wp:inline distT="0" distB="0" distL="0" distR="0" wp14:anchorId="0AFEBE2D" wp14:editId="69D28AA1">
            <wp:extent cx="2060575" cy="1525905"/>
            <wp:effectExtent l="0" t="0" r="0" b="0"/>
            <wp:docPr id="6" name="图片 6" descr="说明: carbon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说明: carbone 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0575" cy="1525905"/>
                    </a:xfrm>
                    <a:prstGeom prst="rect">
                      <a:avLst/>
                    </a:prstGeom>
                    <a:noFill/>
                    <a:ln>
                      <a:noFill/>
                    </a:ln>
                  </pic:spPr>
                </pic:pic>
              </a:graphicData>
            </a:graphic>
          </wp:inline>
        </w:drawing>
      </w:r>
      <w:r w:rsidRPr="00276A29">
        <w:rPr>
          <w:rFonts w:ascii="Book Antiqua" w:hAnsi="Book Antiqua"/>
          <w:noProof/>
          <w:lang w:val="en-US" w:eastAsia="en-US"/>
        </w:rPr>
        <w:drawing>
          <wp:inline distT="0" distB="0" distL="0" distR="0" wp14:anchorId="4D1D2ADD" wp14:editId="73023B18">
            <wp:extent cx="1888490" cy="1531620"/>
            <wp:effectExtent l="0" t="0" r="0" b="0"/>
            <wp:docPr id="5" name="图片 5" descr="说明: carbone art post t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说明: carbone art post tace"/>
                    <pic:cNvPicPr>
                      <a:picLocks noChangeAspect="1" noChangeArrowheads="1"/>
                    </pic:cNvPicPr>
                  </pic:nvPicPr>
                  <pic:blipFill>
                    <a:blip r:embed="rId12">
                      <a:extLst>
                        <a:ext uri="{28A0092B-C50C-407E-A947-70E740481C1C}">
                          <a14:useLocalDpi xmlns:a14="http://schemas.microsoft.com/office/drawing/2010/main" val="0"/>
                        </a:ext>
                      </a:extLst>
                    </a:blip>
                    <a:srcRect l="4547" t="15247" r="4547" b="13034"/>
                    <a:stretch>
                      <a:fillRect/>
                    </a:stretch>
                  </pic:blipFill>
                  <pic:spPr bwMode="auto">
                    <a:xfrm>
                      <a:off x="0" y="0"/>
                      <a:ext cx="1888490" cy="1531620"/>
                    </a:xfrm>
                    <a:prstGeom prst="rect">
                      <a:avLst/>
                    </a:prstGeom>
                    <a:noFill/>
                    <a:ln>
                      <a:noFill/>
                    </a:ln>
                  </pic:spPr>
                </pic:pic>
              </a:graphicData>
            </a:graphic>
          </wp:inline>
        </w:drawing>
      </w:r>
    </w:p>
    <w:p w:rsidR="00276A29" w:rsidRPr="00276A29" w:rsidRDefault="00276A29" w:rsidP="00276A29">
      <w:pPr>
        <w:spacing w:line="360" w:lineRule="auto"/>
        <w:jc w:val="both"/>
        <w:rPr>
          <w:rFonts w:ascii="Book Antiqua" w:hAnsi="Book Antiqua"/>
          <w:b/>
          <w:noProof/>
          <w:lang w:eastAsia="zh-CN"/>
        </w:rPr>
      </w:pPr>
      <w:r w:rsidRPr="008C01EE">
        <w:rPr>
          <w:rFonts w:ascii="Book Antiqua" w:hAnsi="Book Antiqua"/>
          <w:b/>
          <w:noProof/>
          <w:lang w:eastAsia="en-US"/>
        </w:rPr>
        <w:t xml:space="preserve">Figure </w:t>
      </w:r>
      <w:r w:rsidRPr="008C01EE">
        <w:rPr>
          <w:rFonts w:ascii="Book Antiqua" w:hAnsi="Book Antiqua" w:hint="eastAsia"/>
          <w:b/>
          <w:noProof/>
          <w:lang w:eastAsia="zh-CN"/>
        </w:rPr>
        <w:t>1</w:t>
      </w:r>
      <w:r w:rsidRPr="008C01EE">
        <w:rPr>
          <w:rFonts w:ascii="Book Antiqua" w:hAnsi="Book Antiqua"/>
          <w:b/>
          <w:noProof/>
          <w:lang w:eastAsia="en-US"/>
        </w:rPr>
        <w:t xml:space="preserve"> Patient with evidence of a ca. 32 mm tumor with arterial blood flow typical of </w:t>
      </w:r>
      <w:r w:rsidR="008C01EE" w:rsidRPr="008C01EE">
        <w:rPr>
          <w:rFonts w:ascii="Book Antiqua" w:hAnsi="Book Antiqua"/>
          <w:b/>
          <w:color w:val="000000" w:themeColor="text1"/>
        </w:rPr>
        <w:t>hepatocellular carcinoma</w:t>
      </w:r>
      <w:r w:rsidRPr="008C01EE">
        <w:rPr>
          <w:rFonts w:ascii="Book Antiqua" w:hAnsi="Book Antiqua"/>
          <w:b/>
          <w:noProof/>
          <w:lang w:eastAsia="en-US"/>
        </w:rPr>
        <w:t xml:space="preserve"> (wash-in phase at the centre of the image) in segment 3 treated with a  single cycle of </w:t>
      </w:r>
      <w:proofErr w:type="spellStart"/>
      <w:r w:rsidR="008C01EE" w:rsidRPr="008C01EE">
        <w:rPr>
          <w:rFonts w:ascii="Book Antiqua" w:hAnsi="Book Antiqua"/>
          <w:b/>
          <w:color w:val="000000" w:themeColor="text1"/>
        </w:rPr>
        <w:t>transarterial</w:t>
      </w:r>
      <w:proofErr w:type="spellEnd"/>
      <w:r w:rsidR="008C01EE" w:rsidRPr="008C01EE">
        <w:rPr>
          <w:rFonts w:ascii="Book Antiqua" w:hAnsi="Book Antiqua"/>
          <w:b/>
          <w:color w:val="000000" w:themeColor="text1"/>
        </w:rPr>
        <w:t xml:space="preserve"> chemoembolization</w:t>
      </w:r>
      <w:r w:rsidRPr="008C01EE">
        <w:rPr>
          <w:rFonts w:ascii="Book Antiqua" w:hAnsi="Book Antiqua"/>
          <w:b/>
          <w:noProof/>
          <w:lang w:eastAsia="en-US"/>
        </w:rPr>
        <w:t xml:space="preserve">. </w:t>
      </w:r>
      <w:r w:rsidR="006B37AC" w:rsidRPr="006B37AC">
        <w:rPr>
          <w:rFonts w:ascii="Book Antiqua" w:hAnsi="Book Antiqua"/>
          <w:noProof/>
          <w:lang w:eastAsia="zh-CN"/>
        </w:rPr>
        <w:t>A</w:t>
      </w:r>
      <w:r w:rsidR="006B37AC" w:rsidRPr="006B37AC">
        <w:rPr>
          <w:rFonts w:ascii="Book Antiqua" w:hAnsi="Book Antiqua" w:hint="eastAsia"/>
          <w:noProof/>
          <w:lang w:eastAsia="zh-CN"/>
        </w:rPr>
        <w:t>:</w:t>
      </w:r>
      <w:r w:rsidR="006B37AC">
        <w:rPr>
          <w:rFonts w:ascii="Book Antiqua" w:hAnsi="Book Antiqua" w:hint="eastAsia"/>
          <w:b/>
          <w:noProof/>
          <w:lang w:eastAsia="zh-CN"/>
        </w:rPr>
        <w:t xml:space="preserve"> </w:t>
      </w:r>
      <w:r w:rsidRPr="00276A29">
        <w:rPr>
          <w:rFonts w:ascii="Book Antiqua" w:hAnsi="Book Antiqua"/>
          <w:noProof/>
          <w:lang w:eastAsia="en-US"/>
        </w:rPr>
        <w:t>The follow-up CT scan after TACE observed complete response according to mRECIST (on the right)</w:t>
      </w:r>
      <w:r w:rsidR="006B37AC">
        <w:rPr>
          <w:rFonts w:ascii="Book Antiqua" w:hAnsi="Book Antiqua" w:hint="eastAsia"/>
          <w:noProof/>
          <w:lang w:eastAsia="zh-CN"/>
        </w:rPr>
        <w:t>;</w:t>
      </w:r>
      <w:r w:rsidRPr="00276A29">
        <w:rPr>
          <w:rFonts w:ascii="Book Antiqua" w:hAnsi="Book Antiqua"/>
          <w:noProof/>
          <w:lang w:eastAsia="en-US"/>
        </w:rPr>
        <w:t xml:space="preserve"> </w:t>
      </w:r>
      <w:r w:rsidR="006B37AC">
        <w:rPr>
          <w:rFonts w:ascii="Book Antiqua" w:hAnsi="Book Antiqua" w:hint="eastAsia"/>
          <w:noProof/>
          <w:lang w:eastAsia="zh-CN"/>
        </w:rPr>
        <w:t xml:space="preserve">B: </w:t>
      </w:r>
      <w:r w:rsidRPr="00276A29">
        <w:rPr>
          <w:rFonts w:ascii="Book Antiqua" w:hAnsi="Book Antiqua"/>
          <w:noProof/>
          <w:lang w:eastAsia="en-US"/>
        </w:rPr>
        <w:t xml:space="preserve">Corresponding histological image of the tumor after transplantation: </w:t>
      </w:r>
      <w:r w:rsidR="006B37AC" w:rsidRPr="00276A29">
        <w:rPr>
          <w:rFonts w:ascii="Book Antiqua" w:hAnsi="Book Antiqua"/>
          <w:noProof/>
          <w:lang w:eastAsia="en-US"/>
        </w:rPr>
        <w:t>P</w:t>
      </w:r>
      <w:r w:rsidRPr="00276A29">
        <w:rPr>
          <w:rFonts w:ascii="Book Antiqua" w:hAnsi="Book Antiqua"/>
          <w:noProof/>
          <w:lang w:eastAsia="en-US"/>
        </w:rPr>
        <w:t>articles can be seen inside the afferent arterioles of the tumor, documenting 100% necrosis.</w:t>
      </w:r>
      <w:r w:rsidR="008C01EE" w:rsidRPr="008C01EE">
        <w:rPr>
          <w:rFonts w:ascii="Book Antiqua" w:hAnsi="Book Antiqua"/>
          <w:noProof/>
          <w:lang w:eastAsia="en-US"/>
        </w:rPr>
        <w:t xml:space="preserve"> </w:t>
      </w:r>
      <w:r w:rsidR="008C01EE" w:rsidRPr="00276A29">
        <w:rPr>
          <w:rFonts w:ascii="Book Antiqua" w:hAnsi="Book Antiqua"/>
          <w:noProof/>
          <w:lang w:eastAsia="en-US"/>
        </w:rPr>
        <w:t>TACE</w:t>
      </w:r>
      <w:r w:rsidR="008C01EE">
        <w:rPr>
          <w:rFonts w:ascii="Book Antiqua" w:hAnsi="Book Antiqua" w:hint="eastAsia"/>
          <w:noProof/>
          <w:lang w:eastAsia="zh-CN"/>
        </w:rPr>
        <w:t xml:space="preserve">: </w:t>
      </w:r>
      <w:proofErr w:type="spellStart"/>
      <w:r w:rsidR="00CB7ADE">
        <w:rPr>
          <w:rFonts w:ascii="Book Antiqua" w:hAnsi="Book Antiqua"/>
          <w:color w:val="000000" w:themeColor="text1"/>
        </w:rPr>
        <w:t>T</w:t>
      </w:r>
      <w:r w:rsidR="00CB7ADE" w:rsidRPr="00EF70BC">
        <w:rPr>
          <w:rFonts w:ascii="Book Antiqua" w:hAnsi="Book Antiqua"/>
          <w:color w:val="000000" w:themeColor="text1"/>
        </w:rPr>
        <w:t>ransarterial</w:t>
      </w:r>
      <w:proofErr w:type="spellEnd"/>
      <w:r w:rsidR="00CB7ADE" w:rsidRPr="00EF70BC">
        <w:rPr>
          <w:rFonts w:ascii="Book Antiqua" w:hAnsi="Book Antiqua"/>
          <w:color w:val="000000" w:themeColor="text1"/>
        </w:rPr>
        <w:t xml:space="preserve"> </w:t>
      </w:r>
      <w:r w:rsidR="00CB7ADE">
        <w:rPr>
          <w:rFonts w:ascii="Book Antiqua" w:hAnsi="Book Antiqua"/>
          <w:color w:val="000000" w:themeColor="text1"/>
        </w:rPr>
        <w:t>c</w:t>
      </w:r>
      <w:r w:rsidR="00CB7ADE" w:rsidRPr="00EF70BC">
        <w:rPr>
          <w:rFonts w:ascii="Book Antiqua" w:hAnsi="Book Antiqua"/>
          <w:color w:val="000000" w:themeColor="text1"/>
        </w:rPr>
        <w:t>hemoembolization</w:t>
      </w:r>
      <w:r w:rsidR="00CB7ADE">
        <w:rPr>
          <w:rFonts w:ascii="Book Antiqua" w:hAnsi="Book Antiqua" w:hint="eastAsia"/>
          <w:color w:val="000000" w:themeColor="text1"/>
          <w:lang w:eastAsia="zh-CN"/>
        </w:rPr>
        <w:t>;</w:t>
      </w:r>
      <w:r w:rsidR="00CB7ADE" w:rsidRPr="00276A29">
        <w:rPr>
          <w:rFonts w:ascii="Book Antiqua" w:hAnsi="Book Antiqua"/>
          <w:noProof/>
          <w:lang w:eastAsia="en-US"/>
        </w:rPr>
        <w:t xml:space="preserve"> </w:t>
      </w:r>
      <w:r w:rsidR="008C01EE" w:rsidRPr="00276A29">
        <w:rPr>
          <w:rFonts w:ascii="Book Antiqua" w:hAnsi="Book Antiqua"/>
          <w:noProof/>
          <w:lang w:eastAsia="en-US"/>
        </w:rPr>
        <w:t>mRECIST</w:t>
      </w:r>
      <w:r w:rsidR="008C01EE">
        <w:rPr>
          <w:rFonts w:ascii="Book Antiqua" w:hAnsi="Book Antiqua" w:hint="eastAsia"/>
          <w:noProof/>
          <w:lang w:eastAsia="zh-CN"/>
        </w:rPr>
        <w:t>:</w:t>
      </w:r>
      <w:r w:rsidR="00CB7ADE" w:rsidRPr="00CB7ADE">
        <w:rPr>
          <w:rFonts w:ascii="Book Antiqua" w:hAnsi="Book Antiqua"/>
          <w:color w:val="000000" w:themeColor="text1"/>
        </w:rPr>
        <w:t xml:space="preserve"> </w:t>
      </w:r>
      <w:r w:rsidR="00CB7ADE" w:rsidRPr="00EF70BC">
        <w:rPr>
          <w:rFonts w:ascii="Book Antiqua" w:hAnsi="Book Antiqua"/>
          <w:color w:val="000000" w:themeColor="text1"/>
        </w:rPr>
        <w:t xml:space="preserve">Modified Response Evaluation Criteria in Solid </w:t>
      </w:r>
      <w:proofErr w:type="spellStart"/>
      <w:r w:rsidR="00CB7ADE" w:rsidRPr="00EF70BC">
        <w:rPr>
          <w:rFonts w:ascii="Book Antiqua" w:hAnsi="Book Antiqua"/>
          <w:color w:val="000000" w:themeColor="text1"/>
        </w:rPr>
        <w:t>Tumors</w:t>
      </w:r>
      <w:proofErr w:type="spellEnd"/>
      <w:r w:rsidR="00CC565D">
        <w:rPr>
          <w:rFonts w:ascii="Book Antiqua" w:hAnsi="Book Antiqua" w:hint="eastAsia"/>
          <w:color w:val="000000" w:themeColor="text1"/>
          <w:lang w:eastAsia="zh-CN"/>
        </w:rPr>
        <w:t xml:space="preserve">; </w:t>
      </w:r>
      <w:r w:rsidR="00CC565D" w:rsidRPr="00EF70BC">
        <w:rPr>
          <w:rFonts w:ascii="Book Antiqua" w:hAnsi="Book Antiqua"/>
          <w:color w:val="000000" w:themeColor="text1"/>
        </w:rPr>
        <w:t>CT</w:t>
      </w:r>
      <w:r w:rsidR="00CC565D">
        <w:rPr>
          <w:rFonts w:ascii="Book Antiqua" w:hAnsi="Book Antiqua" w:hint="eastAsia"/>
          <w:color w:val="000000" w:themeColor="text1"/>
          <w:lang w:eastAsia="zh-CN"/>
        </w:rPr>
        <w:t>:</w:t>
      </w:r>
      <w:r w:rsidR="00CC565D" w:rsidRPr="00CC565D">
        <w:rPr>
          <w:rFonts w:ascii="Book Antiqua" w:hAnsi="Book Antiqua"/>
          <w:color w:val="000000" w:themeColor="text1"/>
        </w:rPr>
        <w:t xml:space="preserve"> </w:t>
      </w:r>
      <w:r w:rsidR="00CC565D">
        <w:rPr>
          <w:rFonts w:ascii="Book Antiqua" w:hAnsi="Book Antiqua"/>
          <w:color w:val="000000" w:themeColor="text1"/>
        </w:rPr>
        <w:t>C</w:t>
      </w:r>
      <w:r w:rsidR="00CC565D" w:rsidRPr="00EF70BC">
        <w:rPr>
          <w:rFonts w:ascii="Book Antiqua" w:hAnsi="Book Antiqua"/>
          <w:color w:val="000000" w:themeColor="text1"/>
        </w:rPr>
        <w:t xml:space="preserve">omputed </w:t>
      </w:r>
      <w:r w:rsidR="00CC565D">
        <w:rPr>
          <w:rFonts w:ascii="Book Antiqua" w:hAnsi="Book Antiqua"/>
          <w:color w:val="000000" w:themeColor="text1"/>
        </w:rPr>
        <w:t>t</w:t>
      </w:r>
      <w:r w:rsidR="00CC565D" w:rsidRPr="00EF70BC">
        <w:rPr>
          <w:rFonts w:ascii="Book Antiqua" w:hAnsi="Book Antiqua"/>
          <w:color w:val="000000" w:themeColor="text1"/>
        </w:rPr>
        <w:t>omography</w:t>
      </w:r>
      <w:r w:rsidR="00CC565D">
        <w:rPr>
          <w:rFonts w:ascii="Book Antiqua" w:hAnsi="Book Antiqua" w:hint="eastAsia"/>
          <w:color w:val="000000" w:themeColor="text1"/>
          <w:lang w:eastAsia="zh-CN"/>
        </w:rPr>
        <w:t>.</w:t>
      </w:r>
    </w:p>
    <w:p w:rsidR="00276A29" w:rsidRPr="00276A29" w:rsidRDefault="00276A29" w:rsidP="00276A29">
      <w:pPr>
        <w:spacing w:line="360" w:lineRule="auto"/>
        <w:jc w:val="both"/>
        <w:rPr>
          <w:rFonts w:ascii="Book Antiqua" w:hAnsi="Book Antiqua"/>
          <w:b/>
          <w:i/>
          <w:lang w:eastAsia="zh-CN"/>
        </w:rPr>
      </w:pPr>
    </w:p>
    <w:p w:rsidR="00276A29" w:rsidRDefault="00276A29">
      <w:pPr>
        <w:rPr>
          <w:rFonts w:ascii="Book Antiqua" w:hAnsi="Book Antiqua"/>
          <w:b/>
          <w:i/>
          <w:lang w:eastAsia="zh-CN"/>
        </w:rPr>
      </w:pPr>
      <w:r>
        <w:rPr>
          <w:rFonts w:ascii="Book Antiqua" w:hAnsi="Book Antiqua"/>
          <w:b/>
          <w:i/>
          <w:lang w:eastAsia="zh-CN"/>
        </w:rPr>
        <w:br w:type="page"/>
      </w:r>
    </w:p>
    <w:p w:rsidR="00276A29" w:rsidRPr="00276A29" w:rsidRDefault="00276A29" w:rsidP="00276A29">
      <w:pPr>
        <w:spacing w:line="360" w:lineRule="auto"/>
        <w:jc w:val="both"/>
        <w:rPr>
          <w:rFonts w:ascii="Book Antiqua" w:hAnsi="Book Antiqua"/>
        </w:rPr>
      </w:pPr>
      <w:r w:rsidRPr="00276A29">
        <w:rPr>
          <w:rFonts w:ascii="Book Antiqua" w:hAnsi="Book Antiqua"/>
          <w:noProof/>
          <w:color w:val="FF0000"/>
          <w:lang w:val="en-US" w:eastAsia="en-US"/>
        </w:rPr>
        <w:lastRenderedPageBreak/>
        <w:drawing>
          <wp:inline distT="0" distB="0" distL="0" distR="0" wp14:anchorId="4DD5E6DA" wp14:editId="220623BF">
            <wp:extent cx="4399915" cy="388937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99915" cy="3889375"/>
                    </a:xfrm>
                    <a:prstGeom prst="rect">
                      <a:avLst/>
                    </a:prstGeom>
                    <a:noFill/>
                    <a:ln>
                      <a:noFill/>
                    </a:ln>
                  </pic:spPr>
                </pic:pic>
              </a:graphicData>
            </a:graphic>
          </wp:inline>
        </w:drawing>
      </w:r>
    </w:p>
    <w:p w:rsidR="00276A29" w:rsidRPr="00276A29" w:rsidRDefault="00276A29" w:rsidP="00276A29">
      <w:pPr>
        <w:spacing w:line="360" w:lineRule="auto"/>
        <w:jc w:val="both"/>
        <w:rPr>
          <w:rFonts w:ascii="Book Antiqua" w:hAnsi="Book Antiqua"/>
          <w:b/>
          <w:lang w:eastAsia="zh-CN"/>
        </w:rPr>
      </w:pPr>
      <w:r w:rsidRPr="00276A29">
        <w:rPr>
          <w:rFonts w:ascii="Book Antiqua" w:hAnsi="Book Antiqua"/>
          <w:b/>
        </w:rPr>
        <w:t xml:space="preserve">Figure </w:t>
      </w:r>
      <w:r>
        <w:rPr>
          <w:rFonts w:ascii="Book Antiqua" w:hAnsi="Book Antiqua" w:hint="eastAsia"/>
          <w:b/>
          <w:lang w:eastAsia="zh-CN"/>
        </w:rPr>
        <w:t xml:space="preserve">2 </w:t>
      </w:r>
      <w:r w:rsidRPr="00276A29">
        <w:rPr>
          <w:rFonts w:ascii="Book Antiqua" w:hAnsi="Book Antiqua"/>
          <w:b/>
        </w:rPr>
        <w:t>Time to progression</w:t>
      </w:r>
      <w:r>
        <w:rPr>
          <w:rFonts w:ascii="Book Antiqua" w:hAnsi="Book Antiqua" w:hint="eastAsia"/>
          <w:b/>
          <w:lang w:eastAsia="zh-CN"/>
        </w:rPr>
        <w:t>.</w:t>
      </w:r>
    </w:p>
    <w:p w:rsidR="00416BAF" w:rsidRDefault="00416BAF">
      <w:pPr>
        <w:rPr>
          <w:rFonts w:ascii="Book Antiqua" w:hAnsi="Book Antiqua"/>
          <w:b/>
          <w:i/>
        </w:rPr>
      </w:pPr>
      <w:r>
        <w:rPr>
          <w:rFonts w:ascii="Book Antiqua" w:hAnsi="Book Antiqua"/>
          <w:b/>
          <w:i/>
        </w:rPr>
        <w:br w:type="page"/>
      </w:r>
    </w:p>
    <w:p w:rsidR="00276A29" w:rsidRPr="00416BAF" w:rsidRDefault="00416BAF" w:rsidP="00276A29">
      <w:pPr>
        <w:spacing w:line="360" w:lineRule="auto"/>
        <w:jc w:val="both"/>
        <w:rPr>
          <w:rFonts w:ascii="Book Antiqua" w:hAnsi="Book Antiqua"/>
          <w:noProof/>
          <w:lang w:eastAsia="zh-CN"/>
        </w:rPr>
      </w:pPr>
      <w:r w:rsidRPr="00416BAF">
        <w:rPr>
          <w:rFonts w:ascii="Book Antiqua" w:hAnsi="Book Antiqua"/>
          <w:b/>
        </w:rPr>
        <w:lastRenderedPageBreak/>
        <w:t>Table 1</w:t>
      </w:r>
      <w:r w:rsidR="00276A29" w:rsidRPr="00416BAF">
        <w:rPr>
          <w:rFonts w:ascii="Book Antiqua" w:hAnsi="Book Antiqua"/>
          <w:b/>
        </w:rPr>
        <w:t xml:space="preserve"> Demographic characteristics and </w:t>
      </w:r>
      <w:proofErr w:type="spellStart"/>
      <w:r w:rsidR="00276A29" w:rsidRPr="00416BAF">
        <w:rPr>
          <w:rFonts w:ascii="Book Antiqua" w:hAnsi="Book Antiqua"/>
          <w:b/>
        </w:rPr>
        <w:t>tumoral</w:t>
      </w:r>
      <w:proofErr w:type="spellEnd"/>
      <w:r w:rsidR="00276A29" w:rsidRPr="00416BAF">
        <w:rPr>
          <w:rFonts w:ascii="Book Antiqua" w:hAnsi="Book Antiqua"/>
          <w:b/>
        </w:rPr>
        <w:t xml:space="preserve"> parameters of the study population</w:t>
      </w:r>
      <w:r w:rsidR="00E231EB">
        <w:rPr>
          <w:rFonts w:ascii="Book Antiqua" w:hAnsi="Book Antiqua" w:hint="eastAsia"/>
          <w:b/>
          <w:lang w:eastAsia="zh-CN"/>
        </w:rPr>
        <w:t xml:space="preserve">, </w:t>
      </w:r>
      <w:r w:rsidR="00E231EB" w:rsidRPr="00E231EB">
        <w:rPr>
          <w:rFonts w:ascii="Book Antiqua" w:hAnsi="Book Antiqua"/>
          <w:b/>
          <w:i/>
          <w:lang w:eastAsia="zh-CN"/>
        </w:rPr>
        <w:t>n</w:t>
      </w:r>
      <w:r w:rsidR="00E231EB">
        <w:rPr>
          <w:rFonts w:ascii="Book Antiqua" w:hAnsi="Book Antiqua" w:hint="eastAsia"/>
          <w:b/>
          <w:lang w:eastAsia="zh-CN"/>
        </w:rPr>
        <w:t xml:space="preserve"> (%)</w:t>
      </w:r>
    </w:p>
    <w:tbl>
      <w:tblPr>
        <w:tblStyle w:val="TableGrid"/>
        <w:tblW w:w="0" w:type="auto"/>
        <w:tblLook w:val="04A0" w:firstRow="1" w:lastRow="0" w:firstColumn="1" w:lastColumn="0" w:noHBand="0" w:noVBand="1"/>
      </w:tblPr>
      <w:tblGrid>
        <w:gridCol w:w="4927"/>
        <w:gridCol w:w="4927"/>
      </w:tblGrid>
      <w:tr w:rsidR="00416BAF" w:rsidTr="00416BAF">
        <w:tc>
          <w:tcPr>
            <w:tcW w:w="4927" w:type="dxa"/>
          </w:tcPr>
          <w:p w:rsidR="00416BAF" w:rsidRPr="00E231EB" w:rsidRDefault="00416BAF" w:rsidP="00276A29">
            <w:pPr>
              <w:spacing w:line="360" w:lineRule="auto"/>
              <w:jc w:val="both"/>
              <w:rPr>
                <w:rFonts w:ascii="Book Antiqua" w:hAnsi="Book Antiqua"/>
                <w:noProof/>
                <w:lang w:eastAsia="zh-CN"/>
              </w:rPr>
            </w:pPr>
            <w:r w:rsidRPr="00E231EB">
              <w:rPr>
                <w:rFonts w:ascii="Book Antiqua" w:hAnsi="Book Antiqua"/>
                <w:b/>
              </w:rPr>
              <w:t>Age (</w:t>
            </w:r>
            <w:proofErr w:type="spellStart"/>
            <w:r w:rsidRPr="00E231EB">
              <w:rPr>
                <w:rFonts w:ascii="Book Antiqua" w:hAnsi="Book Antiqua"/>
                <w:b/>
              </w:rPr>
              <w:t>yr</w:t>
            </w:r>
            <w:proofErr w:type="spellEnd"/>
            <w:r w:rsidRPr="00E231EB">
              <w:rPr>
                <w:rFonts w:ascii="Book Antiqua" w:hAnsi="Book Antiqua"/>
                <w:b/>
              </w:rPr>
              <w:t>)</w:t>
            </w:r>
          </w:p>
        </w:tc>
        <w:tc>
          <w:tcPr>
            <w:tcW w:w="4927" w:type="dxa"/>
          </w:tcPr>
          <w:p w:rsidR="00416BAF" w:rsidRPr="00E231EB" w:rsidRDefault="00416BAF" w:rsidP="00276A29">
            <w:pPr>
              <w:spacing w:line="360" w:lineRule="auto"/>
              <w:jc w:val="both"/>
              <w:rPr>
                <w:rFonts w:ascii="Book Antiqua" w:hAnsi="Book Antiqua"/>
                <w:noProof/>
                <w:lang w:eastAsia="zh-CN"/>
              </w:rPr>
            </w:pPr>
            <w:r w:rsidRPr="00E231EB">
              <w:rPr>
                <w:rFonts w:ascii="Book Antiqua" w:hAnsi="Book Antiqua"/>
                <w:b/>
              </w:rPr>
              <w:t>67 (49-95)</w:t>
            </w:r>
          </w:p>
        </w:tc>
      </w:tr>
      <w:tr w:rsidR="00416BAF" w:rsidTr="00416BAF">
        <w:tc>
          <w:tcPr>
            <w:tcW w:w="4927" w:type="dxa"/>
          </w:tcPr>
          <w:p w:rsidR="00416BAF" w:rsidRPr="00E231EB" w:rsidRDefault="00416BAF" w:rsidP="00276A29">
            <w:pPr>
              <w:spacing w:line="360" w:lineRule="auto"/>
              <w:jc w:val="both"/>
              <w:rPr>
                <w:rFonts w:ascii="Book Antiqua" w:hAnsi="Book Antiqua"/>
                <w:noProof/>
                <w:lang w:eastAsia="zh-CN"/>
              </w:rPr>
            </w:pPr>
            <w:r w:rsidRPr="00E231EB">
              <w:rPr>
                <w:rFonts w:ascii="Book Antiqua" w:hAnsi="Book Antiqua"/>
                <w:b/>
              </w:rPr>
              <w:t>Sex</w:t>
            </w:r>
          </w:p>
        </w:tc>
        <w:tc>
          <w:tcPr>
            <w:tcW w:w="4927" w:type="dxa"/>
          </w:tcPr>
          <w:p w:rsidR="00416BAF" w:rsidRPr="00E231EB" w:rsidRDefault="00416BAF" w:rsidP="00276A29">
            <w:pPr>
              <w:spacing w:line="360" w:lineRule="auto"/>
              <w:jc w:val="both"/>
              <w:rPr>
                <w:rFonts w:ascii="Book Antiqua" w:hAnsi="Book Antiqua"/>
                <w:noProof/>
                <w:lang w:eastAsia="zh-CN"/>
              </w:rPr>
            </w:pPr>
          </w:p>
        </w:tc>
      </w:tr>
      <w:tr w:rsidR="00416BAF" w:rsidTr="00416BAF">
        <w:tc>
          <w:tcPr>
            <w:tcW w:w="4927" w:type="dxa"/>
          </w:tcPr>
          <w:p w:rsidR="00416BAF" w:rsidRPr="00E231EB" w:rsidRDefault="00416BAF" w:rsidP="006868AE">
            <w:pPr>
              <w:spacing w:line="360" w:lineRule="auto"/>
              <w:ind w:firstLineChars="98" w:firstLine="255"/>
              <w:jc w:val="both"/>
              <w:rPr>
                <w:rFonts w:ascii="Book Antiqua" w:hAnsi="Book Antiqua"/>
                <w:noProof/>
                <w:lang w:eastAsia="zh-CN"/>
              </w:rPr>
            </w:pPr>
            <w:r w:rsidRPr="00E231EB">
              <w:rPr>
                <w:rFonts w:ascii="Book Antiqua" w:hAnsi="Book Antiqua"/>
                <w:b/>
              </w:rPr>
              <w:t>Males</w:t>
            </w:r>
          </w:p>
        </w:tc>
        <w:tc>
          <w:tcPr>
            <w:tcW w:w="4927" w:type="dxa"/>
          </w:tcPr>
          <w:p w:rsidR="00416BAF" w:rsidRPr="00E231EB" w:rsidRDefault="00E231EB" w:rsidP="00276A29">
            <w:pPr>
              <w:spacing w:line="360" w:lineRule="auto"/>
              <w:jc w:val="both"/>
              <w:rPr>
                <w:rFonts w:ascii="Book Antiqua" w:hAnsi="Book Antiqua"/>
                <w:noProof/>
                <w:lang w:eastAsia="zh-CN"/>
              </w:rPr>
            </w:pPr>
            <w:r>
              <w:rPr>
                <w:rFonts w:ascii="Book Antiqua" w:hAnsi="Book Antiqua"/>
                <w:b/>
              </w:rPr>
              <w:t>42 (87.5</w:t>
            </w:r>
            <w:r w:rsidR="00416BAF" w:rsidRPr="00E231EB">
              <w:rPr>
                <w:rFonts w:ascii="Book Antiqua" w:hAnsi="Book Antiqua"/>
                <w:b/>
              </w:rPr>
              <w:t>)</w:t>
            </w:r>
          </w:p>
        </w:tc>
      </w:tr>
      <w:tr w:rsidR="00416BAF" w:rsidTr="00416BAF">
        <w:tc>
          <w:tcPr>
            <w:tcW w:w="4927" w:type="dxa"/>
          </w:tcPr>
          <w:p w:rsidR="00416BAF" w:rsidRPr="00E231EB" w:rsidRDefault="00416BAF" w:rsidP="006868AE">
            <w:pPr>
              <w:spacing w:line="360" w:lineRule="auto"/>
              <w:ind w:firstLineChars="98" w:firstLine="255"/>
              <w:jc w:val="both"/>
              <w:rPr>
                <w:rFonts w:ascii="Book Antiqua" w:hAnsi="Book Antiqua"/>
                <w:noProof/>
                <w:lang w:eastAsia="zh-CN"/>
              </w:rPr>
            </w:pPr>
            <w:r w:rsidRPr="00E231EB">
              <w:rPr>
                <w:rFonts w:ascii="Book Antiqua" w:hAnsi="Book Antiqua"/>
                <w:b/>
              </w:rPr>
              <w:t>Females</w:t>
            </w:r>
          </w:p>
        </w:tc>
        <w:tc>
          <w:tcPr>
            <w:tcW w:w="4927" w:type="dxa"/>
          </w:tcPr>
          <w:p w:rsidR="00416BAF" w:rsidRPr="00E231EB" w:rsidRDefault="00E231EB" w:rsidP="00276A29">
            <w:pPr>
              <w:spacing w:line="360" w:lineRule="auto"/>
              <w:jc w:val="both"/>
              <w:rPr>
                <w:rFonts w:ascii="Book Antiqua" w:hAnsi="Book Antiqua"/>
                <w:noProof/>
                <w:lang w:eastAsia="zh-CN"/>
              </w:rPr>
            </w:pPr>
            <w:r>
              <w:rPr>
                <w:rFonts w:ascii="Book Antiqua" w:hAnsi="Book Antiqua"/>
                <w:b/>
              </w:rPr>
              <w:t>6 (13.5</w:t>
            </w:r>
            <w:r w:rsidR="00416BAF" w:rsidRPr="00E231EB">
              <w:rPr>
                <w:rFonts w:ascii="Book Antiqua" w:hAnsi="Book Antiqua"/>
                <w:b/>
              </w:rPr>
              <w:t>)</w:t>
            </w:r>
          </w:p>
        </w:tc>
      </w:tr>
      <w:tr w:rsidR="00416BAF" w:rsidTr="00416BAF">
        <w:tc>
          <w:tcPr>
            <w:tcW w:w="4927" w:type="dxa"/>
          </w:tcPr>
          <w:p w:rsidR="00416BAF" w:rsidRPr="00E231EB" w:rsidRDefault="00E231EB" w:rsidP="00276A29">
            <w:pPr>
              <w:spacing w:line="360" w:lineRule="auto"/>
              <w:jc w:val="both"/>
              <w:rPr>
                <w:rFonts w:ascii="Book Antiqua" w:hAnsi="Book Antiqua"/>
                <w:noProof/>
                <w:lang w:eastAsia="zh-CN"/>
              </w:rPr>
            </w:pPr>
            <w:r w:rsidRPr="00E231EB">
              <w:rPr>
                <w:rFonts w:ascii="Book Antiqua" w:hAnsi="Book Antiqua"/>
                <w:b/>
              </w:rPr>
              <w:t>Aetiology</w:t>
            </w:r>
          </w:p>
        </w:tc>
        <w:tc>
          <w:tcPr>
            <w:tcW w:w="4927" w:type="dxa"/>
          </w:tcPr>
          <w:p w:rsidR="00416BAF" w:rsidRPr="00E231EB" w:rsidRDefault="00416BAF" w:rsidP="00276A29">
            <w:pPr>
              <w:spacing w:line="360" w:lineRule="auto"/>
              <w:jc w:val="both"/>
              <w:rPr>
                <w:rFonts w:ascii="Book Antiqua" w:hAnsi="Book Antiqua"/>
                <w:noProof/>
                <w:lang w:eastAsia="zh-CN"/>
              </w:rPr>
            </w:pPr>
          </w:p>
        </w:tc>
      </w:tr>
      <w:tr w:rsidR="00E231EB" w:rsidTr="00416BAF">
        <w:tc>
          <w:tcPr>
            <w:tcW w:w="4927" w:type="dxa"/>
          </w:tcPr>
          <w:p w:rsidR="00E231EB" w:rsidRPr="00E231EB" w:rsidRDefault="00E231EB" w:rsidP="006868AE">
            <w:pPr>
              <w:spacing w:line="360" w:lineRule="auto"/>
              <w:ind w:firstLineChars="98" w:firstLine="255"/>
              <w:jc w:val="both"/>
              <w:rPr>
                <w:rFonts w:ascii="Book Antiqua" w:hAnsi="Book Antiqua"/>
                <w:noProof/>
                <w:lang w:eastAsia="zh-CN"/>
              </w:rPr>
            </w:pPr>
            <w:r w:rsidRPr="00E231EB">
              <w:rPr>
                <w:rFonts w:ascii="Book Antiqua" w:hAnsi="Book Antiqua"/>
                <w:b/>
              </w:rPr>
              <w:t>HCV</w:t>
            </w:r>
          </w:p>
        </w:tc>
        <w:tc>
          <w:tcPr>
            <w:tcW w:w="4927" w:type="dxa"/>
          </w:tcPr>
          <w:p w:rsidR="00E231EB" w:rsidRPr="00E231EB" w:rsidRDefault="00E231EB" w:rsidP="00276A29">
            <w:pPr>
              <w:spacing w:line="360" w:lineRule="auto"/>
              <w:jc w:val="both"/>
              <w:rPr>
                <w:rFonts w:ascii="Book Antiqua" w:hAnsi="Book Antiqua"/>
                <w:noProof/>
                <w:lang w:eastAsia="zh-CN"/>
              </w:rPr>
            </w:pPr>
            <w:r>
              <w:rPr>
                <w:rFonts w:ascii="Book Antiqua" w:hAnsi="Book Antiqua"/>
                <w:b/>
              </w:rPr>
              <w:t>27 (56.2</w:t>
            </w:r>
            <w:r w:rsidRPr="00E231EB">
              <w:rPr>
                <w:rFonts w:ascii="Book Antiqua" w:hAnsi="Book Antiqua"/>
                <w:b/>
              </w:rPr>
              <w:t>)</w:t>
            </w:r>
          </w:p>
        </w:tc>
      </w:tr>
      <w:tr w:rsidR="00E231EB" w:rsidTr="00416BAF">
        <w:tc>
          <w:tcPr>
            <w:tcW w:w="4927" w:type="dxa"/>
          </w:tcPr>
          <w:p w:rsidR="00E231EB" w:rsidRPr="00E231EB" w:rsidRDefault="00E231EB" w:rsidP="006868AE">
            <w:pPr>
              <w:spacing w:line="360" w:lineRule="auto"/>
              <w:ind w:firstLineChars="100" w:firstLine="240"/>
              <w:jc w:val="both"/>
              <w:rPr>
                <w:rFonts w:ascii="Book Antiqua" w:hAnsi="Book Antiqua"/>
                <w:noProof/>
                <w:lang w:eastAsia="zh-CN"/>
              </w:rPr>
            </w:pPr>
            <w:r w:rsidRPr="00E231EB">
              <w:rPr>
                <w:rFonts w:ascii="Book Antiqua" w:hAnsi="Book Antiqua"/>
                <w:noProof/>
                <w:lang w:eastAsia="zh-CN"/>
              </w:rPr>
              <w:t>HBV</w:t>
            </w:r>
          </w:p>
        </w:tc>
        <w:tc>
          <w:tcPr>
            <w:tcW w:w="4927" w:type="dxa"/>
          </w:tcPr>
          <w:p w:rsidR="00E231EB" w:rsidRPr="00E231EB" w:rsidRDefault="00E231EB" w:rsidP="00276A29">
            <w:pPr>
              <w:spacing w:line="360" w:lineRule="auto"/>
              <w:jc w:val="both"/>
              <w:rPr>
                <w:rFonts w:ascii="Book Antiqua" w:hAnsi="Book Antiqua"/>
                <w:noProof/>
                <w:lang w:eastAsia="zh-CN"/>
              </w:rPr>
            </w:pPr>
            <w:r>
              <w:rPr>
                <w:rFonts w:ascii="Book Antiqua" w:hAnsi="Book Antiqua"/>
                <w:b/>
              </w:rPr>
              <w:t>9 (18.75</w:t>
            </w:r>
            <w:r w:rsidRPr="00E231EB">
              <w:rPr>
                <w:rFonts w:ascii="Book Antiqua" w:hAnsi="Book Antiqua"/>
                <w:b/>
              </w:rPr>
              <w:t>)</w:t>
            </w:r>
          </w:p>
        </w:tc>
      </w:tr>
      <w:tr w:rsidR="00E231EB" w:rsidTr="00416BAF">
        <w:tc>
          <w:tcPr>
            <w:tcW w:w="4927" w:type="dxa"/>
          </w:tcPr>
          <w:p w:rsidR="00E231EB" w:rsidRPr="00E231EB" w:rsidRDefault="00E231EB" w:rsidP="006868AE">
            <w:pPr>
              <w:spacing w:line="360" w:lineRule="auto"/>
              <w:ind w:firstLineChars="98" w:firstLine="255"/>
              <w:jc w:val="both"/>
              <w:rPr>
                <w:rFonts w:ascii="Book Antiqua" w:hAnsi="Book Antiqua"/>
                <w:noProof/>
                <w:lang w:eastAsia="zh-CN"/>
              </w:rPr>
            </w:pPr>
            <w:r w:rsidRPr="00E231EB">
              <w:rPr>
                <w:rFonts w:ascii="Book Antiqua" w:hAnsi="Book Antiqua"/>
                <w:b/>
              </w:rPr>
              <w:t>Alcohol</w:t>
            </w:r>
          </w:p>
        </w:tc>
        <w:tc>
          <w:tcPr>
            <w:tcW w:w="4927" w:type="dxa"/>
          </w:tcPr>
          <w:p w:rsidR="00E231EB" w:rsidRPr="00E231EB" w:rsidRDefault="00E231EB" w:rsidP="00276A29">
            <w:pPr>
              <w:spacing w:line="360" w:lineRule="auto"/>
              <w:jc w:val="both"/>
              <w:rPr>
                <w:rFonts w:ascii="Book Antiqua" w:hAnsi="Book Antiqua"/>
                <w:noProof/>
                <w:lang w:eastAsia="zh-CN"/>
              </w:rPr>
            </w:pPr>
            <w:r>
              <w:rPr>
                <w:rFonts w:ascii="Book Antiqua" w:hAnsi="Book Antiqua"/>
                <w:b/>
              </w:rPr>
              <w:t>6</w:t>
            </w:r>
            <w:r w:rsidRPr="00E231EB">
              <w:rPr>
                <w:rFonts w:ascii="Book Antiqua" w:hAnsi="Book Antiqua"/>
                <w:b/>
              </w:rPr>
              <w:t xml:space="preserve"> (12.5</w:t>
            </w:r>
            <w:r>
              <w:rPr>
                <w:rFonts w:ascii="Book Antiqua" w:hAnsi="Book Antiqua" w:hint="eastAsia"/>
                <w:b/>
                <w:lang w:eastAsia="zh-CN"/>
              </w:rPr>
              <w:t>)</w:t>
            </w:r>
          </w:p>
        </w:tc>
      </w:tr>
      <w:tr w:rsidR="00E231EB" w:rsidTr="00416BAF">
        <w:tc>
          <w:tcPr>
            <w:tcW w:w="4927" w:type="dxa"/>
          </w:tcPr>
          <w:p w:rsidR="00E231EB" w:rsidRPr="00E231EB" w:rsidRDefault="00E231EB" w:rsidP="006868AE">
            <w:pPr>
              <w:spacing w:line="360" w:lineRule="auto"/>
              <w:ind w:firstLineChars="98" w:firstLine="255"/>
              <w:jc w:val="both"/>
              <w:rPr>
                <w:rFonts w:ascii="Book Antiqua" w:hAnsi="Book Antiqua"/>
                <w:noProof/>
                <w:lang w:eastAsia="zh-CN"/>
              </w:rPr>
            </w:pPr>
            <w:proofErr w:type="spellStart"/>
            <w:r w:rsidRPr="00E231EB">
              <w:rPr>
                <w:rFonts w:ascii="Book Antiqua" w:hAnsi="Book Antiqua"/>
                <w:b/>
              </w:rPr>
              <w:t>Cryptogenetic</w:t>
            </w:r>
            <w:proofErr w:type="spellEnd"/>
            <w:r w:rsidRPr="00E231EB">
              <w:rPr>
                <w:rFonts w:ascii="Book Antiqua" w:hAnsi="Book Antiqua"/>
                <w:b/>
              </w:rPr>
              <w:t xml:space="preserve">   </w:t>
            </w:r>
          </w:p>
        </w:tc>
        <w:tc>
          <w:tcPr>
            <w:tcW w:w="4927" w:type="dxa"/>
          </w:tcPr>
          <w:p w:rsidR="00E231EB" w:rsidRPr="00E231EB" w:rsidRDefault="00E231EB" w:rsidP="00276A29">
            <w:pPr>
              <w:spacing w:line="360" w:lineRule="auto"/>
              <w:jc w:val="both"/>
              <w:rPr>
                <w:rFonts w:ascii="Book Antiqua" w:hAnsi="Book Antiqua"/>
                <w:noProof/>
                <w:lang w:eastAsia="zh-CN"/>
              </w:rPr>
            </w:pPr>
            <w:r>
              <w:rPr>
                <w:rFonts w:ascii="Book Antiqua" w:hAnsi="Book Antiqua"/>
                <w:b/>
              </w:rPr>
              <w:t>3 (6.25</w:t>
            </w:r>
            <w:r w:rsidRPr="00E231EB">
              <w:rPr>
                <w:rFonts w:ascii="Book Antiqua" w:hAnsi="Book Antiqua"/>
                <w:b/>
              </w:rPr>
              <w:t>)</w:t>
            </w:r>
          </w:p>
        </w:tc>
      </w:tr>
      <w:tr w:rsidR="00E231EB" w:rsidTr="00416BAF">
        <w:tc>
          <w:tcPr>
            <w:tcW w:w="4927" w:type="dxa"/>
          </w:tcPr>
          <w:p w:rsidR="00E231EB" w:rsidRPr="00E231EB" w:rsidRDefault="00E231EB" w:rsidP="006868AE">
            <w:pPr>
              <w:spacing w:line="360" w:lineRule="auto"/>
              <w:ind w:firstLineChars="98" w:firstLine="255"/>
              <w:jc w:val="both"/>
              <w:rPr>
                <w:rFonts w:ascii="Book Antiqua" w:hAnsi="Book Antiqua"/>
                <w:noProof/>
                <w:lang w:eastAsia="zh-CN"/>
              </w:rPr>
            </w:pPr>
            <w:r w:rsidRPr="00E231EB">
              <w:rPr>
                <w:rFonts w:ascii="Book Antiqua" w:hAnsi="Book Antiqua"/>
                <w:b/>
              </w:rPr>
              <w:t>NASH</w:t>
            </w:r>
          </w:p>
        </w:tc>
        <w:tc>
          <w:tcPr>
            <w:tcW w:w="4927" w:type="dxa"/>
          </w:tcPr>
          <w:p w:rsidR="00E231EB" w:rsidRPr="00E231EB" w:rsidRDefault="00E231EB" w:rsidP="00276A29">
            <w:pPr>
              <w:spacing w:line="360" w:lineRule="auto"/>
              <w:jc w:val="both"/>
              <w:rPr>
                <w:rFonts w:ascii="Book Antiqua" w:hAnsi="Book Antiqua"/>
                <w:noProof/>
                <w:lang w:eastAsia="zh-CN"/>
              </w:rPr>
            </w:pPr>
            <w:r>
              <w:rPr>
                <w:rFonts w:ascii="Book Antiqua" w:hAnsi="Book Antiqua"/>
                <w:b/>
              </w:rPr>
              <w:t>3 (6.25</w:t>
            </w:r>
            <w:r w:rsidRPr="00E231EB">
              <w:rPr>
                <w:rFonts w:ascii="Book Antiqua" w:hAnsi="Book Antiqua"/>
                <w:b/>
              </w:rPr>
              <w:t>)</w:t>
            </w:r>
          </w:p>
        </w:tc>
      </w:tr>
      <w:tr w:rsidR="00E231EB" w:rsidTr="00416BAF">
        <w:tc>
          <w:tcPr>
            <w:tcW w:w="4927" w:type="dxa"/>
          </w:tcPr>
          <w:p w:rsidR="00E231EB" w:rsidRPr="00E231EB" w:rsidRDefault="00E231EB" w:rsidP="00276A29">
            <w:pPr>
              <w:spacing w:line="360" w:lineRule="auto"/>
              <w:jc w:val="both"/>
              <w:rPr>
                <w:rFonts w:ascii="Book Antiqua" w:hAnsi="Book Antiqua"/>
                <w:b/>
              </w:rPr>
            </w:pPr>
            <w:r w:rsidRPr="00E231EB">
              <w:rPr>
                <w:rFonts w:ascii="Book Antiqua" w:hAnsi="Book Antiqua"/>
                <w:b/>
              </w:rPr>
              <w:t>Child-Pugh</w:t>
            </w:r>
          </w:p>
        </w:tc>
        <w:tc>
          <w:tcPr>
            <w:tcW w:w="4927" w:type="dxa"/>
          </w:tcPr>
          <w:p w:rsidR="00E231EB" w:rsidRPr="00E231EB" w:rsidRDefault="00E231EB" w:rsidP="00276A29">
            <w:pPr>
              <w:spacing w:line="360" w:lineRule="auto"/>
              <w:jc w:val="both"/>
              <w:rPr>
                <w:rFonts w:ascii="Book Antiqua" w:hAnsi="Book Antiqua"/>
                <w:b/>
              </w:rPr>
            </w:pPr>
          </w:p>
        </w:tc>
      </w:tr>
      <w:tr w:rsidR="00E231EB" w:rsidTr="00416BAF">
        <w:tc>
          <w:tcPr>
            <w:tcW w:w="4927" w:type="dxa"/>
          </w:tcPr>
          <w:p w:rsidR="00E231EB" w:rsidRPr="00E231EB" w:rsidRDefault="00E231EB" w:rsidP="006868AE">
            <w:pPr>
              <w:spacing w:line="360" w:lineRule="auto"/>
              <w:ind w:firstLineChars="98" w:firstLine="255"/>
              <w:jc w:val="both"/>
              <w:rPr>
                <w:rFonts w:ascii="Book Antiqua" w:hAnsi="Book Antiqua"/>
                <w:b/>
                <w:lang w:eastAsia="zh-CN"/>
              </w:rPr>
            </w:pPr>
            <w:r w:rsidRPr="00E231EB">
              <w:rPr>
                <w:rFonts w:ascii="Book Antiqua" w:hAnsi="Book Antiqua"/>
                <w:b/>
                <w:lang w:eastAsia="zh-CN"/>
              </w:rPr>
              <w:t>A</w:t>
            </w:r>
          </w:p>
        </w:tc>
        <w:tc>
          <w:tcPr>
            <w:tcW w:w="4927" w:type="dxa"/>
          </w:tcPr>
          <w:p w:rsidR="00E231EB" w:rsidRPr="00E231EB" w:rsidRDefault="00E231EB" w:rsidP="00E231EB">
            <w:pPr>
              <w:spacing w:line="360" w:lineRule="auto"/>
              <w:jc w:val="both"/>
              <w:rPr>
                <w:rFonts w:ascii="Book Antiqua" w:hAnsi="Book Antiqua"/>
                <w:b/>
              </w:rPr>
            </w:pPr>
            <w:r>
              <w:rPr>
                <w:rFonts w:ascii="Book Antiqua" w:hAnsi="Book Antiqua"/>
                <w:b/>
              </w:rPr>
              <w:t xml:space="preserve">45 </w:t>
            </w:r>
            <w:r w:rsidRPr="00E231EB">
              <w:rPr>
                <w:rFonts w:ascii="Book Antiqua" w:hAnsi="Book Antiqua"/>
                <w:b/>
              </w:rPr>
              <w:t>(93.4)</w:t>
            </w:r>
          </w:p>
        </w:tc>
      </w:tr>
      <w:tr w:rsidR="00E231EB" w:rsidTr="00416BAF">
        <w:tc>
          <w:tcPr>
            <w:tcW w:w="4927" w:type="dxa"/>
          </w:tcPr>
          <w:p w:rsidR="00E231EB" w:rsidRPr="00E231EB" w:rsidRDefault="00E231EB" w:rsidP="006868AE">
            <w:pPr>
              <w:spacing w:line="360" w:lineRule="auto"/>
              <w:ind w:firstLineChars="98" w:firstLine="255"/>
              <w:jc w:val="both"/>
              <w:rPr>
                <w:rFonts w:ascii="Book Antiqua" w:hAnsi="Book Antiqua"/>
                <w:b/>
                <w:lang w:eastAsia="zh-CN"/>
              </w:rPr>
            </w:pPr>
            <w:r w:rsidRPr="00E231EB">
              <w:rPr>
                <w:rFonts w:ascii="Book Antiqua" w:hAnsi="Book Antiqua"/>
                <w:b/>
                <w:lang w:eastAsia="zh-CN"/>
              </w:rPr>
              <w:t>B</w:t>
            </w:r>
          </w:p>
        </w:tc>
        <w:tc>
          <w:tcPr>
            <w:tcW w:w="4927" w:type="dxa"/>
          </w:tcPr>
          <w:p w:rsidR="00E231EB" w:rsidRPr="00E231EB" w:rsidRDefault="00E231EB" w:rsidP="00E231EB">
            <w:pPr>
              <w:spacing w:line="360" w:lineRule="auto"/>
              <w:jc w:val="both"/>
              <w:rPr>
                <w:rFonts w:ascii="Book Antiqua" w:hAnsi="Book Antiqua"/>
                <w:b/>
              </w:rPr>
            </w:pPr>
            <w:r>
              <w:rPr>
                <w:rFonts w:ascii="Book Antiqua" w:hAnsi="Book Antiqua"/>
                <w:b/>
              </w:rPr>
              <w:t>3 (6.6</w:t>
            </w:r>
            <w:r w:rsidRPr="00E231EB">
              <w:rPr>
                <w:rFonts w:ascii="Book Antiqua" w:hAnsi="Book Antiqua"/>
                <w:b/>
              </w:rPr>
              <w:t>)</w:t>
            </w:r>
          </w:p>
        </w:tc>
      </w:tr>
      <w:tr w:rsidR="00E231EB" w:rsidTr="00416BAF">
        <w:tc>
          <w:tcPr>
            <w:tcW w:w="4927" w:type="dxa"/>
          </w:tcPr>
          <w:p w:rsidR="00E231EB" w:rsidRPr="00E231EB" w:rsidRDefault="00E231EB" w:rsidP="00276A29">
            <w:pPr>
              <w:spacing w:line="360" w:lineRule="auto"/>
              <w:jc w:val="both"/>
              <w:rPr>
                <w:rFonts w:ascii="Book Antiqua" w:hAnsi="Book Antiqua"/>
                <w:b/>
              </w:rPr>
            </w:pPr>
            <w:r w:rsidRPr="00E231EB">
              <w:rPr>
                <w:rFonts w:ascii="Book Antiqua" w:hAnsi="Book Antiqua"/>
                <w:b/>
              </w:rPr>
              <w:t xml:space="preserve">MELD  </w:t>
            </w:r>
          </w:p>
        </w:tc>
        <w:tc>
          <w:tcPr>
            <w:tcW w:w="4927" w:type="dxa"/>
          </w:tcPr>
          <w:p w:rsidR="00E231EB" w:rsidRPr="00E231EB" w:rsidRDefault="00E231EB" w:rsidP="00276A29">
            <w:pPr>
              <w:spacing w:line="360" w:lineRule="auto"/>
              <w:jc w:val="both"/>
              <w:rPr>
                <w:rFonts w:ascii="Book Antiqua" w:hAnsi="Book Antiqua"/>
                <w:b/>
              </w:rPr>
            </w:pPr>
            <w:r>
              <w:rPr>
                <w:rFonts w:ascii="Book Antiqua" w:hAnsi="Book Antiqua"/>
                <w:b/>
              </w:rPr>
              <w:t xml:space="preserve">8  </w:t>
            </w:r>
            <w:r w:rsidRPr="00E231EB">
              <w:rPr>
                <w:rFonts w:ascii="Book Antiqua" w:hAnsi="Book Antiqua"/>
                <w:b/>
              </w:rPr>
              <w:t>(6-14)</w:t>
            </w:r>
          </w:p>
        </w:tc>
      </w:tr>
      <w:tr w:rsidR="00E231EB" w:rsidTr="00416BAF">
        <w:tc>
          <w:tcPr>
            <w:tcW w:w="4927" w:type="dxa"/>
          </w:tcPr>
          <w:p w:rsidR="00E231EB" w:rsidRPr="00E231EB" w:rsidRDefault="00E231EB" w:rsidP="00276A29">
            <w:pPr>
              <w:spacing w:line="360" w:lineRule="auto"/>
              <w:jc w:val="both"/>
              <w:rPr>
                <w:rFonts w:ascii="Book Antiqua" w:hAnsi="Book Antiqua"/>
                <w:b/>
              </w:rPr>
            </w:pPr>
            <w:r w:rsidRPr="00E231EB">
              <w:rPr>
                <w:rFonts w:ascii="Book Antiqua" w:hAnsi="Book Antiqua"/>
                <w:b/>
              </w:rPr>
              <w:t>BCLC</w:t>
            </w:r>
          </w:p>
        </w:tc>
        <w:tc>
          <w:tcPr>
            <w:tcW w:w="4927" w:type="dxa"/>
          </w:tcPr>
          <w:p w:rsidR="00E231EB" w:rsidRPr="00E231EB" w:rsidRDefault="00E231EB" w:rsidP="00276A29">
            <w:pPr>
              <w:spacing w:line="360" w:lineRule="auto"/>
              <w:jc w:val="both"/>
              <w:rPr>
                <w:rFonts w:ascii="Book Antiqua" w:hAnsi="Book Antiqua"/>
                <w:b/>
              </w:rPr>
            </w:pPr>
            <w:r>
              <w:rPr>
                <w:rFonts w:ascii="Book Antiqua" w:hAnsi="Book Antiqua"/>
                <w:b/>
              </w:rPr>
              <w:t>21 (43.8</w:t>
            </w:r>
            <w:r w:rsidRPr="00E231EB">
              <w:rPr>
                <w:rFonts w:ascii="Book Antiqua" w:hAnsi="Book Antiqua"/>
                <w:b/>
              </w:rPr>
              <w:t>)</w:t>
            </w:r>
          </w:p>
        </w:tc>
      </w:tr>
      <w:tr w:rsidR="00E231EB" w:rsidTr="00416BAF">
        <w:tc>
          <w:tcPr>
            <w:tcW w:w="4927" w:type="dxa"/>
          </w:tcPr>
          <w:p w:rsidR="00E231EB" w:rsidRPr="00E231EB" w:rsidRDefault="00E231EB" w:rsidP="00276A29">
            <w:pPr>
              <w:spacing w:line="360" w:lineRule="auto"/>
              <w:jc w:val="both"/>
              <w:rPr>
                <w:rFonts w:ascii="Book Antiqua" w:hAnsi="Book Antiqua"/>
                <w:b/>
                <w:lang w:eastAsia="zh-CN"/>
              </w:rPr>
            </w:pPr>
            <w:r w:rsidRPr="00E231EB">
              <w:rPr>
                <w:rFonts w:ascii="Book Antiqua" w:hAnsi="Book Antiqua"/>
                <w:b/>
                <w:lang w:eastAsia="zh-CN"/>
              </w:rPr>
              <w:t xml:space="preserve">  A</w:t>
            </w:r>
          </w:p>
        </w:tc>
        <w:tc>
          <w:tcPr>
            <w:tcW w:w="4927" w:type="dxa"/>
          </w:tcPr>
          <w:p w:rsidR="00E231EB" w:rsidRPr="00E231EB" w:rsidRDefault="00E231EB" w:rsidP="00276A29">
            <w:pPr>
              <w:spacing w:line="360" w:lineRule="auto"/>
              <w:jc w:val="both"/>
              <w:rPr>
                <w:rFonts w:ascii="Book Antiqua" w:hAnsi="Book Antiqua"/>
                <w:b/>
              </w:rPr>
            </w:pPr>
            <w:r>
              <w:rPr>
                <w:rFonts w:ascii="Book Antiqua" w:hAnsi="Book Antiqua"/>
                <w:b/>
              </w:rPr>
              <w:t>27 (56.2</w:t>
            </w:r>
            <w:r w:rsidRPr="00E231EB">
              <w:rPr>
                <w:rFonts w:ascii="Book Antiqua" w:hAnsi="Book Antiqua"/>
                <w:b/>
              </w:rPr>
              <w:t>)</w:t>
            </w:r>
          </w:p>
        </w:tc>
      </w:tr>
      <w:tr w:rsidR="00E231EB" w:rsidTr="00416BAF">
        <w:tc>
          <w:tcPr>
            <w:tcW w:w="4927" w:type="dxa"/>
          </w:tcPr>
          <w:p w:rsidR="00E231EB" w:rsidRPr="00E231EB" w:rsidRDefault="00E231EB" w:rsidP="00276A29">
            <w:pPr>
              <w:spacing w:line="360" w:lineRule="auto"/>
              <w:jc w:val="both"/>
              <w:rPr>
                <w:rFonts w:ascii="Book Antiqua" w:hAnsi="Book Antiqua"/>
                <w:b/>
                <w:lang w:eastAsia="zh-CN"/>
              </w:rPr>
            </w:pPr>
            <w:r w:rsidRPr="00E231EB">
              <w:rPr>
                <w:rFonts w:ascii="Book Antiqua" w:hAnsi="Book Antiqua"/>
                <w:b/>
                <w:lang w:eastAsia="zh-CN"/>
              </w:rPr>
              <w:t xml:space="preserve">  B</w:t>
            </w:r>
          </w:p>
        </w:tc>
        <w:tc>
          <w:tcPr>
            <w:tcW w:w="4927" w:type="dxa"/>
          </w:tcPr>
          <w:p w:rsidR="00E231EB" w:rsidRPr="00E231EB" w:rsidRDefault="00E231EB" w:rsidP="00276A29">
            <w:pPr>
              <w:spacing w:line="360" w:lineRule="auto"/>
              <w:jc w:val="both"/>
              <w:rPr>
                <w:rFonts w:ascii="Book Antiqua" w:hAnsi="Book Antiqua"/>
                <w:b/>
              </w:rPr>
            </w:pPr>
          </w:p>
        </w:tc>
      </w:tr>
      <w:tr w:rsidR="00E231EB" w:rsidTr="00416BAF">
        <w:tc>
          <w:tcPr>
            <w:tcW w:w="4927" w:type="dxa"/>
          </w:tcPr>
          <w:p w:rsidR="00E231EB" w:rsidRPr="00E231EB" w:rsidRDefault="00E231EB" w:rsidP="00276A29">
            <w:pPr>
              <w:spacing w:line="360" w:lineRule="auto"/>
              <w:jc w:val="both"/>
              <w:rPr>
                <w:rFonts w:ascii="Book Antiqua" w:hAnsi="Book Antiqua"/>
                <w:b/>
                <w:lang w:eastAsia="zh-CN"/>
              </w:rPr>
            </w:pPr>
            <w:r w:rsidRPr="00E231EB">
              <w:rPr>
                <w:rFonts w:ascii="Book Antiqua" w:hAnsi="Book Antiqua"/>
                <w:b/>
              </w:rPr>
              <w:t>ECOG</w:t>
            </w:r>
            <w:r w:rsidRPr="00E231EB">
              <w:rPr>
                <w:rFonts w:ascii="Book Antiqua" w:hAnsi="Book Antiqua"/>
                <w:b/>
                <w:lang w:eastAsia="zh-CN"/>
              </w:rPr>
              <w:t xml:space="preserve"> </w:t>
            </w:r>
            <w:r w:rsidRPr="00E231EB">
              <w:rPr>
                <w:rFonts w:ascii="Book Antiqua" w:hAnsi="Book Antiqua"/>
                <w:b/>
              </w:rPr>
              <w:t>0</w:t>
            </w:r>
          </w:p>
        </w:tc>
        <w:tc>
          <w:tcPr>
            <w:tcW w:w="4927" w:type="dxa"/>
          </w:tcPr>
          <w:p w:rsidR="00E231EB" w:rsidRPr="00E231EB" w:rsidRDefault="00E231EB" w:rsidP="00276A29">
            <w:pPr>
              <w:spacing w:line="360" w:lineRule="auto"/>
              <w:jc w:val="both"/>
              <w:rPr>
                <w:rFonts w:ascii="Book Antiqua" w:hAnsi="Book Antiqua"/>
                <w:b/>
              </w:rPr>
            </w:pPr>
            <w:r>
              <w:rPr>
                <w:rFonts w:ascii="Book Antiqua" w:hAnsi="Book Antiqua"/>
                <w:b/>
              </w:rPr>
              <w:t>48 (100</w:t>
            </w:r>
            <w:r w:rsidRPr="00E231EB">
              <w:rPr>
                <w:rFonts w:ascii="Book Antiqua" w:hAnsi="Book Antiqua"/>
                <w:b/>
              </w:rPr>
              <w:t>)</w:t>
            </w:r>
          </w:p>
        </w:tc>
      </w:tr>
      <w:tr w:rsidR="00E231EB" w:rsidTr="00416BAF">
        <w:tc>
          <w:tcPr>
            <w:tcW w:w="4927" w:type="dxa"/>
          </w:tcPr>
          <w:p w:rsidR="00E231EB" w:rsidRPr="00E231EB" w:rsidRDefault="00E231EB" w:rsidP="00276A29">
            <w:pPr>
              <w:spacing w:line="360" w:lineRule="auto"/>
              <w:jc w:val="both"/>
              <w:rPr>
                <w:rFonts w:ascii="Book Antiqua" w:hAnsi="Book Antiqua"/>
                <w:b/>
                <w:lang w:eastAsia="zh-CN"/>
              </w:rPr>
            </w:pPr>
            <w:r w:rsidRPr="00E231EB">
              <w:rPr>
                <w:rFonts w:ascii="Book Antiqua" w:hAnsi="Book Antiqua"/>
                <w:b/>
              </w:rPr>
              <w:t>Portal hypertension</w:t>
            </w:r>
          </w:p>
        </w:tc>
        <w:tc>
          <w:tcPr>
            <w:tcW w:w="4927" w:type="dxa"/>
          </w:tcPr>
          <w:p w:rsidR="00E231EB" w:rsidRPr="00E231EB" w:rsidRDefault="00E231EB" w:rsidP="00276A29">
            <w:pPr>
              <w:spacing w:line="360" w:lineRule="auto"/>
              <w:jc w:val="both"/>
              <w:rPr>
                <w:rFonts w:ascii="Book Antiqua" w:hAnsi="Book Antiqua"/>
                <w:b/>
              </w:rPr>
            </w:pPr>
            <w:r>
              <w:rPr>
                <w:rFonts w:ascii="Book Antiqua" w:hAnsi="Book Antiqua"/>
                <w:b/>
              </w:rPr>
              <w:t>22 (45.9</w:t>
            </w:r>
            <w:r w:rsidRPr="00E231EB">
              <w:rPr>
                <w:rFonts w:ascii="Book Antiqua" w:hAnsi="Book Antiqua"/>
                <w:b/>
              </w:rPr>
              <w:t>)</w:t>
            </w:r>
          </w:p>
        </w:tc>
      </w:tr>
      <w:tr w:rsidR="00E231EB" w:rsidTr="00416BAF">
        <w:tc>
          <w:tcPr>
            <w:tcW w:w="4927" w:type="dxa"/>
          </w:tcPr>
          <w:p w:rsidR="00E231EB" w:rsidRPr="00E231EB" w:rsidRDefault="00E231EB" w:rsidP="00276A29">
            <w:pPr>
              <w:spacing w:line="360" w:lineRule="auto"/>
              <w:jc w:val="both"/>
              <w:rPr>
                <w:rFonts w:ascii="Book Antiqua" w:hAnsi="Book Antiqua"/>
                <w:b/>
                <w:lang w:eastAsia="zh-CN"/>
              </w:rPr>
            </w:pPr>
            <w:r w:rsidRPr="00E231EB">
              <w:rPr>
                <w:rFonts w:ascii="Book Antiqua" w:hAnsi="Book Antiqua"/>
                <w:b/>
                <w:lang w:eastAsia="zh-CN"/>
              </w:rPr>
              <w:t xml:space="preserve">  </w:t>
            </w:r>
            <w:r w:rsidRPr="00E231EB">
              <w:rPr>
                <w:rFonts w:ascii="Book Antiqua" w:hAnsi="Book Antiqua"/>
                <w:b/>
              </w:rPr>
              <w:t xml:space="preserve">Yes  </w:t>
            </w:r>
          </w:p>
        </w:tc>
        <w:tc>
          <w:tcPr>
            <w:tcW w:w="4927" w:type="dxa"/>
          </w:tcPr>
          <w:p w:rsidR="00E231EB" w:rsidRPr="00E231EB" w:rsidRDefault="00E231EB" w:rsidP="00276A29">
            <w:pPr>
              <w:spacing w:line="360" w:lineRule="auto"/>
              <w:jc w:val="both"/>
              <w:rPr>
                <w:rFonts w:ascii="Book Antiqua" w:hAnsi="Book Antiqua"/>
                <w:b/>
              </w:rPr>
            </w:pPr>
            <w:r>
              <w:rPr>
                <w:rFonts w:ascii="Book Antiqua" w:hAnsi="Book Antiqua"/>
                <w:b/>
              </w:rPr>
              <w:t>26 (54.1</w:t>
            </w:r>
            <w:r w:rsidRPr="00E231EB">
              <w:rPr>
                <w:rFonts w:ascii="Book Antiqua" w:hAnsi="Book Antiqua"/>
                <w:b/>
              </w:rPr>
              <w:t>)</w:t>
            </w:r>
          </w:p>
        </w:tc>
      </w:tr>
      <w:tr w:rsidR="00E231EB" w:rsidTr="00416BAF">
        <w:tc>
          <w:tcPr>
            <w:tcW w:w="4927" w:type="dxa"/>
          </w:tcPr>
          <w:p w:rsidR="00E231EB" w:rsidRPr="00E231EB" w:rsidRDefault="00E231EB" w:rsidP="00276A29">
            <w:pPr>
              <w:spacing w:line="360" w:lineRule="auto"/>
              <w:jc w:val="both"/>
              <w:rPr>
                <w:rFonts w:ascii="Book Antiqua" w:hAnsi="Book Antiqua"/>
                <w:b/>
                <w:lang w:eastAsia="zh-CN"/>
              </w:rPr>
            </w:pPr>
            <w:r w:rsidRPr="00E231EB">
              <w:rPr>
                <w:rFonts w:ascii="Book Antiqua" w:hAnsi="Book Antiqua"/>
                <w:b/>
                <w:lang w:eastAsia="zh-CN"/>
              </w:rPr>
              <w:t xml:space="preserve">  </w:t>
            </w:r>
            <w:r w:rsidRPr="00E231EB">
              <w:rPr>
                <w:rFonts w:ascii="Book Antiqua" w:hAnsi="Book Antiqua"/>
                <w:b/>
              </w:rPr>
              <w:t xml:space="preserve">No  </w:t>
            </w:r>
          </w:p>
        </w:tc>
        <w:tc>
          <w:tcPr>
            <w:tcW w:w="4927" w:type="dxa"/>
          </w:tcPr>
          <w:p w:rsidR="00E231EB" w:rsidRPr="00E231EB" w:rsidRDefault="00E231EB" w:rsidP="00276A29">
            <w:pPr>
              <w:spacing w:line="360" w:lineRule="auto"/>
              <w:jc w:val="both"/>
              <w:rPr>
                <w:rFonts w:ascii="Book Antiqua" w:hAnsi="Book Antiqua"/>
                <w:b/>
              </w:rPr>
            </w:pPr>
          </w:p>
        </w:tc>
      </w:tr>
      <w:tr w:rsidR="00E231EB" w:rsidTr="00416BAF">
        <w:tc>
          <w:tcPr>
            <w:tcW w:w="4927" w:type="dxa"/>
          </w:tcPr>
          <w:p w:rsidR="00E231EB" w:rsidRPr="00E231EB" w:rsidRDefault="00E231EB" w:rsidP="00276A29">
            <w:pPr>
              <w:spacing w:line="360" w:lineRule="auto"/>
              <w:jc w:val="both"/>
              <w:rPr>
                <w:rFonts w:ascii="Book Antiqua" w:hAnsi="Book Antiqua"/>
                <w:b/>
                <w:lang w:eastAsia="zh-CN"/>
              </w:rPr>
            </w:pPr>
            <w:r w:rsidRPr="00E231EB">
              <w:rPr>
                <w:rFonts w:ascii="Book Antiqua" w:hAnsi="Book Antiqua"/>
                <w:b/>
              </w:rPr>
              <w:t>Tumour extension</w:t>
            </w:r>
          </w:p>
        </w:tc>
        <w:tc>
          <w:tcPr>
            <w:tcW w:w="4927" w:type="dxa"/>
          </w:tcPr>
          <w:p w:rsidR="00E231EB" w:rsidRPr="00E231EB" w:rsidRDefault="00E231EB" w:rsidP="00276A29">
            <w:pPr>
              <w:spacing w:line="360" w:lineRule="auto"/>
              <w:jc w:val="both"/>
              <w:rPr>
                <w:rFonts w:ascii="Book Antiqua" w:hAnsi="Book Antiqua"/>
                <w:b/>
              </w:rPr>
            </w:pPr>
          </w:p>
        </w:tc>
      </w:tr>
      <w:tr w:rsidR="00E231EB" w:rsidTr="00416BAF">
        <w:tc>
          <w:tcPr>
            <w:tcW w:w="4927" w:type="dxa"/>
          </w:tcPr>
          <w:p w:rsidR="00E231EB" w:rsidRPr="00E231EB" w:rsidRDefault="00E231EB" w:rsidP="00276A29">
            <w:pPr>
              <w:spacing w:line="360" w:lineRule="auto"/>
              <w:jc w:val="both"/>
              <w:rPr>
                <w:rFonts w:ascii="Book Antiqua" w:hAnsi="Book Antiqua"/>
                <w:b/>
                <w:lang w:eastAsia="zh-CN"/>
              </w:rPr>
            </w:pPr>
            <w:r w:rsidRPr="00E231EB">
              <w:rPr>
                <w:rFonts w:ascii="Book Antiqua" w:hAnsi="Book Antiqua"/>
                <w:b/>
                <w:lang w:eastAsia="zh-CN"/>
              </w:rPr>
              <w:t xml:space="preserve">  </w:t>
            </w:r>
            <w:proofErr w:type="spellStart"/>
            <w:r w:rsidRPr="00E231EB">
              <w:rPr>
                <w:rFonts w:ascii="Book Antiqua" w:hAnsi="Book Antiqua"/>
                <w:b/>
              </w:rPr>
              <w:t>Unilobar</w:t>
            </w:r>
            <w:proofErr w:type="spellEnd"/>
          </w:p>
        </w:tc>
        <w:tc>
          <w:tcPr>
            <w:tcW w:w="4927" w:type="dxa"/>
          </w:tcPr>
          <w:p w:rsidR="00E231EB" w:rsidRPr="00E231EB" w:rsidRDefault="00E231EB" w:rsidP="00276A29">
            <w:pPr>
              <w:spacing w:line="360" w:lineRule="auto"/>
              <w:jc w:val="both"/>
              <w:rPr>
                <w:rFonts w:ascii="Book Antiqua" w:hAnsi="Book Antiqua"/>
                <w:b/>
              </w:rPr>
            </w:pPr>
            <w:r>
              <w:rPr>
                <w:rFonts w:ascii="Book Antiqua" w:hAnsi="Book Antiqua"/>
                <w:b/>
              </w:rPr>
              <w:t>29 (60.4</w:t>
            </w:r>
            <w:r w:rsidRPr="00E231EB">
              <w:rPr>
                <w:rFonts w:ascii="Book Antiqua" w:hAnsi="Book Antiqua"/>
                <w:b/>
              </w:rPr>
              <w:t>)</w:t>
            </w:r>
          </w:p>
        </w:tc>
      </w:tr>
      <w:tr w:rsidR="00E231EB" w:rsidTr="00416BAF">
        <w:tc>
          <w:tcPr>
            <w:tcW w:w="4927" w:type="dxa"/>
          </w:tcPr>
          <w:p w:rsidR="00E231EB" w:rsidRPr="00E231EB" w:rsidRDefault="00E231EB" w:rsidP="006868AE">
            <w:pPr>
              <w:spacing w:line="360" w:lineRule="auto"/>
              <w:ind w:firstLineChars="48" w:firstLine="125"/>
              <w:jc w:val="both"/>
              <w:rPr>
                <w:rFonts w:ascii="Book Antiqua" w:hAnsi="Book Antiqua"/>
                <w:b/>
                <w:lang w:eastAsia="zh-CN"/>
              </w:rPr>
            </w:pPr>
            <w:proofErr w:type="spellStart"/>
            <w:r w:rsidRPr="00E231EB">
              <w:rPr>
                <w:rFonts w:ascii="Book Antiqua" w:hAnsi="Book Antiqua"/>
                <w:b/>
              </w:rPr>
              <w:t>Bilobar</w:t>
            </w:r>
            <w:proofErr w:type="spellEnd"/>
          </w:p>
        </w:tc>
        <w:tc>
          <w:tcPr>
            <w:tcW w:w="4927" w:type="dxa"/>
          </w:tcPr>
          <w:p w:rsidR="00E231EB" w:rsidRPr="00E231EB" w:rsidRDefault="00E231EB" w:rsidP="00276A29">
            <w:pPr>
              <w:spacing w:line="360" w:lineRule="auto"/>
              <w:jc w:val="both"/>
              <w:rPr>
                <w:rFonts w:ascii="Book Antiqua" w:hAnsi="Book Antiqua"/>
                <w:b/>
              </w:rPr>
            </w:pPr>
            <w:r>
              <w:rPr>
                <w:rFonts w:ascii="Book Antiqua" w:hAnsi="Book Antiqua"/>
                <w:b/>
              </w:rPr>
              <w:t>19 (39.6</w:t>
            </w:r>
            <w:r w:rsidRPr="00E231EB">
              <w:rPr>
                <w:rFonts w:ascii="Book Antiqua" w:hAnsi="Book Antiqua"/>
                <w:b/>
              </w:rPr>
              <w:t>)</w:t>
            </w:r>
          </w:p>
        </w:tc>
      </w:tr>
      <w:tr w:rsidR="00E231EB" w:rsidTr="00416BAF">
        <w:tc>
          <w:tcPr>
            <w:tcW w:w="4927" w:type="dxa"/>
          </w:tcPr>
          <w:p w:rsidR="00E231EB" w:rsidRPr="00E231EB" w:rsidRDefault="00E231EB" w:rsidP="00276A29">
            <w:pPr>
              <w:spacing w:line="360" w:lineRule="auto"/>
              <w:jc w:val="both"/>
              <w:rPr>
                <w:rFonts w:ascii="Book Antiqua" w:hAnsi="Book Antiqua"/>
                <w:b/>
                <w:lang w:eastAsia="zh-CN"/>
              </w:rPr>
            </w:pPr>
            <w:r w:rsidRPr="00E231EB">
              <w:rPr>
                <w:rFonts w:ascii="Book Antiqua" w:hAnsi="Book Antiqua"/>
                <w:b/>
              </w:rPr>
              <w:t xml:space="preserve">No. </w:t>
            </w:r>
            <w:r w:rsidRPr="00E231EB">
              <w:rPr>
                <w:rFonts w:ascii="Book Antiqua" w:hAnsi="Book Antiqua"/>
                <w:b/>
                <w:lang w:eastAsia="zh-CN"/>
              </w:rPr>
              <w:t xml:space="preserve">of </w:t>
            </w:r>
            <w:proofErr w:type="spellStart"/>
            <w:r w:rsidRPr="00E231EB">
              <w:rPr>
                <w:rFonts w:ascii="Book Antiqua" w:hAnsi="Book Antiqua"/>
                <w:b/>
              </w:rPr>
              <w:t>tumors</w:t>
            </w:r>
            <w:proofErr w:type="spellEnd"/>
            <w:r w:rsidRPr="00E231EB">
              <w:rPr>
                <w:rFonts w:ascii="Book Antiqua" w:hAnsi="Book Antiqua"/>
                <w:b/>
              </w:rPr>
              <w:t xml:space="preserve"> (target)</w:t>
            </w:r>
          </w:p>
        </w:tc>
        <w:tc>
          <w:tcPr>
            <w:tcW w:w="4927" w:type="dxa"/>
          </w:tcPr>
          <w:p w:rsidR="00E231EB" w:rsidRPr="00E231EB" w:rsidRDefault="00E231EB" w:rsidP="00276A29">
            <w:pPr>
              <w:spacing w:line="360" w:lineRule="auto"/>
              <w:jc w:val="both"/>
              <w:rPr>
                <w:rFonts w:ascii="Book Antiqua" w:hAnsi="Book Antiqua"/>
                <w:b/>
              </w:rPr>
            </w:pPr>
          </w:p>
        </w:tc>
      </w:tr>
      <w:tr w:rsidR="00E231EB" w:rsidTr="00416BAF">
        <w:tc>
          <w:tcPr>
            <w:tcW w:w="4927" w:type="dxa"/>
          </w:tcPr>
          <w:p w:rsidR="00E231EB" w:rsidRPr="00E231EB" w:rsidRDefault="00E231EB" w:rsidP="00276A29">
            <w:pPr>
              <w:spacing w:line="360" w:lineRule="auto"/>
              <w:jc w:val="both"/>
              <w:rPr>
                <w:rFonts w:ascii="Book Antiqua" w:hAnsi="Book Antiqua"/>
                <w:b/>
                <w:lang w:eastAsia="zh-CN"/>
              </w:rPr>
            </w:pPr>
            <w:r w:rsidRPr="00E231EB">
              <w:rPr>
                <w:rFonts w:ascii="Book Antiqua" w:hAnsi="Book Antiqua"/>
                <w:b/>
                <w:lang w:eastAsia="zh-CN"/>
              </w:rPr>
              <w:t xml:space="preserve">  </w:t>
            </w:r>
            <w:r w:rsidRPr="00E231EB">
              <w:rPr>
                <w:rFonts w:ascii="Book Antiqua" w:hAnsi="Book Antiqua"/>
                <w:b/>
              </w:rPr>
              <w:t xml:space="preserve">Total  </w:t>
            </w:r>
          </w:p>
        </w:tc>
        <w:tc>
          <w:tcPr>
            <w:tcW w:w="4927" w:type="dxa"/>
          </w:tcPr>
          <w:p w:rsidR="00E231EB" w:rsidRPr="00E231EB" w:rsidRDefault="00E231EB" w:rsidP="00276A29">
            <w:pPr>
              <w:spacing w:line="360" w:lineRule="auto"/>
              <w:jc w:val="both"/>
              <w:rPr>
                <w:rFonts w:ascii="Book Antiqua" w:hAnsi="Book Antiqua"/>
                <w:b/>
              </w:rPr>
            </w:pPr>
            <w:r w:rsidRPr="00E231EB">
              <w:rPr>
                <w:rFonts w:ascii="Book Antiqua" w:hAnsi="Book Antiqua"/>
                <w:b/>
              </w:rPr>
              <w:t>128</w:t>
            </w:r>
          </w:p>
        </w:tc>
      </w:tr>
      <w:tr w:rsidR="00E231EB" w:rsidTr="00416BAF">
        <w:tc>
          <w:tcPr>
            <w:tcW w:w="4927" w:type="dxa"/>
          </w:tcPr>
          <w:p w:rsidR="00E231EB" w:rsidRPr="00E231EB" w:rsidRDefault="00E231EB" w:rsidP="00276A29">
            <w:pPr>
              <w:spacing w:line="360" w:lineRule="auto"/>
              <w:jc w:val="both"/>
              <w:rPr>
                <w:rFonts w:ascii="Book Antiqua" w:hAnsi="Book Antiqua"/>
                <w:b/>
                <w:lang w:eastAsia="zh-CN"/>
              </w:rPr>
            </w:pPr>
            <w:r w:rsidRPr="00E231EB">
              <w:rPr>
                <w:rFonts w:ascii="Book Antiqua" w:hAnsi="Book Antiqua"/>
                <w:b/>
                <w:lang w:eastAsia="zh-CN"/>
              </w:rPr>
              <w:t xml:space="preserve">  </w:t>
            </w:r>
            <w:r w:rsidRPr="00E231EB">
              <w:rPr>
                <w:rFonts w:ascii="Book Antiqua" w:hAnsi="Book Antiqua"/>
                <w:b/>
              </w:rPr>
              <w:t>Median</w:t>
            </w:r>
          </w:p>
        </w:tc>
        <w:tc>
          <w:tcPr>
            <w:tcW w:w="4927" w:type="dxa"/>
          </w:tcPr>
          <w:p w:rsidR="00E231EB" w:rsidRPr="00E231EB" w:rsidRDefault="00E231EB" w:rsidP="00276A29">
            <w:pPr>
              <w:spacing w:line="360" w:lineRule="auto"/>
              <w:jc w:val="both"/>
              <w:rPr>
                <w:rFonts w:ascii="Book Antiqua" w:hAnsi="Book Antiqua"/>
                <w:b/>
              </w:rPr>
            </w:pPr>
            <w:r>
              <w:rPr>
                <w:rFonts w:ascii="Book Antiqua" w:hAnsi="Book Antiqua"/>
                <w:b/>
              </w:rPr>
              <w:t xml:space="preserve">2 </w:t>
            </w:r>
            <w:r w:rsidRPr="00E231EB">
              <w:rPr>
                <w:rFonts w:ascii="Book Antiqua" w:hAnsi="Book Antiqua"/>
                <w:b/>
              </w:rPr>
              <w:t>(1-4)</w:t>
            </w:r>
          </w:p>
        </w:tc>
      </w:tr>
      <w:tr w:rsidR="00E231EB" w:rsidTr="00416BAF">
        <w:tc>
          <w:tcPr>
            <w:tcW w:w="4927" w:type="dxa"/>
          </w:tcPr>
          <w:p w:rsidR="00E231EB" w:rsidRPr="00E231EB" w:rsidRDefault="00E231EB" w:rsidP="00276A29">
            <w:pPr>
              <w:spacing w:line="360" w:lineRule="auto"/>
              <w:jc w:val="both"/>
              <w:rPr>
                <w:rFonts w:ascii="Book Antiqua" w:hAnsi="Book Antiqua"/>
                <w:b/>
                <w:lang w:eastAsia="zh-CN"/>
              </w:rPr>
            </w:pPr>
            <w:r w:rsidRPr="00E231EB">
              <w:rPr>
                <w:rFonts w:ascii="Book Antiqua" w:hAnsi="Book Antiqua"/>
                <w:b/>
                <w:lang w:eastAsia="zh-CN"/>
              </w:rPr>
              <w:t xml:space="preserve">  </w:t>
            </w:r>
            <w:r w:rsidRPr="00E231EB">
              <w:rPr>
                <w:rFonts w:ascii="Book Antiqua" w:hAnsi="Book Antiqua"/>
                <w:b/>
              </w:rPr>
              <w:t>Max. diameter (mm)</w:t>
            </w:r>
          </w:p>
        </w:tc>
        <w:tc>
          <w:tcPr>
            <w:tcW w:w="4927" w:type="dxa"/>
          </w:tcPr>
          <w:p w:rsidR="00E231EB" w:rsidRPr="00E231EB" w:rsidRDefault="00E231EB" w:rsidP="00276A29">
            <w:pPr>
              <w:spacing w:line="360" w:lineRule="auto"/>
              <w:jc w:val="both"/>
              <w:rPr>
                <w:rFonts w:ascii="Book Antiqua" w:hAnsi="Book Antiqua"/>
                <w:b/>
              </w:rPr>
            </w:pPr>
            <w:r>
              <w:rPr>
                <w:rFonts w:ascii="Book Antiqua" w:hAnsi="Book Antiqua"/>
                <w:b/>
              </w:rPr>
              <w:t xml:space="preserve">30 </w:t>
            </w:r>
            <w:r w:rsidRPr="00E231EB">
              <w:rPr>
                <w:rFonts w:ascii="Book Antiqua" w:hAnsi="Book Antiqua"/>
                <w:b/>
              </w:rPr>
              <w:t>(10-96)</w:t>
            </w:r>
          </w:p>
        </w:tc>
      </w:tr>
      <w:tr w:rsidR="00E231EB" w:rsidTr="00416BAF">
        <w:tc>
          <w:tcPr>
            <w:tcW w:w="4927" w:type="dxa"/>
          </w:tcPr>
          <w:p w:rsidR="00E231EB" w:rsidRPr="00E231EB" w:rsidRDefault="00E231EB" w:rsidP="00276A29">
            <w:pPr>
              <w:spacing w:line="360" w:lineRule="auto"/>
              <w:jc w:val="both"/>
              <w:rPr>
                <w:rFonts w:ascii="Book Antiqua" w:hAnsi="Book Antiqua"/>
                <w:b/>
                <w:lang w:eastAsia="zh-CN"/>
              </w:rPr>
            </w:pPr>
            <w:r w:rsidRPr="00E231EB">
              <w:rPr>
                <w:rFonts w:ascii="Book Antiqua" w:hAnsi="Book Antiqua"/>
                <w:b/>
                <w:lang w:eastAsia="zh-CN"/>
              </w:rPr>
              <w:t xml:space="preserve">  </w:t>
            </w:r>
            <w:r w:rsidRPr="00E231EB">
              <w:rPr>
                <w:rFonts w:ascii="Book Antiqua" w:hAnsi="Book Antiqua"/>
                <w:b/>
              </w:rPr>
              <w:t>Sum of diameters (mm)</w:t>
            </w:r>
          </w:p>
        </w:tc>
        <w:tc>
          <w:tcPr>
            <w:tcW w:w="4927" w:type="dxa"/>
          </w:tcPr>
          <w:p w:rsidR="00E231EB" w:rsidRPr="00E231EB" w:rsidRDefault="00E231EB" w:rsidP="00276A29">
            <w:pPr>
              <w:spacing w:line="360" w:lineRule="auto"/>
              <w:jc w:val="both"/>
              <w:rPr>
                <w:rFonts w:ascii="Book Antiqua" w:hAnsi="Book Antiqua"/>
                <w:b/>
              </w:rPr>
            </w:pPr>
            <w:r>
              <w:rPr>
                <w:rFonts w:ascii="Book Antiqua" w:hAnsi="Book Antiqua"/>
                <w:b/>
              </w:rPr>
              <w:t>44</w:t>
            </w:r>
            <w:r w:rsidRPr="00E231EB">
              <w:rPr>
                <w:rFonts w:ascii="Book Antiqua" w:hAnsi="Book Antiqua"/>
                <w:b/>
              </w:rPr>
              <w:t xml:space="preserve"> (13-130)</w:t>
            </w:r>
          </w:p>
        </w:tc>
      </w:tr>
      <w:tr w:rsidR="00E231EB" w:rsidTr="00416BAF">
        <w:tc>
          <w:tcPr>
            <w:tcW w:w="4927" w:type="dxa"/>
          </w:tcPr>
          <w:p w:rsidR="00E231EB" w:rsidRPr="00E231EB" w:rsidRDefault="00E231EB" w:rsidP="00276A29">
            <w:pPr>
              <w:spacing w:line="360" w:lineRule="auto"/>
              <w:jc w:val="both"/>
              <w:rPr>
                <w:rFonts w:ascii="Book Antiqua" w:hAnsi="Book Antiqua"/>
                <w:b/>
                <w:lang w:eastAsia="zh-CN"/>
              </w:rPr>
            </w:pPr>
            <w:r w:rsidRPr="00E231EB">
              <w:rPr>
                <w:rFonts w:ascii="Book Antiqua" w:hAnsi="Book Antiqua"/>
                <w:b/>
                <w:lang w:eastAsia="zh-CN"/>
              </w:rPr>
              <w:lastRenderedPageBreak/>
              <w:t>TACE</w:t>
            </w:r>
          </w:p>
        </w:tc>
        <w:tc>
          <w:tcPr>
            <w:tcW w:w="4927" w:type="dxa"/>
          </w:tcPr>
          <w:p w:rsidR="00E231EB" w:rsidRPr="00E231EB" w:rsidRDefault="00E231EB" w:rsidP="00276A29">
            <w:pPr>
              <w:spacing w:line="360" w:lineRule="auto"/>
              <w:jc w:val="both"/>
              <w:rPr>
                <w:rFonts w:ascii="Book Antiqua" w:hAnsi="Book Antiqua"/>
                <w:b/>
              </w:rPr>
            </w:pPr>
          </w:p>
        </w:tc>
      </w:tr>
      <w:tr w:rsidR="00E231EB" w:rsidTr="00416BAF">
        <w:tc>
          <w:tcPr>
            <w:tcW w:w="4927" w:type="dxa"/>
          </w:tcPr>
          <w:p w:rsidR="00E231EB" w:rsidRPr="00E231EB" w:rsidRDefault="00E231EB" w:rsidP="00276A29">
            <w:pPr>
              <w:spacing w:line="360" w:lineRule="auto"/>
              <w:jc w:val="both"/>
              <w:rPr>
                <w:rFonts w:ascii="Book Antiqua" w:hAnsi="Book Antiqua"/>
                <w:b/>
                <w:lang w:eastAsia="zh-CN"/>
              </w:rPr>
            </w:pPr>
            <w:r w:rsidRPr="00E231EB">
              <w:rPr>
                <w:rFonts w:ascii="Book Antiqua" w:hAnsi="Book Antiqua"/>
                <w:b/>
                <w:lang w:eastAsia="zh-CN"/>
              </w:rPr>
              <w:t xml:space="preserve">  </w:t>
            </w:r>
            <w:r w:rsidRPr="00E231EB">
              <w:rPr>
                <w:rFonts w:ascii="Book Antiqua" w:hAnsi="Book Antiqua"/>
                <w:b/>
                <w:lang w:val="fr-FR"/>
              </w:rPr>
              <w:t>Total cycles</w:t>
            </w:r>
          </w:p>
        </w:tc>
        <w:tc>
          <w:tcPr>
            <w:tcW w:w="4927" w:type="dxa"/>
          </w:tcPr>
          <w:p w:rsidR="00E231EB" w:rsidRPr="00E231EB" w:rsidRDefault="00E231EB" w:rsidP="00276A29">
            <w:pPr>
              <w:spacing w:line="360" w:lineRule="auto"/>
              <w:jc w:val="both"/>
              <w:rPr>
                <w:rFonts w:ascii="Book Antiqua" w:hAnsi="Book Antiqua"/>
                <w:b/>
              </w:rPr>
            </w:pPr>
            <w:r w:rsidRPr="00E231EB">
              <w:rPr>
                <w:rFonts w:ascii="Book Antiqua" w:hAnsi="Book Antiqua"/>
                <w:b/>
                <w:lang w:val="fr-FR"/>
              </w:rPr>
              <w:t>73</w:t>
            </w:r>
          </w:p>
        </w:tc>
      </w:tr>
      <w:tr w:rsidR="00E231EB" w:rsidTr="00416BAF">
        <w:tc>
          <w:tcPr>
            <w:tcW w:w="4927" w:type="dxa"/>
          </w:tcPr>
          <w:p w:rsidR="00E231EB" w:rsidRPr="00E231EB" w:rsidRDefault="00E231EB" w:rsidP="00276A29">
            <w:pPr>
              <w:spacing w:line="360" w:lineRule="auto"/>
              <w:jc w:val="both"/>
              <w:rPr>
                <w:rFonts w:ascii="Book Antiqua" w:hAnsi="Book Antiqua"/>
                <w:b/>
                <w:lang w:eastAsia="zh-CN"/>
              </w:rPr>
            </w:pPr>
            <w:r w:rsidRPr="00E231EB">
              <w:rPr>
                <w:rFonts w:ascii="Book Antiqua" w:hAnsi="Book Antiqua"/>
                <w:b/>
                <w:lang w:eastAsia="zh-CN"/>
              </w:rPr>
              <w:t xml:space="preserve">  </w:t>
            </w:r>
            <w:r w:rsidRPr="00E231EB">
              <w:rPr>
                <w:rFonts w:ascii="Book Antiqua" w:hAnsi="Book Antiqua"/>
                <w:b/>
                <w:lang w:val="fr-FR"/>
              </w:rPr>
              <w:t>Segmental</w:t>
            </w:r>
          </w:p>
        </w:tc>
        <w:tc>
          <w:tcPr>
            <w:tcW w:w="4927" w:type="dxa"/>
          </w:tcPr>
          <w:p w:rsidR="00E231EB" w:rsidRPr="00E231EB" w:rsidRDefault="00E231EB" w:rsidP="00276A29">
            <w:pPr>
              <w:spacing w:line="360" w:lineRule="auto"/>
              <w:jc w:val="both"/>
              <w:rPr>
                <w:rFonts w:ascii="Book Antiqua" w:hAnsi="Book Antiqua"/>
                <w:b/>
              </w:rPr>
            </w:pPr>
            <w:r>
              <w:rPr>
                <w:rFonts w:ascii="Book Antiqua" w:hAnsi="Book Antiqua"/>
                <w:b/>
                <w:lang w:val="fr-FR"/>
              </w:rPr>
              <w:t>47 (64.4</w:t>
            </w:r>
            <w:r w:rsidRPr="00E231EB">
              <w:rPr>
                <w:rFonts w:ascii="Book Antiqua" w:hAnsi="Book Antiqua"/>
                <w:b/>
                <w:lang w:val="fr-FR"/>
              </w:rPr>
              <w:t>)</w:t>
            </w:r>
          </w:p>
        </w:tc>
      </w:tr>
      <w:tr w:rsidR="00E231EB" w:rsidTr="00416BAF">
        <w:tc>
          <w:tcPr>
            <w:tcW w:w="4927" w:type="dxa"/>
          </w:tcPr>
          <w:p w:rsidR="00E231EB" w:rsidRPr="00E231EB" w:rsidRDefault="00E231EB" w:rsidP="00276A29">
            <w:pPr>
              <w:spacing w:line="360" w:lineRule="auto"/>
              <w:jc w:val="both"/>
              <w:rPr>
                <w:rFonts w:ascii="Book Antiqua" w:hAnsi="Book Antiqua"/>
                <w:b/>
                <w:lang w:eastAsia="zh-CN"/>
              </w:rPr>
            </w:pPr>
            <w:r w:rsidRPr="00E231EB">
              <w:rPr>
                <w:rFonts w:ascii="Book Antiqua" w:hAnsi="Book Antiqua"/>
                <w:b/>
                <w:lang w:eastAsia="zh-CN"/>
              </w:rPr>
              <w:t xml:space="preserve">  </w:t>
            </w:r>
            <w:r w:rsidRPr="00E231EB">
              <w:rPr>
                <w:rFonts w:ascii="Book Antiqua" w:hAnsi="Book Antiqua"/>
                <w:b/>
                <w:lang w:val="fr-FR"/>
              </w:rPr>
              <w:t>Bisegmental</w:t>
            </w:r>
          </w:p>
        </w:tc>
        <w:tc>
          <w:tcPr>
            <w:tcW w:w="4927" w:type="dxa"/>
          </w:tcPr>
          <w:p w:rsidR="00E231EB" w:rsidRPr="00E231EB" w:rsidRDefault="00E231EB" w:rsidP="00276A29">
            <w:pPr>
              <w:spacing w:line="360" w:lineRule="auto"/>
              <w:jc w:val="both"/>
              <w:rPr>
                <w:rFonts w:ascii="Book Antiqua" w:hAnsi="Book Antiqua"/>
                <w:b/>
              </w:rPr>
            </w:pPr>
            <w:r>
              <w:rPr>
                <w:rFonts w:ascii="Book Antiqua" w:hAnsi="Book Antiqua"/>
                <w:b/>
                <w:lang w:val="fr-FR"/>
              </w:rPr>
              <w:t>22 (30.1</w:t>
            </w:r>
            <w:r w:rsidRPr="00E231EB">
              <w:rPr>
                <w:rFonts w:ascii="Book Antiqua" w:hAnsi="Book Antiqua"/>
                <w:b/>
                <w:lang w:val="fr-FR"/>
              </w:rPr>
              <w:t>)</w:t>
            </w:r>
          </w:p>
        </w:tc>
      </w:tr>
      <w:tr w:rsidR="00E231EB" w:rsidTr="00416BAF">
        <w:tc>
          <w:tcPr>
            <w:tcW w:w="4927" w:type="dxa"/>
          </w:tcPr>
          <w:p w:rsidR="00E231EB" w:rsidRPr="00E231EB" w:rsidRDefault="00E231EB" w:rsidP="00276A29">
            <w:pPr>
              <w:spacing w:line="360" w:lineRule="auto"/>
              <w:jc w:val="both"/>
              <w:rPr>
                <w:rFonts w:ascii="Book Antiqua" w:hAnsi="Book Antiqua"/>
                <w:b/>
                <w:lang w:eastAsia="zh-CN"/>
              </w:rPr>
            </w:pPr>
            <w:r w:rsidRPr="00E231EB">
              <w:rPr>
                <w:rFonts w:ascii="Book Antiqua" w:hAnsi="Book Antiqua"/>
                <w:b/>
                <w:lang w:eastAsia="zh-CN"/>
              </w:rPr>
              <w:t xml:space="preserve">  </w:t>
            </w:r>
            <w:r w:rsidRPr="00E231EB">
              <w:rPr>
                <w:rFonts w:ascii="Book Antiqua" w:hAnsi="Book Antiqua"/>
                <w:b/>
                <w:lang w:val="fr-FR"/>
              </w:rPr>
              <w:t>Trisegmental</w:t>
            </w:r>
          </w:p>
        </w:tc>
        <w:tc>
          <w:tcPr>
            <w:tcW w:w="4927" w:type="dxa"/>
          </w:tcPr>
          <w:p w:rsidR="00E231EB" w:rsidRPr="00E231EB" w:rsidRDefault="00E231EB" w:rsidP="00276A29">
            <w:pPr>
              <w:spacing w:line="360" w:lineRule="auto"/>
              <w:jc w:val="both"/>
              <w:rPr>
                <w:rFonts w:ascii="Book Antiqua" w:hAnsi="Book Antiqua"/>
                <w:b/>
              </w:rPr>
            </w:pPr>
            <w:r>
              <w:rPr>
                <w:rFonts w:ascii="Book Antiqua" w:hAnsi="Book Antiqua"/>
                <w:b/>
                <w:lang w:val="fr-FR"/>
              </w:rPr>
              <w:t>4  (5.5</w:t>
            </w:r>
            <w:r w:rsidRPr="00E231EB">
              <w:rPr>
                <w:rFonts w:ascii="Book Antiqua" w:hAnsi="Book Antiqua"/>
                <w:b/>
                <w:lang w:val="fr-FR"/>
              </w:rPr>
              <w:t>)</w:t>
            </w:r>
          </w:p>
        </w:tc>
      </w:tr>
    </w:tbl>
    <w:p w:rsidR="00416BAF" w:rsidRDefault="00416BAF" w:rsidP="00276A29">
      <w:pPr>
        <w:spacing w:line="360" w:lineRule="auto"/>
        <w:jc w:val="both"/>
        <w:rPr>
          <w:rFonts w:ascii="Book Antiqua" w:hAnsi="Book Antiqua"/>
          <w:noProof/>
          <w:lang w:eastAsia="zh-CN"/>
        </w:rPr>
      </w:pPr>
    </w:p>
    <w:p w:rsidR="00A42138" w:rsidRPr="00A42138" w:rsidRDefault="00A42138" w:rsidP="00A42138">
      <w:pPr>
        <w:pStyle w:val="Heading3"/>
        <w:spacing w:before="0" w:beforeAutospacing="0" w:after="0" w:afterAutospacing="0" w:line="360" w:lineRule="auto"/>
        <w:jc w:val="both"/>
        <w:rPr>
          <w:rFonts w:ascii="Book Antiqua" w:eastAsia="Calibri" w:hAnsi="Book Antiqua" w:cs="Times New Roman"/>
          <w:b w:val="0"/>
          <w:bCs w:val="0"/>
          <w:sz w:val="24"/>
          <w:szCs w:val="24"/>
          <w:lang w:eastAsia="en-US"/>
        </w:rPr>
      </w:pPr>
      <w:r w:rsidRPr="00A42138">
        <w:rPr>
          <w:rFonts w:ascii="Book Antiqua" w:eastAsia="Calibri" w:hAnsi="Book Antiqua" w:cs="Times New Roman"/>
          <w:b w:val="0"/>
          <w:bCs w:val="0"/>
          <w:sz w:val="24"/>
          <w:szCs w:val="24"/>
          <w:lang w:eastAsia="en-US"/>
        </w:rPr>
        <w:t>TACE</w:t>
      </w:r>
      <w:r w:rsidRPr="00A42138">
        <w:rPr>
          <w:rFonts w:ascii="Book Antiqua" w:eastAsia="Calibri" w:hAnsi="Book Antiqua" w:cs="Times New Roman" w:hint="eastAsia"/>
          <w:b w:val="0"/>
          <w:bCs w:val="0"/>
          <w:sz w:val="24"/>
          <w:szCs w:val="24"/>
          <w:lang w:eastAsia="en-US"/>
        </w:rPr>
        <w:t xml:space="preserve">: </w:t>
      </w:r>
      <w:proofErr w:type="spellStart"/>
      <w:r w:rsidRPr="00A42138">
        <w:rPr>
          <w:rFonts w:ascii="Book Antiqua" w:eastAsia="Calibri" w:hAnsi="Book Antiqua" w:cs="Times New Roman"/>
          <w:b w:val="0"/>
          <w:bCs w:val="0"/>
          <w:sz w:val="24"/>
          <w:szCs w:val="24"/>
          <w:lang w:eastAsia="en-US"/>
        </w:rPr>
        <w:t>Transarterial</w:t>
      </w:r>
      <w:proofErr w:type="spellEnd"/>
      <w:r w:rsidRPr="00A42138">
        <w:rPr>
          <w:rFonts w:ascii="Book Antiqua" w:eastAsia="Calibri" w:hAnsi="Book Antiqua" w:cs="Times New Roman"/>
          <w:b w:val="0"/>
          <w:bCs w:val="0"/>
          <w:sz w:val="24"/>
          <w:szCs w:val="24"/>
          <w:lang w:eastAsia="en-US"/>
        </w:rPr>
        <w:t xml:space="preserve"> chemoembolization</w:t>
      </w:r>
      <w:r w:rsidRPr="00A42138">
        <w:rPr>
          <w:rFonts w:ascii="Book Antiqua" w:eastAsia="Calibri" w:hAnsi="Book Antiqua" w:cs="Times New Roman" w:hint="eastAsia"/>
          <w:b w:val="0"/>
          <w:bCs w:val="0"/>
          <w:sz w:val="24"/>
          <w:szCs w:val="24"/>
          <w:lang w:eastAsia="en-US"/>
        </w:rPr>
        <w:t xml:space="preserve">; HBV; </w:t>
      </w:r>
      <w:r w:rsidRPr="00A42138">
        <w:rPr>
          <w:rFonts w:ascii="Book Antiqua" w:eastAsia="Calibri" w:hAnsi="Book Antiqua" w:cs="Times New Roman"/>
          <w:b w:val="0"/>
          <w:bCs w:val="0"/>
          <w:sz w:val="24"/>
          <w:szCs w:val="24"/>
          <w:lang w:eastAsia="en-US"/>
        </w:rPr>
        <w:t>Hepatitis B virus</w:t>
      </w:r>
      <w:r w:rsidRPr="00A42138">
        <w:rPr>
          <w:rFonts w:ascii="Book Antiqua" w:eastAsia="Calibri" w:hAnsi="Book Antiqua" w:cs="Times New Roman" w:hint="eastAsia"/>
          <w:b w:val="0"/>
          <w:bCs w:val="0"/>
          <w:sz w:val="24"/>
          <w:szCs w:val="24"/>
          <w:lang w:eastAsia="en-US"/>
        </w:rPr>
        <w:t xml:space="preserve">; HCV: </w:t>
      </w:r>
      <w:r w:rsidRPr="00A42138">
        <w:rPr>
          <w:rFonts w:ascii="Book Antiqua" w:eastAsia="Calibri" w:hAnsi="Book Antiqua" w:cs="Times New Roman"/>
          <w:b w:val="0"/>
          <w:bCs w:val="0"/>
          <w:sz w:val="24"/>
          <w:szCs w:val="24"/>
          <w:lang w:eastAsia="en-US"/>
        </w:rPr>
        <w:t xml:space="preserve">Hepatitis </w:t>
      </w:r>
      <w:r w:rsidRPr="00A42138">
        <w:rPr>
          <w:rFonts w:ascii="Book Antiqua" w:eastAsia="Calibri" w:hAnsi="Book Antiqua" w:cs="Times New Roman" w:hint="eastAsia"/>
          <w:b w:val="0"/>
          <w:bCs w:val="0"/>
          <w:sz w:val="24"/>
          <w:szCs w:val="24"/>
          <w:lang w:eastAsia="en-US"/>
        </w:rPr>
        <w:t>C</w:t>
      </w:r>
      <w:r w:rsidRPr="00A42138">
        <w:rPr>
          <w:rFonts w:ascii="Book Antiqua" w:eastAsia="Calibri" w:hAnsi="Book Antiqua" w:cs="Times New Roman"/>
          <w:b w:val="0"/>
          <w:bCs w:val="0"/>
          <w:sz w:val="24"/>
          <w:szCs w:val="24"/>
          <w:lang w:eastAsia="en-US"/>
        </w:rPr>
        <w:t xml:space="preserve"> virus</w:t>
      </w:r>
      <w:r w:rsidRPr="00A42138">
        <w:rPr>
          <w:rFonts w:ascii="Book Antiqua" w:eastAsia="Calibri" w:hAnsi="Book Antiqua" w:cs="Times New Roman" w:hint="eastAsia"/>
          <w:b w:val="0"/>
          <w:bCs w:val="0"/>
          <w:sz w:val="24"/>
          <w:szCs w:val="24"/>
          <w:lang w:eastAsia="en-US"/>
        </w:rPr>
        <w:t>;</w:t>
      </w:r>
      <w:r w:rsidRPr="00A42138">
        <w:rPr>
          <w:rFonts w:ascii="Book Antiqua" w:eastAsia="Calibri" w:hAnsi="Book Antiqua" w:cs="Times New Roman"/>
          <w:b w:val="0"/>
          <w:bCs w:val="0"/>
          <w:sz w:val="24"/>
          <w:szCs w:val="24"/>
          <w:lang w:eastAsia="en-US"/>
        </w:rPr>
        <w:t> </w:t>
      </w:r>
      <w:r w:rsidRPr="00A42138">
        <w:rPr>
          <w:rFonts w:ascii="Book Antiqua" w:eastAsia="Calibri" w:hAnsi="Book Antiqua" w:cs="Times New Roman" w:hint="eastAsia"/>
          <w:b w:val="0"/>
          <w:bCs w:val="0"/>
          <w:sz w:val="24"/>
          <w:szCs w:val="24"/>
          <w:lang w:eastAsia="en-US"/>
        </w:rPr>
        <w:t xml:space="preserve">NASH: </w:t>
      </w:r>
      <w:r w:rsidRPr="00A42138">
        <w:rPr>
          <w:rFonts w:ascii="Book Antiqua" w:eastAsia="Calibri" w:hAnsi="Book Antiqua" w:cs="Times New Roman"/>
          <w:b w:val="0"/>
          <w:bCs w:val="0"/>
          <w:sz w:val="24"/>
          <w:szCs w:val="24"/>
          <w:lang w:eastAsia="en-US"/>
        </w:rPr>
        <w:t xml:space="preserve">Nonalcoholic </w:t>
      </w:r>
      <w:proofErr w:type="spellStart"/>
      <w:r w:rsidRPr="00A42138">
        <w:rPr>
          <w:rFonts w:ascii="Book Antiqua" w:eastAsia="Calibri" w:hAnsi="Book Antiqua" w:cs="Times New Roman"/>
          <w:b w:val="0"/>
          <w:bCs w:val="0"/>
          <w:sz w:val="24"/>
          <w:szCs w:val="24"/>
          <w:lang w:eastAsia="en-US"/>
        </w:rPr>
        <w:t>steatohepatitis</w:t>
      </w:r>
      <w:proofErr w:type="spellEnd"/>
      <w:r w:rsidRPr="00A42138">
        <w:rPr>
          <w:rFonts w:ascii="Book Antiqua" w:eastAsia="Calibri" w:hAnsi="Book Antiqua" w:cs="Times New Roman" w:hint="eastAsia"/>
          <w:b w:val="0"/>
          <w:bCs w:val="0"/>
          <w:sz w:val="24"/>
          <w:szCs w:val="24"/>
          <w:lang w:eastAsia="en-US"/>
        </w:rPr>
        <w:t xml:space="preserve">; MELD: </w:t>
      </w:r>
      <w:r w:rsidR="006868AE">
        <w:fldChar w:fldCharType="begin"/>
      </w:r>
      <w:r w:rsidR="006868AE">
        <w:instrText xml:space="preserve"> HYPERLINK "http://xueshu.baidu.com/s?wd=paperuri%3A%289282b9426d022e3f6aa737cab60ab25c%29&amp;filter=sc_long_sign&amp;tn=SE_xueshusource_2kduw22v&amp;sc_vurl=http%3A%2F%2Fonlinelibrary.wiley.com%2Fresolve%2Freference%2FPMED%3Fid%</w:instrText>
      </w:r>
      <w:r w:rsidR="006868AE">
        <w:instrText xml:space="preserve">3D12512033&amp;ie=utf-8&amp;sc_us=14847712262180441781" \t "_blank" </w:instrText>
      </w:r>
      <w:r w:rsidR="006868AE">
        <w:fldChar w:fldCharType="separate"/>
      </w:r>
      <w:r w:rsidRPr="00A42138">
        <w:rPr>
          <w:rFonts w:ascii="Book Antiqua" w:eastAsia="Calibri" w:hAnsi="Book Antiqua" w:cs="Times New Roman"/>
          <w:b w:val="0"/>
          <w:bCs w:val="0"/>
          <w:sz w:val="24"/>
          <w:szCs w:val="24"/>
          <w:lang w:eastAsia="en-US"/>
        </w:rPr>
        <w:t>Model for end-stage liver disease</w:t>
      </w:r>
      <w:r w:rsidRPr="00A42138">
        <w:rPr>
          <w:rFonts w:ascii="Book Antiqua" w:eastAsia="Calibri" w:hAnsi="Book Antiqua" w:cs="Times New Roman" w:hint="eastAsia"/>
          <w:b w:val="0"/>
          <w:bCs w:val="0"/>
          <w:sz w:val="24"/>
          <w:szCs w:val="24"/>
          <w:lang w:eastAsia="en-US"/>
        </w:rPr>
        <w:t>;</w:t>
      </w:r>
      <w:r w:rsidR="006868AE">
        <w:rPr>
          <w:rFonts w:ascii="Book Antiqua" w:eastAsia="Calibri" w:hAnsi="Book Antiqua" w:cs="Times New Roman"/>
          <w:b w:val="0"/>
          <w:bCs w:val="0"/>
          <w:sz w:val="24"/>
          <w:szCs w:val="24"/>
          <w:lang w:eastAsia="en-US"/>
        </w:rPr>
        <w:fldChar w:fldCharType="end"/>
      </w:r>
      <w:r w:rsidRPr="00A42138">
        <w:rPr>
          <w:rFonts w:ascii="Book Antiqua" w:eastAsia="Calibri" w:hAnsi="Book Antiqua" w:cs="Times New Roman"/>
          <w:b w:val="0"/>
          <w:bCs w:val="0"/>
          <w:sz w:val="24"/>
          <w:szCs w:val="24"/>
          <w:lang w:eastAsia="en-US"/>
        </w:rPr>
        <w:t xml:space="preserve"> BCLC</w:t>
      </w:r>
      <w:r w:rsidRPr="00A42138">
        <w:rPr>
          <w:rFonts w:ascii="Book Antiqua" w:eastAsia="Calibri" w:hAnsi="Book Antiqua" w:cs="Times New Roman" w:hint="eastAsia"/>
          <w:b w:val="0"/>
          <w:bCs w:val="0"/>
          <w:sz w:val="24"/>
          <w:szCs w:val="24"/>
          <w:lang w:eastAsia="en-US"/>
        </w:rPr>
        <w:t>:</w:t>
      </w:r>
      <w:r w:rsidRPr="00A42138">
        <w:rPr>
          <w:rFonts w:ascii="Book Antiqua" w:eastAsia="Calibri" w:hAnsi="Book Antiqua" w:cs="Times New Roman"/>
          <w:b w:val="0"/>
          <w:bCs w:val="0"/>
          <w:sz w:val="24"/>
          <w:szCs w:val="24"/>
          <w:lang w:eastAsia="en-US"/>
        </w:rPr>
        <w:t xml:space="preserve"> Barcelona Clinic Liver Cancer</w:t>
      </w:r>
      <w:r w:rsidRPr="00A42138">
        <w:rPr>
          <w:rFonts w:ascii="Book Antiqua" w:eastAsia="Calibri" w:hAnsi="Book Antiqua" w:cs="Times New Roman" w:hint="eastAsia"/>
          <w:b w:val="0"/>
          <w:bCs w:val="0"/>
          <w:sz w:val="24"/>
          <w:szCs w:val="24"/>
          <w:lang w:eastAsia="en-US"/>
        </w:rPr>
        <w:t>.</w:t>
      </w:r>
    </w:p>
    <w:p w:rsidR="00A42138" w:rsidRDefault="00A42138">
      <w:pPr>
        <w:rPr>
          <w:rFonts w:ascii="Book Antiqua" w:hAnsi="Book Antiqua"/>
          <w:noProof/>
          <w:lang w:val="en-US" w:eastAsia="zh-CN"/>
        </w:rPr>
      </w:pPr>
      <w:r>
        <w:rPr>
          <w:rFonts w:ascii="Book Antiqua" w:hAnsi="Book Antiqua"/>
          <w:noProof/>
          <w:lang w:val="en-US" w:eastAsia="zh-CN"/>
        </w:rPr>
        <w:br w:type="page"/>
      </w:r>
    </w:p>
    <w:p w:rsidR="00276A29" w:rsidRPr="00F52762" w:rsidRDefault="00F52762" w:rsidP="00276A29">
      <w:pPr>
        <w:spacing w:line="360" w:lineRule="auto"/>
        <w:jc w:val="both"/>
        <w:rPr>
          <w:rFonts w:ascii="Book Antiqua" w:hAnsi="Book Antiqua"/>
          <w:b/>
          <w:color w:val="FF0000"/>
        </w:rPr>
      </w:pPr>
      <w:r w:rsidRPr="00F52762">
        <w:rPr>
          <w:rFonts w:ascii="Book Antiqua" w:eastAsia="Calibri" w:hAnsi="Book Antiqua"/>
          <w:b/>
          <w:lang w:val="en-US" w:eastAsia="en-US"/>
        </w:rPr>
        <w:lastRenderedPageBreak/>
        <w:t xml:space="preserve">Table 2 Target lesions: </w:t>
      </w:r>
      <w:r w:rsidRPr="00F52762">
        <w:rPr>
          <w:rFonts w:ascii="Book Antiqua" w:hAnsi="Book Antiqua"/>
          <w:b/>
          <w:color w:val="000000" w:themeColor="text1"/>
        </w:rPr>
        <w:t xml:space="preserve">Modified Response Evaluation Criteria in Solid </w:t>
      </w:r>
      <w:proofErr w:type="spellStart"/>
      <w:r w:rsidRPr="00F52762">
        <w:rPr>
          <w:rFonts w:ascii="Book Antiqua" w:hAnsi="Book Antiqua"/>
          <w:b/>
          <w:color w:val="000000" w:themeColor="text1"/>
        </w:rPr>
        <w:t>Tumors</w:t>
      </w:r>
      <w:proofErr w:type="spellEnd"/>
      <w:r w:rsidRPr="00F52762">
        <w:rPr>
          <w:rFonts w:ascii="Book Antiqua" w:eastAsia="Calibri" w:hAnsi="Book Antiqua"/>
          <w:b/>
          <w:lang w:val="en-US" w:eastAsia="en-US"/>
        </w:rPr>
        <w:t xml:space="preserve"> response rate</w:t>
      </w:r>
    </w:p>
    <w:tbl>
      <w:tblPr>
        <w:tblStyle w:val="Grigliatabella1"/>
        <w:tblW w:w="0" w:type="auto"/>
        <w:tblBorders>
          <w:insideH w:val="none" w:sz="0" w:space="0" w:color="auto"/>
          <w:insideV w:val="none" w:sz="0" w:space="0" w:color="auto"/>
        </w:tblBorders>
        <w:tblLook w:val="04A0" w:firstRow="1" w:lastRow="0" w:firstColumn="1" w:lastColumn="0" w:noHBand="0" w:noVBand="1"/>
      </w:tblPr>
      <w:tblGrid>
        <w:gridCol w:w="2093"/>
        <w:gridCol w:w="1537"/>
        <w:gridCol w:w="1537"/>
        <w:gridCol w:w="1537"/>
        <w:gridCol w:w="1537"/>
        <w:gridCol w:w="1537"/>
      </w:tblGrid>
      <w:tr w:rsidR="00276A29" w:rsidRPr="00F52762" w:rsidTr="00F52762">
        <w:trPr>
          <w:trHeight w:val="850"/>
        </w:trPr>
        <w:tc>
          <w:tcPr>
            <w:tcW w:w="2093" w:type="dxa"/>
            <w:tcBorders>
              <w:top w:val="single" w:sz="4" w:space="0" w:color="auto"/>
              <w:left w:val="single" w:sz="4" w:space="0" w:color="auto"/>
              <w:bottom w:val="single" w:sz="4" w:space="0" w:color="auto"/>
              <w:right w:val="single" w:sz="4" w:space="0" w:color="auto"/>
            </w:tcBorders>
            <w:vAlign w:val="center"/>
            <w:hideMark/>
          </w:tcPr>
          <w:p w:rsidR="00276A29" w:rsidRPr="00F52762" w:rsidRDefault="00276A29" w:rsidP="00276A29">
            <w:pPr>
              <w:spacing w:line="360" w:lineRule="auto"/>
              <w:jc w:val="both"/>
              <w:rPr>
                <w:rFonts w:ascii="Book Antiqua" w:eastAsia="Calibri" w:hAnsi="Book Antiqua"/>
                <w:b/>
                <w:lang w:val="en-US" w:eastAsia="en-US"/>
              </w:rPr>
            </w:pPr>
            <w:r w:rsidRPr="00F52762">
              <w:rPr>
                <w:rFonts w:ascii="Book Antiqua" w:eastAsia="Calibri" w:hAnsi="Book Antiqua"/>
                <w:b/>
                <w:lang w:val="en-US" w:eastAsia="en-US"/>
              </w:rPr>
              <w:t>Ø nodules</w:t>
            </w:r>
          </w:p>
        </w:tc>
        <w:tc>
          <w:tcPr>
            <w:tcW w:w="1537" w:type="dxa"/>
            <w:tcBorders>
              <w:top w:val="single" w:sz="4" w:space="0" w:color="auto"/>
              <w:left w:val="single" w:sz="4" w:space="0" w:color="auto"/>
              <w:bottom w:val="single" w:sz="4" w:space="0" w:color="auto"/>
              <w:right w:val="single" w:sz="4" w:space="0" w:color="auto"/>
            </w:tcBorders>
            <w:vAlign w:val="center"/>
            <w:hideMark/>
          </w:tcPr>
          <w:p w:rsidR="00276A29" w:rsidRPr="00F52762" w:rsidRDefault="00276A29" w:rsidP="00F52762">
            <w:pPr>
              <w:spacing w:line="360" w:lineRule="auto"/>
              <w:jc w:val="both"/>
              <w:rPr>
                <w:rFonts w:ascii="Book Antiqua" w:eastAsia="Calibri" w:hAnsi="Book Antiqua"/>
                <w:b/>
                <w:lang w:val="en-US" w:eastAsia="en-US"/>
              </w:rPr>
            </w:pPr>
            <w:r w:rsidRPr="00F52762">
              <w:rPr>
                <w:rFonts w:ascii="Book Antiqua" w:eastAsia="Calibri" w:hAnsi="Book Antiqua"/>
                <w:b/>
                <w:lang w:val="en-US" w:eastAsia="en-US"/>
              </w:rPr>
              <w:t>N</w:t>
            </w:r>
            <w:r w:rsidR="00F52762">
              <w:rPr>
                <w:rFonts w:ascii="Book Antiqua" w:hAnsi="Book Antiqua"/>
                <w:b/>
                <w:lang w:val="en-US" w:eastAsia="zh-CN"/>
              </w:rPr>
              <w:t>o. of</w:t>
            </w:r>
            <w:r w:rsidRPr="00F52762">
              <w:rPr>
                <w:rFonts w:ascii="Book Antiqua" w:eastAsia="Calibri" w:hAnsi="Book Antiqua"/>
                <w:b/>
                <w:lang w:val="en-US" w:eastAsia="en-US"/>
              </w:rPr>
              <w:t xml:space="preserve"> nodules</w:t>
            </w:r>
          </w:p>
        </w:tc>
        <w:tc>
          <w:tcPr>
            <w:tcW w:w="1537" w:type="dxa"/>
            <w:tcBorders>
              <w:top w:val="single" w:sz="4" w:space="0" w:color="auto"/>
              <w:left w:val="single" w:sz="4" w:space="0" w:color="auto"/>
              <w:bottom w:val="single" w:sz="4" w:space="0" w:color="auto"/>
              <w:right w:val="single" w:sz="4" w:space="0" w:color="auto"/>
            </w:tcBorders>
            <w:vAlign w:val="center"/>
            <w:hideMark/>
          </w:tcPr>
          <w:p w:rsidR="00276A29" w:rsidRPr="00F52762" w:rsidRDefault="00276A29" w:rsidP="00276A29">
            <w:pPr>
              <w:spacing w:line="360" w:lineRule="auto"/>
              <w:jc w:val="both"/>
              <w:rPr>
                <w:rFonts w:ascii="Book Antiqua" w:eastAsia="Calibri" w:hAnsi="Book Antiqua"/>
                <w:b/>
                <w:lang w:val="en-US" w:eastAsia="en-US"/>
              </w:rPr>
            </w:pPr>
            <w:r w:rsidRPr="00F52762">
              <w:rPr>
                <w:rFonts w:ascii="Book Antiqua" w:eastAsia="Calibri" w:hAnsi="Book Antiqua"/>
                <w:b/>
                <w:lang w:val="en-US" w:eastAsia="en-US"/>
              </w:rPr>
              <w:t>CR</w:t>
            </w:r>
          </w:p>
        </w:tc>
        <w:tc>
          <w:tcPr>
            <w:tcW w:w="1537" w:type="dxa"/>
            <w:tcBorders>
              <w:top w:val="single" w:sz="4" w:space="0" w:color="auto"/>
              <w:left w:val="single" w:sz="4" w:space="0" w:color="auto"/>
              <w:bottom w:val="single" w:sz="4" w:space="0" w:color="auto"/>
              <w:right w:val="single" w:sz="4" w:space="0" w:color="auto"/>
            </w:tcBorders>
            <w:vAlign w:val="center"/>
            <w:hideMark/>
          </w:tcPr>
          <w:p w:rsidR="00276A29" w:rsidRPr="00F52762" w:rsidRDefault="00276A29" w:rsidP="00276A29">
            <w:pPr>
              <w:spacing w:line="360" w:lineRule="auto"/>
              <w:jc w:val="both"/>
              <w:rPr>
                <w:rFonts w:ascii="Book Antiqua" w:eastAsia="Calibri" w:hAnsi="Book Antiqua"/>
                <w:b/>
                <w:lang w:val="en-US" w:eastAsia="en-US"/>
              </w:rPr>
            </w:pPr>
            <w:r w:rsidRPr="00F52762">
              <w:rPr>
                <w:rFonts w:ascii="Book Antiqua" w:eastAsia="Calibri" w:hAnsi="Book Antiqua"/>
                <w:b/>
                <w:lang w:val="en-US" w:eastAsia="en-US"/>
              </w:rPr>
              <w:t>PR</w:t>
            </w:r>
          </w:p>
        </w:tc>
        <w:tc>
          <w:tcPr>
            <w:tcW w:w="1537" w:type="dxa"/>
            <w:tcBorders>
              <w:top w:val="single" w:sz="4" w:space="0" w:color="auto"/>
              <w:left w:val="single" w:sz="4" w:space="0" w:color="auto"/>
              <w:bottom w:val="single" w:sz="4" w:space="0" w:color="auto"/>
              <w:right w:val="single" w:sz="4" w:space="0" w:color="auto"/>
            </w:tcBorders>
            <w:vAlign w:val="center"/>
            <w:hideMark/>
          </w:tcPr>
          <w:p w:rsidR="00276A29" w:rsidRPr="00F52762" w:rsidRDefault="00276A29" w:rsidP="00276A29">
            <w:pPr>
              <w:spacing w:line="360" w:lineRule="auto"/>
              <w:jc w:val="both"/>
              <w:rPr>
                <w:rFonts w:ascii="Book Antiqua" w:eastAsia="Calibri" w:hAnsi="Book Antiqua"/>
                <w:b/>
                <w:lang w:val="en-US" w:eastAsia="en-US"/>
              </w:rPr>
            </w:pPr>
            <w:r w:rsidRPr="00F52762">
              <w:rPr>
                <w:rFonts w:ascii="Book Antiqua" w:eastAsia="Calibri" w:hAnsi="Book Antiqua"/>
                <w:b/>
                <w:lang w:val="en-US" w:eastAsia="en-US"/>
              </w:rPr>
              <w:t>SD</w:t>
            </w:r>
          </w:p>
        </w:tc>
        <w:tc>
          <w:tcPr>
            <w:tcW w:w="1537" w:type="dxa"/>
            <w:tcBorders>
              <w:top w:val="single" w:sz="4" w:space="0" w:color="auto"/>
              <w:left w:val="single" w:sz="4" w:space="0" w:color="auto"/>
              <w:bottom w:val="single" w:sz="4" w:space="0" w:color="auto"/>
              <w:right w:val="single" w:sz="4" w:space="0" w:color="auto"/>
            </w:tcBorders>
            <w:vAlign w:val="center"/>
            <w:hideMark/>
          </w:tcPr>
          <w:p w:rsidR="00276A29" w:rsidRPr="00F52762" w:rsidRDefault="00276A29" w:rsidP="00276A29">
            <w:pPr>
              <w:spacing w:line="360" w:lineRule="auto"/>
              <w:jc w:val="both"/>
              <w:rPr>
                <w:rFonts w:ascii="Book Antiqua" w:eastAsia="Calibri" w:hAnsi="Book Antiqua"/>
                <w:b/>
                <w:lang w:val="en-US" w:eastAsia="en-US"/>
              </w:rPr>
            </w:pPr>
            <w:r w:rsidRPr="00F52762">
              <w:rPr>
                <w:rFonts w:ascii="Book Antiqua" w:eastAsia="Calibri" w:hAnsi="Book Antiqua"/>
                <w:b/>
                <w:lang w:val="en-US" w:eastAsia="en-US"/>
              </w:rPr>
              <w:t>PD</w:t>
            </w:r>
          </w:p>
        </w:tc>
      </w:tr>
      <w:tr w:rsidR="00276A29" w:rsidRPr="00F52762" w:rsidTr="00F52762">
        <w:trPr>
          <w:trHeight w:val="850"/>
        </w:trPr>
        <w:tc>
          <w:tcPr>
            <w:tcW w:w="2093" w:type="dxa"/>
            <w:tcBorders>
              <w:top w:val="single" w:sz="4" w:space="0" w:color="auto"/>
              <w:left w:val="single" w:sz="4" w:space="0" w:color="auto"/>
              <w:bottom w:val="single" w:sz="4" w:space="0" w:color="auto"/>
              <w:right w:val="single" w:sz="4" w:space="0" w:color="auto"/>
            </w:tcBorders>
            <w:vAlign w:val="center"/>
            <w:hideMark/>
          </w:tcPr>
          <w:p w:rsidR="00276A29" w:rsidRPr="00F52762" w:rsidRDefault="00276A29" w:rsidP="00276A29">
            <w:pPr>
              <w:spacing w:line="360" w:lineRule="auto"/>
              <w:jc w:val="both"/>
              <w:rPr>
                <w:rFonts w:ascii="Book Antiqua" w:eastAsia="Calibri" w:hAnsi="Book Antiqua"/>
                <w:b/>
                <w:lang w:val="en-US" w:eastAsia="en-US"/>
              </w:rPr>
            </w:pPr>
            <w:r w:rsidRPr="00F52762">
              <w:rPr>
                <w:rFonts w:ascii="Book Antiqua" w:eastAsia="Calibri" w:hAnsi="Book Antiqua"/>
                <w:b/>
                <w:lang w:val="en-US" w:eastAsia="en-US"/>
              </w:rPr>
              <w:t>Ø &lt; 3</w:t>
            </w:r>
            <w:r w:rsidR="00F52762">
              <w:rPr>
                <w:rFonts w:ascii="Book Antiqua" w:hAnsi="Book Antiqua" w:hint="eastAsia"/>
                <w:b/>
                <w:lang w:val="en-US" w:eastAsia="zh-CN"/>
              </w:rPr>
              <w:t xml:space="preserve"> </w:t>
            </w:r>
            <w:r w:rsidRPr="00F52762">
              <w:rPr>
                <w:rFonts w:ascii="Book Antiqua" w:eastAsia="Calibri" w:hAnsi="Book Antiqua"/>
                <w:b/>
                <w:lang w:val="en-US" w:eastAsia="en-US"/>
              </w:rPr>
              <w:t>cm</w:t>
            </w:r>
          </w:p>
        </w:tc>
        <w:tc>
          <w:tcPr>
            <w:tcW w:w="1537" w:type="dxa"/>
            <w:tcBorders>
              <w:top w:val="single" w:sz="4" w:space="0" w:color="auto"/>
              <w:left w:val="single" w:sz="4" w:space="0" w:color="auto"/>
              <w:bottom w:val="single" w:sz="4" w:space="0" w:color="auto"/>
              <w:right w:val="single" w:sz="4" w:space="0" w:color="auto"/>
            </w:tcBorders>
            <w:vAlign w:val="center"/>
            <w:hideMark/>
          </w:tcPr>
          <w:p w:rsidR="00276A29" w:rsidRPr="00F52762" w:rsidRDefault="00276A29" w:rsidP="00276A29">
            <w:pPr>
              <w:spacing w:line="360" w:lineRule="auto"/>
              <w:jc w:val="both"/>
              <w:rPr>
                <w:rFonts w:ascii="Book Antiqua" w:eastAsia="Calibri" w:hAnsi="Book Antiqua"/>
                <w:b/>
                <w:lang w:val="en-US" w:eastAsia="en-US"/>
              </w:rPr>
            </w:pPr>
            <w:r w:rsidRPr="00F52762">
              <w:rPr>
                <w:rFonts w:ascii="Book Antiqua" w:eastAsia="Calibri" w:hAnsi="Book Antiqua"/>
                <w:b/>
                <w:lang w:val="en-US" w:eastAsia="en-US"/>
              </w:rPr>
              <w:t>77</w:t>
            </w:r>
          </w:p>
        </w:tc>
        <w:tc>
          <w:tcPr>
            <w:tcW w:w="1537" w:type="dxa"/>
            <w:tcBorders>
              <w:top w:val="single" w:sz="4" w:space="0" w:color="auto"/>
              <w:left w:val="single" w:sz="4" w:space="0" w:color="auto"/>
              <w:bottom w:val="single" w:sz="4" w:space="0" w:color="auto"/>
              <w:right w:val="single" w:sz="4" w:space="0" w:color="auto"/>
            </w:tcBorders>
            <w:vAlign w:val="center"/>
            <w:hideMark/>
          </w:tcPr>
          <w:p w:rsidR="00276A29" w:rsidRPr="00F52762" w:rsidRDefault="00276A29" w:rsidP="00276A29">
            <w:pPr>
              <w:spacing w:line="360" w:lineRule="auto"/>
              <w:jc w:val="both"/>
              <w:rPr>
                <w:rFonts w:ascii="Book Antiqua" w:eastAsia="Calibri" w:hAnsi="Book Antiqua"/>
                <w:b/>
                <w:lang w:val="en-US" w:eastAsia="en-US"/>
              </w:rPr>
            </w:pPr>
            <w:r w:rsidRPr="00F52762">
              <w:rPr>
                <w:rFonts w:ascii="Book Antiqua" w:eastAsia="Calibri" w:hAnsi="Book Antiqua"/>
                <w:b/>
                <w:lang w:val="en-US" w:eastAsia="en-US"/>
              </w:rPr>
              <w:t>47.4%</w:t>
            </w:r>
          </w:p>
        </w:tc>
        <w:tc>
          <w:tcPr>
            <w:tcW w:w="1537" w:type="dxa"/>
            <w:tcBorders>
              <w:top w:val="single" w:sz="4" w:space="0" w:color="auto"/>
              <w:left w:val="single" w:sz="4" w:space="0" w:color="auto"/>
              <w:bottom w:val="single" w:sz="4" w:space="0" w:color="auto"/>
              <w:right w:val="single" w:sz="4" w:space="0" w:color="auto"/>
            </w:tcBorders>
            <w:vAlign w:val="center"/>
            <w:hideMark/>
          </w:tcPr>
          <w:p w:rsidR="00276A29" w:rsidRPr="00F52762" w:rsidRDefault="00276A29" w:rsidP="00276A29">
            <w:pPr>
              <w:spacing w:line="360" w:lineRule="auto"/>
              <w:jc w:val="both"/>
              <w:rPr>
                <w:rFonts w:ascii="Book Antiqua" w:eastAsia="Calibri" w:hAnsi="Book Antiqua"/>
                <w:b/>
                <w:lang w:val="en-US" w:eastAsia="en-US"/>
              </w:rPr>
            </w:pPr>
            <w:r w:rsidRPr="00F52762">
              <w:rPr>
                <w:rFonts w:ascii="Book Antiqua" w:eastAsia="Calibri" w:hAnsi="Book Antiqua"/>
                <w:b/>
                <w:lang w:val="en-US" w:eastAsia="en-US"/>
              </w:rPr>
              <w:t>21.6%</w:t>
            </w:r>
          </w:p>
        </w:tc>
        <w:tc>
          <w:tcPr>
            <w:tcW w:w="1537" w:type="dxa"/>
            <w:tcBorders>
              <w:top w:val="single" w:sz="4" w:space="0" w:color="auto"/>
              <w:left w:val="single" w:sz="4" w:space="0" w:color="auto"/>
              <w:bottom w:val="single" w:sz="4" w:space="0" w:color="auto"/>
              <w:right w:val="single" w:sz="4" w:space="0" w:color="auto"/>
            </w:tcBorders>
            <w:vAlign w:val="center"/>
            <w:hideMark/>
          </w:tcPr>
          <w:p w:rsidR="00276A29" w:rsidRPr="00F52762" w:rsidRDefault="00276A29" w:rsidP="00276A29">
            <w:pPr>
              <w:spacing w:line="360" w:lineRule="auto"/>
              <w:jc w:val="both"/>
              <w:rPr>
                <w:rFonts w:ascii="Book Antiqua" w:eastAsia="Calibri" w:hAnsi="Book Antiqua"/>
                <w:b/>
                <w:lang w:val="en-US" w:eastAsia="en-US"/>
              </w:rPr>
            </w:pPr>
            <w:r w:rsidRPr="00F52762">
              <w:rPr>
                <w:rFonts w:ascii="Book Antiqua" w:eastAsia="Calibri" w:hAnsi="Book Antiqua"/>
                <w:b/>
                <w:lang w:val="en-US" w:eastAsia="en-US"/>
              </w:rPr>
              <w:t>27.8%</w:t>
            </w:r>
          </w:p>
        </w:tc>
        <w:tc>
          <w:tcPr>
            <w:tcW w:w="1537" w:type="dxa"/>
            <w:tcBorders>
              <w:top w:val="single" w:sz="4" w:space="0" w:color="auto"/>
              <w:left w:val="single" w:sz="4" w:space="0" w:color="auto"/>
              <w:bottom w:val="single" w:sz="4" w:space="0" w:color="auto"/>
              <w:right w:val="single" w:sz="4" w:space="0" w:color="auto"/>
            </w:tcBorders>
            <w:vAlign w:val="center"/>
            <w:hideMark/>
          </w:tcPr>
          <w:p w:rsidR="00276A29" w:rsidRPr="00F52762" w:rsidRDefault="00276A29" w:rsidP="00F52762">
            <w:pPr>
              <w:spacing w:line="360" w:lineRule="auto"/>
              <w:jc w:val="both"/>
              <w:rPr>
                <w:rFonts w:ascii="Book Antiqua" w:eastAsia="Calibri" w:hAnsi="Book Antiqua"/>
                <w:b/>
                <w:lang w:val="en-US" w:eastAsia="en-US"/>
              </w:rPr>
            </w:pPr>
            <w:r w:rsidRPr="00F52762">
              <w:rPr>
                <w:rFonts w:ascii="Book Antiqua" w:eastAsia="Calibri" w:hAnsi="Book Antiqua"/>
                <w:b/>
                <w:lang w:val="en-US" w:eastAsia="en-US"/>
              </w:rPr>
              <w:t>3</w:t>
            </w:r>
            <w:r w:rsidR="00F52762">
              <w:rPr>
                <w:rFonts w:ascii="Book Antiqua" w:hAnsi="Book Antiqua" w:hint="eastAsia"/>
                <w:b/>
                <w:lang w:val="en-US" w:eastAsia="zh-CN"/>
              </w:rPr>
              <w:t>.</w:t>
            </w:r>
            <w:r w:rsidRPr="00F52762">
              <w:rPr>
                <w:rFonts w:ascii="Book Antiqua" w:eastAsia="Calibri" w:hAnsi="Book Antiqua"/>
                <w:b/>
                <w:lang w:val="en-US" w:eastAsia="en-US"/>
              </w:rPr>
              <w:t>2%</w:t>
            </w:r>
          </w:p>
        </w:tc>
      </w:tr>
      <w:tr w:rsidR="00276A29" w:rsidRPr="00F52762" w:rsidTr="00F52762">
        <w:trPr>
          <w:trHeight w:val="850"/>
        </w:trPr>
        <w:tc>
          <w:tcPr>
            <w:tcW w:w="2093" w:type="dxa"/>
            <w:tcBorders>
              <w:top w:val="single" w:sz="4" w:space="0" w:color="auto"/>
              <w:left w:val="single" w:sz="4" w:space="0" w:color="auto"/>
              <w:bottom w:val="single" w:sz="4" w:space="0" w:color="auto"/>
              <w:right w:val="single" w:sz="4" w:space="0" w:color="auto"/>
            </w:tcBorders>
            <w:vAlign w:val="center"/>
            <w:hideMark/>
          </w:tcPr>
          <w:p w:rsidR="00276A29" w:rsidRPr="00F52762" w:rsidRDefault="00276A29" w:rsidP="00276A29">
            <w:pPr>
              <w:spacing w:line="360" w:lineRule="auto"/>
              <w:jc w:val="both"/>
              <w:rPr>
                <w:rFonts w:ascii="Book Antiqua" w:eastAsia="Calibri" w:hAnsi="Book Antiqua"/>
                <w:b/>
                <w:lang w:val="en-US" w:eastAsia="en-US"/>
              </w:rPr>
            </w:pPr>
            <w:r w:rsidRPr="00F52762">
              <w:rPr>
                <w:rFonts w:ascii="Book Antiqua" w:eastAsia="Calibri" w:hAnsi="Book Antiqua"/>
                <w:b/>
                <w:lang w:val="en-US" w:eastAsia="en-US"/>
              </w:rPr>
              <w:t>3 ≤ Ø ≤ 5</w:t>
            </w:r>
            <w:r w:rsidR="00F52762">
              <w:rPr>
                <w:rFonts w:ascii="Book Antiqua" w:hAnsi="Book Antiqua" w:hint="eastAsia"/>
                <w:b/>
                <w:lang w:val="en-US" w:eastAsia="zh-CN"/>
              </w:rPr>
              <w:t xml:space="preserve"> </w:t>
            </w:r>
            <w:r w:rsidRPr="00F52762">
              <w:rPr>
                <w:rFonts w:ascii="Book Antiqua" w:eastAsia="Calibri" w:hAnsi="Book Antiqua"/>
                <w:b/>
                <w:lang w:val="en-US" w:eastAsia="en-US"/>
              </w:rPr>
              <w:t>cm</w:t>
            </w:r>
          </w:p>
        </w:tc>
        <w:tc>
          <w:tcPr>
            <w:tcW w:w="1537" w:type="dxa"/>
            <w:tcBorders>
              <w:top w:val="single" w:sz="4" w:space="0" w:color="auto"/>
              <w:left w:val="single" w:sz="4" w:space="0" w:color="auto"/>
              <w:bottom w:val="single" w:sz="4" w:space="0" w:color="auto"/>
              <w:right w:val="single" w:sz="4" w:space="0" w:color="auto"/>
            </w:tcBorders>
            <w:vAlign w:val="center"/>
            <w:hideMark/>
          </w:tcPr>
          <w:p w:rsidR="00276A29" w:rsidRPr="00F52762" w:rsidRDefault="00276A29" w:rsidP="00276A29">
            <w:pPr>
              <w:spacing w:line="360" w:lineRule="auto"/>
              <w:jc w:val="both"/>
              <w:rPr>
                <w:rFonts w:ascii="Book Antiqua" w:eastAsia="Calibri" w:hAnsi="Book Antiqua"/>
                <w:b/>
                <w:lang w:val="en-US" w:eastAsia="en-US"/>
              </w:rPr>
            </w:pPr>
            <w:r w:rsidRPr="00F52762">
              <w:rPr>
                <w:rFonts w:ascii="Book Antiqua" w:eastAsia="Calibri" w:hAnsi="Book Antiqua"/>
                <w:b/>
                <w:lang w:val="en-US" w:eastAsia="en-US"/>
              </w:rPr>
              <w:t>22</w:t>
            </w:r>
          </w:p>
        </w:tc>
        <w:tc>
          <w:tcPr>
            <w:tcW w:w="1537" w:type="dxa"/>
            <w:tcBorders>
              <w:top w:val="single" w:sz="4" w:space="0" w:color="auto"/>
              <w:left w:val="single" w:sz="4" w:space="0" w:color="auto"/>
              <w:bottom w:val="single" w:sz="4" w:space="0" w:color="auto"/>
              <w:right w:val="single" w:sz="4" w:space="0" w:color="auto"/>
            </w:tcBorders>
            <w:vAlign w:val="center"/>
            <w:hideMark/>
          </w:tcPr>
          <w:p w:rsidR="00276A29" w:rsidRPr="00F52762" w:rsidRDefault="00276A29" w:rsidP="00276A29">
            <w:pPr>
              <w:spacing w:line="360" w:lineRule="auto"/>
              <w:jc w:val="both"/>
              <w:rPr>
                <w:rFonts w:ascii="Book Antiqua" w:eastAsia="Calibri" w:hAnsi="Book Antiqua"/>
                <w:b/>
                <w:lang w:val="en-US" w:eastAsia="en-US"/>
              </w:rPr>
            </w:pPr>
            <w:r w:rsidRPr="00F52762">
              <w:rPr>
                <w:rFonts w:ascii="Book Antiqua" w:eastAsia="Calibri" w:hAnsi="Book Antiqua"/>
                <w:b/>
                <w:lang w:val="en-US" w:eastAsia="en-US"/>
              </w:rPr>
              <w:t>42.8%</w:t>
            </w:r>
          </w:p>
        </w:tc>
        <w:tc>
          <w:tcPr>
            <w:tcW w:w="1537" w:type="dxa"/>
            <w:tcBorders>
              <w:top w:val="single" w:sz="4" w:space="0" w:color="auto"/>
              <w:left w:val="single" w:sz="4" w:space="0" w:color="auto"/>
              <w:bottom w:val="single" w:sz="4" w:space="0" w:color="auto"/>
              <w:right w:val="single" w:sz="4" w:space="0" w:color="auto"/>
            </w:tcBorders>
            <w:vAlign w:val="center"/>
            <w:hideMark/>
          </w:tcPr>
          <w:p w:rsidR="00276A29" w:rsidRPr="00F52762" w:rsidRDefault="00276A29" w:rsidP="00276A29">
            <w:pPr>
              <w:spacing w:line="360" w:lineRule="auto"/>
              <w:jc w:val="both"/>
              <w:rPr>
                <w:rFonts w:ascii="Book Antiqua" w:eastAsia="Calibri" w:hAnsi="Book Antiqua"/>
                <w:b/>
                <w:lang w:val="en-US" w:eastAsia="en-US"/>
              </w:rPr>
            </w:pPr>
            <w:r w:rsidRPr="00F52762">
              <w:rPr>
                <w:rFonts w:ascii="Book Antiqua" w:eastAsia="Calibri" w:hAnsi="Book Antiqua"/>
                <w:b/>
                <w:lang w:val="en-US" w:eastAsia="en-US"/>
              </w:rPr>
              <w:t>42.8%</w:t>
            </w:r>
          </w:p>
        </w:tc>
        <w:tc>
          <w:tcPr>
            <w:tcW w:w="1537" w:type="dxa"/>
            <w:tcBorders>
              <w:top w:val="single" w:sz="4" w:space="0" w:color="auto"/>
              <w:left w:val="single" w:sz="4" w:space="0" w:color="auto"/>
              <w:bottom w:val="single" w:sz="4" w:space="0" w:color="auto"/>
              <w:right w:val="single" w:sz="4" w:space="0" w:color="auto"/>
            </w:tcBorders>
            <w:vAlign w:val="center"/>
            <w:hideMark/>
          </w:tcPr>
          <w:p w:rsidR="00276A29" w:rsidRPr="00F52762" w:rsidRDefault="00276A29" w:rsidP="00276A29">
            <w:pPr>
              <w:spacing w:line="360" w:lineRule="auto"/>
              <w:jc w:val="both"/>
              <w:rPr>
                <w:rFonts w:ascii="Book Antiqua" w:eastAsia="Calibri" w:hAnsi="Book Antiqua"/>
                <w:b/>
                <w:lang w:val="en-US" w:eastAsia="en-US"/>
              </w:rPr>
            </w:pPr>
            <w:r w:rsidRPr="00F52762">
              <w:rPr>
                <w:rFonts w:ascii="Book Antiqua" w:eastAsia="Calibri" w:hAnsi="Book Antiqua"/>
                <w:b/>
                <w:lang w:val="en-US" w:eastAsia="en-US"/>
              </w:rPr>
              <w:t>10.8%</w:t>
            </w:r>
          </w:p>
        </w:tc>
        <w:tc>
          <w:tcPr>
            <w:tcW w:w="1537" w:type="dxa"/>
            <w:tcBorders>
              <w:top w:val="single" w:sz="4" w:space="0" w:color="auto"/>
              <w:left w:val="single" w:sz="4" w:space="0" w:color="auto"/>
              <w:bottom w:val="single" w:sz="4" w:space="0" w:color="auto"/>
              <w:right w:val="single" w:sz="4" w:space="0" w:color="auto"/>
            </w:tcBorders>
            <w:vAlign w:val="center"/>
            <w:hideMark/>
          </w:tcPr>
          <w:p w:rsidR="00276A29" w:rsidRPr="00F52762" w:rsidRDefault="00276A29" w:rsidP="00276A29">
            <w:pPr>
              <w:spacing w:line="360" w:lineRule="auto"/>
              <w:jc w:val="both"/>
              <w:rPr>
                <w:rFonts w:ascii="Book Antiqua" w:eastAsia="Calibri" w:hAnsi="Book Antiqua"/>
                <w:b/>
                <w:lang w:val="en-US" w:eastAsia="en-US"/>
              </w:rPr>
            </w:pPr>
            <w:r w:rsidRPr="00F52762">
              <w:rPr>
                <w:rFonts w:ascii="Book Antiqua" w:eastAsia="Calibri" w:hAnsi="Book Antiqua"/>
                <w:b/>
                <w:lang w:val="en-US" w:eastAsia="en-US"/>
              </w:rPr>
              <w:t>3.6%</w:t>
            </w:r>
          </w:p>
        </w:tc>
      </w:tr>
      <w:tr w:rsidR="00276A29" w:rsidRPr="00F52762" w:rsidTr="00F52762">
        <w:trPr>
          <w:trHeight w:val="850"/>
        </w:trPr>
        <w:tc>
          <w:tcPr>
            <w:tcW w:w="2093" w:type="dxa"/>
            <w:tcBorders>
              <w:top w:val="single" w:sz="4" w:space="0" w:color="auto"/>
              <w:left w:val="single" w:sz="4" w:space="0" w:color="auto"/>
              <w:bottom w:val="single" w:sz="4" w:space="0" w:color="auto"/>
              <w:right w:val="single" w:sz="4" w:space="0" w:color="auto"/>
            </w:tcBorders>
            <w:vAlign w:val="center"/>
            <w:hideMark/>
          </w:tcPr>
          <w:p w:rsidR="00276A29" w:rsidRPr="00F52762" w:rsidRDefault="00276A29" w:rsidP="00276A29">
            <w:pPr>
              <w:spacing w:line="360" w:lineRule="auto"/>
              <w:jc w:val="both"/>
              <w:rPr>
                <w:rFonts w:ascii="Book Antiqua" w:eastAsia="Calibri" w:hAnsi="Book Antiqua"/>
                <w:b/>
                <w:lang w:val="en-US" w:eastAsia="en-US"/>
              </w:rPr>
            </w:pPr>
            <w:r w:rsidRPr="00F52762">
              <w:rPr>
                <w:rFonts w:ascii="Book Antiqua" w:eastAsia="Calibri" w:hAnsi="Book Antiqua"/>
                <w:b/>
                <w:lang w:val="en-US" w:eastAsia="en-US"/>
              </w:rPr>
              <w:t>Ø &gt; 5</w:t>
            </w:r>
            <w:r w:rsidR="00F52762">
              <w:rPr>
                <w:rFonts w:ascii="Book Antiqua" w:hAnsi="Book Antiqua" w:hint="eastAsia"/>
                <w:b/>
                <w:lang w:val="en-US" w:eastAsia="zh-CN"/>
              </w:rPr>
              <w:t xml:space="preserve"> </w:t>
            </w:r>
            <w:r w:rsidRPr="00F52762">
              <w:rPr>
                <w:rFonts w:ascii="Book Antiqua" w:eastAsia="Calibri" w:hAnsi="Book Antiqua"/>
                <w:b/>
                <w:lang w:val="en-US" w:eastAsia="en-US"/>
              </w:rPr>
              <w:t>cm</w:t>
            </w:r>
          </w:p>
        </w:tc>
        <w:tc>
          <w:tcPr>
            <w:tcW w:w="1537" w:type="dxa"/>
            <w:tcBorders>
              <w:top w:val="single" w:sz="4" w:space="0" w:color="auto"/>
              <w:left w:val="single" w:sz="4" w:space="0" w:color="auto"/>
              <w:bottom w:val="single" w:sz="4" w:space="0" w:color="auto"/>
              <w:right w:val="single" w:sz="4" w:space="0" w:color="auto"/>
            </w:tcBorders>
            <w:vAlign w:val="center"/>
            <w:hideMark/>
          </w:tcPr>
          <w:p w:rsidR="00276A29" w:rsidRPr="00F52762" w:rsidRDefault="00276A29" w:rsidP="00276A29">
            <w:pPr>
              <w:spacing w:line="360" w:lineRule="auto"/>
              <w:jc w:val="both"/>
              <w:rPr>
                <w:rFonts w:ascii="Book Antiqua" w:eastAsia="Calibri" w:hAnsi="Book Antiqua"/>
                <w:b/>
                <w:lang w:val="en-US" w:eastAsia="en-US"/>
              </w:rPr>
            </w:pPr>
            <w:r w:rsidRPr="00F52762">
              <w:rPr>
                <w:rFonts w:ascii="Book Antiqua" w:eastAsia="Calibri" w:hAnsi="Book Antiqua"/>
                <w:b/>
                <w:lang w:val="en-US" w:eastAsia="en-US"/>
              </w:rPr>
              <w:t>3</w:t>
            </w:r>
          </w:p>
        </w:tc>
        <w:tc>
          <w:tcPr>
            <w:tcW w:w="1537" w:type="dxa"/>
            <w:tcBorders>
              <w:top w:val="single" w:sz="4" w:space="0" w:color="auto"/>
              <w:left w:val="single" w:sz="4" w:space="0" w:color="auto"/>
              <w:bottom w:val="single" w:sz="4" w:space="0" w:color="auto"/>
              <w:right w:val="single" w:sz="4" w:space="0" w:color="auto"/>
            </w:tcBorders>
            <w:vAlign w:val="center"/>
            <w:hideMark/>
          </w:tcPr>
          <w:p w:rsidR="00276A29" w:rsidRPr="00F52762" w:rsidRDefault="00276A29" w:rsidP="00276A29">
            <w:pPr>
              <w:spacing w:line="360" w:lineRule="auto"/>
              <w:jc w:val="both"/>
              <w:rPr>
                <w:rFonts w:ascii="Book Antiqua" w:eastAsia="Calibri" w:hAnsi="Book Antiqua"/>
                <w:b/>
                <w:lang w:val="en-US" w:eastAsia="en-US"/>
              </w:rPr>
            </w:pPr>
            <w:r w:rsidRPr="00F52762">
              <w:rPr>
                <w:rFonts w:ascii="Book Antiqua" w:eastAsia="Calibri" w:hAnsi="Book Antiqua"/>
                <w:b/>
                <w:lang w:val="en-US" w:eastAsia="en-US"/>
              </w:rPr>
              <w:t>40%</w:t>
            </w:r>
          </w:p>
        </w:tc>
        <w:tc>
          <w:tcPr>
            <w:tcW w:w="1537" w:type="dxa"/>
            <w:tcBorders>
              <w:top w:val="single" w:sz="4" w:space="0" w:color="auto"/>
              <w:left w:val="single" w:sz="4" w:space="0" w:color="auto"/>
              <w:bottom w:val="single" w:sz="4" w:space="0" w:color="auto"/>
              <w:right w:val="single" w:sz="4" w:space="0" w:color="auto"/>
            </w:tcBorders>
            <w:vAlign w:val="center"/>
            <w:hideMark/>
          </w:tcPr>
          <w:p w:rsidR="00276A29" w:rsidRPr="00F52762" w:rsidRDefault="00276A29" w:rsidP="00276A29">
            <w:pPr>
              <w:spacing w:line="360" w:lineRule="auto"/>
              <w:jc w:val="both"/>
              <w:rPr>
                <w:rFonts w:ascii="Book Antiqua" w:eastAsia="Calibri" w:hAnsi="Book Antiqua"/>
                <w:b/>
                <w:lang w:val="en-US" w:eastAsia="en-US"/>
              </w:rPr>
            </w:pPr>
            <w:r w:rsidRPr="00F52762">
              <w:rPr>
                <w:rFonts w:ascii="Book Antiqua" w:eastAsia="Calibri" w:hAnsi="Book Antiqua"/>
                <w:b/>
                <w:lang w:val="en-US" w:eastAsia="en-US"/>
              </w:rPr>
              <w:t>30%</w:t>
            </w:r>
          </w:p>
        </w:tc>
        <w:tc>
          <w:tcPr>
            <w:tcW w:w="1537" w:type="dxa"/>
            <w:tcBorders>
              <w:top w:val="single" w:sz="4" w:space="0" w:color="auto"/>
              <w:left w:val="single" w:sz="4" w:space="0" w:color="auto"/>
              <w:bottom w:val="single" w:sz="4" w:space="0" w:color="auto"/>
              <w:right w:val="single" w:sz="4" w:space="0" w:color="auto"/>
            </w:tcBorders>
            <w:vAlign w:val="center"/>
            <w:hideMark/>
          </w:tcPr>
          <w:p w:rsidR="00276A29" w:rsidRPr="00F52762" w:rsidRDefault="00276A29" w:rsidP="00276A29">
            <w:pPr>
              <w:spacing w:line="360" w:lineRule="auto"/>
              <w:jc w:val="both"/>
              <w:rPr>
                <w:rFonts w:ascii="Book Antiqua" w:eastAsia="Calibri" w:hAnsi="Book Antiqua"/>
                <w:b/>
                <w:lang w:val="en-US" w:eastAsia="en-US"/>
              </w:rPr>
            </w:pPr>
            <w:r w:rsidRPr="00F52762">
              <w:rPr>
                <w:rFonts w:ascii="Book Antiqua" w:eastAsia="Calibri" w:hAnsi="Book Antiqua"/>
                <w:b/>
                <w:lang w:val="en-US" w:eastAsia="en-US"/>
              </w:rPr>
              <w:t>30%</w:t>
            </w:r>
          </w:p>
        </w:tc>
        <w:tc>
          <w:tcPr>
            <w:tcW w:w="1537" w:type="dxa"/>
            <w:tcBorders>
              <w:top w:val="single" w:sz="4" w:space="0" w:color="auto"/>
              <w:left w:val="single" w:sz="4" w:space="0" w:color="auto"/>
              <w:bottom w:val="single" w:sz="4" w:space="0" w:color="auto"/>
              <w:right w:val="single" w:sz="4" w:space="0" w:color="auto"/>
            </w:tcBorders>
            <w:vAlign w:val="center"/>
            <w:hideMark/>
          </w:tcPr>
          <w:p w:rsidR="00276A29" w:rsidRPr="00F52762" w:rsidRDefault="00276A29" w:rsidP="00276A29">
            <w:pPr>
              <w:spacing w:line="360" w:lineRule="auto"/>
              <w:jc w:val="both"/>
              <w:rPr>
                <w:rFonts w:ascii="Book Antiqua" w:eastAsia="Calibri" w:hAnsi="Book Antiqua"/>
                <w:b/>
                <w:lang w:val="en-US" w:eastAsia="en-US"/>
              </w:rPr>
            </w:pPr>
            <w:r w:rsidRPr="00F52762">
              <w:rPr>
                <w:rFonts w:ascii="Book Antiqua" w:eastAsia="Calibri" w:hAnsi="Book Antiqua"/>
                <w:b/>
                <w:lang w:val="en-US" w:eastAsia="en-US"/>
              </w:rPr>
              <w:t>0%</w:t>
            </w:r>
          </w:p>
        </w:tc>
      </w:tr>
      <w:tr w:rsidR="00276A29" w:rsidRPr="00F52762" w:rsidTr="00F52762">
        <w:trPr>
          <w:trHeight w:val="850"/>
        </w:trPr>
        <w:tc>
          <w:tcPr>
            <w:tcW w:w="2093" w:type="dxa"/>
            <w:tcBorders>
              <w:top w:val="single" w:sz="4" w:space="0" w:color="auto"/>
              <w:left w:val="single" w:sz="4" w:space="0" w:color="auto"/>
              <w:bottom w:val="single" w:sz="4" w:space="0" w:color="auto"/>
              <w:right w:val="single" w:sz="4" w:space="0" w:color="auto"/>
            </w:tcBorders>
            <w:vAlign w:val="center"/>
            <w:hideMark/>
          </w:tcPr>
          <w:p w:rsidR="00276A29" w:rsidRPr="00F52762" w:rsidRDefault="00276A29" w:rsidP="00276A29">
            <w:pPr>
              <w:spacing w:line="360" w:lineRule="auto"/>
              <w:jc w:val="both"/>
              <w:rPr>
                <w:rFonts w:ascii="Book Antiqua" w:eastAsia="Calibri" w:hAnsi="Book Antiqua"/>
                <w:b/>
                <w:lang w:val="en-US" w:eastAsia="en-US"/>
              </w:rPr>
            </w:pPr>
            <w:r w:rsidRPr="00F52762">
              <w:rPr>
                <w:rFonts w:ascii="Book Antiqua" w:eastAsia="Calibri" w:hAnsi="Book Antiqua"/>
                <w:b/>
                <w:lang w:val="en-US" w:eastAsia="en-US"/>
              </w:rPr>
              <w:t xml:space="preserve">Overall </w:t>
            </w:r>
            <w:r w:rsidR="00F52762" w:rsidRPr="00F52762">
              <w:rPr>
                <w:rFonts w:ascii="Book Antiqua" w:eastAsia="Calibri" w:hAnsi="Book Antiqua"/>
                <w:b/>
                <w:lang w:val="en-US" w:eastAsia="en-US"/>
              </w:rPr>
              <w:t>r</w:t>
            </w:r>
            <w:r w:rsidRPr="00F52762">
              <w:rPr>
                <w:rFonts w:ascii="Book Antiqua" w:eastAsia="Calibri" w:hAnsi="Book Antiqua"/>
                <w:b/>
                <w:lang w:val="en-US" w:eastAsia="en-US"/>
              </w:rPr>
              <w:t>esponse</w:t>
            </w:r>
          </w:p>
        </w:tc>
        <w:tc>
          <w:tcPr>
            <w:tcW w:w="1537" w:type="dxa"/>
            <w:tcBorders>
              <w:top w:val="single" w:sz="4" w:space="0" w:color="auto"/>
              <w:left w:val="single" w:sz="4" w:space="0" w:color="auto"/>
              <w:bottom w:val="single" w:sz="4" w:space="0" w:color="auto"/>
              <w:right w:val="single" w:sz="4" w:space="0" w:color="auto"/>
            </w:tcBorders>
            <w:vAlign w:val="center"/>
            <w:hideMark/>
          </w:tcPr>
          <w:p w:rsidR="00276A29" w:rsidRPr="00F52762" w:rsidRDefault="00276A29" w:rsidP="00276A29">
            <w:pPr>
              <w:spacing w:line="360" w:lineRule="auto"/>
              <w:jc w:val="both"/>
              <w:rPr>
                <w:rFonts w:ascii="Book Antiqua" w:eastAsia="Calibri" w:hAnsi="Book Antiqua"/>
                <w:b/>
                <w:lang w:val="en-US" w:eastAsia="en-US"/>
              </w:rPr>
            </w:pPr>
            <w:r w:rsidRPr="00F52762">
              <w:rPr>
                <w:rFonts w:ascii="Book Antiqua" w:eastAsia="Calibri" w:hAnsi="Book Antiqua"/>
                <w:b/>
                <w:lang w:val="en-US" w:eastAsia="en-US"/>
              </w:rPr>
              <w:t>102</w:t>
            </w:r>
          </w:p>
        </w:tc>
        <w:tc>
          <w:tcPr>
            <w:tcW w:w="1537" w:type="dxa"/>
            <w:tcBorders>
              <w:top w:val="single" w:sz="4" w:space="0" w:color="auto"/>
              <w:left w:val="single" w:sz="4" w:space="0" w:color="auto"/>
              <w:bottom w:val="single" w:sz="4" w:space="0" w:color="auto"/>
              <w:right w:val="single" w:sz="4" w:space="0" w:color="auto"/>
            </w:tcBorders>
            <w:vAlign w:val="center"/>
            <w:hideMark/>
          </w:tcPr>
          <w:p w:rsidR="00276A29" w:rsidRPr="00F52762" w:rsidRDefault="00276A29" w:rsidP="00276A29">
            <w:pPr>
              <w:spacing w:line="360" w:lineRule="auto"/>
              <w:jc w:val="both"/>
              <w:rPr>
                <w:rFonts w:ascii="Book Antiqua" w:eastAsia="Calibri" w:hAnsi="Book Antiqua"/>
                <w:b/>
                <w:lang w:val="en-US" w:eastAsia="en-US"/>
              </w:rPr>
            </w:pPr>
            <w:r w:rsidRPr="00F52762">
              <w:rPr>
                <w:rFonts w:ascii="Book Antiqua" w:eastAsia="Calibri" w:hAnsi="Book Antiqua"/>
                <w:b/>
                <w:lang w:val="en-US" w:eastAsia="en-US"/>
              </w:rPr>
              <w:t>46%</w:t>
            </w:r>
          </w:p>
        </w:tc>
        <w:tc>
          <w:tcPr>
            <w:tcW w:w="1537" w:type="dxa"/>
            <w:tcBorders>
              <w:top w:val="single" w:sz="4" w:space="0" w:color="auto"/>
              <w:left w:val="single" w:sz="4" w:space="0" w:color="auto"/>
              <w:bottom w:val="single" w:sz="4" w:space="0" w:color="auto"/>
              <w:right w:val="single" w:sz="4" w:space="0" w:color="auto"/>
            </w:tcBorders>
            <w:vAlign w:val="center"/>
            <w:hideMark/>
          </w:tcPr>
          <w:p w:rsidR="00276A29" w:rsidRPr="00F52762" w:rsidRDefault="00276A29" w:rsidP="00276A29">
            <w:pPr>
              <w:spacing w:line="360" w:lineRule="auto"/>
              <w:jc w:val="both"/>
              <w:rPr>
                <w:rFonts w:ascii="Book Antiqua" w:eastAsia="Calibri" w:hAnsi="Book Antiqua"/>
                <w:b/>
                <w:lang w:val="en-US" w:eastAsia="en-US"/>
              </w:rPr>
            </w:pPr>
            <w:r w:rsidRPr="00F52762">
              <w:rPr>
                <w:rFonts w:ascii="Book Antiqua" w:eastAsia="Calibri" w:hAnsi="Book Antiqua"/>
                <w:b/>
                <w:lang w:val="en-US" w:eastAsia="en-US"/>
              </w:rPr>
              <w:t>26.6%</w:t>
            </w:r>
          </w:p>
        </w:tc>
        <w:tc>
          <w:tcPr>
            <w:tcW w:w="1537" w:type="dxa"/>
            <w:tcBorders>
              <w:top w:val="single" w:sz="4" w:space="0" w:color="auto"/>
              <w:left w:val="single" w:sz="4" w:space="0" w:color="auto"/>
              <w:bottom w:val="single" w:sz="4" w:space="0" w:color="auto"/>
              <w:right w:val="single" w:sz="4" w:space="0" w:color="auto"/>
            </w:tcBorders>
            <w:vAlign w:val="center"/>
            <w:hideMark/>
          </w:tcPr>
          <w:p w:rsidR="00276A29" w:rsidRPr="00F52762" w:rsidRDefault="00276A29" w:rsidP="00276A29">
            <w:pPr>
              <w:spacing w:line="360" w:lineRule="auto"/>
              <w:jc w:val="both"/>
              <w:rPr>
                <w:rFonts w:ascii="Book Antiqua" w:eastAsia="Calibri" w:hAnsi="Book Antiqua"/>
                <w:b/>
                <w:lang w:val="en-US" w:eastAsia="en-US"/>
              </w:rPr>
            </w:pPr>
            <w:r w:rsidRPr="00F52762">
              <w:rPr>
                <w:rFonts w:ascii="Book Antiqua" w:eastAsia="Calibri" w:hAnsi="Book Antiqua"/>
                <w:b/>
                <w:lang w:val="en-US" w:eastAsia="en-US"/>
              </w:rPr>
              <w:t>24.4%</w:t>
            </w:r>
          </w:p>
        </w:tc>
        <w:tc>
          <w:tcPr>
            <w:tcW w:w="1537" w:type="dxa"/>
            <w:tcBorders>
              <w:top w:val="single" w:sz="4" w:space="0" w:color="auto"/>
              <w:left w:val="single" w:sz="4" w:space="0" w:color="auto"/>
              <w:bottom w:val="single" w:sz="4" w:space="0" w:color="auto"/>
              <w:right w:val="single" w:sz="4" w:space="0" w:color="auto"/>
            </w:tcBorders>
            <w:vAlign w:val="center"/>
            <w:hideMark/>
          </w:tcPr>
          <w:p w:rsidR="00276A29" w:rsidRPr="00F52762" w:rsidRDefault="00276A29" w:rsidP="00276A29">
            <w:pPr>
              <w:spacing w:line="360" w:lineRule="auto"/>
              <w:jc w:val="both"/>
              <w:rPr>
                <w:rFonts w:ascii="Book Antiqua" w:eastAsia="Calibri" w:hAnsi="Book Antiqua"/>
                <w:b/>
                <w:lang w:val="en-US" w:eastAsia="en-US"/>
              </w:rPr>
            </w:pPr>
            <w:r w:rsidRPr="00F52762">
              <w:rPr>
                <w:rFonts w:ascii="Book Antiqua" w:eastAsia="Calibri" w:hAnsi="Book Antiqua"/>
                <w:b/>
                <w:lang w:val="en-US" w:eastAsia="en-US"/>
              </w:rPr>
              <w:t>3%</w:t>
            </w:r>
          </w:p>
        </w:tc>
      </w:tr>
    </w:tbl>
    <w:p w:rsidR="00276A29" w:rsidRPr="00445BB7" w:rsidRDefault="00276A29" w:rsidP="00276A29">
      <w:pPr>
        <w:spacing w:line="360" w:lineRule="auto"/>
        <w:jc w:val="both"/>
        <w:rPr>
          <w:rFonts w:ascii="Book Antiqua" w:hAnsi="Book Antiqua"/>
          <w:lang w:eastAsia="zh-CN"/>
        </w:rPr>
      </w:pPr>
    </w:p>
    <w:p w:rsidR="00445BB7" w:rsidRPr="00445BB7" w:rsidRDefault="00445BB7" w:rsidP="00276A29">
      <w:pPr>
        <w:spacing w:line="360" w:lineRule="auto"/>
        <w:jc w:val="both"/>
        <w:rPr>
          <w:rFonts w:ascii="Book Antiqua" w:hAnsi="Book Antiqua"/>
          <w:lang w:eastAsia="zh-CN"/>
        </w:rPr>
      </w:pPr>
      <w:r w:rsidRPr="00445BB7">
        <w:rPr>
          <w:rFonts w:ascii="Book Antiqua" w:hAnsi="Book Antiqua" w:hint="eastAsia"/>
          <w:lang w:eastAsia="zh-CN"/>
        </w:rPr>
        <w:t>CR:</w:t>
      </w:r>
      <w:r w:rsidRPr="00445BB7">
        <w:rPr>
          <w:rFonts w:ascii="Book Antiqua" w:hAnsi="Book Antiqua"/>
          <w:noProof/>
          <w:lang w:eastAsia="en-US"/>
        </w:rPr>
        <w:t xml:space="preserve"> Complete response</w:t>
      </w:r>
      <w:r w:rsidRPr="00445BB7">
        <w:rPr>
          <w:rFonts w:ascii="Book Antiqua" w:hAnsi="Book Antiqua" w:hint="eastAsia"/>
          <w:noProof/>
          <w:lang w:eastAsia="zh-CN"/>
        </w:rPr>
        <w:t>;</w:t>
      </w:r>
      <w:r w:rsidRPr="00445BB7">
        <w:rPr>
          <w:rFonts w:ascii="Book Antiqua" w:hAnsi="Book Antiqua" w:hint="eastAsia"/>
          <w:lang w:eastAsia="zh-CN"/>
        </w:rPr>
        <w:t xml:space="preserve"> PR:</w:t>
      </w:r>
      <w:r w:rsidRPr="00445BB7">
        <w:rPr>
          <w:rFonts w:ascii="Book Antiqua" w:hAnsi="Book Antiqua"/>
        </w:rPr>
        <w:t xml:space="preserve"> Partial response</w:t>
      </w:r>
      <w:r w:rsidRPr="00445BB7">
        <w:rPr>
          <w:rFonts w:ascii="Book Antiqua" w:hAnsi="Book Antiqua" w:hint="eastAsia"/>
          <w:lang w:eastAsia="zh-CN"/>
        </w:rPr>
        <w:t>; SD:</w:t>
      </w:r>
      <w:r w:rsidRPr="00445BB7">
        <w:rPr>
          <w:rFonts w:ascii="Book Antiqua" w:hAnsi="Book Antiqua"/>
        </w:rPr>
        <w:t xml:space="preserve"> Stable disease</w:t>
      </w:r>
      <w:r w:rsidRPr="00445BB7">
        <w:rPr>
          <w:rFonts w:ascii="Book Antiqua" w:hAnsi="Book Antiqua" w:hint="eastAsia"/>
          <w:lang w:eastAsia="zh-CN"/>
        </w:rPr>
        <w:t>; PD:</w:t>
      </w:r>
      <w:r w:rsidRPr="00445BB7">
        <w:rPr>
          <w:rFonts w:ascii="Book Antiqua" w:hAnsi="Book Antiqua"/>
        </w:rPr>
        <w:t xml:space="preserve"> Progressive disease</w:t>
      </w:r>
      <w:r w:rsidRPr="00445BB7">
        <w:rPr>
          <w:rFonts w:ascii="Book Antiqua" w:hAnsi="Book Antiqua" w:hint="eastAsia"/>
          <w:lang w:eastAsia="zh-CN"/>
        </w:rPr>
        <w:t>.</w:t>
      </w:r>
    </w:p>
    <w:p w:rsidR="00445BB7" w:rsidRDefault="00445BB7">
      <w:pPr>
        <w:rPr>
          <w:rFonts w:ascii="Book Antiqua" w:eastAsia="Times New Roman" w:hAnsi="Book Antiqua"/>
          <w:b/>
          <w:lang w:val="en-US"/>
        </w:rPr>
      </w:pPr>
      <w:r>
        <w:rPr>
          <w:rFonts w:ascii="Book Antiqua" w:eastAsia="Times New Roman" w:hAnsi="Book Antiqua"/>
          <w:b/>
          <w:lang w:val="en-US"/>
        </w:rPr>
        <w:br w:type="page"/>
      </w:r>
    </w:p>
    <w:p w:rsidR="00445BB7" w:rsidRPr="00445BB7" w:rsidRDefault="00445BB7" w:rsidP="00276A29">
      <w:pPr>
        <w:spacing w:line="360" w:lineRule="auto"/>
        <w:jc w:val="both"/>
        <w:rPr>
          <w:rFonts w:ascii="Book Antiqua" w:hAnsi="Book Antiqua"/>
          <w:color w:val="FF0000"/>
          <w:lang w:eastAsia="zh-CN"/>
        </w:rPr>
      </w:pPr>
      <w:r w:rsidRPr="00445BB7">
        <w:rPr>
          <w:rFonts w:ascii="Book Antiqua" w:eastAsia="Times New Roman" w:hAnsi="Book Antiqua"/>
          <w:b/>
          <w:lang w:val="en-US"/>
        </w:rPr>
        <w:lastRenderedPageBreak/>
        <w:t xml:space="preserve">Table 3 Target lesions: </w:t>
      </w:r>
      <w:r w:rsidRPr="00445BB7">
        <w:rPr>
          <w:rFonts w:ascii="Book Antiqua" w:hAnsi="Book Antiqua"/>
          <w:b/>
          <w:color w:val="000000" w:themeColor="text1"/>
        </w:rPr>
        <w:t xml:space="preserve">Response Evaluation Criteria in Solid </w:t>
      </w:r>
      <w:proofErr w:type="spellStart"/>
      <w:r w:rsidRPr="00445BB7">
        <w:rPr>
          <w:rFonts w:ascii="Book Antiqua" w:hAnsi="Book Antiqua"/>
          <w:b/>
          <w:color w:val="000000" w:themeColor="text1"/>
        </w:rPr>
        <w:t>Tumors</w:t>
      </w:r>
      <w:proofErr w:type="spellEnd"/>
      <w:r w:rsidRPr="00445BB7">
        <w:rPr>
          <w:rFonts w:ascii="Book Antiqua" w:eastAsia="Times New Roman" w:hAnsi="Book Antiqua"/>
          <w:b/>
          <w:lang w:val="en-US"/>
        </w:rPr>
        <w:t xml:space="preserve"> response rate</w:t>
      </w:r>
    </w:p>
    <w:tbl>
      <w:tblPr>
        <w:tblStyle w:val="Grigliatabella2"/>
        <w:tblW w:w="0" w:type="auto"/>
        <w:tblLook w:val="04A0" w:firstRow="1" w:lastRow="0" w:firstColumn="1" w:lastColumn="0" w:noHBand="0" w:noVBand="1"/>
      </w:tblPr>
      <w:tblGrid>
        <w:gridCol w:w="2093"/>
        <w:gridCol w:w="1537"/>
        <w:gridCol w:w="1537"/>
        <w:gridCol w:w="1537"/>
        <w:gridCol w:w="1537"/>
        <w:gridCol w:w="1537"/>
      </w:tblGrid>
      <w:tr w:rsidR="00276A29" w:rsidRPr="00276A29" w:rsidTr="00445BB7">
        <w:trPr>
          <w:trHeight w:val="850"/>
        </w:trPr>
        <w:tc>
          <w:tcPr>
            <w:tcW w:w="2093" w:type="dxa"/>
            <w:vAlign w:val="center"/>
            <w:hideMark/>
          </w:tcPr>
          <w:p w:rsidR="00276A29" w:rsidRPr="00445BB7" w:rsidRDefault="00276A29" w:rsidP="00276A29">
            <w:pPr>
              <w:spacing w:line="360" w:lineRule="auto"/>
              <w:jc w:val="both"/>
              <w:rPr>
                <w:rFonts w:ascii="Book Antiqua" w:eastAsia="Times New Roman" w:hAnsi="Book Antiqua"/>
                <w:b/>
                <w:lang w:val="it-IT"/>
              </w:rPr>
            </w:pPr>
            <w:r w:rsidRPr="00445BB7">
              <w:rPr>
                <w:rFonts w:ascii="Book Antiqua" w:eastAsia="Times New Roman" w:hAnsi="Book Antiqua"/>
                <w:b/>
                <w:lang w:val="it-IT"/>
              </w:rPr>
              <w:t>Ø nodules</w:t>
            </w:r>
          </w:p>
        </w:tc>
        <w:tc>
          <w:tcPr>
            <w:tcW w:w="1537" w:type="dxa"/>
            <w:vAlign w:val="center"/>
            <w:hideMark/>
          </w:tcPr>
          <w:p w:rsidR="00276A29" w:rsidRPr="00445BB7" w:rsidRDefault="00445BB7" w:rsidP="00276A29">
            <w:pPr>
              <w:spacing w:line="360" w:lineRule="auto"/>
              <w:jc w:val="both"/>
              <w:rPr>
                <w:rFonts w:ascii="Book Antiqua" w:eastAsia="Times New Roman" w:hAnsi="Book Antiqua"/>
                <w:b/>
                <w:lang w:val="it-IT"/>
              </w:rPr>
            </w:pPr>
            <w:r w:rsidRPr="00F52762">
              <w:rPr>
                <w:rFonts w:ascii="Book Antiqua" w:eastAsia="Calibri" w:hAnsi="Book Antiqua"/>
                <w:b/>
                <w:lang w:val="en-US" w:eastAsia="en-US"/>
              </w:rPr>
              <w:t>N</w:t>
            </w:r>
            <w:r>
              <w:rPr>
                <w:rFonts w:ascii="Book Antiqua" w:hAnsi="Book Antiqua"/>
                <w:b/>
                <w:lang w:val="en-US" w:eastAsia="zh-CN"/>
              </w:rPr>
              <w:t>o. of</w:t>
            </w:r>
            <w:r w:rsidRPr="00F52762">
              <w:rPr>
                <w:rFonts w:ascii="Book Antiqua" w:eastAsia="Calibri" w:hAnsi="Book Antiqua"/>
                <w:b/>
                <w:lang w:val="en-US" w:eastAsia="en-US"/>
              </w:rPr>
              <w:t xml:space="preserve"> nodules</w:t>
            </w:r>
          </w:p>
        </w:tc>
        <w:tc>
          <w:tcPr>
            <w:tcW w:w="1537" w:type="dxa"/>
            <w:vAlign w:val="center"/>
            <w:hideMark/>
          </w:tcPr>
          <w:p w:rsidR="00276A29" w:rsidRPr="00445BB7" w:rsidRDefault="00276A29" w:rsidP="00276A29">
            <w:pPr>
              <w:spacing w:line="360" w:lineRule="auto"/>
              <w:jc w:val="both"/>
              <w:rPr>
                <w:rFonts w:ascii="Book Antiqua" w:eastAsia="Times New Roman" w:hAnsi="Book Antiqua"/>
                <w:b/>
                <w:lang w:val="it-IT"/>
              </w:rPr>
            </w:pPr>
            <w:r w:rsidRPr="00445BB7">
              <w:rPr>
                <w:rFonts w:ascii="Book Antiqua" w:eastAsia="Times New Roman" w:hAnsi="Book Antiqua"/>
                <w:b/>
                <w:lang w:val="it-IT"/>
              </w:rPr>
              <w:t>CR</w:t>
            </w:r>
          </w:p>
        </w:tc>
        <w:tc>
          <w:tcPr>
            <w:tcW w:w="1537" w:type="dxa"/>
            <w:vAlign w:val="center"/>
            <w:hideMark/>
          </w:tcPr>
          <w:p w:rsidR="00276A29" w:rsidRPr="00445BB7" w:rsidRDefault="00276A29" w:rsidP="00276A29">
            <w:pPr>
              <w:spacing w:line="360" w:lineRule="auto"/>
              <w:jc w:val="both"/>
              <w:rPr>
                <w:rFonts w:ascii="Book Antiqua" w:eastAsia="Times New Roman" w:hAnsi="Book Antiqua"/>
                <w:b/>
                <w:lang w:val="it-IT"/>
              </w:rPr>
            </w:pPr>
            <w:r w:rsidRPr="00445BB7">
              <w:rPr>
                <w:rFonts w:ascii="Book Antiqua" w:eastAsia="Times New Roman" w:hAnsi="Book Antiqua"/>
                <w:b/>
                <w:lang w:val="it-IT"/>
              </w:rPr>
              <w:t>PR</w:t>
            </w:r>
          </w:p>
        </w:tc>
        <w:tc>
          <w:tcPr>
            <w:tcW w:w="1537" w:type="dxa"/>
            <w:vAlign w:val="center"/>
            <w:hideMark/>
          </w:tcPr>
          <w:p w:rsidR="00276A29" w:rsidRPr="00445BB7" w:rsidRDefault="00276A29" w:rsidP="00276A29">
            <w:pPr>
              <w:spacing w:line="360" w:lineRule="auto"/>
              <w:jc w:val="both"/>
              <w:rPr>
                <w:rFonts w:ascii="Book Antiqua" w:eastAsia="Times New Roman" w:hAnsi="Book Antiqua"/>
                <w:b/>
                <w:lang w:val="it-IT"/>
              </w:rPr>
            </w:pPr>
            <w:r w:rsidRPr="00445BB7">
              <w:rPr>
                <w:rFonts w:ascii="Book Antiqua" w:eastAsia="Times New Roman" w:hAnsi="Book Antiqua"/>
                <w:b/>
                <w:lang w:val="it-IT"/>
              </w:rPr>
              <w:t>SD</w:t>
            </w:r>
          </w:p>
        </w:tc>
        <w:tc>
          <w:tcPr>
            <w:tcW w:w="1537" w:type="dxa"/>
            <w:vAlign w:val="center"/>
            <w:hideMark/>
          </w:tcPr>
          <w:p w:rsidR="00276A29" w:rsidRPr="00445BB7" w:rsidRDefault="00276A29" w:rsidP="00276A29">
            <w:pPr>
              <w:spacing w:line="360" w:lineRule="auto"/>
              <w:jc w:val="both"/>
              <w:rPr>
                <w:rFonts w:ascii="Book Antiqua" w:eastAsia="Times New Roman" w:hAnsi="Book Antiqua"/>
                <w:b/>
                <w:lang w:val="it-IT"/>
              </w:rPr>
            </w:pPr>
            <w:r w:rsidRPr="00445BB7">
              <w:rPr>
                <w:rFonts w:ascii="Book Antiqua" w:eastAsia="Times New Roman" w:hAnsi="Book Antiqua"/>
                <w:b/>
                <w:lang w:val="it-IT"/>
              </w:rPr>
              <w:t>PD</w:t>
            </w:r>
          </w:p>
        </w:tc>
      </w:tr>
      <w:tr w:rsidR="00276A29" w:rsidRPr="00276A29" w:rsidTr="00445BB7">
        <w:trPr>
          <w:trHeight w:val="850"/>
        </w:trPr>
        <w:tc>
          <w:tcPr>
            <w:tcW w:w="2093" w:type="dxa"/>
            <w:vAlign w:val="center"/>
            <w:hideMark/>
          </w:tcPr>
          <w:p w:rsidR="00276A29" w:rsidRPr="00445BB7" w:rsidRDefault="00276A29" w:rsidP="00276A29">
            <w:pPr>
              <w:spacing w:line="360" w:lineRule="auto"/>
              <w:jc w:val="both"/>
              <w:rPr>
                <w:rFonts w:ascii="Book Antiqua" w:eastAsia="Times New Roman" w:hAnsi="Book Antiqua"/>
                <w:b/>
                <w:lang w:val="it-IT"/>
              </w:rPr>
            </w:pPr>
            <w:r w:rsidRPr="00445BB7">
              <w:rPr>
                <w:rFonts w:ascii="Book Antiqua" w:eastAsia="Times New Roman" w:hAnsi="Book Antiqua"/>
                <w:b/>
                <w:lang w:val="it-IT"/>
              </w:rPr>
              <w:t>Ø &lt; 3</w:t>
            </w:r>
            <w:r w:rsidR="00445BB7">
              <w:rPr>
                <w:rFonts w:ascii="Book Antiqua" w:hAnsi="Book Antiqua" w:hint="eastAsia"/>
                <w:b/>
                <w:lang w:val="it-IT" w:eastAsia="zh-CN"/>
              </w:rPr>
              <w:t xml:space="preserve"> </w:t>
            </w:r>
            <w:r w:rsidRPr="00445BB7">
              <w:rPr>
                <w:rFonts w:ascii="Book Antiqua" w:eastAsia="Times New Roman" w:hAnsi="Book Antiqua"/>
                <w:b/>
                <w:lang w:val="it-IT"/>
              </w:rPr>
              <w:t>cm</w:t>
            </w:r>
          </w:p>
        </w:tc>
        <w:tc>
          <w:tcPr>
            <w:tcW w:w="1537" w:type="dxa"/>
            <w:vAlign w:val="center"/>
            <w:hideMark/>
          </w:tcPr>
          <w:p w:rsidR="00276A29" w:rsidRPr="00445BB7" w:rsidRDefault="00276A29" w:rsidP="00276A29">
            <w:pPr>
              <w:spacing w:line="360" w:lineRule="auto"/>
              <w:jc w:val="both"/>
              <w:rPr>
                <w:rFonts w:ascii="Book Antiqua" w:eastAsia="Times New Roman" w:hAnsi="Book Antiqua"/>
                <w:b/>
                <w:lang w:val="it-IT"/>
              </w:rPr>
            </w:pPr>
            <w:r w:rsidRPr="00445BB7">
              <w:rPr>
                <w:rFonts w:ascii="Book Antiqua" w:eastAsia="Times New Roman" w:hAnsi="Book Antiqua"/>
                <w:b/>
                <w:lang w:val="it-IT"/>
              </w:rPr>
              <w:t>77</w:t>
            </w:r>
          </w:p>
        </w:tc>
        <w:tc>
          <w:tcPr>
            <w:tcW w:w="1537" w:type="dxa"/>
            <w:vAlign w:val="center"/>
            <w:hideMark/>
          </w:tcPr>
          <w:p w:rsidR="00276A29" w:rsidRPr="00445BB7" w:rsidRDefault="00276A29" w:rsidP="00276A29">
            <w:pPr>
              <w:spacing w:line="360" w:lineRule="auto"/>
              <w:jc w:val="both"/>
              <w:rPr>
                <w:rFonts w:ascii="Book Antiqua" w:eastAsia="Times New Roman" w:hAnsi="Book Antiqua"/>
                <w:b/>
                <w:lang w:val="it-IT"/>
              </w:rPr>
            </w:pPr>
            <w:r w:rsidRPr="00445BB7">
              <w:rPr>
                <w:rFonts w:ascii="Book Antiqua" w:eastAsia="Times New Roman" w:hAnsi="Book Antiqua"/>
                <w:b/>
                <w:lang w:val="it-IT"/>
              </w:rPr>
              <w:t>6.2%</w:t>
            </w:r>
          </w:p>
        </w:tc>
        <w:tc>
          <w:tcPr>
            <w:tcW w:w="1537" w:type="dxa"/>
            <w:vAlign w:val="center"/>
            <w:hideMark/>
          </w:tcPr>
          <w:p w:rsidR="00276A29" w:rsidRPr="00445BB7" w:rsidRDefault="00276A29" w:rsidP="00276A29">
            <w:pPr>
              <w:spacing w:line="360" w:lineRule="auto"/>
              <w:jc w:val="both"/>
              <w:rPr>
                <w:rFonts w:ascii="Book Antiqua" w:eastAsia="Times New Roman" w:hAnsi="Book Antiqua"/>
                <w:b/>
                <w:lang w:val="it-IT"/>
              </w:rPr>
            </w:pPr>
            <w:r w:rsidRPr="00445BB7">
              <w:rPr>
                <w:rFonts w:ascii="Book Antiqua" w:eastAsia="Times New Roman" w:hAnsi="Book Antiqua"/>
                <w:b/>
                <w:lang w:val="it-IT"/>
              </w:rPr>
              <w:t>20.6%</w:t>
            </w:r>
          </w:p>
        </w:tc>
        <w:tc>
          <w:tcPr>
            <w:tcW w:w="1537" w:type="dxa"/>
            <w:vAlign w:val="center"/>
            <w:hideMark/>
          </w:tcPr>
          <w:p w:rsidR="00276A29" w:rsidRPr="00445BB7" w:rsidRDefault="00276A29" w:rsidP="00276A29">
            <w:pPr>
              <w:spacing w:line="360" w:lineRule="auto"/>
              <w:jc w:val="both"/>
              <w:rPr>
                <w:rFonts w:ascii="Book Antiqua" w:eastAsia="Times New Roman" w:hAnsi="Book Antiqua"/>
                <w:b/>
                <w:lang w:val="it-IT"/>
              </w:rPr>
            </w:pPr>
            <w:r w:rsidRPr="00445BB7">
              <w:rPr>
                <w:rFonts w:ascii="Book Antiqua" w:eastAsia="Times New Roman" w:hAnsi="Book Antiqua"/>
                <w:b/>
                <w:lang w:val="it-IT"/>
              </w:rPr>
              <w:t>66%</w:t>
            </w:r>
          </w:p>
        </w:tc>
        <w:tc>
          <w:tcPr>
            <w:tcW w:w="1537" w:type="dxa"/>
            <w:vAlign w:val="center"/>
            <w:hideMark/>
          </w:tcPr>
          <w:p w:rsidR="00276A29" w:rsidRPr="00445BB7" w:rsidRDefault="00276A29" w:rsidP="00276A29">
            <w:pPr>
              <w:spacing w:line="360" w:lineRule="auto"/>
              <w:jc w:val="both"/>
              <w:rPr>
                <w:rFonts w:ascii="Book Antiqua" w:eastAsia="Times New Roman" w:hAnsi="Book Antiqua"/>
                <w:b/>
                <w:lang w:val="it-IT"/>
              </w:rPr>
            </w:pPr>
            <w:r w:rsidRPr="00445BB7">
              <w:rPr>
                <w:rFonts w:ascii="Book Antiqua" w:eastAsia="Times New Roman" w:hAnsi="Book Antiqua"/>
                <w:b/>
                <w:lang w:val="it-IT"/>
              </w:rPr>
              <w:t>7.2%</w:t>
            </w:r>
          </w:p>
        </w:tc>
      </w:tr>
      <w:tr w:rsidR="00276A29" w:rsidRPr="00276A29" w:rsidTr="00445BB7">
        <w:trPr>
          <w:trHeight w:val="850"/>
        </w:trPr>
        <w:tc>
          <w:tcPr>
            <w:tcW w:w="2093" w:type="dxa"/>
            <w:vAlign w:val="center"/>
            <w:hideMark/>
          </w:tcPr>
          <w:p w:rsidR="00276A29" w:rsidRPr="00445BB7" w:rsidRDefault="00276A29" w:rsidP="00276A29">
            <w:pPr>
              <w:spacing w:line="360" w:lineRule="auto"/>
              <w:jc w:val="both"/>
              <w:rPr>
                <w:rFonts w:ascii="Book Antiqua" w:eastAsia="Times New Roman" w:hAnsi="Book Antiqua"/>
                <w:b/>
                <w:lang w:val="it-IT"/>
              </w:rPr>
            </w:pPr>
            <w:r w:rsidRPr="00445BB7">
              <w:rPr>
                <w:rFonts w:ascii="Book Antiqua" w:eastAsia="Times New Roman" w:hAnsi="Book Antiqua"/>
                <w:b/>
                <w:lang w:val="it-IT"/>
              </w:rPr>
              <w:t>3 ≤ Ø ≤ 5</w:t>
            </w:r>
            <w:r w:rsidR="00445BB7">
              <w:rPr>
                <w:rFonts w:ascii="Book Antiqua" w:hAnsi="Book Antiqua" w:hint="eastAsia"/>
                <w:b/>
                <w:lang w:val="it-IT" w:eastAsia="zh-CN"/>
              </w:rPr>
              <w:t xml:space="preserve"> </w:t>
            </w:r>
            <w:r w:rsidRPr="00445BB7">
              <w:rPr>
                <w:rFonts w:ascii="Book Antiqua" w:eastAsia="Times New Roman" w:hAnsi="Book Antiqua"/>
                <w:b/>
                <w:lang w:val="it-IT"/>
              </w:rPr>
              <w:t>cm</w:t>
            </w:r>
          </w:p>
        </w:tc>
        <w:tc>
          <w:tcPr>
            <w:tcW w:w="1537" w:type="dxa"/>
            <w:vAlign w:val="center"/>
            <w:hideMark/>
          </w:tcPr>
          <w:p w:rsidR="00276A29" w:rsidRPr="00445BB7" w:rsidRDefault="00276A29" w:rsidP="00276A29">
            <w:pPr>
              <w:spacing w:line="360" w:lineRule="auto"/>
              <w:jc w:val="both"/>
              <w:rPr>
                <w:rFonts w:ascii="Book Antiqua" w:eastAsia="Times New Roman" w:hAnsi="Book Antiqua"/>
                <w:b/>
                <w:lang w:val="it-IT"/>
              </w:rPr>
            </w:pPr>
            <w:r w:rsidRPr="00445BB7">
              <w:rPr>
                <w:rFonts w:ascii="Book Antiqua" w:eastAsia="Times New Roman" w:hAnsi="Book Antiqua"/>
                <w:b/>
                <w:lang w:val="it-IT"/>
              </w:rPr>
              <w:t>22</w:t>
            </w:r>
          </w:p>
        </w:tc>
        <w:tc>
          <w:tcPr>
            <w:tcW w:w="1537" w:type="dxa"/>
            <w:vAlign w:val="center"/>
            <w:hideMark/>
          </w:tcPr>
          <w:p w:rsidR="00276A29" w:rsidRPr="00445BB7" w:rsidRDefault="00276A29" w:rsidP="00276A29">
            <w:pPr>
              <w:spacing w:line="360" w:lineRule="auto"/>
              <w:jc w:val="both"/>
              <w:rPr>
                <w:rFonts w:ascii="Book Antiqua" w:eastAsia="Times New Roman" w:hAnsi="Book Antiqua"/>
                <w:b/>
                <w:lang w:val="it-IT"/>
              </w:rPr>
            </w:pPr>
            <w:r w:rsidRPr="00445BB7">
              <w:rPr>
                <w:rFonts w:ascii="Book Antiqua" w:eastAsia="Times New Roman" w:hAnsi="Book Antiqua"/>
                <w:b/>
                <w:lang w:val="it-IT"/>
              </w:rPr>
              <w:t>3.5%</w:t>
            </w:r>
          </w:p>
        </w:tc>
        <w:tc>
          <w:tcPr>
            <w:tcW w:w="1537" w:type="dxa"/>
            <w:vAlign w:val="center"/>
            <w:hideMark/>
          </w:tcPr>
          <w:p w:rsidR="00276A29" w:rsidRPr="00445BB7" w:rsidRDefault="00276A29" w:rsidP="00276A29">
            <w:pPr>
              <w:spacing w:line="360" w:lineRule="auto"/>
              <w:jc w:val="both"/>
              <w:rPr>
                <w:rFonts w:ascii="Book Antiqua" w:eastAsia="Times New Roman" w:hAnsi="Book Antiqua"/>
                <w:b/>
                <w:lang w:val="it-IT"/>
              </w:rPr>
            </w:pPr>
            <w:r w:rsidRPr="00445BB7">
              <w:rPr>
                <w:rFonts w:ascii="Book Antiqua" w:eastAsia="Times New Roman" w:hAnsi="Book Antiqua"/>
                <w:b/>
                <w:lang w:val="it-IT"/>
              </w:rPr>
              <w:t>28.6%</w:t>
            </w:r>
          </w:p>
        </w:tc>
        <w:tc>
          <w:tcPr>
            <w:tcW w:w="1537" w:type="dxa"/>
            <w:vAlign w:val="center"/>
            <w:hideMark/>
          </w:tcPr>
          <w:p w:rsidR="00276A29" w:rsidRPr="00445BB7" w:rsidRDefault="00276A29" w:rsidP="00276A29">
            <w:pPr>
              <w:spacing w:line="360" w:lineRule="auto"/>
              <w:jc w:val="both"/>
              <w:rPr>
                <w:rFonts w:ascii="Book Antiqua" w:eastAsia="Times New Roman" w:hAnsi="Book Antiqua"/>
                <w:b/>
                <w:lang w:val="it-IT"/>
              </w:rPr>
            </w:pPr>
            <w:r w:rsidRPr="00445BB7">
              <w:rPr>
                <w:rFonts w:ascii="Book Antiqua" w:eastAsia="Times New Roman" w:hAnsi="Book Antiqua"/>
                <w:b/>
                <w:lang w:val="it-IT"/>
              </w:rPr>
              <w:t>64.4%</w:t>
            </w:r>
          </w:p>
        </w:tc>
        <w:tc>
          <w:tcPr>
            <w:tcW w:w="1537" w:type="dxa"/>
            <w:vAlign w:val="center"/>
            <w:hideMark/>
          </w:tcPr>
          <w:p w:rsidR="00276A29" w:rsidRPr="00445BB7" w:rsidRDefault="00276A29" w:rsidP="00276A29">
            <w:pPr>
              <w:spacing w:line="360" w:lineRule="auto"/>
              <w:jc w:val="both"/>
              <w:rPr>
                <w:rFonts w:ascii="Book Antiqua" w:eastAsia="Times New Roman" w:hAnsi="Book Antiqua"/>
                <w:b/>
                <w:lang w:val="it-IT"/>
              </w:rPr>
            </w:pPr>
            <w:r w:rsidRPr="00445BB7">
              <w:rPr>
                <w:rFonts w:ascii="Book Antiqua" w:eastAsia="Times New Roman" w:hAnsi="Book Antiqua"/>
                <w:b/>
                <w:lang w:val="it-IT"/>
              </w:rPr>
              <w:t>3.5%</w:t>
            </w:r>
          </w:p>
        </w:tc>
      </w:tr>
      <w:tr w:rsidR="00276A29" w:rsidRPr="00276A29" w:rsidTr="00445BB7">
        <w:trPr>
          <w:trHeight w:val="850"/>
        </w:trPr>
        <w:tc>
          <w:tcPr>
            <w:tcW w:w="2093" w:type="dxa"/>
            <w:vAlign w:val="center"/>
            <w:hideMark/>
          </w:tcPr>
          <w:p w:rsidR="00276A29" w:rsidRPr="00445BB7" w:rsidRDefault="00276A29" w:rsidP="00276A29">
            <w:pPr>
              <w:spacing w:line="360" w:lineRule="auto"/>
              <w:jc w:val="both"/>
              <w:rPr>
                <w:rFonts w:ascii="Book Antiqua" w:eastAsia="Times New Roman" w:hAnsi="Book Antiqua"/>
                <w:b/>
                <w:lang w:val="it-IT"/>
              </w:rPr>
            </w:pPr>
            <w:r w:rsidRPr="00445BB7">
              <w:rPr>
                <w:rFonts w:ascii="Book Antiqua" w:eastAsia="Times New Roman" w:hAnsi="Book Antiqua"/>
                <w:b/>
                <w:lang w:val="it-IT"/>
              </w:rPr>
              <w:t>Ø &gt; 5</w:t>
            </w:r>
            <w:r w:rsidR="00445BB7">
              <w:rPr>
                <w:rFonts w:ascii="Book Antiqua" w:hAnsi="Book Antiqua" w:hint="eastAsia"/>
                <w:b/>
                <w:lang w:val="it-IT" w:eastAsia="zh-CN"/>
              </w:rPr>
              <w:t xml:space="preserve"> </w:t>
            </w:r>
            <w:r w:rsidRPr="00445BB7">
              <w:rPr>
                <w:rFonts w:ascii="Book Antiqua" w:eastAsia="Times New Roman" w:hAnsi="Book Antiqua"/>
                <w:b/>
                <w:lang w:val="it-IT"/>
              </w:rPr>
              <w:t>cm</w:t>
            </w:r>
          </w:p>
        </w:tc>
        <w:tc>
          <w:tcPr>
            <w:tcW w:w="1537" w:type="dxa"/>
            <w:vAlign w:val="center"/>
            <w:hideMark/>
          </w:tcPr>
          <w:p w:rsidR="00276A29" w:rsidRPr="00445BB7" w:rsidRDefault="00276A29" w:rsidP="00276A29">
            <w:pPr>
              <w:spacing w:line="360" w:lineRule="auto"/>
              <w:jc w:val="both"/>
              <w:rPr>
                <w:rFonts w:ascii="Book Antiqua" w:eastAsia="Times New Roman" w:hAnsi="Book Antiqua"/>
                <w:b/>
                <w:lang w:val="it-IT"/>
              </w:rPr>
            </w:pPr>
            <w:r w:rsidRPr="00445BB7">
              <w:rPr>
                <w:rFonts w:ascii="Book Antiqua" w:eastAsia="Times New Roman" w:hAnsi="Book Antiqua"/>
                <w:b/>
                <w:lang w:val="it-IT"/>
              </w:rPr>
              <w:t>3</w:t>
            </w:r>
          </w:p>
        </w:tc>
        <w:tc>
          <w:tcPr>
            <w:tcW w:w="1537" w:type="dxa"/>
            <w:vAlign w:val="center"/>
            <w:hideMark/>
          </w:tcPr>
          <w:p w:rsidR="00276A29" w:rsidRPr="00445BB7" w:rsidRDefault="00276A29" w:rsidP="00276A29">
            <w:pPr>
              <w:spacing w:line="360" w:lineRule="auto"/>
              <w:jc w:val="both"/>
              <w:rPr>
                <w:rFonts w:ascii="Book Antiqua" w:eastAsia="Times New Roman" w:hAnsi="Book Antiqua"/>
                <w:b/>
                <w:lang w:val="it-IT"/>
              </w:rPr>
            </w:pPr>
            <w:r w:rsidRPr="00445BB7">
              <w:rPr>
                <w:rFonts w:ascii="Book Antiqua" w:eastAsia="Times New Roman" w:hAnsi="Book Antiqua"/>
                <w:b/>
                <w:lang w:val="it-IT"/>
              </w:rPr>
              <w:t>0%</w:t>
            </w:r>
          </w:p>
        </w:tc>
        <w:tc>
          <w:tcPr>
            <w:tcW w:w="1537" w:type="dxa"/>
            <w:vAlign w:val="center"/>
            <w:hideMark/>
          </w:tcPr>
          <w:p w:rsidR="00276A29" w:rsidRPr="00445BB7" w:rsidRDefault="00276A29" w:rsidP="00276A29">
            <w:pPr>
              <w:spacing w:line="360" w:lineRule="auto"/>
              <w:jc w:val="both"/>
              <w:rPr>
                <w:rFonts w:ascii="Book Antiqua" w:eastAsia="Times New Roman" w:hAnsi="Book Antiqua"/>
                <w:b/>
                <w:lang w:val="it-IT"/>
              </w:rPr>
            </w:pPr>
            <w:r w:rsidRPr="00445BB7">
              <w:rPr>
                <w:rFonts w:ascii="Book Antiqua" w:eastAsia="Times New Roman" w:hAnsi="Book Antiqua"/>
                <w:b/>
                <w:lang w:val="it-IT"/>
              </w:rPr>
              <w:t>10%</w:t>
            </w:r>
          </w:p>
        </w:tc>
        <w:tc>
          <w:tcPr>
            <w:tcW w:w="1537" w:type="dxa"/>
            <w:vAlign w:val="center"/>
            <w:hideMark/>
          </w:tcPr>
          <w:p w:rsidR="00276A29" w:rsidRPr="00445BB7" w:rsidRDefault="00276A29" w:rsidP="00276A29">
            <w:pPr>
              <w:spacing w:line="360" w:lineRule="auto"/>
              <w:jc w:val="both"/>
              <w:rPr>
                <w:rFonts w:ascii="Book Antiqua" w:eastAsia="Times New Roman" w:hAnsi="Book Antiqua"/>
                <w:b/>
                <w:lang w:val="it-IT"/>
              </w:rPr>
            </w:pPr>
            <w:r w:rsidRPr="00445BB7">
              <w:rPr>
                <w:rFonts w:ascii="Book Antiqua" w:eastAsia="Times New Roman" w:hAnsi="Book Antiqua"/>
                <w:b/>
                <w:lang w:val="it-IT"/>
              </w:rPr>
              <w:t>90%</w:t>
            </w:r>
          </w:p>
        </w:tc>
        <w:tc>
          <w:tcPr>
            <w:tcW w:w="1537" w:type="dxa"/>
            <w:vAlign w:val="center"/>
            <w:hideMark/>
          </w:tcPr>
          <w:p w:rsidR="00276A29" w:rsidRPr="00445BB7" w:rsidRDefault="00276A29" w:rsidP="00276A29">
            <w:pPr>
              <w:spacing w:line="360" w:lineRule="auto"/>
              <w:jc w:val="both"/>
              <w:rPr>
                <w:rFonts w:ascii="Book Antiqua" w:eastAsia="Times New Roman" w:hAnsi="Book Antiqua"/>
                <w:b/>
                <w:lang w:val="it-IT"/>
              </w:rPr>
            </w:pPr>
            <w:r w:rsidRPr="00445BB7">
              <w:rPr>
                <w:rFonts w:ascii="Book Antiqua" w:eastAsia="Times New Roman" w:hAnsi="Book Antiqua"/>
                <w:b/>
                <w:lang w:val="it-IT"/>
              </w:rPr>
              <w:t>0%</w:t>
            </w:r>
          </w:p>
        </w:tc>
      </w:tr>
      <w:tr w:rsidR="00276A29" w:rsidRPr="00276A29" w:rsidTr="00445BB7">
        <w:trPr>
          <w:trHeight w:val="850"/>
        </w:trPr>
        <w:tc>
          <w:tcPr>
            <w:tcW w:w="2093" w:type="dxa"/>
            <w:vAlign w:val="center"/>
            <w:hideMark/>
          </w:tcPr>
          <w:p w:rsidR="00276A29" w:rsidRPr="00445BB7" w:rsidRDefault="00276A29" w:rsidP="00276A29">
            <w:pPr>
              <w:spacing w:line="360" w:lineRule="auto"/>
              <w:jc w:val="both"/>
              <w:rPr>
                <w:rFonts w:ascii="Book Antiqua" w:eastAsia="Times New Roman" w:hAnsi="Book Antiqua"/>
                <w:b/>
                <w:lang w:val="it-IT"/>
              </w:rPr>
            </w:pPr>
            <w:r w:rsidRPr="00445BB7">
              <w:rPr>
                <w:rFonts w:ascii="Book Antiqua" w:eastAsia="Times New Roman" w:hAnsi="Book Antiqua"/>
                <w:b/>
                <w:lang w:val="it-IT"/>
              </w:rPr>
              <w:t xml:space="preserve">Overall </w:t>
            </w:r>
            <w:r w:rsidR="007E16E6" w:rsidRPr="00445BB7">
              <w:rPr>
                <w:rFonts w:ascii="Book Antiqua" w:eastAsia="Times New Roman" w:hAnsi="Book Antiqua"/>
                <w:b/>
                <w:lang w:val="it-IT"/>
              </w:rPr>
              <w:t>r</w:t>
            </w:r>
            <w:r w:rsidRPr="00445BB7">
              <w:rPr>
                <w:rFonts w:ascii="Book Antiqua" w:eastAsia="Times New Roman" w:hAnsi="Book Antiqua"/>
                <w:b/>
                <w:lang w:val="it-IT"/>
              </w:rPr>
              <w:t>esponse</w:t>
            </w:r>
          </w:p>
        </w:tc>
        <w:tc>
          <w:tcPr>
            <w:tcW w:w="1537" w:type="dxa"/>
            <w:vAlign w:val="center"/>
            <w:hideMark/>
          </w:tcPr>
          <w:p w:rsidR="00276A29" w:rsidRPr="00445BB7" w:rsidRDefault="00276A29" w:rsidP="00276A29">
            <w:pPr>
              <w:spacing w:line="360" w:lineRule="auto"/>
              <w:jc w:val="both"/>
              <w:rPr>
                <w:rFonts w:ascii="Book Antiqua" w:eastAsia="Times New Roman" w:hAnsi="Book Antiqua"/>
                <w:b/>
                <w:lang w:val="it-IT"/>
              </w:rPr>
            </w:pPr>
            <w:r w:rsidRPr="00445BB7">
              <w:rPr>
                <w:rFonts w:ascii="Book Antiqua" w:eastAsia="Times New Roman" w:hAnsi="Book Antiqua"/>
                <w:b/>
                <w:lang w:val="it-IT"/>
              </w:rPr>
              <w:t>102</w:t>
            </w:r>
          </w:p>
        </w:tc>
        <w:tc>
          <w:tcPr>
            <w:tcW w:w="1537" w:type="dxa"/>
            <w:vAlign w:val="center"/>
            <w:hideMark/>
          </w:tcPr>
          <w:p w:rsidR="00276A29" w:rsidRPr="00445BB7" w:rsidRDefault="00276A29" w:rsidP="00276A29">
            <w:pPr>
              <w:spacing w:line="360" w:lineRule="auto"/>
              <w:jc w:val="both"/>
              <w:rPr>
                <w:rFonts w:ascii="Book Antiqua" w:eastAsia="Times New Roman" w:hAnsi="Book Antiqua"/>
                <w:b/>
                <w:lang w:val="it-IT"/>
              </w:rPr>
            </w:pPr>
            <w:r w:rsidRPr="00445BB7">
              <w:rPr>
                <w:rFonts w:ascii="Book Antiqua" w:eastAsia="Times New Roman" w:hAnsi="Book Antiqua"/>
                <w:b/>
                <w:lang w:val="it-IT"/>
              </w:rPr>
              <w:t>5.2%</w:t>
            </w:r>
          </w:p>
        </w:tc>
        <w:tc>
          <w:tcPr>
            <w:tcW w:w="1537" w:type="dxa"/>
            <w:vAlign w:val="center"/>
            <w:hideMark/>
          </w:tcPr>
          <w:p w:rsidR="00276A29" w:rsidRPr="00445BB7" w:rsidRDefault="00276A29" w:rsidP="00276A29">
            <w:pPr>
              <w:spacing w:line="360" w:lineRule="auto"/>
              <w:jc w:val="both"/>
              <w:rPr>
                <w:rFonts w:ascii="Book Antiqua" w:eastAsia="Times New Roman" w:hAnsi="Book Antiqua"/>
                <w:b/>
                <w:lang w:val="it-IT"/>
              </w:rPr>
            </w:pPr>
            <w:r w:rsidRPr="00445BB7">
              <w:rPr>
                <w:rFonts w:ascii="Book Antiqua" w:eastAsia="Times New Roman" w:hAnsi="Book Antiqua"/>
                <w:b/>
                <w:lang w:val="it-IT"/>
              </w:rPr>
              <w:t>21.5%</w:t>
            </w:r>
          </w:p>
        </w:tc>
        <w:tc>
          <w:tcPr>
            <w:tcW w:w="1537" w:type="dxa"/>
            <w:vAlign w:val="center"/>
            <w:hideMark/>
          </w:tcPr>
          <w:p w:rsidR="00276A29" w:rsidRPr="00445BB7" w:rsidRDefault="00276A29" w:rsidP="00276A29">
            <w:pPr>
              <w:spacing w:line="360" w:lineRule="auto"/>
              <w:jc w:val="both"/>
              <w:rPr>
                <w:rFonts w:ascii="Book Antiqua" w:eastAsia="Times New Roman" w:hAnsi="Book Antiqua"/>
                <w:b/>
                <w:lang w:val="it-IT"/>
              </w:rPr>
            </w:pPr>
            <w:r w:rsidRPr="00445BB7">
              <w:rPr>
                <w:rFonts w:ascii="Book Antiqua" w:eastAsia="Times New Roman" w:hAnsi="Book Antiqua"/>
                <w:b/>
                <w:lang w:val="it-IT"/>
              </w:rPr>
              <w:t>67.4%</w:t>
            </w:r>
          </w:p>
        </w:tc>
        <w:tc>
          <w:tcPr>
            <w:tcW w:w="1537" w:type="dxa"/>
            <w:vAlign w:val="center"/>
            <w:hideMark/>
          </w:tcPr>
          <w:p w:rsidR="00276A29" w:rsidRPr="00445BB7" w:rsidRDefault="00276A29" w:rsidP="00276A29">
            <w:pPr>
              <w:spacing w:line="360" w:lineRule="auto"/>
              <w:jc w:val="both"/>
              <w:rPr>
                <w:rFonts w:ascii="Book Antiqua" w:eastAsia="Times New Roman" w:hAnsi="Book Antiqua"/>
                <w:b/>
                <w:lang w:val="it-IT"/>
              </w:rPr>
            </w:pPr>
            <w:r w:rsidRPr="00445BB7">
              <w:rPr>
                <w:rFonts w:ascii="Book Antiqua" w:eastAsia="Times New Roman" w:hAnsi="Book Antiqua"/>
                <w:b/>
                <w:lang w:val="it-IT"/>
              </w:rPr>
              <w:t>5.9%</w:t>
            </w:r>
          </w:p>
        </w:tc>
      </w:tr>
    </w:tbl>
    <w:p w:rsidR="00276A29" w:rsidRPr="00276A29" w:rsidRDefault="00276A29" w:rsidP="00276A29">
      <w:pPr>
        <w:spacing w:line="360" w:lineRule="auto"/>
        <w:jc w:val="both"/>
        <w:rPr>
          <w:rFonts w:ascii="Book Antiqua" w:hAnsi="Book Antiqua"/>
          <w:color w:val="FF0000"/>
        </w:rPr>
      </w:pPr>
    </w:p>
    <w:p w:rsidR="00445BB7" w:rsidRPr="00445BB7" w:rsidRDefault="00445BB7" w:rsidP="00445BB7">
      <w:pPr>
        <w:spacing w:line="360" w:lineRule="auto"/>
        <w:jc w:val="both"/>
        <w:rPr>
          <w:rFonts w:ascii="Book Antiqua" w:hAnsi="Book Antiqua"/>
          <w:lang w:eastAsia="zh-CN"/>
        </w:rPr>
      </w:pPr>
      <w:r w:rsidRPr="00445BB7">
        <w:rPr>
          <w:rFonts w:ascii="Book Antiqua" w:hAnsi="Book Antiqua" w:hint="eastAsia"/>
          <w:lang w:eastAsia="zh-CN"/>
        </w:rPr>
        <w:t>CR:</w:t>
      </w:r>
      <w:r w:rsidRPr="00445BB7">
        <w:rPr>
          <w:rFonts w:ascii="Book Antiqua" w:hAnsi="Book Antiqua"/>
          <w:noProof/>
          <w:lang w:eastAsia="en-US"/>
        </w:rPr>
        <w:t xml:space="preserve"> Complete response</w:t>
      </w:r>
      <w:r w:rsidRPr="00445BB7">
        <w:rPr>
          <w:rFonts w:ascii="Book Antiqua" w:hAnsi="Book Antiqua" w:hint="eastAsia"/>
          <w:noProof/>
          <w:lang w:eastAsia="zh-CN"/>
        </w:rPr>
        <w:t>;</w:t>
      </w:r>
      <w:r w:rsidRPr="00445BB7">
        <w:rPr>
          <w:rFonts w:ascii="Book Antiqua" w:hAnsi="Book Antiqua" w:hint="eastAsia"/>
          <w:lang w:eastAsia="zh-CN"/>
        </w:rPr>
        <w:t xml:space="preserve"> PR:</w:t>
      </w:r>
      <w:r w:rsidRPr="00445BB7">
        <w:rPr>
          <w:rFonts w:ascii="Book Antiqua" w:hAnsi="Book Antiqua"/>
        </w:rPr>
        <w:t xml:space="preserve"> Partial response</w:t>
      </w:r>
      <w:r w:rsidRPr="00445BB7">
        <w:rPr>
          <w:rFonts w:ascii="Book Antiqua" w:hAnsi="Book Antiqua" w:hint="eastAsia"/>
          <w:lang w:eastAsia="zh-CN"/>
        </w:rPr>
        <w:t>; SD:</w:t>
      </w:r>
      <w:r w:rsidRPr="00445BB7">
        <w:rPr>
          <w:rFonts w:ascii="Book Antiqua" w:hAnsi="Book Antiqua"/>
        </w:rPr>
        <w:t xml:space="preserve"> Stable disease</w:t>
      </w:r>
      <w:r w:rsidRPr="00445BB7">
        <w:rPr>
          <w:rFonts w:ascii="Book Antiqua" w:hAnsi="Book Antiqua" w:hint="eastAsia"/>
          <w:lang w:eastAsia="zh-CN"/>
        </w:rPr>
        <w:t>; PD:</w:t>
      </w:r>
      <w:r w:rsidRPr="00445BB7">
        <w:rPr>
          <w:rFonts w:ascii="Book Antiqua" w:hAnsi="Book Antiqua"/>
        </w:rPr>
        <w:t xml:space="preserve"> Progressive disease</w:t>
      </w:r>
      <w:r w:rsidRPr="00445BB7">
        <w:rPr>
          <w:rFonts w:ascii="Book Antiqua" w:hAnsi="Book Antiqua" w:hint="eastAsia"/>
          <w:lang w:eastAsia="zh-CN"/>
        </w:rPr>
        <w:t>.</w:t>
      </w:r>
    </w:p>
    <w:p w:rsidR="00681195" w:rsidRDefault="00681195">
      <w:pPr>
        <w:rPr>
          <w:rFonts w:ascii="Book Antiqua" w:eastAsia="Times New Roman" w:hAnsi="Book Antiqua"/>
          <w:b/>
          <w:lang w:val="en-US"/>
        </w:rPr>
      </w:pPr>
      <w:r>
        <w:rPr>
          <w:rFonts w:ascii="Book Antiqua" w:eastAsia="Times New Roman" w:hAnsi="Book Antiqua"/>
          <w:b/>
          <w:lang w:val="en-US"/>
        </w:rPr>
        <w:br w:type="page"/>
      </w:r>
    </w:p>
    <w:p w:rsidR="00276A29" w:rsidRPr="00681195" w:rsidRDefault="00445BB7" w:rsidP="00276A29">
      <w:pPr>
        <w:spacing w:line="360" w:lineRule="auto"/>
        <w:jc w:val="both"/>
        <w:rPr>
          <w:rFonts w:ascii="Book Antiqua" w:hAnsi="Book Antiqua"/>
          <w:b/>
          <w:noProof/>
          <w:color w:val="FF0000"/>
          <w:lang w:val="it-IT" w:eastAsia="zh-CN"/>
        </w:rPr>
      </w:pPr>
      <w:r w:rsidRPr="00681195">
        <w:rPr>
          <w:rFonts w:ascii="Book Antiqua" w:eastAsia="Times New Roman" w:hAnsi="Book Antiqua"/>
          <w:b/>
          <w:lang w:val="en-US"/>
        </w:rPr>
        <w:lastRenderedPageBreak/>
        <w:t xml:space="preserve">Table 4 Histological response rate of treated nodules in patients submitted to </w:t>
      </w:r>
      <w:proofErr w:type="spellStart"/>
      <w:r w:rsidRPr="00681195">
        <w:rPr>
          <w:rFonts w:ascii="Book Antiqua" w:hAnsi="Book Antiqua"/>
          <w:b/>
        </w:rPr>
        <w:t>orthotopic</w:t>
      </w:r>
      <w:proofErr w:type="spellEnd"/>
      <w:r w:rsidRPr="00681195">
        <w:rPr>
          <w:rFonts w:ascii="Book Antiqua" w:hAnsi="Book Antiqua"/>
          <w:b/>
        </w:rPr>
        <w:t xml:space="preserve"> transplantation</w:t>
      </w:r>
    </w:p>
    <w:tbl>
      <w:tblPr>
        <w:tblStyle w:val="Grigliatabella3"/>
        <w:tblW w:w="0" w:type="auto"/>
        <w:tblLook w:val="04A0" w:firstRow="1" w:lastRow="0" w:firstColumn="1" w:lastColumn="0" w:noHBand="0" w:noVBand="1"/>
      </w:tblPr>
      <w:tblGrid>
        <w:gridCol w:w="2093"/>
        <w:gridCol w:w="1537"/>
        <w:gridCol w:w="1537"/>
        <w:gridCol w:w="3163"/>
      </w:tblGrid>
      <w:tr w:rsidR="00276A29" w:rsidRPr="00445BB7" w:rsidTr="00445BB7">
        <w:trPr>
          <w:trHeight w:val="850"/>
        </w:trPr>
        <w:tc>
          <w:tcPr>
            <w:tcW w:w="2093" w:type="dxa"/>
            <w:vAlign w:val="center"/>
            <w:hideMark/>
          </w:tcPr>
          <w:p w:rsidR="00276A29" w:rsidRPr="00445BB7" w:rsidRDefault="00276A29" w:rsidP="00276A29">
            <w:pPr>
              <w:spacing w:line="360" w:lineRule="auto"/>
              <w:jc w:val="both"/>
              <w:rPr>
                <w:rFonts w:ascii="Book Antiqua" w:eastAsia="Times New Roman" w:hAnsi="Book Antiqua"/>
                <w:b/>
                <w:lang w:val="it-IT"/>
              </w:rPr>
            </w:pPr>
            <w:r w:rsidRPr="00445BB7">
              <w:rPr>
                <w:rFonts w:ascii="Book Antiqua" w:eastAsia="Times New Roman" w:hAnsi="Book Antiqua"/>
                <w:b/>
                <w:lang w:val="it-IT"/>
              </w:rPr>
              <w:t>Ø nodules</w:t>
            </w:r>
          </w:p>
        </w:tc>
        <w:tc>
          <w:tcPr>
            <w:tcW w:w="6237" w:type="dxa"/>
            <w:gridSpan w:val="3"/>
            <w:vAlign w:val="center"/>
            <w:hideMark/>
          </w:tcPr>
          <w:p w:rsidR="00276A29" w:rsidRPr="00445BB7" w:rsidRDefault="00276A29" w:rsidP="00276A29">
            <w:pPr>
              <w:spacing w:line="360" w:lineRule="auto"/>
              <w:jc w:val="both"/>
              <w:rPr>
                <w:rFonts w:ascii="Book Antiqua" w:eastAsia="Times New Roman" w:hAnsi="Book Antiqua"/>
                <w:b/>
                <w:lang w:val="it-IT"/>
              </w:rPr>
            </w:pPr>
            <w:r w:rsidRPr="00445BB7">
              <w:rPr>
                <w:rFonts w:ascii="Book Antiqua" w:eastAsia="Times New Roman" w:hAnsi="Book Antiqua"/>
                <w:b/>
                <w:lang w:val="it-IT"/>
              </w:rPr>
              <w:t xml:space="preserve">Degree of </w:t>
            </w:r>
            <w:r w:rsidR="00445BB7" w:rsidRPr="00445BB7">
              <w:rPr>
                <w:rFonts w:ascii="Book Antiqua" w:eastAsia="Times New Roman" w:hAnsi="Book Antiqua"/>
                <w:b/>
                <w:lang w:val="it-IT"/>
              </w:rPr>
              <w:t>n</w:t>
            </w:r>
            <w:r w:rsidRPr="00445BB7">
              <w:rPr>
                <w:rFonts w:ascii="Book Antiqua" w:eastAsia="Times New Roman" w:hAnsi="Book Antiqua"/>
                <w:b/>
                <w:lang w:val="it-IT"/>
              </w:rPr>
              <w:t>ecrosis</w:t>
            </w:r>
          </w:p>
        </w:tc>
      </w:tr>
      <w:tr w:rsidR="00276A29" w:rsidRPr="00445BB7" w:rsidTr="00445BB7">
        <w:trPr>
          <w:trHeight w:val="850"/>
        </w:trPr>
        <w:tc>
          <w:tcPr>
            <w:tcW w:w="2093" w:type="dxa"/>
            <w:vAlign w:val="center"/>
          </w:tcPr>
          <w:p w:rsidR="00276A29" w:rsidRPr="00445BB7" w:rsidRDefault="00276A29" w:rsidP="00276A29">
            <w:pPr>
              <w:spacing w:line="360" w:lineRule="auto"/>
              <w:jc w:val="both"/>
              <w:rPr>
                <w:rFonts w:ascii="Book Antiqua" w:eastAsia="Times New Roman" w:hAnsi="Book Antiqua"/>
                <w:b/>
                <w:lang w:val="it-IT"/>
              </w:rPr>
            </w:pPr>
          </w:p>
        </w:tc>
        <w:tc>
          <w:tcPr>
            <w:tcW w:w="1537" w:type="dxa"/>
            <w:vAlign w:val="center"/>
            <w:hideMark/>
          </w:tcPr>
          <w:p w:rsidR="00276A29" w:rsidRPr="00445BB7" w:rsidRDefault="00276A29" w:rsidP="00276A29">
            <w:pPr>
              <w:spacing w:line="360" w:lineRule="auto"/>
              <w:jc w:val="both"/>
              <w:rPr>
                <w:rFonts w:ascii="Book Antiqua" w:eastAsia="Times New Roman" w:hAnsi="Book Antiqua"/>
                <w:b/>
                <w:lang w:val="it-IT"/>
              </w:rPr>
            </w:pPr>
            <w:r w:rsidRPr="00445BB7">
              <w:rPr>
                <w:rFonts w:ascii="Book Antiqua" w:eastAsia="Times New Roman" w:hAnsi="Book Antiqua"/>
                <w:b/>
                <w:lang w:val="it-IT"/>
              </w:rPr>
              <w:t>100%</w:t>
            </w:r>
          </w:p>
        </w:tc>
        <w:tc>
          <w:tcPr>
            <w:tcW w:w="1537" w:type="dxa"/>
            <w:vAlign w:val="center"/>
            <w:hideMark/>
          </w:tcPr>
          <w:p w:rsidR="00276A29" w:rsidRPr="00445BB7" w:rsidRDefault="00276A29" w:rsidP="00276A29">
            <w:pPr>
              <w:spacing w:line="360" w:lineRule="auto"/>
              <w:jc w:val="both"/>
              <w:rPr>
                <w:rFonts w:ascii="Book Antiqua" w:eastAsia="Times New Roman" w:hAnsi="Book Antiqua"/>
                <w:b/>
                <w:lang w:val="it-IT"/>
              </w:rPr>
            </w:pPr>
            <w:r w:rsidRPr="00445BB7">
              <w:rPr>
                <w:rFonts w:ascii="Book Antiqua" w:eastAsia="Times New Roman" w:hAnsi="Book Antiqua"/>
                <w:b/>
                <w:lang w:val="it-IT"/>
              </w:rPr>
              <w:t>&gt; 90%</w:t>
            </w:r>
          </w:p>
        </w:tc>
        <w:tc>
          <w:tcPr>
            <w:tcW w:w="3163" w:type="dxa"/>
            <w:vAlign w:val="center"/>
            <w:hideMark/>
          </w:tcPr>
          <w:p w:rsidR="00276A29" w:rsidRPr="00445BB7" w:rsidRDefault="00276A29" w:rsidP="00276A29">
            <w:pPr>
              <w:spacing w:line="360" w:lineRule="auto"/>
              <w:jc w:val="both"/>
              <w:rPr>
                <w:rFonts w:ascii="Book Antiqua" w:eastAsia="Times New Roman" w:hAnsi="Book Antiqua"/>
                <w:b/>
                <w:lang w:val="it-IT"/>
              </w:rPr>
            </w:pPr>
            <w:r w:rsidRPr="00445BB7">
              <w:rPr>
                <w:rFonts w:ascii="Book Antiqua" w:eastAsia="Times New Roman" w:hAnsi="Book Antiqua"/>
                <w:b/>
                <w:lang w:val="it-IT"/>
              </w:rPr>
              <w:t>&lt; 50%</w:t>
            </w:r>
          </w:p>
        </w:tc>
      </w:tr>
      <w:tr w:rsidR="00276A29" w:rsidRPr="00445BB7" w:rsidTr="00445BB7">
        <w:trPr>
          <w:trHeight w:val="850"/>
        </w:trPr>
        <w:tc>
          <w:tcPr>
            <w:tcW w:w="2093" w:type="dxa"/>
            <w:vAlign w:val="center"/>
            <w:hideMark/>
          </w:tcPr>
          <w:p w:rsidR="00276A29" w:rsidRPr="00445BB7" w:rsidRDefault="00276A29" w:rsidP="00276A29">
            <w:pPr>
              <w:spacing w:line="360" w:lineRule="auto"/>
              <w:jc w:val="both"/>
              <w:rPr>
                <w:rFonts w:ascii="Book Antiqua" w:eastAsia="Times New Roman" w:hAnsi="Book Antiqua"/>
                <w:b/>
                <w:lang w:val="it-IT"/>
              </w:rPr>
            </w:pPr>
            <w:r w:rsidRPr="00445BB7">
              <w:rPr>
                <w:rFonts w:ascii="Book Antiqua" w:eastAsia="Times New Roman" w:hAnsi="Book Antiqua"/>
                <w:b/>
                <w:lang w:val="it-IT"/>
              </w:rPr>
              <w:t>Ø &lt; 3</w:t>
            </w:r>
            <w:r w:rsidR="00445BB7">
              <w:rPr>
                <w:rFonts w:ascii="Book Antiqua" w:hAnsi="Book Antiqua" w:hint="eastAsia"/>
                <w:b/>
                <w:lang w:val="it-IT" w:eastAsia="zh-CN"/>
              </w:rPr>
              <w:t xml:space="preserve"> </w:t>
            </w:r>
            <w:r w:rsidRPr="00445BB7">
              <w:rPr>
                <w:rFonts w:ascii="Book Antiqua" w:eastAsia="Times New Roman" w:hAnsi="Book Antiqua"/>
                <w:b/>
                <w:lang w:val="it-IT"/>
              </w:rPr>
              <w:t>cm</w:t>
            </w:r>
          </w:p>
        </w:tc>
        <w:tc>
          <w:tcPr>
            <w:tcW w:w="1537" w:type="dxa"/>
            <w:vAlign w:val="center"/>
            <w:hideMark/>
          </w:tcPr>
          <w:p w:rsidR="00276A29" w:rsidRPr="00445BB7" w:rsidRDefault="00276A29" w:rsidP="00276A29">
            <w:pPr>
              <w:spacing w:line="360" w:lineRule="auto"/>
              <w:jc w:val="both"/>
              <w:rPr>
                <w:rFonts w:ascii="Book Antiqua" w:eastAsia="Times New Roman" w:hAnsi="Book Antiqua"/>
                <w:b/>
                <w:lang w:val="it-IT"/>
              </w:rPr>
            </w:pPr>
            <w:r w:rsidRPr="00445BB7">
              <w:rPr>
                <w:rFonts w:ascii="Book Antiqua" w:eastAsia="Times New Roman" w:hAnsi="Book Antiqua"/>
                <w:b/>
                <w:lang w:val="it-IT"/>
              </w:rPr>
              <w:t>7</w:t>
            </w:r>
          </w:p>
        </w:tc>
        <w:tc>
          <w:tcPr>
            <w:tcW w:w="1537" w:type="dxa"/>
            <w:vAlign w:val="center"/>
            <w:hideMark/>
          </w:tcPr>
          <w:p w:rsidR="00276A29" w:rsidRPr="00445BB7" w:rsidRDefault="00276A29" w:rsidP="00276A29">
            <w:pPr>
              <w:spacing w:line="360" w:lineRule="auto"/>
              <w:jc w:val="both"/>
              <w:rPr>
                <w:rFonts w:ascii="Book Antiqua" w:eastAsia="Times New Roman" w:hAnsi="Book Antiqua"/>
                <w:b/>
                <w:lang w:val="it-IT"/>
              </w:rPr>
            </w:pPr>
            <w:r w:rsidRPr="00445BB7">
              <w:rPr>
                <w:rFonts w:ascii="Book Antiqua" w:eastAsia="Times New Roman" w:hAnsi="Book Antiqua"/>
                <w:b/>
                <w:lang w:val="it-IT"/>
              </w:rPr>
              <w:t>-</w:t>
            </w:r>
          </w:p>
        </w:tc>
        <w:tc>
          <w:tcPr>
            <w:tcW w:w="3163" w:type="dxa"/>
            <w:vAlign w:val="center"/>
            <w:hideMark/>
          </w:tcPr>
          <w:p w:rsidR="00276A29" w:rsidRPr="00445BB7" w:rsidRDefault="00276A29" w:rsidP="00276A29">
            <w:pPr>
              <w:spacing w:line="360" w:lineRule="auto"/>
              <w:jc w:val="both"/>
              <w:rPr>
                <w:rFonts w:ascii="Book Antiqua" w:eastAsia="Times New Roman" w:hAnsi="Book Antiqua"/>
                <w:b/>
                <w:lang w:val="it-IT"/>
              </w:rPr>
            </w:pPr>
            <w:r w:rsidRPr="00445BB7">
              <w:rPr>
                <w:rFonts w:ascii="Book Antiqua" w:eastAsia="Times New Roman" w:hAnsi="Book Antiqua"/>
                <w:b/>
                <w:lang w:val="it-IT"/>
              </w:rPr>
              <w:t>3</w:t>
            </w:r>
          </w:p>
        </w:tc>
      </w:tr>
      <w:tr w:rsidR="00276A29" w:rsidRPr="00445BB7" w:rsidTr="00445BB7">
        <w:trPr>
          <w:trHeight w:val="850"/>
        </w:trPr>
        <w:tc>
          <w:tcPr>
            <w:tcW w:w="2093" w:type="dxa"/>
            <w:vAlign w:val="center"/>
            <w:hideMark/>
          </w:tcPr>
          <w:p w:rsidR="00276A29" w:rsidRPr="00445BB7" w:rsidRDefault="00276A29" w:rsidP="00276A29">
            <w:pPr>
              <w:spacing w:line="360" w:lineRule="auto"/>
              <w:jc w:val="both"/>
              <w:rPr>
                <w:rFonts w:ascii="Book Antiqua" w:eastAsia="Times New Roman" w:hAnsi="Book Antiqua"/>
                <w:b/>
                <w:lang w:val="it-IT"/>
              </w:rPr>
            </w:pPr>
            <w:r w:rsidRPr="00445BB7">
              <w:rPr>
                <w:rFonts w:ascii="Book Antiqua" w:eastAsia="Times New Roman" w:hAnsi="Book Antiqua"/>
                <w:b/>
                <w:lang w:val="it-IT"/>
              </w:rPr>
              <w:t>3 ≤ Ø ≤ 5</w:t>
            </w:r>
            <w:r w:rsidR="00445BB7">
              <w:rPr>
                <w:rFonts w:ascii="Book Antiqua" w:hAnsi="Book Antiqua" w:hint="eastAsia"/>
                <w:b/>
                <w:lang w:val="it-IT" w:eastAsia="zh-CN"/>
              </w:rPr>
              <w:t xml:space="preserve"> </w:t>
            </w:r>
            <w:r w:rsidRPr="00445BB7">
              <w:rPr>
                <w:rFonts w:ascii="Book Antiqua" w:eastAsia="Times New Roman" w:hAnsi="Book Antiqua"/>
                <w:b/>
                <w:lang w:val="it-IT"/>
              </w:rPr>
              <w:t>cm</w:t>
            </w:r>
          </w:p>
        </w:tc>
        <w:tc>
          <w:tcPr>
            <w:tcW w:w="1537" w:type="dxa"/>
            <w:vAlign w:val="center"/>
            <w:hideMark/>
          </w:tcPr>
          <w:p w:rsidR="00276A29" w:rsidRPr="00445BB7" w:rsidRDefault="00276A29" w:rsidP="00276A29">
            <w:pPr>
              <w:spacing w:line="360" w:lineRule="auto"/>
              <w:jc w:val="both"/>
              <w:rPr>
                <w:rFonts w:ascii="Book Antiqua" w:eastAsia="Times New Roman" w:hAnsi="Book Antiqua"/>
                <w:b/>
                <w:lang w:val="it-IT"/>
              </w:rPr>
            </w:pPr>
            <w:r w:rsidRPr="00445BB7">
              <w:rPr>
                <w:rFonts w:ascii="Book Antiqua" w:eastAsia="Times New Roman" w:hAnsi="Book Antiqua"/>
                <w:b/>
                <w:lang w:val="it-IT"/>
              </w:rPr>
              <w:t>2</w:t>
            </w:r>
          </w:p>
        </w:tc>
        <w:tc>
          <w:tcPr>
            <w:tcW w:w="1537" w:type="dxa"/>
            <w:vAlign w:val="center"/>
            <w:hideMark/>
          </w:tcPr>
          <w:p w:rsidR="00276A29" w:rsidRPr="00445BB7" w:rsidRDefault="00276A29" w:rsidP="00276A29">
            <w:pPr>
              <w:spacing w:line="360" w:lineRule="auto"/>
              <w:jc w:val="both"/>
              <w:rPr>
                <w:rFonts w:ascii="Book Antiqua" w:eastAsia="Times New Roman" w:hAnsi="Book Antiqua"/>
                <w:b/>
                <w:lang w:val="it-IT"/>
              </w:rPr>
            </w:pPr>
            <w:r w:rsidRPr="00445BB7">
              <w:rPr>
                <w:rFonts w:ascii="Book Antiqua" w:eastAsia="Times New Roman" w:hAnsi="Book Antiqua"/>
                <w:b/>
                <w:lang w:val="it-IT"/>
              </w:rPr>
              <w:t>2</w:t>
            </w:r>
          </w:p>
        </w:tc>
        <w:tc>
          <w:tcPr>
            <w:tcW w:w="3163" w:type="dxa"/>
            <w:vAlign w:val="center"/>
            <w:hideMark/>
          </w:tcPr>
          <w:p w:rsidR="00276A29" w:rsidRPr="00445BB7" w:rsidRDefault="00276A29" w:rsidP="00276A29">
            <w:pPr>
              <w:spacing w:line="360" w:lineRule="auto"/>
              <w:jc w:val="both"/>
              <w:rPr>
                <w:rFonts w:ascii="Book Antiqua" w:eastAsia="Times New Roman" w:hAnsi="Book Antiqua"/>
                <w:b/>
                <w:lang w:val="it-IT"/>
              </w:rPr>
            </w:pPr>
            <w:r w:rsidRPr="00445BB7">
              <w:rPr>
                <w:rFonts w:ascii="Book Antiqua" w:eastAsia="Times New Roman" w:hAnsi="Book Antiqua"/>
                <w:b/>
                <w:lang w:val="it-IT"/>
              </w:rPr>
              <w:t>-</w:t>
            </w:r>
          </w:p>
        </w:tc>
      </w:tr>
      <w:tr w:rsidR="00276A29" w:rsidRPr="00445BB7" w:rsidTr="00445BB7">
        <w:trPr>
          <w:trHeight w:val="850"/>
        </w:trPr>
        <w:tc>
          <w:tcPr>
            <w:tcW w:w="2093" w:type="dxa"/>
            <w:vAlign w:val="center"/>
            <w:hideMark/>
          </w:tcPr>
          <w:p w:rsidR="00276A29" w:rsidRPr="00445BB7" w:rsidRDefault="00276A29" w:rsidP="00276A29">
            <w:pPr>
              <w:spacing w:line="360" w:lineRule="auto"/>
              <w:jc w:val="both"/>
              <w:rPr>
                <w:rFonts w:ascii="Book Antiqua" w:eastAsia="Times New Roman" w:hAnsi="Book Antiqua"/>
                <w:b/>
                <w:lang w:val="it-IT"/>
              </w:rPr>
            </w:pPr>
            <w:r w:rsidRPr="00445BB7">
              <w:rPr>
                <w:rFonts w:ascii="Book Antiqua" w:eastAsia="Times New Roman" w:hAnsi="Book Antiqua"/>
                <w:b/>
                <w:lang w:val="it-IT"/>
              </w:rPr>
              <w:t xml:space="preserve">Overall </w:t>
            </w:r>
            <w:r w:rsidR="00445BB7" w:rsidRPr="00445BB7">
              <w:rPr>
                <w:rFonts w:ascii="Book Antiqua" w:eastAsia="Times New Roman" w:hAnsi="Book Antiqua"/>
                <w:b/>
                <w:lang w:val="it-IT"/>
              </w:rPr>
              <w:t>n</w:t>
            </w:r>
            <w:r w:rsidRPr="00445BB7">
              <w:rPr>
                <w:rFonts w:ascii="Book Antiqua" w:eastAsia="Times New Roman" w:hAnsi="Book Antiqua"/>
                <w:b/>
                <w:lang w:val="it-IT"/>
              </w:rPr>
              <w:t>ecrosis</w:t>
            </w:r>
          </w:p>
        </w:tc>
        <w:tc>
          <w:tcPr>
            <w:tcW w:w="1537" w:type="dxa"/>
            <w:vAlign w:val="center"/>
            <w:hideMark/>
          </w:tcPr>
          <w:p w:rsidR="00276A29" w:rsidRPr="00445BB7" w:rsidRDefault="00276A29" w:rsidP="00276A29">
            <w:pPr>
              <w:spacing w:line="360" w:lineRule="auto"/>
              <w:jc w:val="both"/>
              <w:rPr>
                <w:rFonts w:ascii="Book Antiqua" w:eastAsia="Times New Roman" w:hAnsi="Book Antiqua"/>
                <w:b/>
                <w:lang w:val="it-IT"/>
              </w:rPr>
            </w:pPr>
            <w:r w:rsidRPr="00445BB7">
              <w:rPr>
                <w:rFonts w:ascii="Book Antiqua" w:eastAsia="Times New Roman" w:hAnsi="Book Antiqua"/>
                <w:b/>
                <w:lang w:val="it-IT"/>
              </w:rPr>
              <w:t>9 (64.3%)</w:t>
            </w:r>
          </w:p>
        </w:tc>
        <w:tc>
          <w:tcPr>
            <w:tcW w:w="1537" w:type="dxa"/>
            <w:vAlign w:val="center"/>
            <w:hideMark/>
          </w:tcPr>
          <w:p w:rsidR="00276A29" w:rsidRPr="00445BB7" w:rsidRDefault="00276A29" w:rsidP="00276A29">
            <w:pPr>
              <w:spacing w:line="360" w:lineRule="auto"/>
              <w:jc w:val="both"/>
              <w:rPr>
                <w:rFonts w:ascii="Book Antiqua" w:eastAsia="Times New Roman" w:hAnsi="Book Antiqua"/>
                <w:b/>
                <w:lang w:val="it-IT"/>
              </w:rPr>
            </w:pPr>
            <w:r w:rsidRPr="00445BB7">
              <w:rPr>
                <w:rFonts w:ascii="Book Antiqua" w:eastAsia="Times New Roman" w:hAnsi="Book Antiqua"/>
                <w:b/>
                <w:lang w:val="it-IT"/>
              </w:rPr>
              <w:t>2 (14.3%)</w:t>
            </w:r>
          </w:p>
        </w:tc>
        <w:tc>
          <w:tcPr>
            <w:tcW w:w="3163" w:type="dxa"/>
            <w:vAlign w:val="center"/>
            <w:hideMark/>
          </w:tcPr>
          <w:p w:rsidR="00276A29" w:rsidRPr="00445BB7" w:rsidRDefault="00276A29" w:rsidP="00276A29">
            <w:pPr>
              <w:spacing w:line="360" w:lineRule="auto"/>
              <w:jc w:val="both"/>
              <w:rPr>
                <w:rFonts w:ascii="Book Antiqua" w:eastAsia="Times New Roman" w:hAnsi="Book Antiqua"/>
                <w:b/>
                <w:lang w:val="it-IT"/>
              </w:rPr>
            </w:pPr>
            <w:r w:rsidRPr="00445BB7">
              <w:rPr>
                <w:rFonts w:ascii="Book Antiqua" w:eastAsia="Times New Roman" w:hAnsi="Book Antiqua"/>
                <w:b/>
                <w:lang w:val="it-IT"/>
              </w:rPr>
              <w:t>3 (21.4%)</w:t>
            </w:r>
          </w:p>
        </w:tc>
      </w:tr>
    </w:tbl>
    <w:p w:rsidR="00276A29" w:rsidRDefault="00276A29" w:rsidP="00276A29">
      <w:pPr>
        <w:spacing w:line="360" w:lineRule="auto"/>
        <w:jc w:val="both"/>
        <w:rPr>
          <w:rFonts w:ascii="Book Antiqua" w:hAnsi="Book Antiqua"/>
          <w:color w:val="FF0000"/>
          <w:lang w:eastAsia="zh-CN"/>
        </w:rPr>
      </w:pPr>
    </w:p>
    <w:p w:rsidR="00681195" w:rsidRDefault="00681195">
      <w:pPr>
        <w:rPr>
          <w:rFonts w:ascii="Book Antiqua" w:eastAsia="Times New Roman" w:hAnsi="Book Antiqua"/>
          <w:b/>
        </w:rPr>
      </w:pPr>
      <w:r>
        <w:rPr>
          <w:rFonts w:ascii="Book Antiqua" w:eastAsia="Times New Roman" w:hAnsi="Book Antiqua"/>
          <w:b/>
        </w:rPr>
        <w:br w:type="page"/>
      </w:r>
    </w:p>
    <w:p w:rsidR="00681195" w:rsidRPr="00681195" w:rsidRDefault="00681195" w:rsidP="00276A29">
      <w:pPr>
        <w:spacing w:line="360" w:lineRule="auto"/>
        <w:jc w:val="both"/>
        <w:rPr>
          <w:rFonts w:ascii="Book Antiqua" w:hAnsi="Book Antiqua"/>
          <w:color w:val="FF0000"/>
          <w:lang w:eastAsia="zh-CN"/>
        </w:rPr>
      </w:pPr>
      <w:r w:rsidRPr="00681195">
        <w:rPr>
          <w:rFonts w:ascii="Book Antiqua" w:eastAsia="Times New Roman" w:hAnsi="Book Antiqua"/>
          <w:b/>
        </w:rPr>
        <w:lastRenderedPageBreak/>
        <w:t>Table 5 Adverse events</w:t>
      </w:r>
    </w:p>
    <w:tbl>
      <w:tblPr>
        <w:tblStyle w:val="Grigliatabella4"/>
        <w:tblW w:w="0" w:type="auto"/>
        <w:tblLook w:val="04A0" w:firstRow="1" w:lastRow="0" w:firstColumn="1" w:lastColumn="0" w:noHBand="0" w:noVBand="1"/>
      </w:tblPr>
      <w:tblGrid>
        <w:gridCol w:w="4644"/>
        <w:gridCol w:w="2268"/>
        <w:gridCol w:w="2268"/>
      </w:tblGrid>
      <w:tr w:rsidR="00276A29" w:rsidRPr="00276A29" w:rsidTr="00681195">
        <w:trPr>
          <w:trHeight w:val="567"/>
        </w:trPr>
        <w:tc>
          <w:tcPr>
            <w:tcW w:w="4644" w:type="dxa"/>
            <w:vAlign w:val="center"/>
            <w:hideMark/>
          </w:tcPr>
          <w:p w:rsidR="00276A29" w:rsidRPr="00681195" w:rsidRDefault="00276A29" w:rsidP="00276A29">
            <w:pPr>
              <w:spacing w:line="360" w:lineRule="auto"/>
              <w:jc w:val="both"/>
              <w:rPr>
                <w:rFonts w:ascii="Book Antiqua" w:eastAsia="Times New Roman" w:hAnsi="Book Antiqua"/>
                <w:b/>
              </w:rPr>
            </w:pPr>
            <w:r w:rsidRPr="00681195">
              <w:rPr>
                <w:rFonts w:ascii="Book Antiqua" w:eastAsia="Times New Roman" w:hAnsi="Book Antiqua"/>
                <w:b/>
              </w:rPr>
              <w:t>Toxicity</w:t>
            </w:r>
          </w:p>
        </w:tc>
        <w:tc>
          <w:tcPr>
            <w:tcW w:w="2268" w:type="dxa"/>
            <w:vAlign w:val="center"/>
            <w:hideMark/>
          </w:tcPr>
          <w:p w:rsidR="00276A29" w:rsidRPr="00681195" w:rsidRDefault="00276A29" w:rsidP="00276A29">
            <w:pPr>
              <w:spacing w:line="360" w:lineRule="auto"/>
              <w:jc w:val="both"/>
              <w:rPr>
                <w:rFonts w:ascii="Book Antiqua" w:eastAsia="Times New Roman" w:hAnsi="Book Antiqua"/>
                <w:b/>
              </w:rPr>
            </w:pPr>
            <w:r w:rsidRPr="00681195">
              <w:rPr>
                <w:rFonts w:ascii="Book Antiqua" w:eastAsia="Times New Roman" w:hAnsi="Book Antiqua"/>
                <w:b/>
              </w:rPr>
              <w:t>Grade 1 / 2</w:t>
            </w:r>
          </w:p>
        </w:tc>
        <w:tc>
          <w:tcPr>
            <w:tcW w:w="2268" w:type="dxa"/>
            <w:vAlign w:val="center"/>
            <w:hideMark/>
          </w:tcPr>
          <w:p w:rsidR="00276A29" w:rsidRPr="00681195" w:rsidRDefault="00276A29" w:rsidP="00276A29">
            <w:pPr>
              <w:spacing w:line="360" w:lineRule="auto"/>
              <w:jc w:val="both"/>
              <w:rPr>
                <w:rFonts w:ascii="Book Antiqua" w:eastAsia="Times New Roman" w:hAnsi="Book Antiqua"/>
                <w:b/>
              </w:rPr>
            </w:pPr>
            <w:r w:rsidRPr="00681195">
              <w:rPr>
                <w:rFonts w:ascii="Book Antiqua" w:eastAsia="Times New Roman" w:hAnsi="Book Antiqua"/>
                <w:b/>
              </w:rPr>
              <w:t>Grade 3 / 4</w:t>
            </w:r>
          </w:p>
        </w:tc>
      </w:tr>
      <w:tr w:rsidR="00276A29" w:rsidRPr="00276A29" w:rsidTr="00681195">
        <w:trPr>
          <w:trHeight w:val="850"/>
        </w:trPr>
        <w:tc>
          <w:tcPr>
            <w:tcW w:w="4644" w:type="dxa"/>
            <w:vAlign w:val="center"/>
            <w:hideMark/>
          </w:tcPr>
          <w:p w:rsidR="00276A29" w:rsidRPr="00681195" w:rsidRDefault="00276A29" w:rsidP="00276A29">
            <w:pPr>
              <w:spacing w:line="360" w:lineRule="auto"/>
              <w:jc w:val="both"/>
              <w:rPr>
                <w:rFonts w:ascii="Book Antiqua" w:eastAsia="Times New Roman" w:hAnsi="Book Antiqua"/>
                <w:b/>
              </w:rPr>
            </w:pPr>
            <w:r w:rsidRPr="00681195">
              <w:rPr>
                <w:rFonts w:ascii="Book Antiqua" w:eastAsia="Times New Roman" w:hAnsi="Book Antiqua"/>
                <w:b/>
              </w:rPr>
              <w:t xml:space="preserve">Clinical </w:t>
            </w:r>
            <w:r w:rsidR="00681195" w:rsidRPr="00681195">
              <w:rPr>
                <w:rFonts w:ascii="Book Antiqua" w:eastAsia="Times New Roman" w:hAnsi="Book Antiqua"/>
                <w:b/>
              </w:rPr>
              <w:t>f</w:t>
            </w:r>
            <w:r w:rsidRPr="00681195">
              <w:rPr>
                <w:rFonts w:ascii="Book Antiqua" w:eastAsia="Times New Roman" w:hAnsi="Book Antiqua"/>
                <w:b/>
              </w:rPr>
              <w:t>indings</w:t>
            </w:r>
          </w:p>
        </w:tc>
        <w:tc>
          <w:tcPr>
            <w:tcW w:w="2268" w:type="dxa"/>
            <w:vAlign w:val="center"/>
          </w:tcPr>
          <w:p w:rsidR="00276A29" w:rsidRPr="00681195" w:rsidRDefault="00276A29" w:rsidP="00276A29">
            <w:pPr>
              <w:spacing w:line="360" w:lineRule="auto"/>
              <w:jc w:val="both"/>
              <w:rPr>
                <w:rFonts w:ascii="Book Antiqua" w:eastAsia="Times New Roman" w:hAnsi="Book Antiqua"/>
                <w:b/>
              </w:rPr>
            </w:pPr>
          </w:p>
        </w:tc>
        <w:tc>
          <w:tcPr>
            <w:tcW w:w="2268" w:type="dxa"/>
            <w:vAlign w:val="center"/>
          </w:tcPr>
          <w:p w:rsidR="00276A29" w:rsidRPr="00681195" w:rsidRDefault="00276A29" w:rsidP="00276A29">
            <w:pPr>
              <w:spacing w:line="360" w:lineRule="auto"/>
              <w:jc w:val="both"/>
              <w:rPr>
                <w:rFonts w:ascii="Book Antiqua" w:eastAsia="Times New Roman" w:hAnsi="Book Antiqua"/>
                <w:b/>
              </w:rPr>
            </w:pPr>
          </w:p>
        </w:tc>
      </w:tr>
      <w:tr w:rsidR="00276A29" w:rsidRPr="00276A29" w:rsidTr="00681195">
        <w:trPr>
          <w:trHeight w:val="567"/>
        </w:trPr>
        <w:tc>
          <w:tcPr>
            <w:tcW w:w="4644" w:type="dxa"/>
            <w:vAlign w:val="center"/>
            <w:hideMark/>
          </w:tcPr>
          <w:p w:rsidR="00276A29" w:rsidRPr="00681195" w:rsidRDefault="00276A29" w:rsidP="00276A29">
            <w:pPr>
              <w:spacing w:line="360" w:lineRule="auto"/>
              <w:jc w:val="both"/>
              <w:rPr>
                <w:rFonts w:ascii="Book Antiqua" w:eastAsia="Times New Roman" w:hAnsi="Book Antiqua"/>
                <w:b/>
              </w:rPr>
            </w:pPr>
            <w:r w:rsidRPr="00681195">
              <w:rPr>
                <w:rFonts w:ascii="Book Antiqua" w:eastAsia="Times New Roman" w:hAnsi="Book Antiqua"/>
                <w:b/>
              </w:rPr>
              <w:t xml:space="preserve">Post </w:t>
            </w:r>
            <w:r w:rsidR="00681195" w:rsidRPr="00681195">
              <w:rPr>
                <w:rFonts w:ascii="Book Antiqua" w:eastAsia="Times New Roman" w:hAnsi="Book Antiqua"/>
                <w:b/>
              </w:rPr>
              <w:t>embolization syndrome</w:t>
            </w:r>
          </w:p>
        </w:tc>
        <w:tc>
          <w:tcPr>
            <w:tcW w:w="2268" w:type="dxa"/>
            <w:vAlign w:val="center"/>
            <w:hideMark/>
          </w:tcPr>
          <w:p w:rsidR="00276A29" w:rsidRPr="00681195" w:rsidRDefault="00276A29" w:rsidP="00276A29">
            <w:pPr>
              <w:spacing w:line="360" w:lineRule="auto"/>
              <w:jc w:val="both"/>
              <w:rPr>
                <w:rFonts w:ascii="Book Antiqua" w:eastAsia="Times New Roman" w:hAnsi="Book Antiqua"/>
                <w:b/>
              </w:rPr>
            </w:pPr>
            <w:r w:rsidRPr="00681195">
              <w:rPr>
                <w:rFonts w:ascii="Book Antiqua" w:eastAsia="Times New Roman" w:hAnsi="Book Antiqua"/>
                <w:b/>
              </w:rPr>
              <w:t>11/73 (15%)</w:t>
            </w:r>
          </w:p>
        </w:tc>
        <w:tc>
          <w:tcPr>
            <w:tcW w:w="2268" w:type="dxa"/>
            <w:vAlign w:val="center"/>
            <w:hideMark/>
          </w:tcPr>
          <w:p w:rsidR="00276A29" w:rsidRPr="00681195" w:rsidRDefault="00276A29" w:rsidP="00276A29">
            <w:pPr>
              <w:spacing w:line="360" w:lineRule="auto"/>
              <w:jc w:val="both"/>
              <w:rPr>
                <w:rFonts w:ascii="Book Antiqua" w:eastAsia="Times New Roman" w:hAnsi="Book Antiqua"/>
                <w:b/>
              </w:rPr>
            </w:pPr>
            <w:r w:rsidRPr="00681195">
              <w:rPr>
                <w:rFonts w:ascii="Book Antiqua" w:eastAsia="Times New Roman" w:hAnsi="Book Antiqua"/>
                <w:b/>
              </w:rPr>
              <w:t xml:space="preserve">        -</w:t>
            </w:r>
          </w:p>
        </w:tc>
      </w:tr>
      <w:tr w:rsidR="00276A29" w:rsidRPr="00276A29" w:rsidTr="00681195">
        <w:trPr>
          <w:trHeight w:val="567"/>
        </w:trPr>
        <w:tc>
          <w:tcPr>
            <w:tcW w:w="4644" w:type="dxa"/>
            <w:vAlign w:val="center"/>
            <w:hideMark/>
          </w:tcPr>
          <w:p w:rsidR="00276A29" w:rsidRPr="00681195" w:rsidRDefault="00276A29" w:rsidP="00276A29">
            <w:pPr>
              <w:spacing w:line="360" w:lineRule="auto"/>
              <w:jc w:val="both"/>
              <w:rPr>
                <w:rFonts w:ascii="Book Antiqua" w:eastAsia="Times New Roman" w:hAnsi="Book Antiqua"/>
                <w:b/>
              </w:rPr>
            </w:pPr>
            <w:r w:rsidRPr="00681195">
              <w:rPr>
                <w:rFonts w:ascii="Book Antiqua" w:eastAsia="Times New Roman" w:hAnsi="Book Antiqua"/>
                <w:b/>
              </w:rPr>
              <w:t>Ascites</w:t>
            </w:r>
          </w:p>
        </w:tc>
        <w:tc>
          <w:tcPr>
            <w:tcW w:w="2268" w:type="dxa"/>
            <w:vAlign w:val="center"/>
            <w:hideMark/>
          </w:tcPr>
          <w:p w:rsidR="00276A29" w:rsidRPr="00681195" w:rsidRDefault="00276A29" w:rsidP="00276A29">
            <w:pPr>
              <w:spacing w:line="360" w:lineRule="auto"/>
              <w:jc w:val="both"/>
              <w:rPr>
                <w:rFonts w:ascii="Book Antiqua" w:eastAsia="Times New Roman" w:hAnsi="Book Antiqua"/>
                <w:b/>
              </w:rPr>
            </w:pPr>
            <w:r w:rsidRPr="00681195">
              <w:rPr>
                <w:rFonts w:ascii="Book Antiqua" w:eastAsia="Times New Roman" w:hAnsi="Book Antiqua"/>
                <w:b/>
              </w:rPr>
              <w:t>3/73 (4.1%)</w:t>
            </w:r>
          </w:p>
        </w:tc>
        <w:tc>
          <w:tcPr>
            <w:tcW w:w="2268" w:type="dxa"/>
            <w:vAlign w:val="center"/>
            <w:hideMark/>
          </w:tcPr>
          <w:p w:rsidR="00276A29" w:rsidRPr="00681195" w:rsidRDefault="00276A29" w:rsidP="00276A29">
            <w:pPr>
              <w:spacing w:line="360" w:lineRule="auto"/>
              <w:jc w:val="both"/>
              <w:rPr>
                <w:rFonts w:ascii="Book Antiqua" w:eastAsia="Times New Roman" w:hAnsi="Book Antiqua"/>
                <w:b/>
              </w:rPr>
            </w:pPr>
            <w:r w:rsidRPr="00681195">
              <w:rPr>
                <w:rFonts w:ascii="Book Antiqua" w:eastAsia="Times New Roman" w:hAnsi="Book Antiqua"/>
                <w:b/>
              </w:rPr>
              <w:t xml:space="preserve">        -</w:t>
            </w:r>
          </w:p>
        </w:tc>
      </w:tr>
      <w:tr w:rsidR="00276A29" w:rsidRPr="00276A29" w:rsidTr="00681195">
        <w:trPr>
          <w:trHeight w:val="567"/>
        </w:trPr>
        <w:tc>
          <w:tcPr>
            <w:tcW w:w="4644" w:type="dxa"/>
            <w:vAlign w:val="center"/>
            <w:hideMark/>
          </w:tcPr>
          <w:p w:rsidR="00276A29" w:rsidRPr="00681195" w:rsidRDefault="00276A29" w:rsidP="00276A29">
            <w:pPr>
              <w:spacing w:line="360" w:lineRule="auto"/>
              <w:jc w:val="both"/>
              <w:rPr>
                <w:rFonts w:ascii="Book Antiqua" w:eastAsia="Times New Roman" w:hAnsi="Book Antiqua"/>
                <w:b/>
              </w:rPr>
            </w:pPr>
            <w:r w:rsidRPr="00681195">
              <w:rPr>
                <w:rFonts w:ascii="Book Antiqua" w:eastAsia="Times New Roman" w:hAnsi="Book Antiqua"/>
                <w:b/>
              </w:rPr>
              <w:t xml:space="preserve">Abdominal </w:t>
            </w:r>
            <w:r w:rsidR="00681195" w:rsidRPr="00681195">
              <w:rPr>
                <w:rFonts w:ascii="Book Antiqua" w:eastAsia="Times New Roman" w:hAnsi="Book Antiqua"/>
                <w:b/>
              </w:rPr>
              <w:t>p</w:t>
            </w:r>
            <w:r w:rsidRPr="00681195">
              <w:rPr>
                <w:rFonts w:ascii="Book Antiqua" w:eastAsia="Times New Roman" w:hAnsi="Book Antiqua"/>
                <w:b/>
              </w:rPr>
              <w:t>ain</w:t>
            </w:r>
          </w:p>
        </w:tc>
        <w:tc>
          <w:tcPr>
            <w:tcW w:w="2268" w:type="dxa"/>
            <w:vAlign w:val="center"/>
            <w:hideMark/>
          </w:tcPr>
          <w:p w:rsidR="00276A29" w:rsidRPr="00681195" w:rsidRDefault="00276A29" w:rsidP="00276A29">
            <w:pPr>
              <w:spacing w:line="360" w:lineRule="auto"/>
              <w:jc w:val="both"/>
              <w:rPr>
                <w:rFonts w:ascii="Book Antiqua" w:eastAsia="Times New Roman" w:hAnsi="Book Antiqua"/>
                <w:b/>
              </w:rPr>
            </w:pPr>
            <w:r w:rsidRPr="00681195">
              <w:rPr>
                <w:rFonts w:ascii="Book Antiqua" w:eastAsia="Times New Roman" w:hAnsi="Book Antiqua"/>
                <w:b/>
              </w:rPr>
              <w:t>18/73 (24.6%)</w:t>
            </w:r>
          </w:p>
        </w:tc>
        <w:tc>
          <w:tcPr>
            <w:tcW w:w="2268" w:type="dxa"/>
            <w:vAlign w:val="center"/>
            <w:hideMark/>
          </w:tcPr>
          <w:p w:rsidR="00276A29" w:rsidRPr="00681195" w:rsidRDefault="00276A29" w:rsidP="00276A29">
            <w:pPr>
              <w:spacing w:line="360" w:lineRule="auto"/>
              <w:jc w:val="both"/>
              <w:rPr>
                <w:rFonts w:ascii="Book Antiqua" w:eastAsia="Times New Roman" w:hAnsi="Book Antiqua"/>
                <w:b/>
              </w:rPr>
            </w:pPr>
            <w:r w:rsidRPr="00681195">
              <w:rPr>
                <w:rFonts w:ascii="Book Antiqua" w:eastAsia="Times New Roman" w:hAnsi="Book Antiqua"/>
                <w:b/>
              </w:rPr>
              <w:t xml:space="preserve">        -</w:t>
            </w:r>
          </w:p>
        </w:tc>
      </w:tr>
      <w:tr w:rsidR="00276A29" w:rsidRPr="00276A29" w:rsidTr="00681195">
        <w:trPr>
          <w:trHeight w:val="567"/>
        </w:trPr>
        <w:tc>
          <w:tcPr>
            <w:tcW w:w="4644" w:type="dxa"/>
            <w:vAlign w:val="center"/>
            <w:hideMark/>
          </w:tcPr>
          <w:p w:rsidR="00276A29" w:rsidRPr="00681195" w:rsidRDefault="00681195" w:rsidP="00276A29">
            <w:pPr>
              <w:spacing w:line="360" w:lineRule="auto"/>
              <w:jc w:val="both"/>
              <w:rPr>
                <w:rFonts w:ascii="Book Antiqua" w:eastAsia="Times New Roman" w:hAnsi="Book Antiqua"/>
                <w:b/>
              </w:rPr>
            </w:pPr>
            <w:r>
              <w:rPr>
                <w:rFonts w:ascii="Book Antiqua" w:eastAsia="Times New Roman" w:hAnsi="Book Antiqua"/>
                <w:b/>
              </w:rPr>
              <w:t>Nausea /</w:t>
            </w:r>
            <w:r w:rsidRPr="00681195">
              <w:rPr>
                <w:rFonts w:ascii="Book Antiqua" w:eastAsia="Times New Roman" w:hAnsi="Book Antiqua"/>
                <w:b/>
              </w:rPr>
              <w:t>v</w:t>
            </w:r>
            <w:r w:rsidR="00276A29" w:rsidRPr="00681195">
              <w:rPr>
                <w:rFonts w:ascii="Book Antiqua" w:eastAsia="Times New Roman" w:hAnsi="Book Antiqua"/>
                <w:b/>
              </w:rPr>
              <w:t>omiting</w:t>
            </w:r>
          </w:p>
        </w:tc>
        <w:tc>
          <w:tcPr>
            <w:tcW w:w="2268" w:type="dxa"/>
            <w:vAlign w:val="center"/>
            <w:hideMark/>
          </w:tcPr>
          <w:p w:rsidR="00276A29" w:rsidRPr="00681195" w:rsidRDefault="00276A29" w:rsidP="00276A29">
            <w:pPr>
              <w:spacing w:line="360" w:lineRule="auto"/>
              <w:jc w:val="both"/>
              <w:rPr>
                <w:rFonts w:ascii="Book Antiqua" w:eastAsia="Times New Roman" w:hAnsi="Book Antiqua"/>
                <w:b/>
              </w:rPr>
            </w:pPr>
            <w:r w:rsidRPr="00681195">
              <w:rPr>
                <w:rFonts w:ascii="Book Antiqua" w:eastAsia="Times New Roman" w:hAnsi="Book Antiqua"/>
                <w:b/>
              </w:rPr>
              <w:t>9/73 (12.3%)</w:t>
            </w:r>
          </w:p>
        </w:tc>
        <w:tc>
          <w:tcPr>
            <w:tcW w:w="2268" w:type="dxa"/>
            <w:vAlign w:val="center"/>
            <w:hideMark/>
          </w:tcPr>
          <w:p w:rsidR="00276A29" w:rsidRPr="00681195" w:rsidRDefault="00276A29" w:rsidP="00276A29">
            <w:pPr>
              <w:spacing w:line="360" w:lineRule="auto"/>
              <w:jc w:val="both"/>
              <w:rPr>
                <w:rFonts w:ascii="Book Antiqua" w:eastAsia="Times New Roman" w:hAnsi="Book Antiqua"/>
                <w:b/>
              </w:rPr>
            </w:pPr>
            <w:r w:rsidRPr="00681195">
              <w:rPr>
                <w:rFonts w:ascii="Book Antiqua" w:eastAsia="Times New Roman" w:hAnsi="Book Antiqua"/>
                <w:b/>
              </w:rPr>
              <w:t xml:space="preserve">        -</w:t>
            </w:r>
          </w:p>
        </w:tc>
      </w:tr>
      <w:tr w:rsidR="00276A29" w:rsidRPr="00276A29" w:rsidTr="00681195">
        <w:trPr>
          <w:trHeight w:val="850"/>
        </w:trPr>
        <w:tc>
          <w:tcPr>
            <w:tcW w:w="4644" w:type="dxa"/>
            <w:vAlign w:val="center"/>
            <w:hideMark/>
          </w:tcPr>
          <w:p w:rsidR="00276A29" w:rsidRPr="00681195" w:rsidRDefault="00276A29" w:rsidP="00276A29">
            <w:pPr>
              <w:spacing w:line="360" w:lineRule="auto"/>
              <w:jc w:val="both"/>
              <w:rPr>
                <w:rFonts w:ascii="Book Antiqua" w:eastAsia="Times New Roman" w:hAnsi="Book Antiqua"/>
                <w:b/>
              </w:rPr>
            </w:pPr>
            <w:r w:rsidRPr="00681195">
              <w:rPr>
                <w:rFonts w:ascii="Book Antiqua" w:eastAsia="Times New Roman" w:hAnsi="Book Antiqua"/>
                <w:b/>
              </w:rPr>
              <w:t xml:space="preserve">Laboratory </w:t>
            </w:r>
            <w:r w:rsidR="00681195" w:rsidRPr="00681195">
              <w:rPr>
                <w:rFonts w:ascii="Book Antiqua" w:eastAsia="Times New Roman" w:hAnsi="Book Antiqua"/>
                <w:b/>
              </w:rPr>
              <w:t>t</w:t>
            </w:r>
            <w:r w:rsidRPr="00681195">
              <w:rPr>
                <w:rFonts w:ascii="Book Antiqua" w:eastAsia="Times New Roman" w:hAnsi="Book Antiqua"/>
                <w:b/>
              </w:rPr>
              <w:t>ests</w:t>
            </w:r>
          </w:p>
        </w:tc>
        <w:tc>
          <w:tcPr>
            <w:tcW w:w="2268" w:type="dxa"/>
            <w:vAlign w:val="center"/>
          </w:tcPr>
          <w:p w:rsidR="00276A29" w:rsidRPr="00681195" w:rsidRDefault="00276A29" w:rsidP="00276A29">
            <w:pPr>
              <w:spacing w:line="360" w:lineRule="auto"/>
              <w:jc w:val="both"/>
              <w:rPr>
                <w:rFonts w:ascii="Book Antiqua" w:eastAsia="Times New Roman" w:hAnsi="Book Antiqua"/>
                <w:b/>
              </w:rPr>
            </w:pPr>
          </w:p>
        </w:tc>
        <w:tc>
          <w:tcPr>
            <w:tcW w:w="2268" w:type="dxa"/>
            <w:vAlign w:val="center"/>
          </w:tcPr>
          <w:p w:rsidR="00276A29" w:rsidRPr="00681195" w:rsidRDefault="00276A29" w:rsidP="00276A29">
            <w:pPr>
              <w:spacing w:line="360" w:lineRule="auto"/>
              <w:jc w:val="both"/>
              <w:rPr>
                <w:rFonts w:ascii="Book Antiqua" w:eastAsia="Times New Roman" w:hAnsi="Book Antiqua"/>
                <w:b/>
              </w:rPr>
            </w:pPr>
          </w:p>
        </w:tc>
      </w:tr>
      <w:tr w:rsidR="00276A29" w:rsidRPr="00276A29" w:rsidTr="00681195">
        <w:trPr>
          <w:trHeight w:val="567"/>
        </w:trPr>
        <w:tc>
          <w:tcPr>
            <w:tcW w:w="4644" w:type="dxa"/>
            <w:vAlign w:val="center"/>
            <w:hideMark/>
          </w:tcPr>
          <w:p w:rsidR="00276A29" w:rsidRPr="00681195" w:rsidRDefault="00276A29" w:rsidP="00276A29">
            <w:pPr>
              <w:spacing w:line="360" w:lineRule="auto"/>
              <w:jc w:val="both"/>
              <w:rPr>
                <w:rFonts w:ascii="Book Antiqua" w:eastAsia="Times New Roman" w:hAnsi="Book Antiqua"/>
                <w:b/>
              </w:rPr>
            </w:pPr>
            <w:r w:rsidRPr="00681195">
              <w:rPr>
                <w:rFonts w:ascii="Book Antiqua" w:eastAsia="Times New Roman" w:hAnsi="Book Antiqua"/>
                <w:b/>
              </w:rPr>
              <w:t>Bilirubin</w:t>
            </w:r>
          </w:p>
        </w:tc>
        <w:tc>
          <w:tcPr>
            <w:tcW w:w="2268" w:type="dxa"/>
            <w:vAlign w:val="center"/>
            <w:hideMark/>
          </w:tcPr>
          <w:p w:rsidR="00276A29" w:rsidRPr="00681195" w:rsidRDefault="00276A29" w:rsidP="00276A29">
            <w:pPr>
              <w:spacing w:line="360" w:lineRule="auto"/>
              <w:jc w:val="both"/>
              <w:rPr>
                <w:rFonts w:ascii="Book Antiqua" w:eastAsia="Times New Roman" w:hAnsi="Book Antiqua"/>
                <w:b/>
              </w:rPr>
            </w:pPr>
            <w:r w:rsidRPr="00681195">
              <w:rPr>
                <w:rFonts w:ascii="Book Antiqua" w:eastAsia="Times New Roman" w:hAnsi="Book Antiqua"/>
                <w:b/>
              </w:rPr>
              <w:t>5/73 (6.8%)</w:t>
            </w:r>
          </w:p>
        </w:tc>
        <w:tc>
          <w:tcPr>
            <w:tcW w:w="2268" w:type="dxa"/>
            <w:vAlign w:val="center"/>
            <w:hideMark/>
          </w:tcPr>
          <w:p w:rsidR="00276A29" w:rsidRPr="00681195" w:rsidRDefault="00276A29" w:rsidP="00276A29">
            <w:pPr>
              <w:spacing w:line="360" w:lineRule="auto"/>
              <w:jc w:val="both"/>
              <w:rPr>
                <w:rFonts w:ascii="Book Antiqua" w:eastAsia="Times New Roman" w:hAnsi="Book Antiqua"/>
                <w:b/>
              </w:rPr>
            </w:pPr>
            <w:r w:rsidRPr="00681195">
              <w:rPr>
                <w:rFonts w:ascii="Book Antiqua" w:eastAsia="Times New Roman" w:hAnsi="Book Antiqua"/>
                <w:b/>
              </w:rPr>
              <w:t xml:space="preserve">        -</w:t>
            </w:r>
          </w:p>
        </w:tc>
      </w:tr>
      <w:tr w:rsidR="00276A29" w:rsidRPr="00276A29" w:rsidTr="00681195">
        <w:trPr>
          <w:trHeight w:val="567"/>
        </w:trPr>
        <w:tc>
          <w:tcPr>
            <w:tcW w:w="4644" w:type="dxa"/>
            <w:vAlign w:val="center"/>
            <w:hideMark/>
          </w:tcPr>
          <w:p w:rsidR="00276A29" w:rsidRPr="00681195" w:rsidRDefault="00276A29" w:rsidP="00276A29">
            <w:pPr>
              <w:spacing w:line="360" w:lineRule="auto"/>
              <w:jc w:val="both"/>
              <w:rPr>
                <w:rFonts w:ascii="Book Antiqua" w:eastAsia="Times New Roman" w:hAnsi="Book Antiqua"/>
                <w:b/>
              </w:rPr>
            </w:pPr>
            <w:r w:rsidRPr="00681195">
              <w:rPr>
                <w:rFonts w:ascii="Book Antiqua" w:eastAsia="Times New Roman" w:hAnsi="Book Antiqua"/>
                <w:b/>
              </w:rPr>
              <w:t>Transaminase</w:t>
            </w:r>
          </w:p>
        </w:tc>
        <w:tc>
          <w:tcPr>
            <w:tcW w:w="2268" w:type="dxa"/>
            <w:vAlign w:val="center"/>
            <w:hideMark/>
          </w:tcPr>
          <w:p w:rsidR="00276A29" w:rsidRPr="00681195" w:rsidRDefault="00276A29" w:rsidP="00276A29">
            <w:pPr>
              <w:spacing w:line="360" w:lineRule="auto"/>
              <w:jc w:val="both"/>
              <w:rPr>
                <w:rFonts w:ascii="Book Antiqua" w:eastAsia="Times New Roman" w:hAnsi="Book Antiqua"/>
                <w:b/>
              </w:rPr>
            </w:pPr>
            <w:r w:rsidRPr="00681195">
              <w:rPr>
                <w:rFonts w:ascii="Book Antiqua" w:eastAsia="Times New Roman" w:hAnsi="Book Antiqua"/>
                <w:b/>
              </w:rPr>
              <w:t>10/73 (13.7%)</w:t>
            </w:r>
          </w:p>
        </w:tc>
        <w:tc>
          <w:tcPr>
            <w:tcW w:w="2268" w:type="dxa"/>
            <w:vAlign w:val="center"/>
            <w:hideMark/>
          </w:tcPr>
          <w:p w:rsidR="00276A29" w:rsidRPr="00681195" w:rsidRDefault="00276A29" w:rsidP="00276A29">
            <w:pPr>
              <w:spacing w:line="360" w:lineRule="auto"/>
              <w:jc w:val="both"/>
              <w:rPr>
                <w:rFonts w:ascii="Book Antiqua" w:eastAsia="Times New Roman" w:hAnsi="Book Antiqua"/>
                <w:b/>
              </w:rPr>
            </w:pPr>
            <w:r w:rsidRPr="00681195">
              <w:rPr>
                <w:rFonts w:ascii="Book Antiqua" w:eastAsia="Times New Roman" w:hAnsi="Book Antiqua"/>
                <w:b/>
              </w:rPr>
              <w:t xml:space="preserve">        -</w:t>
            </w:r>
          </w:p>
        </w:tc>
      </w:tr>
    </w:tbl>
    <w:p w:rsidR="009C4694" w:rsidRPr="009418BF" w:rsidRDefault="009C4694" w:rsidP="009418BF">
      <w:pPr>
        <w:spacing w:line="360" w:lineRule="auto"/>
        <w:jc w:val="both"/>
        <w:rPr>
          <w:rFonts w:ascii="Book Antiqua" w:hAnsi="Book Antiqua"/>
          <w:lang w:eastAsia="zh-CN"/>
        </w:rPr>
      </w:pPr>
    </w:p>
    <w:sectPr w:rsidR="009C4694" w:rsidRPr="009418BF" w:rsidSect="004A739B">
      <w:foot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879" w:rsidRDefault="00533879" w:rsidP="00443C95">
      <w:r>
        <w:separator/>
      </w:r>
    </w:p>
  </w:endnote>
  <w:endnote w:type="continuationSeparator" w:id="0">
    <w:p w:rsidR="00533879" w:rsidRDefault="00533879" w:rsidP="00443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111" w:rsidRDefault="000B653D">
    <w:pPr>
      <w:pStyle w:val="Footer"/>
      <w:jc w:val="center"/>
    </w:pPr>
    <w:r>
      <w:fldChar w:fldCharType="begin"/>
    </w:r>
    <w:r w:rsidR="007B3111">
      <w:instrText>PAGE   \* MERGEFORMAT</w:instrText>
    </w:r>
    <w:r>
      <w:fldChar w:fldCharType="separate"/>
    </w:r>
    <w:r w:rsidR="006868AE" w:rsidRPr="006868AE">
      <w:rPr>
        <w:noProof/>
        <w:lang w:val="it-IT"/>
      </w:rPr>
      <w:t>29</w:t>
    </w:r>
    <w:r>
      <w:rPr>
        <w:noProof/>
        <w:lang w:val="it-IT"/>
      </w:rPr>
      <w:fldChar w:fldCharType="end"/>
    </w:r>
  </w:p>
  <w:p w:rsidR="007B3111" w:rsidRDefault="007B311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879" w:rsidRDefault="00533879" w:rsidP="00443C95">
      <w:r>
        <w:separator/>
      </w:r>
    </w:p>
  </w:footnote>
  <w:footnote w:type="continuationSeparator" w:id="0">
    <w:p w:rsidR="00533879" w:rsidRDefault="00533879" w:rsidP="00443C9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32286"/>
    <w:multiLevelType w:val="hybridMultilevel"/>
    <w:tmpl w:val="74A441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2E04004"/>
    <w:multiLevelType w:val="hybridMultilevel"/>
    <w:tmpl w:val="28468DE2"/>
    <w:lvl w:ilvl="0" w:tplc="B406BE32">
      <w:start w:val="1"/>
      <w:numFmt w:val="decimal"/>
      <w:lvlText w:val="%1)"/>
      <w:lvlJc w:val="left"/>
      <w:pPr>
        <w:tabs>
          <w:tab w:val="num" w:pos="720"/>
        </w:tabs>
        <w:ind w:left="720" w:hanging="360"/>
      </w:pPr>
      <w:rPr>
        <w:rFonts w:cs="Times New Roman" w:hint="default"/>
        <w:b w:val="0"/>
        <w:color w:val="auto"/>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nsid w:val="450B6C83"/>
    <w:multiLevelType w:val="hybridMultilevel"/>
    <w:tmpl w:val="4454BA42"/>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74D7B7A"/>
    <w:multiLevelType w:val="hybridMultilevel"/>
    <w:tmpl w:val="AEA0D8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73B25777"/>
    <w:multiLevelType w:val="hybridMultilevel"/>
    <w:tmpl w:val="29481F94"/>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7FC46187"/>
    <w:multiLevelType w:val="hybridMultilevel"/>
    <w:tmpl w:val="ABDCAF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E19"/>
    <w:rsid w:val="00003530"/>
    <w:rsid w:val="00006EE2"/>
    <w:rsid w:val="000078C6"/>
    <w:rsid w:val="00011C6E"/>
    <w:rsid w:val="00012ED9"/>
    <w:rsid w:val="00014E4E"/>
    <w:rsid w:val="00015ADA"/>
    <w:rsid w:val="00017619"/>
    <w:rsid w:val="000179BC"/>
    <w:rsid w:val="0002003E"/>
    <w:rsid w:val="0002169B"/>
    <w:rsid w:val="00024B48"/>
    <w:rsid w:val="0002595E"/>
    <w:rsid w:val="00025C5A"/>
    <w:rsid w:val="00027110"/>
    <w:rsid w:val="00031582"/>
    <w:rsid w:val="00032202"/>
    <w:rsid w:val="00034FD4"/>
    <w:rsid w:val="00035C15"/>
    <w:rsid w:val="00036718"/>
    <w:rsid w:val="0004085B"/>
    <w:rsid w:val="0004087C"/>
    <w:rsid w:val="000434BC"/>
    <w:rsid w:val="000464B1"/>
    <w:rsid w:val="000479FD"/>
    <w:rsid w:val="00051E6B"/>
    <w:rsid w:val="000537E3"/>
    <w:rsid w:val="000574E9"/>
    <w:rsid w:val="0006142F"/>
    <w:rsid w:val="00061F6B"/>
    <w:rsid w:val="00066EC3"/>
    <w:rsid w:val="00070065"/>
    <w:rsid w:val="00070283"/>
    <w:rsid w:val="00070B15"/>
    <w:rsid w:val="00070CFA"/>
    <w:rsid w:val="00071BEE"/>
    <w:rsid w:val="0007337E"/>
    <w:rsid w:val="00074D6E"/>
    <w:rsid w:val="00076C33"/>
    <w:rsid w:val="000779C6"/>
    <w:rsid w:val="000914D4"/>
    <w:rsid w:val="00091E50"/>
    <w:rsid w:val="00092265"/>
    <w:rsid w:val="00092FB6"/>
    <w:rsid w:val="00095D8E"/>
    <w:rsid w:val="00097C7E"/>
    <w:rsid w:val="000A1C25"/>
    <w:rsid w:val="000A5887"/>
    <w:rsid w:val="000B49E0"/>
    <w:rsid w:val="000B4BAA"/>
    <w:rsid w:val="000B507E"/>
    <w:rsid w:val="000B64BC"/>
    <w:rsid w:val="000B653D"/>
    <w:rsid w:val="000B67B6"/>
    <w:rsid w:val="000C277D"/>
    <w:rsid w:val="000C2C0F"/>
    <w:rsid w:val="000C5104"/>
    <w:rsid w:val="000C68EB"/>
    <w:rsid w:val="000C6A5C"/>
    <w:rsid w:val="000C797F"/>
    <w:rsid w:val="000C7D9D"/>
    <w:rsid w:val="000D1CC1"/>
    <w:rsid w:val="000D6D9C"/>
    <w:rsid w:val="000E2105"/>
    <w:rsid w:val="000E61F4"/>
    <w:rsid w:val="000F3FE9"/>
    <w:rsid w:val="001008C7"/>
    <w:rsid w:val="00100D87"/>
    <w:rsid w:val="001010BF"/>
    <w:rsid w:val="00103335"/>
    <w:rsid w:val="00103BB3"/>
    <w:rsid w:val="001057C1"/>
    <w:rsid w:val="00112809"/>
    <w:rsid w:val="00115423"/>
    <w:rsid w:val="00120A50"/>
    <w:rsid w:val="001241ED"/>
    <w:rsid w:val="00126340"/>
    <w:rsid w:val="00132B8E"/>
    <w:rsid w:val="00134E90"/>
    <w:rsid w:val="00135C7E"/>
    <w:rsid w:val="00140B8A"/>
    <w:rsid w:val="00141826"/>
    <w:rsid w:val="001431F2"/>
    <w:rsid w:val="00144690"/>
    <w:rsid w:val="00145F91"/>
    <w:rsid w:val="00146AB2"/>
    <w:rsid w:val="00147B60"/>
    <w:rsid w:val="0015215D"/>
    <w:rsid w:val="001523A3"/>
    <w:rsid w:val="00156754"/>
    <w:rsid w:val="0016094B"/>
    <w:rsid w:val="0016459F"/>
    <w:rsid w:val="00164FDB"/>
    <w:rsid w:val="00170B11"/>
    <w:rsid w:val="0017193B"/>
    <w:rsid w:val="00171D86"/>
    <w:rsid w:val="001751E4"/>
    <w:rsid w:val="00177A72"/>
    <w:rsid w:val="0018205F"/>
    <w:rsid w:val="0018399C"/>
    <w:rsid w:val="00185E0E"/>
    <w:rsid w:val="001A096D"/>
    <w:rsid w:val="001A17EB"/>
    <w:rsid w:val="001A4BEB"/>
    <w:rsid w:val="001A69EB"/>
    <w:rsid w:val="001A784B"/>
    <w:rsid w:val="001B1574"/>
    <w:rsid w:val="001B1A22"/>
    <w:rsid w:val="001B54B9"/>
    <w:rsid w:val="001B621D"/>
    <w:rsid w:val="001B778E"/>
    <w:rsid w:val="001C3D0C"/>
    <w:rsid w:val="001C765A"/>
    <w:rsid w:val="001C7D4B"/>
    <w:rsid w:val="001D1632"/>
    <w:rsid w:val="001D4F63"/>
    <w:rsid w:val="001E36C0"/>
    <w:rsid w:val="001E4455"/>
    <w:rsid w:val="001F4BD6"/>
    <w:rsid w:val="001F5C38"/>
    <w:rsid w:val="001F67EE"/>
    <w:rsid w:val="00203244"/>
    <w:rsid w:val="00203400"/>
    <w:rsid w:val="0020619C"/>
    <w:rsid w:val="00210207"/>
    <w:rsid w:val="002130C8"/>
    <w:rsid w:val="0021708E"/>
    <w:rsid w:val="00224762"/>
    <w:rsid w:val="00225F53"/>
    <w:rsid w:val="002301EC"/>
    <w:rsid w:val="00231082"/>
    <w:rsid w:val="002316D0"/>
    <w:rsid w:val="00233B05"/>
    <w:rsid w:val="00235AC4"/>
    <w:rsid w:val="00236BDF"/>
    <w:rsid w:val="0024004C"/>
    <w:rsid w:val="00240A9F"/>
    <w:rsid w:val="002439BB"/>
    <w:rsid w:val="0024573F"/>
    <w:rsid w:val="00255688"/>
    <w:rsid w:val="002610E5"/>
    <w:rsid w:val="00262322"/>
    <w:rsid w:val="00262B9A"/>
    <w:rsid w:val="002638B5"/>
    <w:rsid w:val="00265CF5"/>
    <w:rsid w:val="00270512"/>
    <w:rsid w:val="00270E08"/>
    <w:rsid w:val="00272D8B"/>
    <w:rsid w:val="002738D9"/>
    <w:rsid w:val="002747FD"/>
    <w:rsid w:val="00275650"/>
    <w:rsid w:val="00276A29"/>
    <w:rsid w:val="00276B58"/>
    <w:rsid w:val="002859C8"/>
    <w:rsid w:val="002877FC"/>
    <w:rsid w:val="00295E69"/>
    <w:rsid w:val="0029753B"/>
    <w:rsid w:val="002A190E"/>
    <w:rsid w:val="002A3928"/>
    <w:rsid w:val="002A3EAC"/>
    <w:rsid w:val="002B1414"/>
    <w:rsid w:val="002B4DAA"/>
    <w:rsid w:val="002B6059"/>
    <w:rsid w:val="002C1426"/>
    <w:rsid w:val="002C1C4C"/>
    <w:rsid w:val="002C4280"/>
    <w:rsid w:val="002C49BE"/>
    <w:rsid w:val="002C578B"/>
    <w:rsid w:val="002C6B9B"/>
    <w:rsid w:val="002D20A3"/>
    <w:rsid w:val="002D21E8"/>
    <w:rsid w:val="002D2FA2"/>
    <w:rsid w:val="002D35E0"/>
    <w:rsid w:val="002D5869"/>
    <w:rsid w:val="002D586D"/>
    <w:rsid w:val="002D7CD8"/>
    <w:rsid w:val="002E74EA"/>
    <w:rsid w:val="002E7822"/>
    <w:rsid w:val="002E7B5E"/>
    <w:rsid w:val="002F1533"/>
    <w:rsid w:val="002F1AEA"/>
    <w:rsid w:val="002F2799"/>
    <w:rsid w:val="002F31DB"/>
    <w:rsid w:val="002F3291"/>
    <w:rsid w:val="002F665B"/>
    <w:rsid w:val="002F7CB0"/>
    <w:rsid w:val="00301635"/>
    <w:rsid w:val="00301CB8"/>
    <w:rsid w:val="003022CE"/>
    <w:rsid w:val="003117ED"/>
    <w:rsid w:val="003121E3"/>
    <w:rsid w:val="0031340F"/>
    <w:rsid w:val="00313801"/>
    <w:rsid w:val="00315E0B"/>
    <w:rsid w:val="00317E69"/>
    <w:rsid w:val="00320187"/>
    <w:rsid w:val="00322FB4"/>
    <w:rsid w:val="00323539"/>
    <w:rsid w:val="00324F37"/>
    <w:rsid w:val="00327EAE"/>
    <w:rsid w:val="003309B0"/>
    <w:rsid w:val="00330CA8"/>
    <w:rsid w:val="0033325C"/>
    <w:rsid w:val="00334A73"/>
    <w:rsid w:val="003421DF"/>
    <w:rsid w:val="00353CC3"/>
    <w:rsid w:val="00353FA7"/>
    <w:rsid w:val="00360440"/>
    <w:rsid w:val="00360620"/>
    <w:rsid w:val="00365605"/>
    <w:rsid w:val="00371588"/>
    <w:rsid w:val="0037437E"/>
    <w:rsid w:val="00374C4B"/>
    <w:rsid w:val="00375763"/>
    <w:rsid w:val="00375DA0"/>
    <w:rsid w:val="0038244D"/>
    <w:rsid w:val="00383391"/>
    <w:rsid w:val="00383664"/>
    <w:rsid w:val="003861B1"/>
    <w:rsid w:val="00390653"/>
    <w:rsid w:val="00390A41"/>
    <w:rsid w:val="0039187B"/>
    <w:rsid w:val="00394EDE"/>
    <w:rsid w:val="00397DFA"/>
    <w:rsid w:val="003A2BCF"/>
    <w:rsid w:val="003A41BA"/>
    <w:rsid w:val="003A7D35"/>
    <w:rsid w:val="003B31B4"/>
    <w:rsid w:val="003B3E81"/>
    <w:rsid w:val="003C26C1"/>
    <w:rsid w:val="003C2F2D"/>
    <w:rsid w:val="003C4B77"/>
    <w:rsid w:val="003C54D6"/>
    <w:rsid w:val="003C5637"/>
    <w:rsid w:val="003D3DA3"/>
    <w:rsid w:val="003D52AE"/>
    <w:rsid w:val="003D5574"/>
    <w:rsid w:val="003D5700"/>
    <w:rsid w:val="003E0472"/>
    <w:rsid w:val="003E1A79"/>
    <w:rsid w:val="003E1CAB"/>
    <w:rsid w:val="003E4FA0"/>
    <w:rsid w:val="003E5C7D"/>
    <w:rsid w:val="003E7FB9"/>
    <w:rsid w:val="003F4149"/>
    <w:rsid w:val="003F6BFA"/>
    <w:rsid w:val="003F7363"/>
    <w:rsid w:val="003F78B9"/>
    <w:rsid w:val="003F7CF6"/>
    <w:rsid w:val="00406249"/>
    <w:rsid w:val="0040645A"/>
    <w:rsid w:val="00407A94"/>
    <w:rsid w:val="004150CC"/>
    <w:rsid w:val="00416AD9"/>
    <w:rsid w:val="00416BAF"/>
    <w:rsid w:val="00416EBA"/>
    <w:rsid w:val="0041710E"/>
    <w:rsid w:val="004210C2"/>
    <w:rsid w:val="0042428C"/>
    <w:rsid w:val="0042726E"/>
    <w:rsid w:val="00435826"/>
    <w:rsid w:val="00436271"/>
    <w:rsid w:val="0044034C"/>
    <w:rsid w:val="004404F0"/>
    <w:rsid w:val="0044087B"/>
    <w:rsid w:val="00443C95"/>
    <w:rsid w:val="004458EB"/>
    <w:rsid w:val="00445BB7"/>
    <w:rsid w:val="00450F55"/>
    <w:rsid w:val="0045334B"/>
    <w:rsid w:val="00454F7B"/>
    <w:rsid w:val="00455FC8"/>
    <w:rsid w:val="00457F0E"/>
    <w:rsid w:val="004603DB"/>
    <w:rsid w:val="004611B7"/>
    <w:rsid w:val="00461391"/>
    <w:rsid w:val="00461D80"/>
    <w:rsid w:val="00466449"/>
    <w:rsid w:val="00467082"/>
    <w:rsid w:val="00467AE8"/>
    <w:rsid w:val="00472118"/>
    <w:rsid w:val="00472492"/>
    <w:rsid w:val="0047350E"/>
    <w:rsid w:val="004753B7"/>
    <w:rsid w:val="00476A70"/>
    <w:rsid w:val="0047779F"/>
    <w:rsid w:val="00480996"/>
    <w:rsid w:val="00483DCB"/>
    <w:rsid w:val="00484FC6"/>
    <w:rsid w:val="004867A2"/>
    <w:rsid w:val="00487B51"/>
    <w:rsid w:val="0049559F"/>
    <w:rsid w:val="00495E72"/>
    <w:rsid w:val="00497133"/>
    <w:rsid w:val="004A2C94"/>
    <w:rsid w:val="004A56F1"/>
    <w:rsid w:val="004A739B"/>
    <w:rsid w:val="004B3C47"/>
    <w:rsid w:val="004B3C8F"/>
    <w:rsid w:val="004B4A92"/>
    <w:rsid w:val="004C0504"/>
    <w:rsid w:val="004C091C"/>
    <w:rsid w:val="004C43F3"/>
    <w:rsid w:val="004C4E5F"/>
    <w:rsid w:val="004D0B19"/>
    <w:rsid w:val="004D0CA9"/>
    <w:rsid w:val="004D5A27"/>
    <w:rsid w:val="004D6B05"/>
    <w:rsid w:val="004E3453"/>
    <w:rsid w:val="004E6D9B"/>
    <w:rsid w:val="004E76A5"/>
    <w:rsid w:val="004E7EC8"/>
    <w:rsid w:val="004F0B83"/>
    <w:rsid w:val="004F2584"/>
    <w:rsid w:val="004F52A6"/>
    <w:rsid w:val="004F6217"/>
    <w:rsid w:val="004F6AD4"/>
    <w:rsid w:val="00501A7F"/>
    <w:rsid w:val="00502564"/>
    <w:rsid w:val="00505A47"/>
    <w:rsid w:val="00505F48"/>
    <w:rsid w:val="00510836"/>
    <w:rsid w:val="00510D49"/>
    <w:rsid w:val="005163C6"/>
    <w:rsid w:val="005176EA"/>
    <w:rsid w:val="00517A7F"/>
    <w:rsid w:val="00524A17"/>
    <w:rsid w:val="005253EA"/>
    <w:rsid w:val="005264FF"/>
    <w:rsid w:val="00527E3B"/>
    <w:rsid w:val="00533696"/>
    <w:rsid w:val="00533879"/>
    <w:rsid w:val="00533C92"/>
    <w:rsid w:val="005363F8"/>
    <w:rsid w:val="00536CB4"/>
    <w:rsid w:val="005410AC"/>
    <w:rsid w:val="0054363D"/>
    <w:rsid w:val="00545488"/>
    <w:rsid w:val="0054710A"/>
    <w:rsid w:val="00551428"/>
    <w:rsid w:val="0055335B"/>
    <w:rsid w:val="0055549E"/>
    <w:rsid w:val="005565FA"/>
    <w:rsid w:val="00557019"/>
    <w:rsid w:val="0056287F"/>
    <w:rsid w:val="00567741"/>
    <w:rsid w:val="00567805"/>
    <w:rsid w:val="005712A6"/>
    <w:rsid w:val="00572652"/>
    <w:rsid w:val="00575DE1"/>
    <w:rsid w:val="00580648"/>
    <w:rsid w:val="005821B7"/>
    <w:rsid w:val="00587071"/>
    <w:rsid w:val="0058729F"/>
    <w:rsid w:val="005919F5"/>
    <w:rsid w:val="00593A99"/>
    <w:rsid w:val="005944B4"/>
    <w:rsid w:val="00594C34"/>
    <w:rsid w:val="00596186"/>
    <w:rsid w:val="00597B5E"/>
    <w:rsid w:val="005A31EF"/>
    <w:rsid w:val="005A653C"/>
    <w:rsid w:val="005C291C"/>
    <w:rsid w:val="005C43C9"/>
    <w:rsid w:val="005C6D93"/>
    <w:rsid w:val="005D05F2"/>
    <w:rsid w:val="005D4388"/>
    <w:rsid w:val="005E2CE3"/>
    <w:rsid w:val="005E5002"/>
    <w:rsid w:val="005E58CC"/>
    <w:rsid w:val="005E69DE"/>
    <w:rsid w:val="005F065E"/>
    <w:rsid w:val="005F383D"/>
    <w:rsid w:val="005F3E81"/>
    <w:rsid w:val="005F3EE2"/>
    <w:rsid w:val="005F5D8C"/>
    <w:rsid w:val="005F6EC2"/>
    <w:rsid w:val="005F79B3"/>
    <w:rsid w:val="00607A2B"/>
    <w:rsid w:val="00607A5A"/>
    <w:rsid w:val="00607AEE"/>
    <w:rsid w:val="00611BE3"/>
    <w:rsid w:val="00613B70"/>
    <w:rsid w:val="006174A5"/>
    <w:rsid w:val="0061755C"/>
    <w:rsid w:val="006225FD"/>
    <w:rsid w:val="006260A2"/>
    <w:rsid w:val="00630862"/>
    <w:rsid w:val="00632557"/>
    <w:rsid w:val="00634B29"/>
    <w:rsid w:val="00635E09"/>
    <w:rsid w:val="00637EB5"/>
    <w:rsid w:val="0064458B"/>
    <w:rsid w:val="00651C8E"/>
    <w:rsid w:val="006553BC"/>
    <w:rsid w:val="006607CE"/>
    <w:rsid w:val="00672DE1"/>
    <w:rsid w:val="0068027A"/>
    <w:rsid w:val="00681195"/>
    <w:rsid w:val="00683FDC"/>
    <w:rsid w:val="006868AE"/>
    <w:rsid w:val="00687D10"/>
    <w:rsid w:val="00691F6D"/>
    <w:rsid w:val="006953B3"/>
    <w:rsid w:val="00696EE8"/>
    <w:rsid w:val="006A23B3"/>
    <w:rsid w:val="006A49AE"/>
    <w:rsid w:val="006B37AC"/>
    <w:rsid w:val="006B3E10"/>
    <w:rsid w:val="006B5053"/>
    <w:rsid w:val="006B693F"/>
    <w:rsid w:val="006B7E19"/>
    <w:rsid w:val="006C182C"/>
    <w:rsid w:val="006C5F86"/>
    <w:rsid w:val="006C6AF9"/>
    <w:rsid w:val="006D2F69"/>
    <w:rsid w:val="006D4CDD"/>
    <w:rsid w:val="006D6358"/>
    <w:rsid w:val="006E1DFB"/>
    <w:rsid w:val="006E2923"/>
    <w:rsid w:val="006E2EB1"/>
    <w:rsid w:val="006E7416"/>
    <w:rsid w:val="006E75C3"/>
    <w:rsid w:val="006F05FC"/>
    <w:rsid w:val="006F4C6B"/>
    <w:rsid w:val="006F7DD1"/>
    <w:rsid w:val="007039C6"/>
    <w:rsid w:val="00703B71"/>
    <w:rsid w:val="00707EC4"/>
    <w:rsid w:val="00715AA2"/>
    <w:rsid w:val="0071636A"/>
    <w:rsid w:val="00722F01"/>
    <w:rsid w:val="007261B2"/>
    <w:rsid w:val="00727700"/>
    <w:rsid w:val="00727B6F"/>
    <w:rsid w:val="00736E50"/>
    <w:rsid w:val="007417BB"/>
    <w:rsid w:val="00741900"/>
    <w:rsid w:val="00743210"/>
    <w:rsid w:val="00744231"/>
    <w:rsid w:val="00745AB8"/>
    <w:rsid w:val="00745C93"/>
    <w:rsid w:val="00746B3D"/>
    <w:rsid w:val="007507DA"/>
    <w:rsid w:val="00750AC1"/>
    <w:rsid w:val="00751624"/>
    <w:rsid w:val="007615E7"/>
    <w:rsid w:val="00761BAE"/>
    <w:rsid w:val="00764A7C"/>
    <w:rsid w:val="0076711B"/>
    <w:rsid w:val="00771221"/>
    <w:rsid w:val="007754B5"/>
    <w:rsid w:val="00775BCD"/>
    <w:rsid w:val="00777076"/>
    <w:rsid w:val="007803CF"/>
    <w:rsid w:val="00780887"/>
    <w:rsid w:val="007809E4"/>
    <w:rsid w:val="007849A9"/>
    <w:rsid w:val="00785CE8"/>
    <w:rsid w:val="007870AC"/>
    <w:rsid w:val="007871AF"/>
    <w:rsid w:val="007904C8"/>
    <w:rsid w:val="00792219"/>
    <w:rsid w:val="007940E3"/>
    <w:rsid w:val="007954E7"/>
    <w:rsid w:val="007A1B90"/>
    <w:rsid w:val="007A2A6E"/>
    <w:rsid w:val="007A553E"/>
    <w:rsid w:val="007A7E5A"/>
    <w:rsid w:val="007B24E6"/>
    <w:rsid w:val="007B3111"/>
    <w:rsid w:val="007B4508"/>
    <w:rsid w:val="007B753A"/>
    <w:rsid w:val="007B775F"/>
    <w:rsid w:val="007C4A43"/>
    <w:rsid w:val="007C51F1"/>
    <w:rsid w:val="007D1898"/>
    <w:rsid w:val="007D3D80"/>
    <w:rsid w:val="007D55F6"/>
    <w:rsid w:val="007D7218"/>
    <w:rsid w:val="007E068C"/>
    <w:rsid w:val="007E16E6"/>
    <w:rsid w:val="007E171C"/>
    <w:rsid w:val="007E41F7"/>
    <w:rsid w:val="007E5C4A"/>
    <w:rsid w:val="007E7C06"/>
    <w:rsid w:val="007F15E6"/>
    <w:rsid w:val="007F2072"/>
    <w:rsid w:val="007F5770"/>
    <w:rsid w:val="007F651A"/>
    <w:rsid w:val="008022FD"/>
    <w:rsid w:val="00811092"/>
    <w:rsid w:val="008122E2"/>
    <w:rsid w:val="00813BEC"/>
    <w:rsid w:val="00817D33"/>
    <w:rsid w:val="00820604"/>
    <w:rsid w:val="008206B6"/>
    <w:rsid w:val="008222E5"/>
    <w:rsid w:val="00824F9E"/>
    <w:rsid w:val="00825D56"/>
    <w:rsid w:val="008274AC"/>
    <w:rsid w:val="0083202C"/>
    <w:rsid w:val="008328AC"/>
    <w:rsid w:val="00834714"/>
    <w:rsid w:val="00834DD1"/>
    <w:rsid w:val="00835B04"/>
    <w:rsid w:val="00835E82"/>
    <w:rsid w:val="008363A2"/>
    <w:rsid w:val="0084052F"/>
    <w:rsid w:val="00842F7B"/>
    <w:rsid w:val="008439AF"/>
    <w:rsid w:val="00844BFF"/>
    <w:rsid w:val="00844E71"/>
    <w:rsid w:val="00844F1E"/>
    <w:rsid w:val="008477F1"/>
    <w:rsid w:val="00847FCB"/>
    <w:rsid w:val="008524FC"/>
    <w:rsid w:val="00855B7D"/>
    <w:rsid w:val="00857214"/>
    <w:rsid w:val="008623D7"/>
    <w:rsid w:val="00862A02"/>
    <w:rsid w:val="008649F1"/>
    <w:rsid w:val="00865F9E"/>
    <w:rsid w:val="00873BEF"/>
    <w:rsid w:val="00874B42"/>
    <w:rsid w:val="00875CD1"/>
    <w:rsid w:val="00880011"/>
    <w:rsid w:val="00880597"/>
    <w:rsid w:val="008835F9"/>
    <w:rsid w:val="008864F2"/>
    <w:rsid w:val="008866E7"/>
    <w:rsid w:val="00886CE5"/>
    <w:rsid w:val="00887E70"/>
    <w:rsid w:val="008910D0"/>
    <w:rsid w:val="00893360"/>
    <w:rsid w:val="00893544"/>
    <w:rsid w:val="00893977"/>
    <w:rsid w:val="008944BB"/>
    <w:rsid w:val="008A19C7"/>
    <w:rsid w:val="008A28D7"/>
    <w:rsid w:val="008A4CC6"/>
    <w:rsid w:val="008A7DE7"/>
    <w:rsid w:val="008B0657"/>
    <w:rsid w:val="008B18FE"/>
    <w:rsid w:val="008B4AE0"/>
    <w:rsid w:val="008B7375"/>
    <w:rsid w:val="008C01EE"/>
    <w:rsid w:val="008C161E"/>
    <w:rsid w:val="008C2B64"/>
    <w:rsid w:val="008C51AE"/>
    <w:rsid w:val="008C6576"/>
    <w:rsid w:val="008C7055"/>
    <w:rsid w:val="008D5412"/>
    <w:rsid w:val="008D605B"/>
    <w:rsid w:val="008E1D2D"/>
    <w:rsid w:val="008E440D"/>
    <w:rsid w:val="008F144B"/>
    <w:rsid w:val="008F41A4"/>
    <w:rsid w:val="008F6A39"/>
    <w:rsid w:val="008F7463"/>
    <w:rsid w:val="008F7D81"/>
    <w:rsid w:val="0090083E"/>
    <w:rsid w:val="00903072"/>
    <w:rsid w:val="00903173"/>
    <w:rsid w:val="00903309"/>
    <w:rsid w:val="00904B74"/>
    <w:rsid w:val="009053B6"/>
    <w:rsid w:val="00905688"/>
    <w:rsid w:val="0091355B"/>
    <w:rsid w:val="00913BE2"/>
    <w:rsid w:val="009147B0"/>
    <w:rsid w:val="00914A51"/>
    <w:rsid w:val="0091508B"/>
    <w:rsid w:val="00915585"/>
    <w:rsid w:val="00916394"/>
    <w:rsid w:val="0091659A"/>
    <w:rsid w:val="0092034C"/>
    <w:rsid w:val="00920CB0"/>
    <w:rsid w:val="00924FC7"/>
    <w:rsid w:val="009269B2"/>
    <w:rsid w:val="00926E1D"/>
    <w:rsid w:val="00933AD5"/>
    <w:rsid w:val="00933CF0"/>
    <w:rsid w:val="009363F1"/>
    <w:rsid w:val="00936C40"/>
    <w:rsid w:val="0093706A"/>
    <w:rsid w:val="00940778"/>
    <w:rsid w:val="009418BF"/>
    <w:rsid w:val="0094248D"/>
    <w:rsid w:val="00942FDE"/>
    <w:rsid w:val="009441DB"/>
    <w:rsid w:val="009444A8"/>
    <w:rsid w:val="00944F87"/>
    <w:rsid w:val="00957399"/>
    <w:rsid w:val="00962A14"/>
    <w:rsid w:val="00965109"/>
    <w:rsid w:val="00965A8B"/>
    <w:rsid w:val="00965BE5"/>
    <w:rsid w:val="00967BB2"/>
    <w:rsid w:val="00974616"/>
    <w:rsid w:val="009755AF"/>
    <w:rsid w:val="00982095"/>
    <w:rsid w:val="00982778"/>
    <w:rsid w:val="00984FF1"/>
    <w:rsid w:val="009855ED"/>
    <w:rsid w:val="00987219"/>
    <w:rsid w:val="00990A4B"/>
    <w:rsid w:val="00991B7F"/>
    <w:rsid w:val="00995E86"/>
    <w:rsid w:val="009960A2"/>
    <w:rsid w:val="00996776"/>
    <w:rsid w:val="009A27F9"/>
    <w:rsid w:val="009A5F86"/>
    <w:rsid w:val="009A6DEC"/>
    <w:rsid w:val="009B1CC9"/>
    <w:rsid w:val="009B2284"/>
    <w:rsid w:val="009B3D0D"/>
    <w:rsid w:val="009C2017"/>
    <w:rsid w:val="009C2C6E"/>
    <w:rsid w:val="009C349C"/>
    <w:rsid w:val="009C3D8D"/>
    <w:rsid w:val="009C4694"/>
    <w:rsid w:val="009D13B1"/>
    <w:rsid w:val="009D27A7"/>
    <w:rsid w:val="009D27E5"/>
    <w:rsid w:val="009D3D93"/>
    <w:rsid w:val="009D7E2B"/>
    <w:rsid w:val="009E0FE3"/>
    <w:rsid w:val="009E3B99"/>
    <w:rsid w:val="009E71D5"/>
    <w:rsid w:val="009F29EA"/>
    <w:rsid w:val="009F4D23"/>
    <w:rsid w:val="009F794D"/>
    <w:rsid w:val="00A009BB"/>
    <w:rsid w:val="00A00B76"/>
    <w:rsid w:val="00A00C1C"/>
    <w:rsid w:val="00A0124E"/>
    <w:rsid w:val="00A0367B"/>
    <w:rsid w:val="00A0414E"/>
    <w:rsid w:val="00A066E5"/>
    <w:rsid w:val="00A07452"/>
    <w:rsid w:val="00A104A8"/>
    <w:rsid w:val="00A116C5"/>
    <w:rsid w:val="00A122DE"/>
    <w:rsid w:val="00A1231E"/>
    <w:rsid w:val="00A148AD"/>
    <w:rsid w:val="00A14A07"/>
    <w:rsid w:val="00A16C77"/>
    <w:rsid w:val="00A21178"/>
    <w:rsid w:val="00A26BD3"/>
    <w:rsid w:val="00A27C8E"/>
    <w:rsid w:val="00A3265D"/>
    <w:rsid w:val="00A33300"/>
    <w:rsid w:val="00A3503E"/>
    <w:rsid w:val="00A35821"/>
    <w:rsid w:val="00A41762"/>
    <w:rsid w:val="00A42138"/>
    <w:rsid w:val="00A4311E"/>
    <w:rsid w:val="00A449F0"/>
    <w:rsid w:val="00A45DBE"/>
    <w:rsid w:val="00A47ACD"/>
    <w:rsid w:val="00A524F1"/>
    <w:rsid w:val="00A55300"/>
    <w:rsid w:val="00A560F2"/>
    <w:rsid w:val="00A57958"/>
    <w:rsid w:val="00A60E8F"/>
    <w:rsid w:val="00A61267"/>
    <w:rsid w:val="00A65970"/>
    <w:rsid w:val="00A66265"/>
    <w:rsid w:val="00A66753"/>
    <w:rsid w:val="00A67585"/>
    <w:rsid w:val="00A73DE5"/>
    <w:rsid w:val="00A75EDB"/>
    <w:rsid w:val="00A77C30"/>
    <w:rsid w:val="00A8013E"/>
    <w:rsid w:val="00A8628E"/>
    <w:rsid w:val="00A86B06"/>
    <w:rsid w:val="00A90B37"/>
    <w:rsid w:val="00A91612"/>
    <w:rsid w:val="00A91D63"/>
    <w:rsid w:val="00A930B7"/>
    <w:rsid w:val="00A95579"/>
    <w:rsid w:val="00AA2D47"/>
    <w:rsid w:val="00AA574F"/>
    <w:rsid w:val="00AB013B"/>
    <w:rsid w:val="00AB188A"/>
    <w:rsid w:val="00AB2D7F"/>
    <w:rsid w:val="00AC01D8"/>
    <w:rsid w:val="00AC092A"/>
    <w:rsid w:val="00AC11B0"/>
    <w:rsid w:val="00AC36BC"/>
    <w:rsid w:val="00AC5EE0"/>
    <w:rsid w:val="00AC6676"/>
    <w:rsid w:val="00AC78E8"/>
    <w:rsid w:val="00AD0963"/>
    <w:rsid w:val="00AD0C5C"/>
    <w:rsid w:val="00AD1ACD"/>
    <w:rsid w:val="00AD2565"/>
    <w:rsid w:val="00AD3CC3"/>
    <w:rsid w:val="00AD6371"/>
    <w:rsid w:val="00AE18E2"/>
    <w:rsid w:val="00AE205F"/>
    <w:rsid w:val="00AE3787"/>
    <w:rsid w:val="00AE3A11"/>
    <w:rsid w:val="00AF3EC0"/>
    <w:rsid w:val="00AF5DE9"/>
    <w:rsid w:val="00B014F3"/>
    <w:rsid w:val="00B0409A"/>
    <w:rsid w:val="00B04A8C"/>
    <w:rsid w:val="00B07B64"/>
    <w:rsid w:val="00B10F77"/>
    <w:rsid w:val="00B112ED"/>
    <w:rsid w:val="00B138ED"/>
    <w:rsid w:val="00B13CDB"/>
    <w:rsid w:val="00B30209"/>
    <w:rsid w:val="00B31E83"/>
    <w:rsid w:val="00B357E0"/>
    <w:rsid w:val="00B42381"/>
    <w:rsid w:val="00B42BE8"/>
    <w:rsid w:val="00B44AC9"/>
    <w:rsid w:val="00B50EBB"/>
    <w:rsid w:val="00B518C8"/>
    <w:rsid w:val="00B5509B"/>
    <w:rsid w:val="00B563DA"/>
    <w:rsid w:val="00B60361"/>
    <w:rsid w:val="00B634BD"/>
    <w:rsid w:val="00B63B86"/>
    <w:rsid w:val="00B651A5"/>
    <w:rsid w:val="00B71915"/>
    <w:rsid w:val="00B7513F"/>
    <w:rsid w:val="00B77A85"/>
    <w:rsid w:val="00B802CC"/>
    <w:rsid w:val="00B80F0F"/>
    <w:rsid w:val="00B844E8"/>
    <w:rsid w:val="00B86873"/>
    <w:rsid w:val="00B86896"/>
    <w:rsid w:val="00B943AA"/>
    <w:rsid w:val="00B959D9"/>
    <w:rsid w:val="00BA499F"/>
    <w:rsid w:val="00BA5759"/>
    <w:rsid w:val="00BA6488"/>
    <w:rsid w:val="00BA66BE"/>
    <w:rsid w:val="00BA792C"/>
    <w:rsid w:val="00BB1101"/>
    <w:rsid w:val="00BB7F67"/>
    <w:rsid w:val="00BD14BB"/>
    <w:rsid w:val="00BD2583"/>
    <w:rsid w:val="00BD637D"/>
    <w:rsid w:val="00BD6BC3"/>
    <w:rsid w:val="00BE01F3"/>
    <w:rsid w:val="00BE22C1"/>
    <w:rsid w:val="00BE3E2B"/>
    <w:rsid w:val="00BF0097"/>
    <w:rsid w:val="00BF3795"/>
    <w:rsid w:val="00BF5217"/>
    <w:rsid w:val="00C02BD1"/>
    <w:rsid w:val="00C052D4"/>
    <w:rsid w:val="00C1060F"/>
    <w:rsid w:val="00C10E13"/>
    <w:rsid w:val="00C113A3"/>
    <w:rsid w:val="00C11D51"/>
    <w:rsid w:val="00C22CB7"/>
    <w:rsid w:val="00C23C39"/>
    <w:rsid w:val="00C276BF"/>
    <w:rsid w:val="00C3044F"/>
    <w:rsid w:val="00C42CDF"/>
    <w:rsid w:val="00C42FD9"/>
    <w:rsid w:val="00C438FE"/>
    <w:rsid w:val="00C4458F"/>
    <w:rsid w:val="00C44D22"/>
    <w:rsid w:val="00C50E9B"/>
    <w:rsid w:val="00C5360C"/>
    <w:rsid w:val="00C555C1"/>
    <w:rsid w:val="00C63C9E"/>
    <w:rsid w:val="00C6459B"/>
    <w:rsid w:val="00C649F3"/>
    <w:rsid w:val="00C64E07"/>
    <w:rsid w:val="00C656AB"/>
    <w:rsid w:val="00C70BAE"/>
    <w:rsid w:val="00C719CE"/>
    <w:rsid w:val="00C71BCC"/>
    <w:rsid w:val="00C722E8"/>
    <w:rsid w:val="00C74790"/>
    <w:rsid w:val="00C900E6"/>
    <w:rsid w:val="00C913D3"/>
    <w:rsid w:val="00C9476F"/>
    <w:rsid w:val="00C94786"/>
    <w:rsid w:val="00C94E11"/>
    <w:rsid w:val="00C95838"/>
    <w:rsid w:val="00CA0969"/>
    <w:rsid w:val="00CA1B95"/>
    <w:rsid w:val="00CA2484"/>
    <w:rsid w:val="00CB1581"/>
    <w:rsid w:val="00CB2EB9"/>
    <w:rsid w:val="00CB33D4"/>
    <w:rsid w:val="00CB3AB1"/>
    <w:rsid w:val="00CB7680"/>
    <w:rsid w:val="00CB7ADE"/>
    <w:rsid w:val="00CC22C5"/>
    <w:rsid w:val="00CC2D6D"/>
    <w:rsid w:val="00CC3D4F"/>
    <w:rsid w:val="00CC565D"/>
    <w:rsid w:val="00CC5B9B"/>
    <w:rsid w:val="00CD3FC9"/>
    <w:rsid w:val="00CD4261"/>
    <w:rsid w:val="00CD71CB"/>
    <w:rsid w:val="00CD7779"/>
    <w:rsid w:val="00CE2DC1"/>
    <w:rsid w:val="00CE3B4F"/>
    <w:rsid w:val="00CE4ABB"/>
    <w:rsid w:val="00CE5107"/>
    <w:rsid w:val="00CE5E33"/>
    <w:rsid w:val="00CF0D37"/>
    <w:rsid w:val="00CF1487"/>
    <w:rsid w:val="00CF2B89"/>
    <w:rsid w:val="00CF399F"/>
    <w:rsid w:val="00D00319"/>
    <w:rsid w:val="00D00A5E"/>
    <w:rsid w:val="00D03AE9"/>
    <w:rsid w:val="00D04837"/>
    <w:rsid w:val="00D12D6E"/>
    <w:rsid w:val="00D12FB7"/>
    <w:rsid w:val="00D16BAF"/>
    <w:rsid w:val="00D2051A"/>
    <w:rsid w:val="00D21653"/>
    <w:rsid w:val="00D22200"/>
    <w:rsid w:val="00D253FA"/>
    <w:rsid w:val="00D26B64"/>
    <w:rsid w:val="00D33357"/>
    <w:rsid w:val="00D36FC9"/>
    <w:rsid w:val="00D40E64"/>
    <w:rsid w:val="00D43D1D"/>
    <w:rsid w:val="00D46BB5"/>
    <w:rsid w:val="00D5088E"/>
    <w:rsid w:val="00D5228F"/>
    <w:rsid w:val="00D52574"/>
    <w:rsid w:val="00D56CA9"/>
    <w:rsid w:val="00D56DFD"/>
    <w:rsid w:val="00D56E98"/>
    <w:rsid w:val="00D6286A"/>
    <w:rsid w:val="00D668FC"/>
    <w:rsid w:val="00D66D22"/>
    <w:rsid w:val="00D719D3"/>
    <w:rsid w:val="00D73268"/>
    <w:rsid w:val="00D74BF0"/>
    <w:rsid w:val="00D75045"/>
    <w:rsid w:val="00D776AA"/>
    <w:rsid w:val="00D827C7"/>
    <w:rsid w:val="00D82898"/>
    <w:rsid w:val="00D8438B"/>
    <w:rsid w:val="00D8514B"/>
    <w:rsid w:val="00D917DE"/>
    <w:rsid w:val="00D93784"/>
    <w:rsid w:val="00D938D7"/>
    <w:rsid w:val="00D9778E"/>
    <w:rsid w:val="00DA01FF"/>
    <w:rsid w:val="00DA64F1"/>
    <w:rsid w:val="00DB0B45"/>
    <w:rsid w:val="00DB2245"/>
    <w:rsid w:val="00DB3FE3"/>
    <w:rsid w:val="00DB590B"/>
    <w:rsid w:val="00DB632D"/>
    <w:rsid w:val="00DB7BEC"/>
    <w:rsid w:val="00DC0799"/>
    <w:rsid w:val="00DC1F9A"/>
    <w:rsid w:val="00DC2EB3"/>
    <w:rsid w:val="00DC547A"/>
    <w:rsid w:val="00DC5AD4"/>
    <w:rsid w:val="00DE0F6C"/>
    <w:rsid w:val="00DE0F71"/>
    <w:rsid w:val="00DE2032"/>
    <w:rsid w:val="00DE356B"/>
    <w:rsid w:val="00DE641A"/>
    <w:rsid w:val="00DE7048"/>
    <w:rsid w:val="00DF0F6F"/>
    <w:rsid w:val="00DF22E1"/>
    <w:rsid w:val="00DF47E0"/>
    <w:rsid w:val="00DF57E7"/>
    <w:rsid w:val="00DF651F"/>
    <w:rsid w:val="00DF7161"/>
    <w:rsid w:val="00E044D3"/>
    <w:rsid w:val="00E102D0"/>
    <w:rsid w:val="00E12E8E"/>
    <w:rsid w:val="00E13B43"/>
    <w:rsid w:val="00E16470"/>
    <w:rsid w:val="00E168D3"/>
    <w:rsid w:val="00E231EB"/>
    <w:rsid w:val="00E30E24"/>
    <w:rsid w:val="00E30E37"/>
    <w:rsid w:val="00E350D4"/>
    <w:rsid w:val="00E352BF"/>
    <w:rsid w:val="00E36BD3"/>
    <w:rsid w:val="00E428C4"/>
    <w:rsid w:val="00E44EB6"/>
    <w:rsid w:val="00E45BB2"/>
    <w:rsid w:val="00E5046D"/>
    <w:rsid w:val="00E5200B"/>
    <w:rsid w:val="00E52C5E"/>
    <w:rsid w:val="00E54DE5"/>
    <w:rsid w:val="00E67D9D"/>
    <w:rsid w:val="00E700F8"/>
    <w:rsid w:val="00E74AA9"/>
    <w:rsid w:val="00E76173"/>
    <w:rsid w:val="00E80B7C"/>
    <w:rsid w:val="00E828FA"/>
    <w:rsid w:val="00E82F22"/>
    <w:rsid w:val="00E8325D"/>
    <w:rsid w:val="00E8478B"/>
    <w:rsid w:val="00E84F0A"/>
    <w:rsid w:val="00E858F5"/>
    <w:rsid w:val="00E86159"/>
    <w:rsid w:val="00E86B3B"/>
    <w:rsid w:val="00E87579"/>
    <w:rsid w:val="00E87CA5"/>
    <w:rsid w:val="00E92AD7"/>
    <w:rsid w:val="00E95FBC"/>
    <w:rsid w:val="00E9647D"/>
    <w:rsid w:val="00E96B30"/>
    <w:rsid w:val="00EA1E0C"/>
    <w:rsid w:val="00EA241C"/>
    <w:rsid w:val="00EA2C12"/>
    <w:rsid w:val="00EA74CA"/>
    <w:rsid w:val="00EA7BA4"/>
    <w:rsid w:val="00EB076B"/>
    <w:rsid w:val="00EB0969"/>
    <w:rsid w:val="00EB1C57"/>
    <w:rsid w:val="00EB52B5"/>
    <w:rsid w:val="00EC1B1C"/>
    <w:rsid w:val="00EC2A2B"/>
    <w:rsid w:val="00ED35D7"/>
    <w:rsid w:val="00ED5C1A"/>
    <w:rsid w:val="00ED70A5"/>
    <w:rsid w:val="00ED71D5"/>
    <w:rsid w:val="00EE1852"/>
    <w:rsid w:val="00EE34F9"/>
    <w:rsid w:val="00EE38A8"/>
    <w:rsid w:val="00EE4A7C"/>
    <w:rsid w:val="00EF0765"/>
    <w:rsid w:val="00EF0802"/>
    <w:rsid w:val="00EF4317"/>
    <w:rsid w:val="00EF54D6"/>
    <w:rsid w:val="00EF70BC"/>
    <w:rsid w:val="00F0426E"/>
    <w:rsid w:val="00F06791"/>
    <w:rsid w:val="00F114A6"/>
    <w:rsid w:val="00F13A34"/>
    <w:rsid w:val="00F14290"/>
    <w:rsid w:val="00F152D9"/>
    <w:rsid w:val="00F21667"/>
    <w:rsid w:val="00F27B9A"/>
    <w:rsid w:val="00F34978"/>
    <w:rsid w:val="00F35C01"/>
    <w:rsid w:val="00F40610"/>
    <w:rsid w:val="00F52762"/>
    <w:rsid w:val="00F53336"/>
    <w:rsid w:val="00F54A06"/>
    <w:rsid w:val="00F55E27"/>
    <w:rsid w:val="00F709A7"/>
    <w:rsid w:val="00F7271E"/>
    <w:rsid w:val="00F7287B"/>
    <w:rsid w:val="00F731D6"/>
    <w:rsid w:val="00F778E9"/>
    <w:rsid w:val="00F81C0F"/>
    <w:rsid w:val="00F852A8"/>
    <w:rsid w:val="00F856D3"/>
    <w:rsid w:val="00F8675F"/>
    <w:rsid w:val="00F873FA"/>
    <w:rsid w:val="00F87AD3"/>
    <w:rsid w:val="00F917EE"/>
    <w:rsid w:val="00FA009D"/>
    <w:rsid w:val="00FA3B92"/>
    <w:rsid w:val="00FA6B02"/>
    <w:rsid w:val="00FA7525"/>
    <w:rsid w:val="00FB34A9"/>
    <w:rsid w:val="00FC3A4B"/>
    <w:rsid w:val="00FC40E7"/>
    <w:rsid w:val="00FD0123"/>
    <w:rsid w:val="00FD0BCB"/>
    <w:rsid w:val="00FD249A"/>
    <w:rsid w:val="00FD573D"/>
    <w:rsid w:val="00FD626F"/>
    <w:rsid w:val="00FD7140"/>
    <w:rsid w:val="00FE3585"/>
    <w:rsid w:val="00FF1482"/>
    <w:rsid w:val="00FF203F"/>
    <w:rsid w:val="00FF393C"/>
    <w:rsid w:val="00FF4C2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9B"/>
    <w:rPr>
      <w:sz w:val="24"/>
      <w:szCs w:val="24"/>
      <w:lang w:val="en-GB"/>
    </w:rPr>
  </w:style>
  <w:style w:type="paragraph" w:styleId="Heading3">
    <w:name w:val="heading 3"/>
    <w:basedOn w:val="Normal"/>
    <w:link w:val="Heading3Char"/>
    <w:uiPriority w:val="9"/>
    <w:qFormat/>
    <w:locked/>
    <w:rsid w:val="00A42138"/>
    <w:pPr>
      <w:spacing w:before="100" w:beforeAutospacing="1" w:after="100" w:afterAutospacing="1"/>
      <w:outlineLvl w:val="2"/>
    </w:pPr>
    <w:rPr>
      <w:rFonts w:ascii="宋体" w:eastAsia="宋体" w:hAnsi="宋体" w:cs="宋体"/>
      <w:b/>
      <w:bCs/>
      <w:sz w:val="27"/>
      <w:szCs w:val="27"/>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EF0765"/>
    <w:rPr>
      <w:sz w:val="24"/>
      <w:szCs w:val="24"/>
    </w:rPr>
  </w:style>
  <w:style w:type="paragraph" w:styleId="BalloonText">
    <w:name w:val="Balloon Text"/>
    <w:basedOn w:val="Normal"/>
    <w:link w:val="Char"/>
    <w:uiPriority w:val="99"/>
    <w:rsid w:val="00EF0765"/>
    <w:rPr>
      <w:rFonts w:ascii="Tahoma" w:hAnsi="Tahoma"/>
      <w:sz w:val="16"/>
      <w:szCs w:val="16"/>
      <w:lang w:val="it-IT" w:eastAsia="ja-JP"/>
    </w:rPr>
  </w:style>
  <w:style w:type="character" w:customStyle="1" w:styleId="Char">
    <w:name w:val="批注框文本 Char"/>
    <w:basedOn w:val="DefaultParagraphFont"/>
    <w:link w:val="BalloonText"/>
    <w:uiPriority w:val="99"/>
    <w:locked/>
    <w:rsid w:val="00EF0765"/>
    <w:rPr>
      <w:rFonts w:ascii="Tahoma" w:hAnsi="Tahoma"/>
      <w:sz w:val="16"/>
    </w:rPr>
  </w:style>
  <w:style w:type="character" w:customStyle="1" w:styleId="tw4winMark">
    <w:name w:val="tw4winMark"/>
    <w:uiPriority w:val="99"/>
    <w:rsid w:val="007F5770"/>
    <w:rPr>
      <w:rFonts w:ascii="Courier New" w:hAnsi="Courier New"/>
      <w:vanish/>
      <w:color w:val="800080"/>
      <w:vertAlign w:val="subscript"/>
    </w:rPr>
  </w:style>
  <w:style w:type="character" w:styleId="Hyperlink">
    <w:name w:val="Hyperlink"/>
    <w:basedOn w:val="DefaultParagraphFont"/>
    <w:uiPriority w:val="99"/>
    <w:rsid w:val="00091E50"/>
    <w:rPr>
      <w:rFonts w:cs="Times New Roman"/>
      <w:color w:val="0000FF"/>
      <w:u w:val="single"/>
    </w:rPr>
  </w:style>
  <w:style w:type="character" w:styleId="CommentReference">
    <w:name w:val="annotation reference"/>
    <w:basedOn w:val="DefaultParagraphFont"/>
    <w:uiPriority w:val="99"/>
    <w:rsid w:val="00E82F22"/>
    <w:rPr>
      <w:rFonts w:cs="Times New Roman"/>
      <w:sz w:val="16"/>
    </w:rPr>
  </w:style>
  <w:style w:type="paragraph" w:styleId="CommentText">
    <w:name w:val="annotation text"/>
    <w:basedOn w:val="Normal"/>
    <w:link w:val="Char0"/>
    <w:uiPriority w:val="99"/>
    <w:rsid w:val="00E82F22"/>
    <w:rPr>
      <w:sz w:val="20"/>
      <w:szCs w:val="20"/>
    </w:rPr>
  </w:style>
  <w:style w:type="character" w:customStyle="1" w:styleId="Char0">
    <w:name w:val="批注文字 Char"/>
    <w:basedOn w:val="DefaultParagraphFont"/>
    <w:link w:val="CommentText"/>
    <w:uiPriority w:val="99"/>
    <w:locked/>
    <w:rsid w:val="00E82F22"/>
    <w:rPr>
      <w:rFonts w:cs="Times New Roman"/>
    </w:rPr>
  </w:style>
  <w:style w:type="paragraph" w:styleId="CommentSubject">
    <w:name w:val="annotation subject"/>
    <w:basedOn w:val="CommentText"/>
    <w:next w:val="CommentText"/>
    <w:link w:val="Char1"/>
    <w:uiPriority w:val="99"/>
    <w:rsid w:val="00E82F22"/>
    <w:rPr>
      <w:b/>
      <w:bCs/>
      <w:lang w:val="it-IT" w:eastAsia="ja-JP"/>
    </w:rPr>
  </w:style>
  <w:style w:type="character" w:customStyle="1" w:styleId="Char1">
    <w:name w:val="批注主题 Char"/>
    <w:basedOn w:val="Char0"/>
    <w:link w:val="CommentSubject"/>
    <w:uiPriority w:val="99"/>
    <w:locked/>
    <w:rsid w:val="00E82F22"/>
    <w:rPr>
      <w:rFonts w:cs="Times New Roman"/>
      <w:b/>
    </w:rPr>
  </w:style>
  <w:style w:type="paragraph" w:styleId="Header">
    <w:name w:val="header"/>
    <w:basedOn w:val="Normal"/>
    <w:link w:val="Char2"/>
    <w:uiPriority w:val="99"/>
    <w:rsid w:val="00443C95"/>
    <w:pPr>
      <w:tabs>
        <w:tab w:val="center" w:pos="4986"/>
        <w:tab w:val="right" w:pos="9972"/>
      </w:tabs>
    </w:pPr>
  </w:style>
  <w:style w:type="character" w:customStyle="1" w:styleId="Char2">
    <w:name w:val="页眉 Char"/>
    <w:basedOn w:val="DefaultParagraphFont"/>
    <w:link w:val="Header"/>
    <w:uiPriority w:val="99"/>
    <w:locked/>
    <w:rsid w:val="00443C95"/>
    <w:rPr>
      <w:sz w:val="24"/>
      <w:lang w:val="en-GB" w:eastAsia="it-IT"/>
    </w:rPr>
  </w:style>
  <w:style w:type="paragraph" w:styleId="Footer">
    <w:name w:val="footer"/>
    <w:basedOn w:val="Normal"/>
    <w:link w:val="Char3"/>
    <w:uiPriority w:val="99"/>
    <w:rsid w:val="00443C95"/>
    <w:pPr>
      <w:tabs>
        <w:tab w:val="center" w:pos="4986"/>
        <w:tab w:val="right" w:pos="9972"/>
      </w:tabs>
    </w:pPr>
  </w:style>
  <w:style w:type="character" w:customStyle="1" w:styleId="Char3">
    <w:name w:val="页脚 Char"/>
    <w:basedOn w:val="DefaultParagraphFont"/>
    <w:link w:val="Footer"/>
    <w:uiPriority w:val="99"/>
    <w:locked/>
    <w:rsid w:val="00443C95"/>
    <w:rPr>
      <w:sz w:val="24"/>
      <w:lang w:val="en-GB" w:eastAsia="it-IT"/>
    </w:rPr>
  </w:style>
  <w:style w:type="paragraph" w:styleId="FootnoteText">
    <w:name w:val="footnote text"/>
    <w:basedOn w:val="Normal"/>
    <w:link w:val="Char4"/>
    <w:uiPriority w:val="99"/>
    <w:rsid w:val="00CE3B4F"/>
    <w:rPr>
      <w:sz w:val="20"/>
      <w:szCs w:val="20"/>
      <w:lang w:eastAsia="ja-JP"/>
    </w:rPr>
  </w:style>
  <w:style w:type="character" w:customStyle="1" w:styleId="Char4">
    <w:name w:val="脚注文本 Char"/>
    <w:basedOn w:val="DefaultParagraphFont"/>
    <w:link w:val="FootnoteText"/>
    <w:uiPriority w:val="99"/>
    <w:locked/>
    <w:rsid w:val="00CE3B4F"/>
    <w:rPr>
      <w:lang w:val="en-GB"/>
    </w:rPr>
  </w:style>
  <w:style w:type="character" w:styleId="FootnoteReference">
    <w:name w:val="footnote reference"/>
    <w:basedOn w:val="DefaultParagraphFont"/>
    <w:uiPriority w:val="99"/>
    <w:rsid w:val="00CE3B4F"/>
    <w:rPr>
      <w:rFonts w:cs="Times New Roman"/>
      <w:vertAlign w:val="superscript"/>
    </w:rPr>
  </w:style>
  <w:style w:type="paragraph" w:styleId="ListParagraph">
    <w:name w:val="List Paragraph"/>
    <w:basedOn w:val="Normal"/>
    <w:uiPriority w:val="34"/>
    <w:qFormat/>
    <w:rsid w:val="00F7271E"/>
    <w:pPr>
      <w:ind w:firstLineChars="200" w:firstLine="420"/>
    </w:pPr>
  </w:style>
  <w:style w:type="character" w:customStyle="1" w:styleId="highlight">
    <w:name w:val="highlight"/>
    <w:basedOn w:val="DefaultParagraphFont"/>
    <w:rsid w:val="00FD573D"/>
  </w:style>
  <w:style w:type="table" w:customStyle="1" w:styleId="Grigliatabella1">
    <w:name w:val="Griglia tabella1"/>
    <w:basedOn w:val="TableNormal"/>
    <w:next w:val="TableGrid"/>
    <w:rsid w:val="00D333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locked/>
    <w:rsid w:val="00D333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leNormal"/>
    <w:next w:val="TableGrid"/>
    <w:rsid w:val="00D333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TableNormal"/>
    <w:next w:val="TableGrid"/>
    <w:rsid w:val="00D333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4">
    <w:name w:val="Griglia tabella4"/>
    <w:basedOn w:val="TableNormal"/>
    <w:next w:val="TableGrid"/>
    <w:rsid w:val="00D333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A42138"/>
  </w:style>
  <w:style w:type="character" w:customStyle="1" w:styleId="Heading3Char">
    <w:name w:val="Heading 3 Char"/>
    <w:basedOn w:val="DefaultParagraphFont"/>
    <w:link w:val="Heading3"/>
    <w:uiPriority w:val="9"/>
    <w:rsid w:val="00A42138"/>
    <w:rPr>
      <w:rFonts w:ascii="宋体" w:eastAsia="宋体" w:hAnsi="宋体" w:cs="宋体"/>
      <w:b/>
      <w:bCs/>
      <w:sz w:val="27"/>
      <w:szCs w:val="27"/>
      <w:lang w:val="en-US" w:eastAsia="zh-CN"/>
    </w:rPr>
  </w:style>
  <w:style w:type="character" w:styleId="Emphasis">
    <w:name w:val="Emphasis"/>
    <w:qFormat/>
    <w:locked/>
    <w:rsid w:val="006868AE"/>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9B"/>
    <w:rPr>
      <w:sz w:val="24"/>
      <w:szCs w:val="24"/>
      <w:lang w:val="en-GB"/>
    </w:rPr>
  </w:style>
  <w:style w:type="paragraph" w:styleId="Heading3">
    <w:name w:val="heading 3"/>
    <w:basedOn w:val="Normal"/>
    <w:link w:val="Heading3Char"/>
    <w:uiPriority w:val="9"/>
    <w:qFormat/>
    <w:locked/>
    <w:rsid w:val="00A42138"/>
    <w:pPr>
      <w:spacing w:before="100" w:beforeAutospacing="1" w:after="100" w:afterAutospacing="1"/>
      <w:outlineLvl w:val="2"/>
    </w:pPr>
    <w:rPr>
      <w:rFonts w:ascii="宋体" w:eastAsia="宋体" w:hAnsi="宋体" w:cs="宋体"/>
      <w:b/>
      <w:bCs/>
      <w:sz w:val="27"/>
      <w:szCs w:val="27"/>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EF0765"/>
    <w:rPr>
      <w:sz w:val="24"/>
      <w:szCs w:val="24"/>
    </w:rPr>
  </w:style>
  <w:style w:type="paragraph" w:styleId="BalloonText">
    <w:name w:val="Balloon Text"/>
    <w:basedOn w:val="Normal"/>
    <w:link w:val="Char"/>
    <w:uiPriority w:val="99"/>
    <w:rsid w:val="00EF0765"/>
    <w:rPr>
      <w:rFonts w:ascii="Tahoma" w:hAnsi="Tahoma"/>
      <w:sz w:val="16"/>
      <w:szCs w:val="16"/>
      <w:lang w:val="it-IT" w:eastAsia="ja-JP"/>
    </w:rPr>
  </w:style>
  <w:style w:type="character" w:customStyle="1" w:styleId="Char">
    <w:name w:val="批注框文本 Char"/>
    <w:basedOn w:val="DefaultParagraphFont"/>
    <w:link w:val="BalloonText"/>
    <w:uiPriority w:val="99"/>
    <w:locked/>
    <w:rsid w:val="00EF0765"/>
    <w:rPr>
      <w:rFonts w:ascii="Tahoma" w:hAnsi="Tahoma"/>
      <w:sz w:val="16"/>
    </w:rPr>
  </w:style>
  <w:style w:type="character" w:customStyle="1" w:styleId="tw4winMark">
    <w:name w:val="tw4winMark"/>
    <w:uiPriority w:val="99"/>
    <w:rsid w:val="007F5770"/>
    <w:rPr>
      <w:rFonts w:ascii="Courier New" w:hAnsi="Courier New"/>
      <w:vanish/>
      <w:color w:val="800080"/>
      <w:vertAlign w:val="subscript"/>
    </w:rPr>
  </w:style>
  <w:style w:type="character" w:styleId="Hyperlink">
    <w:name w:val="Hyperlink"/>
    <w:basedOn w:val="DefaultParagraphFont"/>
    <w:uiPriority w:val="99"/>
    <w:rsid w:val="00091E50"/>
    <w:rPr>
      <w:rFonts w:cs="Times New Roman"/>
      <w:color w:val="0000FF"/>
      <w:u w:val="single"/>
    </w:rPr>
  </w:style>
  <w:style w:type="character" w:styleId="CommentReference">
    <w:name w:val="annotation reference"/>
    <w:basedOn w:val="DefaultParagraphFont"/>
    <w:uiPriority w:val="99"/>
    <w:rsid w:val="00E82F22"/>
    <w:rPr>
      <w:rFonts w:cs="Times New Roman"/>
      <w:sz w:val="16"/>
    </w:rPr>
  </w:style>
  <w:style w:type="paragraph" w:styleId="CommentText">
    <w:name w:val="annotation text"/>
    <w:basedOn w:val="Normal"/>
    <w:link w:val="Char0"/>
    <w:uiPriority w:val="99"/>
    <w:rsid w:val="00E82F22"/>
    <w:rPr>
      <w:sz w:val="20"/>
      <w:szCs w:val="20"/>
    </w:rPr>
  </w:style>
  <w:style w:type="character" w:customStyle="1" w:styleId="Char0">
    <w:name w:val="批注文字 Char"/>
    <w:basedOn w:val="DefaultParagraphFont"/>
    <w:link w:val="CommentText"/>
    <w:uiPriority w:val="99"/>
    <w:locked/>
    <w:rsid w:val="00E82F22"/>
    <w:rPr>
      <w:rFonts w:cs="Times New Roman"/>
    </w:rPr>
  </w:style>
  <w:style w:type="paragraph" w:styleId="CommentSubject">
    <w:name w:val="annotation subject"/>
    <w:basedOn w:val="CommentText"/>
    <w:next w:val="CommentText"/>
    <w:link w:val="Char1"/>
    <w:uiPriority w:val="99"/>
    <w:rsid w:val="00E82F22"/>
    <w:rPr>
      <w:b/>
      <w:bCs/>
      <w:lang w:val="it-IT" w:eastAsia="ja-JP"/>
    </w:rPr>
  </w:style>
  <w:style w:type="character" w:customStyle="1" w:styleId="Char1">
    <w:name w:val="批注主题 Char"/>
    <w:basedOn w:val="Char0"/>
    <w:link w:val="CommentSubject"/>
    <w:uiPriority w:val="99"/>
    <w:locked/>
    <w:rsid w:val="00E82F22"/>
    <w:rPr>
      <w:rFonts w:cs="Times New Roman"/>
      <w:b/>
    </w:rPr>
  </w:style>
  <w:style w:type="paragraph" w:styleId="Header">
    <w:name w:val="header"/>
    <w:basedOn w:val="Normal"/>
    <w:link w:val="Char2"/>
    <w:uiPriority w:val="99"/>
    <w:rsid w:val="00443C95"/>
    <w:pPr>
      <w:tabs>
        <w:tab w:val="center" w:pos="4986"/>
        <w:tab w:val="right" w:pos="9972"/>
      </w:tabs>
    </w:pPr>
  </w:style>
  <w:style w:type="character" w:customStyle="1" w:styleId="Char2">
    <w:name w:val="页眉 Char"/>
    <w:basedOn w:val="DefaultParagraphFont"/>
    <w:link w:val="Header"/>
    <w:uiPriority w:val="99"/>
    <w:locked/>
    <w:rsid w:val="00443C95"/>
    <w:rPr>
      <w:sz w:val="24"/>
      <w:lang w:val="en-GB" w:eastAsia="it-IT"/>
    </w:rPr>
  </w:style>
  <w:style w:type="paragraph" w:styleId="Footer">
    <w:name w:val="footer"/>
    <w:basedOn w:val="Normal"/>
    <w:link w:val="Char3"/>
    <w:uiPriority w:val="99"/>
    <w:rsid w:val="00443C95"/>
    <w:pPr>
      <w:tabs>
        <w:tab w:val="center" w:pos="4986"/>
        <w:tab w:val="right" w:pos="9972"/>
      </w:tabs>
    </w:pPr>
  </w:style>
  <w:style w:type="character" w:customStyle="1" w:styleId="Char3">
    <w:name w:val="页脚 Char"/>
    <w:basedOn w:val="DefaultParagraphFont"/>
    <w:link w:val="Footer"/>
    <w:uiPriority w:val="99"/>
    <w:locked/>
    <w:rsid w:val="00443C95"/>
    <w:rPr>
      <w:sz w:val="24"/>
      <w:lang w:val="en-GB" w:eastAsia="it-IT"/>
    </w:rPr>
  </w:style>
  <w:style w:type="paragraph" w:styleId="FootnoteText">
    <w:name w:val="footnote text"/>
    <w:basedOn w:val="Normal"/>
    <w:link w:val="Char4"/>
    <w:uiPriority w:val="99"/>
    <w:rsid w:val="00CE3B4F"/>
    <w:rPr>
      <w:sz w:val="20"/>
      <w:szCs w:val="20"/>
      <w:lang w:eastAsia="ja-JP"/>
    </w:rPr>
  </w:style>
  <w:style w:type="character" w:customStyle="1" w:styleId="Char4">
    <w:name w:val="脚注文本 Char"/>
    <w:basedOn w:val="DefaultParagraphFont"/>
    <w:link w:val="FootnoteText"/>
    <w:uiPriority w:val="99"/>
    <w:locked/>
    <w:rsid w:val="00CE3B4F"/>
    <w:rPr>
      <w:lang w:val="en-GB"/>
    </w:rPr>
  </w:style>
  <w:style w:type="character" w:styleId="FootnoteReference">
    <w:name w:val="footnote reference"/>
    <w:basedOn w:val="DefaultParagraphFont"/>
    <w:uiPriority w:val="99"/>
    <w:rsid w:val="00CE3B4F"/>
    <w:rPr>
      <w:rFonts w:cs="Times New Roman"/>
      <w:vertAlign w:val="superscript"/>
    </w:rPr>
  </w:style>
  <w:style w:type="paragraph" w:styleId="ListParagraph">
    <w:name w:val="List Paragraph"/>
    <w:basedOn w:val="Normal"/>
    <w:uiPriority w:val="34"/>
    <w:qFormat/>
    <w:rsid w:val="00F7271E"/>
    <w:pPr>
      <w:ind w:firstLineChars="200" w:firstLine="420"/>
    </w:pPr>
  </w:style>
  <w:style w:type="character" w:customStyle="1" w:styleId="highlight">
    <w:name w:val="highlight"/>
    <w:basedOn w:val="DefaultParagraphFont"/>
    <w:rsid w:val="00FD573D"/>
  </w:style>
  <w:style w:type="table" w:customStyle="1" w:styleId="Grigliatabella1">
    <w:name w:val="Griglia tabella1"/>
    <w:basedOn w:val="TableNormal"/>
    <w:next w:val="TableGrid"/>
    <w:rsid w:val="00D333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locked/>
    <w:rsid w:val="00D333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leNormal"/>
    <w:next w:val="TableGrid"/>
    <w:rsid w:val="00D333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TableNormal"/>
    <w:next w:val="TableGrid"/>
    <w:rsid w:val="00D333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4">
    <w:name w:val="Griglia tabella4"/>
    <w:basedOn w:val="TableNormal"/>
    <w:next w:val="TableGrid"/>
    <w:rsid w:val="00D333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A42138"/>
  </w:style>
  <w:style w:type="character" w:customStyle="1" w:styleId="Heading3Char">
    <w:name w:val="Heading 3 Char"/>
    <w:basedOn w:val="DefaultParagraphFont"/>
    <w:link w:val="Heading3"/>
    <w:uiPriority w:val="9"/>
    <w:rsid w:val="00A42138"/>
    <w:rPr>
      <w:rFonts w:ascii="宋体" w:eastAsia="宋体" w:hAnsi="宋体" w:cs="宋体"/>
      <w:b/>
      <w:bCs/>
      <w:sz w:val="27"/>
      <w:szCs w:val="27"/>
      <w:lang w:val="en-US" w:eastAsia="zh-CN"/>
    </w:rPr>
  </w:style>
  <w:style w:type="character" w:styleId="Emphasis">
    <w:name w:val="Emphasis"/>
    <w:qFormat/>
    <w:locked/>
    <w:rsid w:val="006868AE"/>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23638">
      <w:bodyDiv w:val="1"/>
      <w:marLeft w:val="0"/>
      <w:marRight w:val="0"/>
      <w:marTop w:val="0"/>
      <w:marBottom w:val="0"/>
      <w:divBdr>
        <w:top w:val="none" w:sz="0" w:space="0" w:color="auto"/>
        <w:left w:val="none" w:sz="0" w:space="0" w:color="auto"/>
        <w:bottom w:val="none" w:sz="0" w:space="0" w:color="auto"/>
        <w:right w:val="none" w:sz="0" w:space="0" w:color="auto"/>
      </w:divBdr>
      <w:divsChild>
        <w:div w:id="816797592">
          <w:marLeft w:val="0"/>
          <w:marRight w:val="0"/>
          <w:marTop w:val="0"/>
          <w:marBottom w:val="0"/>
          <w:divBdr>
            <w:top w:val="none" w:sz="0" w:space="0" w:color="auto"/>
            <w:left w:val="none" w:sz="0" w:space="0" w:color="auto"/>
            <w:bottom w:val="none" w:sz="0" w:space="0" w:color="auto"/>
            <w:right w:val="none" w:sz="0" w:space="0" w:color="auto"/>
          </w:divBdr>
          <w:divsChild>
            <w:div w:id="1400129676">
              <w:marLeft w:val="0"/>
              <w:marRight w:val="0"/>
              <w:marTop w:val="0"/>
              <w:marBottom w:val="0"/>
              <w:divBdr>
                <w:top w:val="none" w:sz="0" w:space="0" w:color="auto"/>
                <w:left w:val="none" w:sz="0" w:space="0" w:color="auto"/>
                <w:bottom w:val="none" w:sz="0" w:space="0" w:color="auto"/>
                <w:right w:val="none" w:sz="0" w:space="0" w:color="auto"/>
              </w:divBdr>
              <w:divsChild>
                <w:div w:id="1551647290">
                  <w:marLeft w:val="0"/>
                  <w:marRight w:val="0"/>
                  <w:marTop w:val="0"/>
                  <w:marBottom w:val="0"/>
                  <w:divBdr>
                    <w:top w:val="none" w:sz="0" w:space="0" w:color="auto"/>
                    <w:left w:val="none" w:sz="0" w:space="0" w:color="auto"/>
                    <w:bottom w:val="none" w:sz="0" w:space="0" w:color="auto"/>
                    <w:right w:val="none" w:sz="0" w:space="0" w:color="auto"/>
                  </w:divBdr>
                  <w:divsChild>
                    <w:div w:id="719936297">
                      <w:marLeft w:val="0"/>
                      <w:marRight w:val="0"/>
                      <w:marTop w:val="0"/>
                      <w:marBottom w:val="0"/>
                      <w:divBdr>
                        <w:top w:val="none" w:sz="0" w:space="0" w:color="auto"/>
                        <w:left w:val="none" w:sz="0" w:space="0" w:color="auto"/>
                        <w:bottom w:val="none" w:sz="0" w:space="0" w:color="auto"/>
                        <w:right w:val="none" w:sz="0" w:space="0" w:color="auto"/>
                      </w:divBdr>
                      <w:divsChild>
                        <w:div w:id="1173378936">
                          <w:marLeft w:val="0"/>
                          <w:marRight w:val="0"/>
                          <w:marTop w:val="0"/>
                          <w:marBottom w:val="0"/>
                          <w:divBdr>
                            <w:top w:val="none" w:sz="0" w:space="0" w:color="auto"/>
                            <w:left w:val="none" w:sz="0" w:space="0" w:color="auto"/>
                            <w:bottom w:val="none" w:sz="0" w:space="0" w:color="auto"/>
                            <w:right w:val="none" w:sz="0" w:space="0" w:color="auto"/>
                          </w:divBdr>
                          <w:divsChild>
                            <w:div w:id="1004627400">
                              <w:marLeft w:val="0"/>
                              <w:marRight w:val="0"/>
                              <w:marTop w:val="0"/>
                              <w:marBottom w:val="0"/>
                              <w:divBdr>
                                <w:top w:val="none" w:sz="0" w:space="0" w:color="auto"/>
                                <w:left w:val="none" w:sz="0" w:space="0" w:color="auto"/>
                                <w:bottom w:val="none" w:sz="0" w:space="0" w:color="auto"/>
                                <w:right w:val="none" w:sz="0" w:space="0" w:color="auto"/>
                              </w:divBdr>
                              <w:divsChild>
                                <w:div w:id="1031032252">
                                  <w:marLeft w:val="0"/>
                                  <w:marRight w:val="0"/>
                                  <w:marTop w:val="0"/>
                                  <w:marBottom w:val="0"/>
                                  <w:divBdr>
                                    <w:top w:val="none" w:sz="0" w:space="0" w:color="auto"/>
                                    <w:left w:val="none" w:sz="0" w:space="0" w:color="auto"/>
                                    <w:bottom w:val="none" w:sz="0" w:space="0" w:color="auto"/>
                                    <w:right w:val="none" w:sz="0" w:space="0" w:color="auto"/>
                                  </w:divBdr>
                                  <w:divsChild>
                                    <w:div w:id="1051658873">
                                      <w:marLeft w:val="60"/>
                                      <w:marRight w:val="0"/>
                                      <w:marTop w:val="0"/>
                                      <w:marBottom w:val="0"/>
                                      <w:divBdr>
                                        <w:top w:val="none" w:sz="0" w:space="0" w:color="auto"/>
                                        <w:left w:val="none" w:sz="0" w:space="0" w:color="auto"/>
                                        <w:bottom w:val="none" w:sz="0" w:space="0" w:color="auto"/>
                                        <w:right w:val="none" w:sz="0" w:space="0" w:color="auto"/>
                                      </w:divBdr>
                                      <w:divsChild>
                                        <w:div w:id="87578158">
                                          <w:marLeft w:val="0"/>
                                          <w:marRight w:val="0"/>
                                          <w:marTop w:val="0"/>
                                          <w:marBottom w:val="0"/>
                                          <w:divBdr>
                                            <w:top w:val="none" w:sz="0" w:space="0" w:color="auto"/>
                                            <w:left w:val="none" w:sz="0" w:space="0" w:color="auto"/>
                                            <w:bottom w:val="none" w:sz="0" w:space="0" w:color="auto"/>
                                            <w:right w:val="none" w:sz="0" w:space="0" w:color="auto"/>
                                          </w:divBdr>
                                          <w:divsChild>
                                            <w:div w:id="1226574755">
                                              <w:marLeft w:val="0"/>
                                              <w:marRight w:val="0"/>
                                              <w:marTop w:val="0"/>
                                              <w:marBottom w:val="120"/>
                                              <w:divBdr>
                                                <w:top w:val="single" w:sz="6" w:space="0" w:color="F5F5F5"/>
                                                <w:left w:val="single" w:sz="6" w:space="0" w:color="F5F5F5"/>
                                                <w:bottom w:val="single" w:sz="6" w:space="0" w:color="F5F5F5"/>
                                                <w:right w:val="single" w:sz="6" w:space="0" w:color="F5F5F5"/>
                                              </w:divBdr>
                                              <w:divsChild>
                                                <w:div w:id="485828152">
                                                  <w:marLeft w:val="0"/>
                                                  <w:marRight w:val="0"/>
                                                  <w:marTop w:val="0"/>
                                                  <w:marBottom w:val="0"/>
                                                  <w:divBdr>
                                                    <w:top w:val="none" w:sz="0" w:space="0" w:color="auto"/>
                                                    <w:left w:val="none" w:sz="0" w:space="0" w:color="auto"/>
                                                    <w:bottom w:val="none" w:sz="0" w:space="0" w:color="auto"/>
                                                    <w:right w:val="none" w:sz="0" w:space="0" w:color="auto"/>
                                                  </w:divBdr>
                                                  <w:divsChild>
                                                    <w:div w:id="125116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288597">
      <w:bodyDiv w:val="1"/>
      <w:marLeft w:val="0"/>
      <w:marRight w:val="0"/>
      <w:marTop w:val="0"/>
      <w:marBottom w:val="0"/>
      <w:divBdr>
        <w:top w:val="none" w:sz="0" w:space="0" w:color="auto"/>
        <w:left w:val="none" w:sz="0" w:space="0" w:color="auto"/>
        <w:bottom w:val="none" w:sz="0" w:space="0" w:color="auto"/>
        <w:right w:val="none" w:sz="0" w:space="0" w:color="auto"/>
      </w:divBdr>
      <w:divsChild>
        <w:div w:id="1551190445">
          <w:marLeft w:val="0"/>
          <w:marRight w:val="0"/>
          <w:marTop w:val="0"/>
          <w:marBottom w:val="0"/>
          <w:divBdr>
            <w:top w:val="none" w:sz="0" w:space="0" w:color="auto"/>
            <w:left w:val="none" w:sz="0" w:space="0" w:color="auto"/>
            <w:bottom w:val="none" w:sz="0" w:space="0" w:color="auto"/>
            <w:right w:val="none" w:sz="0" w:space="0" w:color="auto"/>
          </w:divBdr>
          <w:divsChild>
            <w:div w:id="1169910310">
              <w:marLeft w:val="0"/>
              <w:marRight w:val="0"/>
              <w:marTop w:val="0"/>
              <w:marBottom w:val="0"/>
              <w:divBdr>
                <w:top w:val="none" w:sz="0" w:space="0" w:color="auto"/>
                <w:left w:val="none" w:sz="0" w:space="0" w:color="auto"/>
                <w:bottom w:val="none" w:sz="0" w:space="0" w:color="auto"/>
                <w:right w:val="none" w:sz="0" w:space="0" w:color="auto"/>
              </w:divBdr>
              <w:divsChild>
                <w:div w:id="436221854">
                  <w:marLeft w:val="0"/>
                  <w:marRight w:val="0"/>
                  <w:marTop w:val="0"/>
                  <w:marBottom w:val="0"/>
                  <w:divBdr>
                    <w:top w:val="none" w:sz="0" w:space="0" w:color="auto"/>
                    <w:left w:val="none" w:sz="0" w:space="0" w:color="auto"/>
                    <w:bottom w:val="none" w:sz="0" w:space="0" w:color="auto"/>
                    <w:right w:val="none" w:sz="0" w:space="0" w:color="auto"/>
                  </w:divBdr>
                  <w:divsChild>
                    <w:div w:id="1958291426">
                      <w:marLeft w:val="0"/>
                      <w:marRight w:val="0"/>
                      <w:marTop w:val="0"/>
                      <w:marBottom w:val="0"/>
                      <w:divBdr>
                        <w:top w:val="none" w:sz="0" w:space="0" w:color="auto"/>
                        <w:left w:val="none" w:sz="0" w:space="0" w:color="auto"/>
                        <w:bottom w:val="none" w:sz="0" w:space="0" w:color="auto"/>
                        <w:right w:val="none" w:sz="0" w:space="0" w:color="auto"/>
                      </w:divBdr>
                      <w:divsChild>
                        <w:div w:id="236020079">
                          <w:marLeft w:val="0"/>
                          <w:marRight w:val="0"/>
                          <w:marTop w:val="0"/>
                          <w:marBottom w:val="0"/>
                          <w:divBdr>
                            <w:top w:val="none" w:sz="0" w:space="0" w:color="auto"/>
                            <w:left w:val="none" w:sz="0" w:space="0" w:color="auto"/>
                            <w:bottom w:val="none" w:sz="0" w:space="0" w:color="auto"/>
                            <w:right w:val="none" w:sz="0" w:space="0" w:color="auto"/>
                          </w:divBdr>
                          <w:divsChild>
                            <w:div w:id="1955016581">
                              <w:marLeft w:val="0"/>
                              <w:marRight w:val="0"/>
                              <w:marTop w:val="0"/>
                              <w:marBottom w:val="0"/>
                              <w:divBdr>
                                <w:top w:val="none" w:sz="0" w:space="0" w:color="auto"/>
                                <w:left w:val="none" w:sz="0" w:space="0" w:color="auto"/>
                                <w:bottom w:val="none" w:sz="0" w:space="0" w:color="auto"/>
                                <w:right w:val="none" w:sz="0" w:space="0" w:color="auto"/>
                              </w:divBdr>
                              <w:divsChild>
                                <w:div w:id="2137525909">
                                  <w:marLeft w:val="0"/>
                                  <w:marRight w:val="0"/>
                                  <w:marTop w:val="0"/>
                                  <w:marBottom w:val="0"/>
                                  <w:divBdr>
                                    <w:top w:val="none" w:sz="0" w:space="0" w:color="auto"/>
                                    <w:left w:val="none" w:sz="0" w:space="0" w:color="auto"/>
                                    <w:bottom w:val="none" w:sz="0" w:space="0" w:color="auto"/>
                                    <w:right w:val="none" w:sz="0" w:space="0" w:color="auto"/>
                                  </w:divBdr>
                                  <w:divsChild>
                                    <w:div w:id="796993946">
                                      <w:marLeft w:val="50"/>
                                      <w:marRight w:val="0"/>
                                      <w:marTop w:val="0"/>
                                      <w:marBottom w:val="0"/>
                                      <w:divBdr>
                                        <w:top w:val="none" w:sz="0" w:space="0" w:color="auto"/>
                                        <w:left w:val="none" w:sz="0" w:space="0" w:color="auto"/>
                                        <w:bottom w:val="none" w:sz="0" w:space="0" w:color="auto"/>
                                        <w:right w:val="none" w:sz="0" w:space="0" w:color="auto"/>
                                      </w:divBdr>
                                      <w:divsChild>
                                        <w:div w:id="409693490">
                                          <w:marLeft w:val="0"/>
                                          <w:marRight w:val="0"/>
                                          <w:marTop w:val="0"/>
                                          <w:marBottom w:val="0"/>
                                          <w:divBdr>
                                            <w:top w:val="none" w:sz="0" w:space="0" w:color="auto"/>
                                            <w:left w:val="none" w:sz="0" w:space="0" w:color="auto"/>
                                            <w:bottom w:val="none" w:sz="0" w:space="0" w:color="auto"/>
                                            <w:right w:val="none" w:sz="0" w:space="0" w:color="auto"/>
                                          </w:divBdr>
                                          <w:divsChild>
                                            <w:div w:id="1952275900">
                                              <w:marLeft w:val="0"/>
                                              <w:marRight w:val="0"/>
                                              <w:marTop w:val="0"/>
                                              <w:marBottom w:val="100"/>
                                              <w:divBdr>
                                                <w:top w:val="single" w:sz="4" w:space="0" w:color="F5F5F5"/>
                                                <w:left w:val="single" w:sz="4" w:space="0" w:color="F5F5F5"/>
                                                <w:bottom w:val="single" w:sz="4" w:space="0" w:color="F5F5F5"/>
                                                <w:right w:val="single" w:sz="4" w:space="0" w:color="F5F5F5"/>
                                              </w:divBdr>
                                              <w:divsChild>
                                                <w:div w:id="1524710050">
                                                  <w:marLeft w:val="0"/>
                                                  <w:marRight w:val="0"/>
                                                  <w:marTop w:val="0"/>
                                                  <w:marBottom w:val="0"/>
                                                  <w:divBdr>
                                                    <w:top w:val="none" w:sz="0" w:space="0" w:color="auto"/>
                                                    <w:left w:val="none" w:sz="0" w:space="0" w:color="auto"/>
                                                    <w:bottom w:val="none" w:sz="0" w:space="0" w:color="auto"/>
                                                    <w:right w:val="none" w:sz="0" w:space="0" w:color="auto"/>
                                                  </w:divBdr>
                                                  <w:divsChild>
                                                    <w:div w:id="14544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3898227">
      <w:bodyDiv w:val="1"/>
      <w:marLeft w:val="0"/>
      <w:marRight w:val="0"/>
      <w:marTop w:val="0"/>
      <w:marBottom w:val="0"/>
      <w:divBdr>
        <w:top w:val="none" w:sz="0" w:space="0" w:color="auto"/>
        <w:left w:val="none" w:sz="0" w:space="0" w:color="auto"/>
        <w:bottom w:val="none" w:sz="0" w:space="0" w:color="auto"/>
        <w:right w:val="none" w:sz="0" w:space="0" w:color="auto"/>
      </w:divBdr>
      <w:divsChild>
        <w:div w:id="1907763251">
          <w:marLeft w:val="0"/>
          <w:marRight w:val="0"/>
          <w:marTop w:val="0"/>
          <w:marBottom w:val="0"/>
          <w:divBdr>
            <w:top w:val="none" w:sz="0" w:space="0" w:color="auto"/>
            <w:left w:val="none" w:sz="0" w:space="0" w:color="auto"/>
            <w:bottom w:val="none" w:sz="0" w:space="0" w:color="auto"/>
            <w:right w:val="none" w:sz="0" w:space="0" w:color="auto"/>
          </w:divBdr>
          <w:divsChild>
            <w:div w:id="991758467">
              <w:marLeft w:val="0"/>
              <w:marRight w:val="0"/>
              <w:marTop w:val="0"/>
              <w:marBottom w:val="0"/>
              <w:divBdr>
                <w:top w:val="none" w:sz="0" w:space="0" w:color="auto"/>
                <w:left w:val="none" w:sz="0" w:space="0" w:color="auto"/>
                <w:bottom w:val="none" w:sz="0" w:space="0" w:color="auto"/>
                <w:right w:val="none" w:sz="0" w:space="0" w:color="auto"/>
              </w:divBdr>
            </w:div>
            <w:div w:id="500317486">
              <w:marLeft w:val="0"/>
              <w:marRight w:val="0"/>
              <w:marTop w:val="0"/>
              <w:marBottom w:val="0"/>
              <w:divBdr>
                <w:top w:val="none" w:sz="0" w:space="0" w:color="auto"/>
                <w:left w:val="none" w:sz="0" w:space="0" w:color="auto"/>
                <w:bottom w:val="none" w:sz="0" w:space="0" w:color="auto"/>
                <w:right w:val="none" w:sz="0" w:space="0" w:color="auto"/>
              </w:divBdr>
            </w:div>
            <w:div w:id="988361638">
              <w:marLeft w:val="0"/>
              <w:marRight w:val="0"/>
              <w:marTop w:val="0"/>
              <w:marBottom w:val="0"/>
              <w:divBdr>
                <w:top w:val="none" w:sz="0" w:space="0" w:color="auto"/>
                <w:left w:val="none" w:sz="0" w:space="0" w:color="auto"/>
                <w:bottom w:val="none" w:sz="0" w:space="0" w:color="auto"/>
                <w:right w:val="none" w:sz="0" w:space="0" w:color="auto"/>
              </w:divBdr>
            </w:div>
            <w:div w:id="2110350613">
              <w:marLeft w:val="0"/>
              <w:marRight w:val="0"/>
              <w:marTop w:val="0"/>
              <w:marBottom w:val="0"/>
              <w:divBdr>
                <w:top w:val="none" w:sz="0" w:space="0" w:color="auto"/>
                <w:left w:val="none" w:sz="0" w:space="0" w:color="auto"/>
                <w:bottom w:val="none" w:sz="0" w:space="0" w:color="auto"/>
                <w:right w:val="none" w:sz="0" w:space="0" w:color="auto"/>
              </w:divBdr>
            </w:div>
            <w:div w:id="2105029609">
              <w:marLeft w:val="0"/>
              <w:marRight w:val="0"/>
              <w:marTop w:val="0"/>
              <w:marBottom w:val="0"/>
              <w:divBdr>
                <w:top w:val="none" w:sz="0" w:space="0" w:color="auto"/>
                <w:left w:val="none" w:sz="0" w:space="0" w:color="auto"/>
                <w:bottom w:val="none" w:sz="0" w:space="0" w:color="auto"/>
                <w:right w:val="none" w:sz="0" w:space="0" w:color="auto"/>
              </w:divBdr>
            </w:div>
            <w:div w:id="346492544">
              <w:marLeft w:val="0"/>
              <w:marRight w:val="0"/>
              <w:marTop w:val="0"/>
              <w:marBottom w:val="0"/>
              <w:divBdr>
                <w:top w:val="none" w:sz="0" w:space="0" w:color="auto"/>
                <w:left w:val="none" w:sz="0" w:space="0" w:color="auto"/>
                <w:bottom w:val="none" w:sz="0" w:space="0" w:color="auto"/>
                <w:right w:val="none" w:sz="0" w:space="0" w:color="auto"/>
              </w:divBdr>
            </w:div>
            <w:div w:id="1233394517">
              <w:marLeft w:val="0"/>
              <w:marRight w:val="0"/>
              <w:marTop w:val="0"/>
              <w:marBottom w:val="0"/>
              <w:divBdr>
                <w:top w:val="none" w:sz="0" w:space="0" w:color="auto"/>
                <w:left w:val="none" w:sz="0" w:space="0" w:color="auto"/>
                <w:bottom w:val="none" w:sz="0" w:space="0" w:color="auto"/>
                <w:right w:val="none" w:sz="0" w:space="0" w:color="auto"/>
              </w:divBdr>
            </w:div>
            <w:div w:id="584344583">
              <w:marLeft w:val="0"/>
              <w:marRight w:val="0"/>
              <w:marTop w:val="0"/>
              <w:marBottom w:val="0"/>
              <w:divBdr>
                <w:top w:val="none" w:sz="0" w:space="0" w:color="auto"/>
                <w:left w:val="none" w:sz="0" w:space="0" w:color="auto"/>
                <w:bottom w:val="none" w:sz="0" w:space="0" w:color="auto"/>
                <w:right w:val="none" w:sz="0" w:space="0" w:color="auto"/>
              </w:divBdr>
            </w:div>
            <w:div w:id="2086415457">
              <w:marLeft w:val="0"/>
              <w:marRight w:val="0"/>
              <w:marTop w:val="0"/>
              <w:marBottom w:val="0"/>
              <w:divBdr>
                <w:top w:val="none" w:sz="0" w:space="0" w:color="auto"/>
                <w:left w:val="none" w:sz="0" w:space="0" w:color="auto"/>
                <w:bottom w:val="none" w:sz="0" w:space="0" w:color="auto"/>
                <w:right w:val="none" w:sz="0" w:space="0" w:color="auto"/>
              </w:divBdr>
            </w:div>
            <w:div w:id="137958830">
              <w:marLeft w:val="0"/>
              <w:marRight w:val="0"/>
              <w:marTop w:val="0"/>
              <w:marBottom w:val="0"/>
              <w:divBdr>
                <w:top w:val="none" w:sz="0" w:space="0" w:color="auto"/>
                <w:left w:val="none" w:sz="0" w:space="0" w:color="auto"/>
                <w:bottom w:val="none" w:sz="0" w:space="0" w:color="auto"/>
                <w:right w:val="none" w:sz="0" w:space="0" w:color="auto"/>
              </w:divBdr>
            </w:div>
            <w:div w:id="1081101672">
              <w:marLeft w:val="0"/>
              <w:marRight w:val="0"/>
              <w:marTop w:val="0"/>
              <w:marBottom w:val="0"/>
              <w:divBdr>
                <w:top w:val="none" w:sz="0" w:space="0" w:color="auto"/>
                <w:left w:val="none" w:sz="0" w:space="0" w:color="auto"/>
                <w:bottom w:val="none" w:sz="0" w:space="0" w:color="auto"/>
                <w:right w:val="none" w:sz="0" w:space="0" w:color="auto"/>
              </w:divBdr>
            </w:div>
            <w:div w:id="792138867">
              <w:marLeft w:val="0"/>
              <w:marRight w:val="0"/>
              <w:marTop w:val="0"/>
              <w:marBottom w:val="0"/>
              <w:divBdr>
                <w:top w:val="none" w:sz="0" w:space="0" w:color="auto"/>
                <w:left w:val="none" w:sz="0" w:space="0" w:color="auto"/>
                <w:bottom w:val="none" w:sz="0" w:space="0" w:color="auto"/>
                <w:right w:val="none" w:sz="0" w:space="0" w:color="auto"/>
              </w:divBdr>
            </w:div>
            <w:div w:id="46535197">
              <w:marLeft w:val="0"/>
              <w:marRight w:val="0"/>
              <w:marTop w:val="0"/>
              <w:marBottom w:val="0"/>
              <w:divBdr>
                <w:top w:val="none" w:sz="0" w:space="0" w:color="auto"/>
                <w:left w:val="none" w:sz="0" w:space="0" w:color="auto"/>
                <w:bottom w:val="none" w:sz="0" w:space="0" w:color="auto"/>
                <w:right w:val="none" w:sz="0" w:space="0" w:color="auto"/>
              </w:divBdr>
            </w:div>
            <w:div w:id="1637949455">
              <w:marLeft w:val="0"/>
              <w:marRight w:val="0"/>
              <w:marTop w:val="0"/>
              <w:marBottom w:val="0"/>
              <w:divBdr>
                <w:top w:val="none" w:sz="0" w:space="0" w:color="auto"/>
                <w:left w:val="none" w:sz="0" w:space="0" w:color="auto"/>
                <w:bottom w:val="none" w:sz="0" w:space="0" w:color="auto"/>
                <w:right w:val="none" w:sz="0" w:space="0" w:color="auto"/>
              </w:divBdr>
            </w:div>
            <w:div w:id="1651790502">
              <w:marLeft w:val="0"/>
              <w:marRight w:val="0"/>
              <w:marTop w:val="0"/>
              <w:marBottom w:val="0"/>
              <w:divBdr>
                <w:top w:val="none" w:sz="0" w:space="0" w:color="auto"/>
                <w:left w:val="none" w:sz="0" w:space="0" w:color="auto"/>
                <w:bottom w:val="none" w:sz="0" w:space="0" w:color="auto"/>
                <w:right w:val="none" w:sz="0" w:space="0" w:color="auto"/>
              </w:divBdr>
            </w:div>
            <w:div w:id="1511094312">
              <w:marLeft w:val="0"/>
              <w:marRight w:val="0"/>
              <w:marTop w:val="0"/>
              <w:marBottom w:val="0"/>
              <w:divBdr>
                <w:top w:val="none" w:sz="0" w:space="0" w:color="auto"/>
                <w:left w:val="none" w:sz="0" w:space="0" w:color="auto"/>
                <w:bottom w:val="none" w:sz="0" w:space="0" w:color="auto"/>
                <w:right w:val="none" w:sz="0" w:space="0" w:color="auto"/>
              </w:divBdr>
            </w:div>
            <w:div w:id="908466663">
              <w:marLeft w:val="0"/>
              <w:marRight w:val="0"/>
              <w:marTop w:val="0"/>
              <w:marBottom w:val="0"/>
              <w:divBdr>
                <w:top w:val="none" w:sz="0" w:space="0" w:color="auto"/>
                <w:left w:val="none" w:sz="0" w:space="0" w:color="auto"/>
                <w:bottom w:val="none" w:sz="0" w:space="0" w:color="auto"/>
                <w:right w:val="none" w:sz="0" w:space="0" w:color="auto"/>
              </w:divBdr>
            </w:div>
            <w:div w:id="1103844513">
              <w:marLeft w:val="0"/>
              <w:marRight w:val="0"/>
              <w:marTop w:val="0"/>
              <w:marBottom w:val="0"/>
              <w:divBdr>
                <w:top w:val="none" w:sz="0" w:space="0" w:color="auto"/>
                <w:left w:val="none" w:sz="0" w:space="0" w:color="auto"/>
                <w:bottom w:val="none" w:sz="0" w:space="0" w:color="auto"/>
                <w:right w:val="none" w:sz="0" w:space="0" w:color="auto"/>
              </w:divBdr>
            </w:div>
            <w:div w:id="1045563295">
              <w:marLeft w:val="0"/>
              <w:marRight w:val="0"/>
              <w:marTop w:val="0"/>
              <w:marBottom w:val="0"/>
              <w:divBdr>
                <w:top w:val="none" w:sz="0" w:space="0" w:color="auto"/>
                <w:left w:val="none" w:sz="0" w:space="0" w:color="auto"/>
                <w:bottom w:val="none" w:sz="0" w:space="0" w:color="auto"/>
                <w:right w:val="none" w:sz="0" w:space="0" w:color="auto"/>
              </w:divBdr>
            </w:div>
            <w:div w:id="1531068919">
              <w:marLeft w:val="0"/>
              <w:marRight w:val="0"/>
              <w:marTop w:val="0"/>
              <w:marBottom w:val="0"/>
              <w:divBdr>
                <w:top w:val="none" w:sz="0" w:space="0" w:color="auto"/>
                <w:left w:val="none" w:sz="0" w:space="0" w:color="auto"/>
                <w:bottom w:val="none" w:sz="0" w:space="0" w:color="auto"/>
                <w:right w:val="none" w:sz="0" w:space="0" w:color="auto"/>
              </w:divBdr>
            </w:div>
            <w:div w:id="1090809842">
              <w:marLeft w:val="0"/>
              <w:marRight w:val="0"/>
              <w:marTop w:val="0"/>
              <w:marBottom w:val="0"/>
              <w:divBdr>
                <w:top w:val="none" w:sz="0" w:space="0" w:color="auto"/>
                <w:left w:val="none" w:sz="0" w:space="0" w:color="auto"/>
                <w:bottom w:val="none" w:sz="0" w:space="0" w:color="auto"/>
                <w:right w:val="none" w:sz="0" w:space="0" w:color="auto"/>
              </w:divBdr>
            </w:div>
            <w:div w:id="1021325230">
              <w:marLeft w:val="0"/>
              <w:marRight w:val="0"/>
              <w:marTop w:val="0"/>
              <w:marBottom w:val="0"/>
              <w:divBdr>
                <w:top w:val="none" w:sz="0" w:space="0" w:color="auto"/>
                <w:left w:val="none" w:sz="0" w:space="0" w:color="auto"/>
                <w:bottom w:val="none" w:sz="0" w:space="0" w:color="auto"/>
                <w:right w:val="none" w:sz="0" w:space="0" w:color="auto"/>
              </w:divBdr>
            </w:div>
            <w:div w:id="1125539268">
              <w:marLeft w:val="0"/>
              <w:marRight w:val="0"/>
              <w:marTop w:val="0"/>
              <w:marBottom w:val="0"/>
              <w:divBdr>
                <w:top w:val="none" w:sz="0" w:space="0" w:color="auto"/>
                <w:left w:val="none" w:sz="0" w:space="0" w:color="auto"/>
                <w:bottom w:val="none" w:sz="0" w:space="0" w:color="auto"/>
                <w:right w:val="none" w:sz="0" w:space="0" w:color="auto"/>
              </w:divBdr>
            </w:div>
            <w:div w:id="1302543915">
              <w:marLeft w:val="0"/>
              <w:marRight w:val="0"/>
              <w:marTop w:val="0"/>
              <w:marBottom w:val="0"/>
              <w:divBdr>
                <w:top w:val="none" w:sz="0" w:space="0" w:color="auto"/>
                <w:left w:val="none" w:sz="0" w:space="0" w:color="auto"/>
                <w:bottom w:val="none" w:sz="0" w:space="0" w:color="auto"/>
                <w:right w:val="none" w:sz="0" w:space="0" w:color="auto"/>
              </w:divBdr>
            </w:div>
            <w:div w:id="346906680">
              <w:marLeft w:val="0"/>
              <w:marRight w:val="0"/>
              <w:marTop w:val="0"/>
              <w:marBottom w:val="0"/>
              <w:divBdr>
                <w:top w:val="none" w:sz="0" w:space="0" w:color="auto"/>
                <w:left w:val="none" w:sz="0" w:space="0" w:color="auto"/>
                <w:bottom w:val="none" w:sz="0" w:space="0" w:color="auto"/>
                <w:right w:val="none" w:sz="0" w:space="0" w:color="auto"/>
              </w:divBdr>
            </w:div>
            <w:div w:id="1528368320">
              <w:marLeft w:val="0"/>
              <w:marRight w:val="0"/>
              <w:marTop w:val="0"/>
              <w:marBottom w:val="0"/>
              <w:divBdr>
                <w:top w:val="none" w:sz="0" w:space="0" w:color="auto"/>
                <w:left w:val="none" w:sz="0" w:space="0" w:color="auto"/>
                <w:bottom w:val="none" w:sz="0" w:space="0" w:color="auto"/>
                <w:right w:val="none" w:sz="0" w:space="0" w:color="auto"/>
              </w:divBdr>
            </w:div>
            <w:div w:id="1007362319">
              <w:marLeft w:val="0"/>
              <w:marRight w:val="0"/>
              <w:marTop w:val="0"/>
              <w:marBottom w:val="0"/>
              <w:divBdr>
                <w:top w:val="none" w:sz="0" w:space="0" w:color="auto"/>
                <w:left w:val="none" w:sz="0" w:space="0" w:color="auto"/>
                <w:bottom w:val="none" w:sz="0" w:space="0" w:color="auto"/>
                <w:right w:val="none" w:sz="0" w:space="0" w:color="auto"/>
              </w:divBdr>
            </w:div>
            <w:div w:id="1262450348">
              <w:marLeft w:val="0"/>
              <w:marRight w:val="0"/>
              <w:marTop w:val="0"/>
              <w:marBottom w:val="0"/>
              <w:divBdr>
                <w:top w:val="none" w:sz="0" w:space="0" w:color="auto"/>
                <w:left w:val="none" w:sz="0" w:space="0" w:color="auto"/>
                <w:bottom w:val="none" w:sz="0" w:space="0" w:color="auto"/>
                <w:right w:val="none" w:sz="0" w:space="0" w:color="auto"/>
              </w:divBdr>
            </w:div>
            <w:div w:id="1044990016">
              <w:marLeft w:val="0"/>
              <w:marRight w:val="0"/>
              <w:marTop w:val="0"/>
              <w:marBottom w:val="0"/>
              <w:divBdr>
                <w:top w:val="none" w:sz="0" w:space="0" w:color="auto"/>
                <w:left w:val="none" w:sz="0" w:space="0" w:color="auto"/>
                <w:bottom w:val="none" w:sz="0" w:space="0" w:color="auto"/>
                <w:right w:val="none" w:sz="0" w:space="0" w:color="auto"/>
              </w:divBdr>
            </w:div>
            <w:div w:id="1577282630">
              <w:marLeft w:val="0"/>
              <w:marRight w:val="0"/>
              <w:marTop w:val="0"/>
              <w:marBottom w:val="0"/>
              <w:divBdr>
                <w:top w:val="none" w:sz="0" w:space="0" w:color="auto"/>
                <w:left w:val="none" w:sz="0" w:space="0" w:color="auto"/>
                <w:bottom w:val="none" w:sz="0" w:space="0" w:color="auto"/>
                <w:right w:val="none" w:sz="0" w:space="0" w:color="auto"/>
              </w:divBdr>
            </w:div>
            <w:div w:id="1749885807">
              <w:marLeft w:val="0"/>
              <w:marRight w:val="0"/>
              <w:marTop w:val="0"/>
              <w:marBottom w:val="0"/>
              <w:divBdr>
                <w:top w:val="none" w:sz="0" w:space="0" w:color="auto"/>
                <w:left w:val="none" w:sz="0" w:space="0" w:color="auto"/>
                <w:bottom w:val="none" w:sz="0" w:space="0" w:color="auto"/>
                <w:right w:val="none" w:sz="0" w:space="0" w:color="auto"/>
              </w:divBdr>
            </w:div>
            <w:div w:id="1527448668">
              <w:marLeft w:val="0"/>
              <w:marRight w:val="0"/>
              <w:marTop w:val="0"/>
              <w:marBottom w:val="0"/>
              <w:divBdr>
                <w:top w:val="none" w:sz="0" w:space="0" w:color="auto"/>
                <w:left w:val="none" w:sz="0" w:space="0" w:color="auto"/>
                <w:bottom w:val="none" w:sz="0" w:space="0" w:color="auto"/>
                <w:right w:val="none" w:sz="0" w:space="0" w:color="auto"/>
              </w:divBdr>
            </w:div>
            <w:div w:id="146106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860012">
      <w:bodyDiv w:val="1"/>
      <w:marLeft w:val="0"/>
      <w:marRight w:val="0"/>
      <w:marTop w:val="0"/>
      <w:marBottom w:val="0"/>
      <w:divBdr>
        <w:top w:val="none" w:sz="0" w:space="0" w:color="auto"/>
        <w:left w:val="none" w:sz="0" w:space="0" w:color="auto"/>
        <w:bottom w:val="none" w:sz="0" w:space="0" w:color="auto"/>
        <w:right w:val="none" w:sz="0" w:space="0" w:color="auto"/>
      </w:divBdr>
      <w:divsChild>
        <w:div w:id="1489707404">
          <w:marLeft w:val="0"/>
          <w:marRight w:val="0"/>
          <w:marTop w:val="0"/>
          <w:marBottom w:val="0"/>
          <w:divBdr>
            <w:top w:val="none" w:sz="0" w:space="0" w:color="auto"/>
            <w:left w:val="none" w:sz="0" w:space="0" w:color="auto"/>
            <w:bottom w:val="none" w:sz="0" w:space="0" w:color="auto"/>
            <w:right w:val="none" w:sz="0" w:space="0" w:color="auto"/>
          </w:divBdr>
        </w:div>
      </w:divsChild>
    </w:div>
    <w:div w:id="436558970">
      <w:bodyDiv w:val="1"/>
      <w:marLeft w:val="0"/>
      <w:marRight w:val="0"/>
      <w:marTop w:val="0"/>
      <w:marBottom w:val="0"/>
      <w:divBdr>
        <w:top w:val="none" w:sz="0" w:space="0" w:color="auto"/>
        <w:left w:val="none" w:sz="0" w:space="0" w:color="auto"/>
        <w:bottom w:val="none" w:sz="0" w:space="0" w:color="auto"/>
        <w:right w:val="none" w:sz="0" w:space="0" w:color="auto"/>
      </w:divBdr>
    </w:div>
    <w:div w:id="805659313">
      <w:marLeft w:val="0"/>
      <w:marRight w:val="0"/>
      <w:marTop w:val="0"/>
      <w:marBottom w:val="0"/>
      <w:divBdr>
        <w:top w:val="none" w:sz="0" w:space="0" w:color="auto"/>
        <w:left w:val="none" w:sz="0" w:space="0" w:color="auto"/>
        <w:bottom w:val="none" w:sz="0" w:space="0" w:color="auto"/>
        <w:right w:val="none" w:sz="0" w:space="0" w:color="auto"/>
      </w:divBdr>
    </w:div>
    <w:div w:id="805659316">
      <w:marLeft w:val="0"/>
      <w:marRight w:val="0"/>
      <w:marTop w:val="0"/>
      <w:marBottom w:val="0"/>
      <w:divBdr>
        <w:top w:val="none" w:sz="0" w:space="0" w:color="auto"/>
        <w:left w:val="none" w:sz="0" w:space="0" w:color="auto"/>
        <w:bottom w:val="none" w:sz="0" w:space="0" w:color="auto"/>
        <w:right w:val="none" w:sz="0" w:space="0" w:color="auto"/>
      </w:divBdr>
    </w:div>
    <w:div w:id="805659318">
      <w:marLeft w:val="0"/>
      <w:marRight w:val="0"/>
      <w:marTop w:val="0"/>
      <w:marBottom w:val="0"/>
      <w:divBdr>
        <w:top w:val="none" w:sz="0" w:space="0" w:color="auto"/>
        <w:left w:val="none" w:sz="0" w:space="0" w:color="auto"/>
        <w:bottom w:val="none" w:sz="0" w:space="0" w:color="auto"/>
        <w:right w:val="none" w:sz="0" w:space="0" w:color="auto"/>
      </w:divBdr>
      <w:divsChild>
        <w:div w:id="805659311">
          <w:marLeft w:val="0"/>
          <w:marRight w:val="0"/>
          <w:marTop w:val="0"/>
          <w:marBottom w:val="0"/>
          <w:divBdr>
            <w:top w:val="none" w:sz="0" w:space="0" w:color="auto"/>
            <w:left w:val="none" w:sz="0" w:space="0" w:color="auto"/>
            <w:bottom w:val="none" w:sz="0" w:space="0" w:color="auto"/>
            <w:right w:val="none" w:sz="0" w:space="0" w:color="auto"/>
          </w:divBdr>
        </w:div>
        <w:div w:id="805659312">
          <w:marLeft w:val="0"/>
          <w:marRight w:val="0"/>
          <w:marTop w:val="0"/>
          <w:marBottom w:val="0"/>
          <w:divBdr>
            <w:top w:val="none" w:sz="0" w:space="0" w:color="auto"/>
            <w:left w:val="none" w:sz="0" w:space="0" w:color="auto"/>
            <w:bottom w:val="none" w:sz="0" w:space="0" w:color="auto"/>
            <w:right w:val="none" w:sz="0" w:space="0" w:color="auto"/>
          </w:divBdr>
        </w:div>
        <w:div w:id="805659314">
          <w:marLeft w:val="0"/>
          <w:marRight w:val="0"/>
          <w:marTop w:val="0"/>
          <w:marBottom w:val="0"/>
          <w:divBdr>
            <w:top w:val="none" w:sz="0" w:space="0" w:color="auto"/>
            <w:left w:val="none" w:sz="0" w:space="0" w:color="auto"/>
            <w:bottom w:val="none" w:sz="0" w:space="0" w:color="auto"/>
            <w:right w:val="none" w:sz="0" w:space="0" w:color="auto"/>
          </w:divBdr>
        </w:div>
        <w:div w:id="805659315">
          <w:marLeft w:val="0"/>
          <w:marRight w:val="0"/>
          <w:marTop w:val="0"/>
          <w:marBottom w:val="0"/>
          <w:divBdr>
            <w:top w:val="none" w:sz="0" w:space="0" w:color="auto"/>
            <w:left w:val="none" w:sz="0" w:space="0" w:color="auto"/>
            <w:bottom w:val="none" w:sz="0" w:space="0" w:color="auto"/>
            <w:right w:val="none" w:sz="0" w:space="0" w:color="auto"/>
          </w:divBdr>
        </w:div>
        <w:div w:id="805659317">
          <w:marLeft w:val="0"/>
          <w:marRight w:val="0"/>
          <w:marTop w:val="0"/>
          <w:marBottom w:val="0"/>
          <w:divBdr>
            <w:top w:val="none" w:sz="0" w:space="0" w:color="auto"/>
            <w:left w:val="none" w:sz="0" w:space="0" w:color="auto"/>
            <w:bottom w:val="none" w:sz="0" w:space="0" w:color="auto"/>
            <w:right w:val="none" w:sz="0" w:space="0" w:color="auto"/>
          </w:divBdr>
        </w:div>
        <w:div w:id="805659319">
          <w:marLeft w:val="0"/>
          <w:marRight w:val="0"/>
          <w:marTop w:val="0"/>
          <w:marBottom w:val="0"/>
          <w:divBdr>
            <w:top w:val="none" w:sz="0" w:space="0" w:color="auto"/>
            <w:left w:val="none" w:sz="0" w:space="0" w:color="auto"/>
            <w:bottom w:val="none" w:sz="0" w:space="0" w:color="auto"/>
            <w:right w:val="none" w:sz="0" w:space="0" w:color="auto"/>
          </w:divBdr>
        </w:div>
        <w:div w:id="805659320">
          <w:marLeft w:val="0"/>
          <w:marRight w:val="0"/>
          <w:marTop w:val="0"/>
          <w:marBottom w:val="0"/>
          <w:divBdr>
            <w:top w:val="none" w:sz="0" w:space="0" w:color="auto"/>
            <w:left w:val="none" w:sz="0" w:space="0" w:color="auto"/>
            <w:bottom w:val="none" w:sz="0" w:space="0" w:color="auto"/>
            <w:right w:val="none" w:sz="0" w:space="0" w:color="auto"/>
          </w:divBdr>
        </w:div>
        <w:div w:id="805659321">
          <w:marLeft w:val="0"/>
          <w:marRight w:val="0"/>
          <w:marTop w:val="0"/>
          <w:marBottom w:val="0"/>
          <w:divBdr>
            <w:top w:val="none" w:sz="0" w:space="0" w:color="auto"/>
            <w:left w:val="none" w:sz="0" w:space="0" w:color="auto"/>
            <w:bottom w:val="none" w:sz="0" w:space="0" w:color="auto"/>
            <w:right w:val="none" w:sz="0" w:space="0" w:color="auto"/>
          </w:divBdr>
        </w:div>
        <w:div w:id="805659322">
          <w:marLeft w:val="0"/>
          <w:marRight w:val="0"/>
          <w:marTop w:val="0"/>
          <w:marBottom w:val="0"/>
          <w:divBdr>
            <w:top w:val="none" w:sz="0" w:space="0" w:color="auto"/>
            <w:left w:val="none" w:sz="0" w:space="0" w:color="auto"/>
            <w:bottom w:val="none" w:sz="0" w:space="0" w:color="auto"/>
            <w:right w:val="none" w:sz="0" w:space="0" w:color="auto"/>
          </w:divBdr>
        </w:div>
        <w:div w:id="805659323">
          <w:marLeft w:val="0"/>
          <w:marRight w:val="0"/>
          <w:marTop w:val="0"/>
          <w:marBottom w:val="0"/>
          <w:divBdr>
            <w:top w:val="none" w:sz="0" w:space="0" w:color="auto"/>
            <w:left w:val="none" w:sz="0" w:space="0" w:color="auto"/>
            <w:bottom w:val="none" w:sz="0" w:space="0" w:color="auto"/>
            <w:right w:val="none" w:sz="0" w:space="0" w:color="auto"/>
          </w:divBdr>
        </w:div>
      </w:divsChild>
    </w:div>
    <w:div w:id="870727579">
      <w:bodyDiv w:val="1"/>
      <w:marLeft w:val="0"/>
      <w:marRight w:val="0"/>
      <w:marTop w:val="0"/>
      <w:marBottom w:val="0"/>
      <w:divBdr>
        <w:top w:val="none" w:sz="0" w:space="0" w:color="auto"/>
        <w:left w:val="none" w:sz="0" w:space="0" w:color="auto"/>
        <w:bottom w:val="none" w:sz="0" w:space="0" w:color="auto"/>
        <w:right w:val="none" w:sz="0" w:space="0" w:color="auto"/>
      </w:divBdr>
      <w:divsChild>
        <w:div w:id="1848520675">
          <w:marLeft w:val="0"/>
          <w:marRight w:val="0"/>
          <w:marTop w:val="0"/>
          <w:marBottom w:val="0"/>
          <w:divBdr>
            <w:top w:val="none" w:sz="0" w:space="0" w:color="auto"/>
            <w:left w:val="none" w:sz="0" w:space="0" w:color="auto"/>
            <w:bottom w:val="none" w:sz="0" w:space="0" w:color="auto"/>
            <w:right w:val="none" w:sz="0" w:space="0" w:color="auto"/>
          </w:divBdr>
          <w:divsChild>
            <w:div w:id="763771938">
              <w:marLeft w:val="0"/>
              <w:marRight w:val="0"/>
              <w:marTop w:val="0"/>
              <w:marBottom w:val="0"/>
              <w:divBdr>
                <w:top w:val="none" w:sz="0" w:space="0" w:color="auto"/>
                <w:left w:val="none" w:sz="0" w:space="0" w:color="auto"/>
                <w:bottom w:val="none" w:sz="0" w:space="0" w:color="auto"/>
                <w:right w:val="none" w:sz="0" w:space="0" w:color="auto"/>
              </w:divBdr>
              <w:divsChild>
                <w:div w:id="1331442496">
                  <w:marLeft w:val="0"/>
                  <w:marRight w:val="0"/>
                  <w:marTop w:val="0"/>
                  <w:marBottom w:val="0"/>
                  <w:divBdr>
                    <w:top w:val="none" w:sz="0" w:space="0" w:color="auto"/>
                    <w:left w:val="none" w:sz="0" w:space="0" w:color="auto"/>
                    <w:bottom w:val="none" w:sz="0" w:space="0" w:color="auto"/>
                    <w:right w:val="none" w:sz="0" w:space="0" w:color="auto"/>
                  </w:divBdr>
                  <w:divsChild>
                    <w:div w:id="1305307465">
                      <w:marLeft w:val="0"/>
                      <w:marRight w:val="0"/>
                      <w:marTop w:val="0"/>
                      <w:marBottom w:val="0"/>
                      <w:divBdr>
                        <w:top w:val="none" w:sz="0" w:space="0" w:color="auto"/>
                        <w:left w:val="none" w:sz="0" w:space="0" w:color="auto"/>
                        <w:bottom w:val="none" w:sz="0" w:space="0" w:color="auto"/>
                        <w:right w:val="none" w:sz="0" w:space="0" w:color="auto"/>
                      </w:divBdr>
                      <w:divsChild>
                        <w:div w:id="1063678536">
                          <w:marLeft w:val="0"/>
                          <w:marRight w:val="0"/>
                          <w:marTop w:val="0"/>
                          <w:marBottom w:val="0"/>
                          <w:divBdr>
                            <w:top w:val="none" w:sz="0" w:space="0" w:color="auto"/>
                            <w:left w:val="none" w:sz="0" w:space="0" w:color="auto"/>
                            <w:bottom w:val="none" w:sz="0" w:space="0" w:color="auto"/>
                            <w:right w:val="none" w:sz="0" w:space="0" w:color="auto"/>
                          </w:divBdr>
                          <w:divsChild>
                            <w:div w:id="1169367741">
                              <w:marLeft w:val="0"/>
                              <w:marRight w:val="0"/>
                              <w:marTop w:val="0"/>
                              <w:marBottom w:val="0"/>
                              <w:divBdr>
                                <w:top w:val="none" w:sz="0" w:space="0" w:color="auto"/>
                                <w:left w:val="none" w:sz="0" w:space="0" w:color="auto"/>
                                <w:bottom w:val="none" w:sz="0" w:space="0" w:color="auto"/>
                                <w:right w:val="none" w:sz="0" w:space="0" w:color="auto"/>
                              </w:divBdr>
                              <w:divsChild>
                                <w:div w:id="1357660330">
                                  <w:marLeft w:val="0"/>
                                  <w:marRight w:val="0"/>
                                  <w:marTop w:val="0"/>
                                  <w:marBottom w:val="0"/>
                                  <w:divBdr>
                                    <w:top w:val="none" w:sz="0" w:space="0" w:color="auto"/>
                                    <w:left w:val="none" w:sz="0" w:space="0" w:color="auto"/>
                                    <w:bottom w:val="none" w:sz="0" w:space="0" w:color="auto"/>
                                    <w:right w:val="none" w:sz="0" w:space="0" w:color="auto"/>
                                  </w:divBdr>
                                  <w:divsChild>
                                    <w:div w:id="925112007">
                                      <w:marLeft w:val="60"/>
                                      <w:marRight w:val="0"/>
                                      <w:marTop w:val="0"/>
                                      <w:marBottom w:val="0"/>
                                      <w:divBdr>
                                        <w:top w:val="none" w:sz="0" w:space="0" w:color="auto"/>
                                        <w:left w:val="none" w:sz="0" w:space="0" w:color="auto"/>
                                        <w:bottom w:val="none" w:sz="0" w:space="0" w:color="auto"/>
                                        <w:right w:val="none" w:sz="0" w:space="0" w:color="auto"/>
                                      </w:divBdr>
                                      <w:divsChild>
                                        <w:div w:id="454711874">
                                          <w:marLeft w:val="0"/>
                                          <w:marRight w:val="0"/>
                                          <w:marTop w:val="0"/>
                                          <w:marBottom w:val="0"/>
                                          <w:divBdr>
                                            <w:top w:val="none" w:sz="0" w:space="0" w:color="auto"/>
                                            <w:left w:val="none" w:sz="0" w:space="0" w:color="auto"/>
                                            <w:bottom w:val="none" w:sz="0" w:space="0" w:color="auto"/>
                                            <w:right w:val="none" w:sz="0" w:space="0" w:color="auto"/>
                                          </w:divBdr>
                                          <w:divsChild>
                                            <w:div w:id="40790661">
                                              <w:marLeft w:val="0"/>
                                              <w:marRight w:val="0"/>
                                              <w:marTop w:val="0"/>
                                              <w:marBottom w:val="120"/>
                                              <w:divBdr>
                                                <w:top w:val="single" w:sz="6" w:space="0" w:color="F5F5F5"/>
                                                <w:left w:val="single" w:sz="6" w:space="0" w:color="F5F5F5"/>
                                                <w:bottom w:val="single" w:sz="6" w:space="0" w:color="F5F5F5"/>
                                                <w:right w:val="single" w:sz="6" w:space="0" w:color="F5F5F5"/>
                                              </w:divBdr>
                                              <w:divsChild>
                                                <w:div w:id="388308177">
                                                  <w:marLeft w:val="0"/>
                                                  <w:marRight w:val="0"/>
                                                  <w:marTop w:val="0"/>
                                                  <w:marBottom w:val="0"/>
                                                  <w:divBdr>
                                                    <w:top w:val="none" w:sz="0" w:space="0" w:color="auto"/>
                                                    <w:left w:val="none" w:sz="0" w:space="0" w:color="auto"/>
                                                    <w:bottom w:val="none" w:sz="0" w:space="0" w:color="auto"/>
                                                    <w:right w:val="none" w:sz="0" w:space="0" w:color="auto"/>
                                                  </w:divBdr>
                                                  <w:divsChild>
                                                    <w:div w:id="183756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8182356">
      <w:bodyDiv w:val="1"/>
      <w:marLeft w:val="0"/>
      <w:marRight w:val="0"/>
      <w:marTop w:val="0"/>
      <w:marBottom w:val="0"/>
      <w:divBdr>
        <w:top w:val="none" w:sz="0" w:space="0" w:color="auto"/>
        <w:left w:val="none" w:sz="0" w:space="0" w:color="auto"/>
        <w:bottom w:val="none" w:sz="0" w:space="0" w:color="auto"/>
        <w:right w:val="none" w:sz="0" w:space="0" w:color="auto"/>
      </w:divBdr>
    </w:div>
    <w:div w:id="1340544183">
      <w:bodyDiv w:val="1"/>
      <w:marLeft w:val="0"/>
      <w:marRight w:val="0"/>
      <w:marTop w:val="0"/>
      <w:marBottom w:val="0"/>
      <w:divBdr>
        <w:top w:val="none" w:sz="0" w:space="0" w:color="auto"/>
        <w:left w:val="none" w:sz="0" w:space="0" w:color="auto"/>
        <w:bottom w:val="none" w:sz="0" w:space="0" w:color="auto"/>
        <w:right w:val="none" w:sz="0" w:space="0" w:color="auto"/>
      </w:divBdr>
    </w:div>
    <w:div w:id="1410421563">
      <w:bodyDiv w:val="1"/>
      <w:marLeft w:val="0"/>
      <w:marRight w:val="0"/>
      <w:marTop w:val="0"/>
      <w:marBottom w:val="0"/>
      <w:divBdr>
        <w:top w:val="none" w:sz="0" w:space="0" w:color="auto"/>
        <w:left w:val="none" w:sz="0" w:space="0" w:color="auto"/>
        <w:bottom w:val="none" w:sz="0" w:space="0" w:color="auto"/>
        <w:right w:val="none" w:sz="0" w:space="0" w:color="auto"/>
      </w:divBdr>
    </w:div>
    <w:div w:id="1673069886">
      <w:bodyDiv w:val="1"/>
      <w:marLeft w:val="0"/>
      <w:marRight w:val="0"/>
      <w:marTop w:val="0"/>
      <w:marBottom w:val="0"/>
      <w:divBdr>
        <w:top w:val="none" w:sz="0" w:space="0" w:color="auto"/>
        <w:left w:val="none" w:sz="0" w:space="0" w:color="auto"/>
        <w:bottom w:val="none" w:sz="0" w:space="0" w:color="auto"/>
        <w:right w:val="none" w:sz="0" w:space="0" w:color="auto"/>
      </w:divBdr>
    </w:div>
    <w:div w:id="2064600522">
      <w:bodyDiv w:val="1"/>
      <w:marLeft w:val="0"/>
      <w:marRight w:val="0"/>
      <w:marTop w:val="0"/>
      <w:marBottom w:val="0"/>
      <w:divBdr>
        <w:top w:val="none" w:sz="0" w:space="0" w:color="auto"/>
        <w:left w:val="none" w:sz="0" w:space="0" w:color="auto"/>
        <w:bottom w:val="none" w:sz="0" w:space="0" w:color="auto"/>
        <w:right w:val="none" w:sz="0" w:space="0" w:color="auto"/>
      </w:divBdr>
      <w:divsChild>
        <w:div w:id="500894814">
          <w:marLeft w:val="0"/>
          <w:marRight w:val="0"/>
          <w:marTop w:val="0"/>
          <w:marBottom w:val="0"/>
          <w:divBdr>
            <w:top w:val="none" w:sz="0" w:space="0" w:color="auto"/>
            <w:left w:val="none" w:sz="0" w:space="0" w:color="auto"/>
            <w:bottom w:val="none" w:sz="0" w:space="0" w:color="auto"/>
            <w:right w:val="none" w:sz="0" w:space="0" w:color="auto"/>
          </w:divBdr>
        </w:div>
      </w:divsChild>
    </w:div>
    <w:div w:id="2130081637">
      <w:bodyDiv w:val="1"/>
      <w:marLeft w:val="0"/>
      <w:marRight w:val="0"/>
      <w:marTop w:val="0"/>
      <w:marBottom w:val="0"/>
      <w:divBdr>
        <w:top w:val="none" w:sz="0" w:space="0" w:color="auto"/>
        <w:left w:val="none" w:sz="0" w:space="0" w:color="auto"/>
        <w:bottom w:val="none" w:sz="0" w:space="0" w:color="auto"/>
        <w:right w:val="none" w:sz="0" w:space="0" w:color="auto"/>
      </w:divBdr>
      <w:divsChild>
        <w:div w:id="573783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image" Target="media/image4.png"/><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314E5E-D48C-EE48-85E0-FF23227D8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6489</Words>
  <Characters>36989</Characters>
  <Application>Microsoft Macintosh Word</Application>
  <DocSecurity>0</DocSecurity>
  <Lines>308</Lines>
  <Paragraphs>86</Paragraphs>
  <ScaleCrop>false</ScaleCrop>
  <HeadingPairs>
    <vt:vector size="2" baseType="variant">
      <vt:variant>
        <vt:lpstr>Titolo</vt:lpstr>
      </vt:variant>
      <vt:variant>
        <vt:i4>1</vt:i4>
      </vt:variant>
    </vt:vector>
  </HeadingPairs>
  <TitlesOfParts>
    <vt:vector size="1" baseType="lpstr">
      <vt:lpstr>Chemioembolizzazione Transarteriosa (TACE) del Carcinoma Epatocellulare (HCC) con una nuova generazione di micro particelle: Risultati preliminari Clinico-Radiologici e Profilo di Sicurezza</vt:lpstr>
    </vt:vector>
  </TitlesOfParts>
  <Company>int</Company>
  <LinksUpToDate>false</LinksUpToDate>
  <CharactersWithSpaces>43392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Chemioembolizzazione Transarteriosa (TACE) del Carcinoma Epatocellulare (HCC) con una nuova generazione di micro particelle: Risultati preliminari Clinico-Radiologici e Profilo di Sicurezza</dc:title>
  <dc:creator>Administrator</dc:creator>
  <cp:lastModifiedBy>Na Ma</cp:lastModifiedBy>
  <cp:revision>2</cp:revision>
  <cp:lastPrinted>2016-10-11T06:01:00Z</cp:lastPrinted>
  <dcterms:created xsi:type="dcterms:W3CDTF">2017-03-12T21:33:00Z</dcterms:created>
  <dcterms:modified xsi:type="dcterms:W3CDTF">2017-03-12T21:33:00Z</dcterms:modified>
</cp:coreProperties>
</file>