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891" w:rsidRPr="007C2EA5" w:rsidRDefault="007F0891" w:rsidP="007F0891">
      <w:pPr>
        <w:adjustRightInd w:val="0"/>
        <w:snapToGrid w:val="0"/>
        <w:rPr>
          <w:rFonts w:eastAsia="Times New Roman" w:cs="SimSun"/>
          <w:b/>
          <w:i/>
          <w:color w:val="000000" w:themeColor="text1"/>
        </w:rPr>
      </w:pPr>
      <w:bookmarkStart w:id="0" w:name="OLE_LINK545"/>
      <w:bookmarkStart w:id="1" w:name="OLE_LINK546"/>
      <w:bookmarkStart w:id="2" w:name="OLE_LINK592"/>
      <w:r w:rsidRPr="007C2EA5">
        <w:rPr>
          <w:rFonts w:eastAsia="Times New Roman" w:cs="SimSun"/>
          <w:b/>
          <w:color w:val="000000" w:themeColor="text1"/>
        </w:rPr>
        <w:t xml:space="preserve">Name of journal: </w:t>
      </w:r>
      <w:bookmarkStart w:id="3" w:name="OLE_LINK718"/>
      <w:bookmarkStart w:id="4" w:name="OLE_LINK719"/>
      <w:bookmarkStart w:id="5" w:name="OLE_LINK645"/>
      <w:bookmarkStart w:id="6" w:name="OLE_LINK661"/>
      <w:bookmarkStart w:id="7" w:name="OLE_LINK1068"/>
      <w:r w:rsidRPr="007C2EA5">
        <w:rPr>
          <w:rFonts w:eastAsia="Times New Roman" w:cs="SimSun"/>
          <w:b/>
          <w:i/>
          <w:color w:val="000000" w:themeColor="text1"/>
        </w:rPr>
        <w:t xml:space="preserve">World Journal of </w:t>
      </w:r>
      <w:bookmarkStart w:id="8" w:name="OLE_LINK1222"/>
      <w:bookmarkStart w:id="9" w:name="OLE_LINK1223"/>
      <w:r w:rsidRPr="007C2EA5">
        <w:rPr>
          <w:rFonts w:eastAsia="Times New Roman" w:cs="SimSun"/>
          <w:b/>
          <w:i/>
          <w:color w:val="000000" w:themeColor="text1"/>
        </w:rPr>
        <w:t>Gastroenterology</w:t>
      </w:r>
      <w:bookmarkEnd w:id="3"/>
      <w:bookmarkEnd w:id="4"/>
      <w:bookmarkEnd w:id="5"/>
      <w:bookmarkEnd w:id="6"/>
      <w:bookmarkEnd w:id="7"/>
      <w:bookmarkEnd w:id="8"/>
      <w:bookmarkEnd w:id="9"/>
    </w:p>
    <w:p w:rsidR="007F0891" w:rsidRPr="007C2EA5" w:rsidRDefault="007F0891" w:rsidP="007F0891">
      <w:pPr>
        <w:adjustRightInd w:val="0"/>
        <w:snapToGrid w:val="0"/>
        <w:rPr>
          <w:rFonts w:cs="Arial"/>
          <w:color w:val="000000" w:themeColor="text1"/>
          <w:lang w:val="en"/>
        </w:rPr>
      </w:pPr>
      <w:r w:rsidRPr="007C2EA5">
        <w:rPr>
          <w:rFonts w:cs="Arial"/>
          <w:b/>
          <w:color w:val="000000" w:themeColor="text1"/>
          <w:lang w:val="en"/>
        </w:rPr>
        <w:t xml:space="preserve">ESPS Manuscript NO: </w:t>
      </w:r>
      <w:r w:rsidRPr="007C2EA5">
        <w:rPr>
          <w:rFonts w:cs="Arial" w:hint="eastAsia"/>
          <w:b/>
          <w:color w:val="000000" w:themeColor="text1"/>
          <w:lang w:val="en"/>
        </w:rPr>
        <w:t>32048</w:t>
      </w:r>
    </w:p>
    <w:p w:rsidR="007F0891" w:rsidRPr="007C2EA5" w:rsidRDefault="007F0891" w:rsidP="007F0891">
      <w:pPr>
        <w:rPr>
          <w:b/>
          <w:color w:val="000000" w:themeColor="text1"/>
        </w:rPr>
      </w:pPr>
      <w:r w:rsidRPr="007C2EA5">
        <w:rPr>
          <w:b/>
          <w:color w:val="000000" w:themeColor="text1"/>
        </w:rPr>
        <w:t>Manuscript Type</w:t>
      </w:r>
      <w:r w:rsidRPr="007C2EA5">
        <w:rPr>
          <w:rFonts w:hint="eastAsia"/>
          <w:b/>
          <w:color w:val="000000" w:themeColor="text1"/>
        </w:rPr>
        <w:t xml:space="preserve">: </w:t>
      </w:r>
      <w:r w:rsidRPr="007C2EA5">
        <w:rPr>
          <w:b/>
          <w:color w:val="000000" w:themeColor="text1"/>
        </w:rPr>
        <w:t>ORIGINAL ARTICLE</w:t>
      </w:r>
    </w:p>
    <w:p w:rsidR="007F0891" w:rsidRPr="007C2EA5" w:rsidRDefault="007F0891" w:rsidP="007F0891">
      <w:pPr>
        <w:rPr>
          <w:b/>
          <w:color w:val="000000" w:themeColor="text1"/>
        </w:rPr>
      </w:pPr>
    </w:p>
    <w:p w:rsidR="007F0891" w:rsidRPr="007C2EA5" w:rsidRDefault="007F0891" w:rsidP="007F0891">
      <w:pPr>
        <w:rPr>
          <w:b/>
          <w:color w:val="000000" w:themeColor="text1"/>
        </w:rPr>
      </w:pPr>
      <w:r w:rsidRPr="007C2EA5">
        <w:rPr>
          <w:b/>
          <w:i/>
          <w:color w:val="000000" w:themeColor="text1"/>
        </w:rPr>
        <w:t>Basic Study</w:t>
      </w:r>
    </w:p>
    <w:bookmarkEnd w:id="0"/>
    <w:bookmarkEnd w:id="1"/>
    <w:bookmarkEnd w:id="2"/>
    <w:p w:rsidR="00396304" w:rsidRPr="007C2EA5" w:rsidRDefault="003C713F">
      <w:pPr>
        <w:rPr>
          <w:b/>
          <w:color w:val="000000" w:themeColor="text1"/>
        </w:rPr>
      </w:pPr>
      <w:r w:rsidRPr="007C2EA5">
        <w:rPr>
          <w:b/>
          <w:color w:val="000000" w:themeColor="text1"/>
        </w:rPr>
        <w:t>Notch signaling mediated by TGF-β/Smad pathway in concanavalin-A-induced liver fibrosis in rats</w:t>
      </w:r>
    </w:p>
    <w:p w:rsidR="003C713F" w:rsidRPr="007C2EA5" w:rsidRDefault="003C713F">
      <w:pPr>
        <w:rPr>
          <w:b/>
          <w:color w:val="000000" w:themeColor="text1"/>
        </w:rPr>
      </w:pPr>
    </w:p>
    <w:p w:rsidR="003C713F" w:rsidRPr="007C2EA5" w:rsidRDefault="003C713F">
      <w:pPr>
        <w:rPr>
          <w:color w:val="000000" w:themeColor="text1"/>
        </w:rPr>
      </w:pPr>
      <w:r w:rsidRPr="007C2EA5">
        <w:rPr>
          <w:color w:val="000000" w:themeColor="text1"/>
        </w:rPr>
        <w:t>Wang Y</w:t>
      </w:r>
      <w:r w:rsidRPr="007C2EA5">
        <w:rPr>
          <w:i/>
          <w:color w:val="000000" w:themeColor="text1"/>
        </w:rPr>
        <w:t xml:space="preserve"> et al. </w:t>
      </w:r>
      <w:r w:rsidRPr="007C2EA5">
        <w:rPr>
          <w:color w:val="000000" w:themeColor="text1"/>
        </w:rPr>
        <w:t>Notch in rat liver fibrosis</w:t>
      </w:r>
    </w:p>
    <w:p w:rsidR="003C713F" w:rsidRPr="007C2EA5" w:rsidRDefault="003C713F">
      <w:pPr>
        <w:rPr>
          <w:color w:val="000000" w:themeColor="text1"/>
        </w:rPr>
      </w:pPr>
    </w:p>
    <w:p w:rsidR="003C713F" w:rsidRPr="007C2EA5" w:rsidRDefault="003C713F">
      <w:pPr>
        <w:rPr>
          <w:color w:val="000000" w:themeColor="text1"/>
        </w:rPr>
      </w:pPr>
      <w:bookmarkStart w:id="10" w:name="OLE_LINK260"/>
      <w:bookmarkStart w:id="11" w:name="OLE_LINK261"/>
      <w:r w:rsidRPr="007C2EA5">
        <w:rPr>
          <w:color w:val="000000" w:themeColor="text1"/>
        </w:rPr>
        <w:t>Yi Wang, Ruo-Wu Shen, Bing Han, Zhen Li, Le Xiong, Feng-Yu Zhang, Bei-Bei Cong, Bei Zhang</w:t>
      </w:r>
    </w:p>
    <w:bookmarkEnd w:id="10"/>
    <w:bookmarkEnd w:id="11"/>
    <w:p w:rsidR="003C713F" w:rsidRPr="007C2EA5" w:rsidRDefault="003C713F">
      <w:pPr>
        <w:rPr>
          <w:color w:val="000000" w:themeColor="text1"/>
        </w:rPr>
      </w:pPr>
    </w:p>
    <w:p w:rsidR="003C713F" w:rsidRPr="007C2EA5" w:rsidRDefault="003C713F">
      <w:pPr>
        <w:rPr>
          <w:color w:val="000000" w:themeColor="text1"/>
        </w:rPr>
      </w:pPr>
      <w:r w:rsidRPr="007C2EA5">
        <w:rPr>
          <w:b/>
          <w:color w:val="000000" w:themeColor="text1"/>
        </w:rPr>
        <w:t>Yi Wang, Zhen Li, Le Xiong, Feng-Yu Zhang, Bei-Bei Cong, Bei Zhang,</w:t>
      </w:r>
      <w:r w:rsidRPr="007C2EA5">
        <w:rPr>
          <w:color w:val="000000" w:themeColor="text1"/>
        </w:rPr>
        <w:t xml:space="preserve"> Department of Immunology, Medical College of Qingdao University, Qingdao 266071, Shandong Province, China</w:t>
      </w:r>
    </w:p>
    <w:p w:rsidR="003C713F" w:rsidRPr="007C2EA5" w:rsidRDefault="003C713F">
      <w:pPr>
        <w:rPr>
          <w:color w:val="000000" w:themeColor="text1"/>
        </w:rPr>
      </w:pPr>
    </w:p>
    <w:p w:rsidR="003C713F" w:rsidRPr="007C2EA5" w:rsidRDefault="003C713F" w:rsidP="003C713F">
      <w:pPr>
        <w:widowControl w:val="0"/>
        <w:autoSpaceDE w:val="0"/>
        <w:autoSpaceDN w:val="0"/>
        <w:adjustRightInd w:val="0"/>
        <w:rPr>
          <w:rFonts w:cs="Book Antiqua"/>
          <w:color w:val="000000" w:themeColor="text1"/>
          <w:kern w:val="0"/>
        </w:rPr>
      </w:pPr>
      <w:r w:rsidRPr="007C2EA5">
        <w:rPr>
          <w:rFonts w:cs="Book Antiqua"/>
          <w:b/>
          <w:bCs/>
          <w:color w:val="000000" w:themeColor="text1"/>
          <w:kern w:val="0"/>
        </w:rPr>
        <w:t>Ruo-Wu Shen</w:t>
      </w:r>
      <w:r w:rsidRPr="007C2EA5">
        <w:rPr>
          <w:rFonts w:cs="Book Antiqua"/>
          <w:color w:val="000000" w:themeColor="text1"/>
          <w:kern w:val="0"/>
        </w:rPr>
        <w:t>, Department of Anatomy, Medical College of Qingdao University, Qingdao 266071, Shandong Province, China</w:t>
      </w:r>
    </w:p>
    <w:p w:rsidR="003C713F" w:rsidRPr="007C2EA5" w:rsidRDefault="003C713F" w:rsidP="003C713F">
      <w:pPr>
        <w:widowControl w:val="0"/>
        <w:autoSpaceDE w:val="0"/>
        <w:autoSpaceDN w:val="0"/>
        <w:adjustRightInd w:val="0"/>
        <w:rPr>
          <w:rFonts w:cs="Book Antiqua"/>
          <w:color w:val="000000" w:themeColor="text1"/>
          <w:kern w:val="0"/>
        </w:rPr>
      </w:pPr>
    </w:p>
    <w:p w:rsidR="003C713F" w:rsidRPr="007C2EA5" w:rsidRDefault="003C713F" w:rsidP="003C713F">
      <w:pPr>
        <w:rPr>
          <w:rFonts w:cs="Book Antiqua"/>
          <w:color w:val="000000" w:themeColor="text1"/>
          <w:kern w:val="0"/>
        </w:rPr>
      </w:pPr>
      <w:r w:rsidRPr="007C2EA5">
        <w:rPr>
          <w:rFonts w:cs="Book Antiqua"/>
          <w:b/>
          <w:bCs/>
          <w:color w:val="000000" w:themeColor="text1"/>
          <w:kern w:val="0"/>
        </w:rPr>
        <w:t>Bing Han,</w:t>
      </w:r>
      <w:r w:rsidRPr="007C2EA5">
        <w:rPr>
          <w:rFonts w:cs="Book Antiqua"/>
          <w:color w:val="000000" w:themeColor="text1"/>
          <w:kern w:val="0"/>
        </w:rPr>
        <w:t xml:space="preserve"> Department of Hepatobiliary </w:t>
      </w:r>
      <w:r w:rsidRPr="007C2EA5">
        <w:rPr>
          <w:rFonts w:cs="Book Antiqua" w:hint="eastAsia"/>
          <w:color w:val="000000" w:themeColor="text1"/>
          <w:kern w:val="0"/>
        </w:rPr>
        <w:t>S</w:t>
      </w:r>
      <w:r w:rsidRPr="007C2EA5">
        <w:rPr>
          <w:rFonts w:cs="Book Antiqua"/>
          <w:color w:val="000000" w:themeColor="text1"/>
          <w:kern w:val="0"/>
        </w:rPr>
        <w:t xml:space="preserve">urgery, Affiliated </w:t>
      </w:r>
      <w:r w:rsidRPr="007C2EA5">
        <w:rPr>
          <w:rFonts w:cs="Book Antiqua" w:hint="eastAsia"/>
          <w:color w:val="000000" w:themeColor="text1"/>
          <w:kern w:val="0"/>
        </w:rPr>
        <w:t>H</w:t>
      </w:r>
      <w:r w:rsidRPr="007C2EA5">
        <w:rPr>
          <w:rFonts w:cs="Book Antiqua"/>
          <w:color w:val="000000" w:themeColor="text1"/>
          <w:kern w:val="0"/>
        </w:rPr>
        <w:t>ospital of Qingdao University, Qingdao 266071, Shandong Province, China</w:t>
      </w:r>
    </w:p>
    <w:p w:rsidR="003C713F" w:rsidRPr="007C2EA5" w:rsidRDefault="003C713F" w:rsidP="003C713F">
      <w:pPr>
        <w:rPr>
          <w:rFonts w:cs="Book Antiqua"/>
          <w:color w:val="000000" w:themeColor="text1"/>
          <w:kern w:val="0"/>
        </w:rPr>
      </w:pPr>
    </w:p>
    <w:p w:rsidR="003C713F" w:rsidRPr="007C2EA5" w:rsidRDefault="003C713F" w:rsidP="003C713F">
      <w:pPr>
        <w:widowControl w:val="0"/>
        <w:autoSpaceDE w:val="0"/>
        <w:autoSpaceDN w:val="0"/>
        <w:adjustRightInd w:val="0"/>
        <w:rPr>
          <w:rFonts w:cs="Book Antiqua"/>
          <w:color w:val="000000" w:themeColor="text1"/>
          <w:kern w:val="0"/>
        </w:rPr>
      </w:pPr>
      <w:r w:rsidRPr="007C2EA5">
        <w:rPr>
          <w:rFonts w:cs="Book Antiqua"/>
          <w:b/>
          <w:bCs/>
          <w:color w:val="000000" w:themeColor="text1"/>
          <w:kern w:val="0"/>
        </w:rPr>
        <w:t xml:space="preserve">Author contributions: </w:t>
      </w:r>
      <w:r w:rsidRPr="007C2EA5">
        <w:rPr>
          <w:rFonts w:cs="Book Antiqua"/>
          <w:color w:val="000000" w:themeColor="text1"/>
          <w:kern w:val="0"/>
        </w:rPr>
        <w:t xml:space="preserve">Zhang B </w:t>
      </w:r>
      <w:r w:rsidRPr="007C2EA5">
        <w:rPr>
          <w:rFonts w:cs="Book Antiqua" w:hint="eastAsia"/>
          <w:color w:val="000000" w:themeColor="text1"/>
          <w:kern w:val="0"/>
        </w:rPr>
        <w:t>supervised</w:t>
      </w:r>
      <w:r w:rsidRPr="007C2EA5">
        <w:rPr>
          <w:rFonts w:cs="Book Antiqua"/>
          <w:color w:val="000000" w:themeColor="text1"/>
          <w:kern w:val="0"/>
        </w:rPr>
        <w:t xml:space="preserve"> the entire study; Wang Y and Shen RW contributed equally to this research</w:t>
      </w:r>
      <w:r w:rsidRPr="007C2EA5">
        <w:rPr>
          <w:rFonts w:ascii="??" w:hAnsi="??" w:cs="??"/>
          <w:color w:val="000000" w:themeColor="text1"/>
          <w:kern w:val="0"/>
          <w:sz w:val="21"/>
          <w:szCs w:val="21"/>
        </w:rPr>
        <w:t xml:space="preserve"> </w:t>
      </w:r>
      <w:r w:rsidRPr="007C2EA5">
        <w:rPr>
          <w:rFonts w:cs="Book Antiqua"/>
          <w:color w:val="000000" w:themeColor="text1"/>
          <w:kern w:val="0"/>
        </w:rPr>
        <w:t>as co-first author</w:t>
      </w:r>
      <w:r w:rsidRPr="007C2EA5">
        <w:rPr>
          <w:rFonts w:cs="Book Antiqua" w:hint="eastAsia"/>
          <w:color w:val="000000" w:themeColor="text1"/>
          <w:kern w:val="0"/>
        </w:rPr>
        <w:t>s</w:t>
      </w:r>
      <w:r w:rsidRPr="007C2EA5">
        <w:rPr>
          <w:rFonts w:cs="Book Antiqua"/>
          <w:color w:val="000000" w:themeColor="text1"/>
          <w:kern w:val="0"/>
        </w:rPr>
        <w:t>;</w:t>
      </w:r>
      <w:r w:rsidRPr="007C2EA5">
        <w:rPr>
          <w:rFonts w:cs="Book Antiqua"/>
          <w:color w:val="000000" w:themeColor="text1"/>
          <w:kern w:val="0"/>
          <w:sz w:val="21"/>
          <w:szCs w:val="21"/>
        </w:rPr>
        <w:t xml:space="preserve"> </w:t>
      </w:r>
      <w:r w:rsidRPr="007C2EA5">
        <w:rPr>
          <w:rFonts w:cs="Book Antiqua"/>
          <w:color w:val="000000" w:themeColor="text1"/>
          <w:kern w:val="0"/>
        </w:rPr>
        <w:t xml:space="preserve">Wang Y, Shen RW, Han B, Li Z, Xiong L, Zhang FY and Cong BB performed the research and analyzed the data; Wang Y wrote the paper; all authors </w:t>
      </w:r>
      <w:r w:rsidRPr="007C2EA5">
        <w:rPr>
          <w:rFonts w:cs="Book Antiqua" w:hint="eastAsia"/>
          <w:color w:val="000000" w:themeColor="text1"/>
          <w:kern w:val="0"/>
        </w:rPr>
        <w:t xml:space="preserve">have </w:t>
      </w:r>
      <w:r w:rsidRPr="007C2EA5">
        <w:rPr>
          <w:rFonts w:cs="Book Antiqua"/>
          <w:color w:val="000000" w:themeColor="text1"/>
          <w:kern w:val="0"/>
        </w:rPr>
        <w:t>read and approved the final manuscript.</w:t>
      </w:r>
    </w:p>
    <w:p w:rsidR="003C713F" w:rsidRPr="007C2EA5" w:rsidRDefault="003C713F" w:rsidP="003C713F">
      <w:pPr>
        <w:rPr>
          <w:color w:val="000000" w:themeColor="text1"/>
        </w:rPr>
      </w:pPr>
    </w:p>
    <w:p w:rsidR="003C713F" w:rsidRPr="007C2EA5" w:rsidRDefault="003C713F" w:rsidP="003C713F">
      <w:pPr>
        <w:widowControl w:val="0"/>
        <w:autoSpaceDE w:val="0"/>
        <w:autoSpaceDN w:val="0"/>
        <w:adjustRightInd w:val="0"/>
        <w:rPr>
          <w:rFonts w:cs="Book Antiqua"/>
          <w:b/>
          <w:bCs/>
          <w:color w:val="000000" w:themeColor="text1"/>
          <w:kern w:val="0"/>
        </w:rPr>
      </w:pPr>
      <w:r w:rsidRPr="007C2EA5">
        <w:rPr>
          <w:rFonts w:cs="Book Antiqua"/>
          <w:b/>
          <w:bCs/>
          <w:color w:val="000000" w:themeColor="text1"/>
          <w:kern w:val="0"/>
        </w:rPr>
        <w:t xml:space="preserve">Supported by </w:t>
      </w:r>
      <w:r w:rsidRPr="007C2EA5">
        <w:rPr>
          <w:rFonts w:cs="Book Antiqua"/>
          <w:color w:val="000000" w:themeColor="text1"/>
          <w:kern w:val="0"/>
        </w:rPr>
        <w:t xml:space="preserve">the Natural Science Foundation of Shandong Province, No. </w:t>
      </w:r>
      <w:r w:rsidRPr="007C2EA5">
        <w:rPr>
          <w:rFonts w:cs="Book Antiqua"/>
          <w:color w:val="000000" w:themeColor="text1"/>
          <w:kern w:val="0"/>
        </w:rPr>
        <w:lastRenderedPageBreak/>
        <w:t>2014ZRB01466</w:t>
      </w:r>
      <w:r w:rsidRPr="007C2EA5">
        <w:rPr>
          <w:rFonts w:cs="Book Antiqua" w:hint="eastAsia"/>
          <w:color w:val="000000" w:themeColor="text1"/>
          <w:kern w:val="0"/>
        </w:rPr>
        <w:t>.</w:t>
      </w:r>
    </w:p>
    <w:p w:rsidR="003C713F" w:rsidRPr="007C2EA5" w:rsidRDefault="003C713F" w:rsidP="003C713F">
      <w:pPr>
        <w:rPr>
          <w:color w:val="000000" w:themeColor="text1"/>
        </w:rPr>
      </w:pPr>
    </w:p>
    <w:p w:rsidR="003C713F" w:rsidRPr="007C2EA5" w:rsidRDefault="003C713F" w:rsidP="003C713F">
      <w:pPr>
        <w:autoSpaceDE w:val="0"/>
        <w:autoSpaceDN w:val="0"/>
        <w:adjustRightInd w:val="0"/>
        <w:rPr>
          <w:rFonts w:cs="Book Antiqua"/>
          <w:color w:val="000000" w:themeColor="text1"/>
          <w:kern w:val="0"/>
        </w:rPr>
      </w:pPr>
      <w:r w:rsidRPr="007C2EA5">
        <w:rPr>
          <w:rFonts w:cs="Book Antiqua"/>
          <w:b/>
          <w:bCs/>
          <w:color w:val="000000" w:themeColor="text1"/>
          <w:kern w:val="0"/>
        </w:rPr>
        <w:t>Institutional review board statement:</w:t>
      </w:r>
      <w:r w:rsidRPr="007C2EA5">
        <w:rPr>
          <w:rFonts w:cs="Book Antiqua"/>
          <w:color w:val="000000" w:themeColor="text1"/>
          <w:kern w:val="0"/>
        </w:rPr>
        <w:t xml:space="preserve"> The study was reviewed and approved by the Qingdao University Medical College Institutional Review Board</w:t>
      </w:r>
      <w:r w:rsidRPr="007C2EA5">
        <w:rPr>
          <w:rFonts w:cs="Book Antiqua" w:hint="eastAsia"/>
          <w:color w:val="000000" w:themeColor="text1"/>
          <w:kern w:val="0"/>
        </w:rPr>
        <w:t>.</w:t>
      </w:r>
    </w:p>
    <w:p w:rsidR="003C713F" w:rsidRPr="007C2EA5" w:rsidRDefault="003C713F" w:rsidP="003C713F">
      <w:pPr>
        <w:rPr>
          <w:color w:val="000000" w:themeColor="text1"/>
        </w:rPr>
      </w:pPr>
    </w:p>
    <w:p w:rsidR="003C713F" w:rsidRPr="007C2EA5" w:rsidRDefault="003C713F" w:rsidP="003C713F">
      <w:pPr>
        <w:widowControl w:val="0"/>
        <w:autoSpaceDE w:val="0"/>
        <w:autoSpaceDN w:val="0"/>
        <w:adjustRightInd w:val="0"/>
        <w:rPr>
          <w:rFonts w:cs="Book Antiqua"/>
          <w:color w:val="000000" w:themeColor="text1"/>
          <w:kern w:val="0"/>
        </w:rPr>
      </w:pPr>
      <w:r w:rsidRPr="007C2EA5">
        <w:rPr>
          <w:rFonts w:cs="Book Antiqua"/>
          <w:b/>
          <w:bCs/>
          <w:color w:val="000000" w:themeColor="text1"/>
          <w:kern w:val="0"/>
        </w:rPr>
        <w:t xml:space="preserve">Institutional animal care and use committee statement: </w:t>
      </w:r>
      <w:r w:rsidRPr="007C2EA5">
        <w:rPr>
          <w:rFonts w:cs="Book Antiqua"/>
          <w:color w:val="000000" w:themeColor="text1"/>
          <w:kern w:val="0"/>
        </w:rPr>
        <w:t>All procedures involving animals were reviewed and approved by the Institutional Animal Care and Use Committee of Qingdao University Medical College (N</w:t>
      </w:r>
      <w:r w:rsidRPr="007C2EA5">
        <w:rPr>
          <w:rFonts w:cs="Book Antiqua" w:hint="eastAsia"/>
          <w:color w:val="000000" w:themeColor="text1"/>
          <w:kern w:val="0"/>
        </w:rPr>
        <w:t>o.</w:t>
      </w:r>
      <w:r w:rsidR="007F0891" w:rsidRPr="007C2EA5">
        <w:rPr>
          <w:rFonts w:cs="Book Antiqua"/>
          <w:color w:val="000000" w:themeColor="text1"/>
          <w:kern w:val="0"/>
        </w:rPr>
        <w:t xml:space="preserve"> </w:t>
      </w:r>
      <w:r w:rsidRPr="007C2EA5">
        <w:rPr>
          <w:rFonts w:cs="Book Antiqua"/>
          <w:color w:val="000000" w:themeColor="text1"/>
          <w:kern w:val="0"/>
        </w:rPr>
        <w:t>SCXK20090007)</w:t>
      </w:r>
      <w:r w:rsidRPr="007C2EA5">
        <w:rPr>
          <w:rFonts w:cs="Book Antiqua" w:hint="eastAsia"/>
          <w:color w:val="000000" w:themeColor="text1"/>
          <w:kern w:val="0"/>
        </w:rPr>
        <w:t>.</w:t>
      </w:r>
    </w:p>
    <w:p w:rsidR="003C713F" w:rsidRPr="007C2EA5" w:rsidRDefault="003C713F" w:rsidP="003C713F">
      <w:pPr>
        <w:rPr>
          <w:color w:val="000000" w:themeColor="text1"/>
        </w:rPr>
      </w:pPr>
    </w:p>
    <w:p w:rsidR="003C713F" w:rsidRPr="007C2EA5" w:rsidRDefault="003C713F" w:rsidP="003C713F">
      <w:pPr>
        <w:autoSpaceDE w:val="0"/>
        <w:autoSpaceDN w:val="0"/>
        <w:adjustRightInd w:val="0"/>
        <w:rPr>
          <w:rFonts w:cs="Book Antiqua"/>
          <w:color w:val="000000" w:themeColor="text1"/>
          <w:kern w:val="0"/>
        </w:rPr>
      </w:pPr>
      <w:r w:rsidRPr="007C2EA5">
        <w:rPr>
          <w:rFonts w:cs="Book Antiqua"/>
          <w:b/>
          <w:bCs/>
          <w:color w:val="000000" w:themeColor="text1"/>
          <w:kern w:val="0"/>
        </w:rPr>
        <w:t>Conflict-of-interest statement:</w:t>
      </w:r>
      <w:r w:rsidRPr="007C2EA5">
        <w:rPr>
          <w:rFonts w:cs="Book Antiqua"/>
          <w:color w:val="000000" w:themeColor="text1"/>
          <w:kern w:val="0"/>
        </w:rPr>
        <w:t xml:space="preserve"> We declare that there are no conflicts of interest to disclose.</w:t>
      </w:r>
    </w:p>
    <w:p w:rsidR="003C713F" w:rsidRPr="007C2EA5" w:rsidRDefault="003C713F" w:rsidP="003C713F">
      <w:pPr>
        <w:autoSpaceDE w:val="0"/>
        <w:autoSpaceDN w:val="0"/>
        <w:adjustRightInd w:val="0"/>
        <w:rPr>
          <w:rFonts w:cs="Book Antiqua"/>
          <w:color w:val="000000" w:themeColor="text1"/>
          <w:kern w:val="0"/>
        </w:rPr>
      </w:pPr>
    </w:p>
    <w:p w:rsidR="003C713F" w:rsidRDefault="003C713F" w:rsidP="003C713F">
      <w:pPr>
        <w:autoSpaceDE w:val="0"/>
        <w:autoSpaceDN w:val="0"/>
        <w:adjustRightInd w:val="0"/>
        <w:rPr>
          <w:rFonts w:cs="Book Antiqua"/>
          <w:color w:val="000000" w:themeColor="text1"/>
          <w:kern w:val="0"/>
        </w:rPr>
      </w:pPr>
      <w:r w:rsidRPr="007C2EA5">
        <w:rPr>
          <w:rFonts w:cs="Book Antiqua"/>
          <w:b/>
          <w:bCs/>
          <w:color w:val="000000" w:themeColor="text1"/>
          <w:kern w:val="0"/>
        </w:rPr>
        <w:t>Data sharing statement:</w:t>
      </w:r>
      <w:r w:rsidRPr="007C2EA5">
        <w:rPr>
          <w:rFonts w:cs="Book Antiqua"/>
          <w:color w:val="000000" w:themeColor="text1"/>
          <w:kern w:val="0"/>
        </w:rPr>
        <w:t xml:space="preserve"> No additional data are available.</w:t>
      </w:r>
    </w:p>
    <w:p w:rsidR="00E201AE" w:rsidRPr="007C2EA5" w:rsidRDefault="00E201AE" w:rsidP="003C713F">
      <w:pPr>
        <w:autoSpaceDE w:val="0"/>
        <w:autoSpaceDN w:val="0"/>
        <w:adjustRightInd w:val="0"/>
        <w:rPr>
          <w:rFonts w:cs="Book Antiqua"/>
          <w:color w:val="000000" w:themeColor="text1"/>
          <w:kern w:val="0"/>
        </w:rPr>
      </w:pPr>
    </w:p>
    <w:p w:rsidR="00E201AE" w:rsidRPr="00164EDB" w:rsidRDefault="00E201AE" w:rsidP="00E201AE">
      <w:pPr>
        <w:rPr>
          <w:b/>
          <w:color w:val="000000"/>
          <w:kern w:val="0"/>
        </w:rPr>
      </w:pPr>
      <w:bookmarkStart w:id="12" w:name="OLE_LINK155"/>
      <w:bookmarkStart w:id="13" w:name="OLE_LINK183"/>
      <w:bookmarkStart w:id="14" w:name="OLE_LINK441"/>
      <w:r w:rsidRPr="00164EDB">
        <w:rPr>
          <w:b/>
          <w:color w:val="000000"/>
          <w:kern w:val="0"/>
        </w:rPr>
        <w:t xml:space="preserve">Open-Access: </w:t>
      </w:r>
      <w:r w:rsidRPr="00164EDB">
        <w:rPr>
          <w:color w:val="000000"/>
          <w:kern w:val="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rsidR="00E201AE" w:rsidRPr="000D1F92" w:rsidRDefault="00E201AE" w:rsidP="00E201AE">
      <w:pPr>
        <w:rPr>
          <w:rFonts w:cs="Arial Unicode MS"/>
          <w:color w:val="000000"/>
        </w:rPr>
      </w:pPr>
    </w:p>
    <w:p w:rsidR="00E201AE" w:rsidRDefault="00E201AE" w:rsidP="00E201AE">
      <w:pPr>
        <w:rPr>
          <w:rFonts w:cs="Arial Unicode MS"/>
          <w:color w:val="000000"/>
        </w:rPr>
      </w:pPr>
      <w:r w:rsidRPr="000D1F92">
        <w:rPr>
          <w:rFonts w:cs="Arial Unicode MS"/>
          <w:b/>
          <w:color w:val="000000"/>
        </w:rPr>
        <w:t xml:space="preserve">Manuscript source: </w:t>
      </w:r>
      <w:r w:rsidRPr="000D1F92">
        <w:rPr>
          <w:rFonts w:cs="Arial Unicode MS"/>
          <w:color w:val="000000"/>
        </w:rPr>
        <w:t>Unsolicited manuscript</w:t>
      </w:r>
    </w:p>
    <w:p w:rsidR="003C713F" w:rsidRPr="007C2EA5" w:rsidRDefault="003C713F" w:rsidP="003C713F">
      <w:pPr>
        <w:autoSpaceDE w:val="0"/>
        <w:autoSpaceDN w:val="0"/>
        <w:adjustRightInd w:val="0"/>
        <w:rPr>
          <w:rFonts w:cs="Book Antiqua"/>
          <w:color w:val="000000" w:themeColor="text1"/>
          <w:kern w:val="0"/>
        </w:rPr>
      </w:pPr>
    </w:p>
    <w:p w:rsidR="003C713F" w:rsidRPr="007C2EA5" w:rsidRDefault="003C713F" w:rsidP="003C713F">
      <w:pPr>
        <w:autoSpaceDE w:val="0"/>
        <w:autoSpaceDN w:val="0"/>
        <w:adjustRightInd w:val="0"/>
        <w:rPr>
          <w:rFonts w:cs="Book Antiqua"/>
          <w:color w:val="000000" w:themeColor="text1"/>
          <w:kern w:val="0"/>
        </w:rPr>
      </w:pPr>
      <w:r w:rsidRPr="007C2EA5">
        <w:rPr>
          <w:rFonts w:cs="Book Antiqua"/>
          <w:b/>
          <w:bCs/>
          <w:color w:val="000000" w:themeColor="text1"/>
          <w:kern w:val="0"/>
        </w:rPr>
        <w:t>Correspondence to:</w:t>
      </w:r>
      <w:r w:rsidRPr="007C2EA5">
        <w:rPr>
          <w:rFonts w:cs="Book Antiqua"/>
          <w:color w:val="000000" w:themeColor="text1"/>
          <w:kern w:val="0"/>
        </w:rPr>
        <w:t xml:space="preserve"> </w:t>
      </w:r>
      <w:bookmarkStart w:id="15" w:name="OLE_LINK262"/>
      <w:bookmarkStart w:id="16" w:name="OLE_LINK263"/>
      <w:r w:rsidRPr="007C2EA5">
        <w:rPr>
          <w:rFonts w:cs="Book Antiqua"/>
          <w:b/>
          <w:color w:val="000000" w:themeColor="text1"/>
          <w:kern w:val="0"/>
        </w:rPr>
        <w:t xml:space="preserve">Dr. Bei Zhang, </w:t>
      </w:r>
      <w:r w:rsidRPr="007C2EA5">
        <w:rPr>
          <w:rFonts w:cs="Book Antiqua"/>
          <w:color w:val="000000" w:themeColor="text1"/>
          <w:kern w:val="0"/>
        </w:rPr>
        <w:t>Department of Immunology, Medical College of Qingdao University, 308 Ningxia Road, Qingdao 266071, Shandong Province</w:t>
      </w:r>
      <w:r w:rsidR="009E6ABE" w:rsidRPr="007C2EA5">
        <w:rPr>
          <w:rFonts w:cs="Book Antiqua" w:hint="eastAsia"/>
          <w:color w:val="000000" w:themeColor="text1"/>
          <w:kern w:val="0"/>
        </w:rPr>
        <w:t>,</w:t>
      </w:r>
      <w:r w:rsidRPr="007C2EA5">
        <w:rPr>
          <w:rFonts w:cs="Book Antiqua"/>
          <w:color w:val="000000" w:themeColor="text1"/>
          <w:kern w:val="0"/>
        </w:rPr>
        <w:t xml:space="preserve"> China. zhangbei124@aliyun.com</w:t>
      </w:r>
    </w:p>
    <w:bookmarkEnd w:id="15"/>
    <w:bookmarkEnd w:id="16"/>
    <w:p w:rsidR="003C713F" w:rsidRPr="007C2EA5" w:rsidRDefault="003C713F" w:rsidP="003C713F">
      <w:pPr>
        <w:autoSpaceDE w:val="0"/>
        <w:autoSpaceDN w:val="0"/>
        <w:adjustRightInd w:val="0"/>
        <w:rPr>
          <w:rFonts w:cs="Book Antiqua"/>
          <w:color w:val="000000" w:themeColor="text1"/>
          <w:kern w:val="0"/>
        </w:rPr>
      </w:pPr>
      <w:r w:rsidRPr="007C2EA5">
        <w:rPr>
          <w:rFonts w:cs="Book Antiqua"/>
          <w:b/>
          <w:color w:val="000000" w:themeColor="text1"/>
          <w:kern w:val="0"/>
        </w:rPr>
        <w:t>Telephone:</w:t>
      </w:r>
      <w:r w:rsidR="007F0891" w:rsidRPr="007C2EA5">
        <w:rPr>
          <w:rFonts w:cs="Book Antiqua"/>
          <w:color w:val="000000" w:themeColor="text1"/>
          <w:kern w:val="0"/>
        </w:rPr>
        <w:t xml:space="preserve"> +86-186-6198</w:t>
      </w:r>
      <w:r w:rsidRPr="007C2EA5">
        <w:rPr>
          <w:rFonts w:cs="Book Antiqua"/>
          <w:color w:val="000000" w:themeColor="text1"/>
          <w:kern w:val="0"/>
        </w:rPr>
        <w:t>0199</w:t>
      </w:r>
    </w:p>
    <w:p w:rsidR="003C713F" w:rsidRPr="007C2EA5" w:rsidRDefault="003C713F" w:rsidP="003C713F">
      <w:pPr>
        <w:rPr>
          <w:color w:val="000000" w:themeColor="text1"/>
        </w:rPr>
      </w:pPr>
    </w:p>
    <w:p w:rsidR="007F0891" w:rsidRPr="007C2EA5" w:rsidRDefault="007F0891" w:rsidP="007F0891">
      <w:pPr>
        <w:rPr>
          <w:color w:val="000000" w:themeColor="text1"/>
        </w:rPr>
      </w:pPr>
      <w:bookmarkStart w:id="17" w:name="OLE_LINK476"/>
      <w:bookmarkStart w:id="18" w:name="OLE_LINK477"/>
      <w:bookmarkStart w:id="19" w:name="OLE_LINK117"/>
      <w:bookmarkStart w:id="20" w:name="OLE_LINK528"/>
      <w:bookmarkStart w:id="21" w:name="OLE_LINK557"/>
      <w:r w:rsidRPr="007C2EA5">
        <w:rPr>
          <w:b/>
          <w:color w:val="000000" w:themeColor="text1"/>
        </w:rPr>
        <w:t>Received:</w:t>
      </w:r>
      <w:r w:rsidRPr="007C2EA5">
        <w:rPr>
          <w:rFonts w:hint="eastAsia"/>
          <w:b/>
          <w:color w:val="000000" w:themeColor="text1"/>
        </w:rPr>
        <w:t xml:space="preserve"> </w:t>
      </w:r>
      <w:r w:rsidRPr="007C2EA5">
        <w:rPr>
          <w:rFonts w:hint="eastAsia"/>
          <w:color w:val="000000" w:themeColor="text1"/>
        </w:rPr>
        <w:t>December 22, 2016</w:t>
      </w:r>
    </w:p>
    <w:p w:rsidR="007F0891" w:rsidRPr="007C2EA5" w:rsidRDefault="007F0891" w:rsidP="007F0891">
      <w:pPr>
        <w:rPr>
          <w:b/>
          <w:color w:val="000000" w:themeColor="text1"/>
        </w:rPr>
      </w:pPr>
      <w:r w:rsidRPr="007C2EA5">
        <w:rPr>
          <w:rFonts w:hint="eastAsia"/>
          <w:b/>
          <w:color w:val="000000" w:themeColor="text1"/>
        </w:rPr>
        <w:t>Peer-review started</w:t>
      </w:r>
      <w:r w:rsidRPr="007C2EA5">
        <w:rPr>
          <w:b/>
          <w:color w:val="000000" w:themeColor="text1"/>
        </w:rPr>
        <w:t>:</w:t>
      </w:r>
      <w:r w:rsidRPr="007C2EA5">
        <w:rPr>
          <w:rFonts w:hint="eastAsia"/>
          <w:color w:val="000000" w:themeColor="text1"/>
        </w:rPr>
        <w:t xml:space="preserve"> December 23, 2016</w:t>
      </w:r>
    </w:p>
    <w:p w:rsidR="007F0891" w:rsidRPr="007C2EA5" w:rsidRDefault="007F0891" w:rsidP="007F0891">
      <w:pPr>
        <w:rPr>
          <w:color w:val="000000" w:themeColor="text1"/>
        </w:rPr>
      </w:pPr>
      <w:r w:rsidRPr="007C2EA5">
        <w:rPr>
          <w:b/>
          <w:color w:val="000000" w:themeColor="text1"/>
        </w:rPr>
        <w:t>First decision:</w:t>
      </w:r>
      <w:r w:rsidRPr="007C2EA5">
        <w:rPr>
          <w:rFonts w:hint="eastAsia"/>
          <w:b/>
          <w:color w:val="000000" w:themeColor="text1"/>
        </w:rPr>
        <w:t xml:space="preserve"> </w:t>
      </w:r>
      <w:r w:rsidRPr="007C2EA5">
        <w:rPr>
          <w:rFonts w:hint="eastAsia"/>
          <w:color w:val="000000" w:themeColor="text1"/>
        </w:rPr>
        <w:t>January 10, 2016</w:t>
      </w:r>
    </w:p>
    <w:p w:rsidR="007F0891" w:rsidRPr="007C2EA5" w:rsidRDefault="007F0891" w:rsidP="007F0891">
      <w:pPr>
        <w:rPr>
          <w:b/>
          <w:color w:val="000000" w:themeColor="text1"/>
        </w:rPr>
      </w:pPr>
      <w:r w:rsidRPr="007C2EA5">
        <w:rPr>
          <w:b/>
          <w:color w:val="000000" w:themeColor="text1"/>
        </w:rPr>
        <w:t>Revised:</w:t>
      </w:r>
      <w:r w:rsidRPr="007C2EA5">
        <w:rPr>
          <w:rFonts w:hint="eastAsia"/>
          <w:color w:val="000000" w:themeColor="text1"/>
        </w:rPr>
        <w:t xml:space="preserve"> January 26, 2016</w:t>
      </w:r>
    </w:p>
    <w:p w:rsidR="007F0891" w:rsidRPr="00391AD4" w:rsidRDefault="007F0891" w:rsidP="007F0891">
      <w:pPr>
        <w:rPr>
          <w:color w:val="000000"/>
        </w:rPr>
      </w:pPr>
      <w:r w:rsidRPr="007C2EA5">
        <w:rPr>
          <w:b/>
          <w:color w:val="000000" w:themeColor="text1"/>
        </w:rPr>
        <w:t>Accepted:</w:t>
      </w:r>
      <w:r w:rsidR="00391AD4" w:rsidRPr="00391AD4">
        <w:rPr>
          <w:color w:val="000000"/>
        </w:rPr>
        <w:t xml:space="preserve"> </w:t>
      </w:r>
      <w:r w:rsidR="00391AD4">
        <w:rPr>
          <w:color w:val="000000"/>
        </w:rPr>
        <w:t>February 16</w:t>
      </w:r>
      <w:r w:rsidR="00391AD4">
        <w:rPr>
          <w:color w:val="000000"/>
        </w:rPr>
        <w:t>, 2017</w:t>
      </w:r>
      <w:bookmarkStart w:id="22" w:name="_GoBack"/>
      <w:bookmarkEnd w:id="22"/>
      <w:r w:rsidRPr="007C2EA5">
        <w:rPr>
          <w:rFonts w:hint="eastAsia"/>
          <w:b/>
          <w:color w:val="000000" w:themeColor="text1"/>
        </w:rPr>
        <w:t xml:space="preserve">  </w:t>
      </w:r>
    </w:p>
    <w:p w:rsidR="007F0891" w:rsidRPr="007C2EA5" w:rsidRDefault="007F0891" w:rsidP="007F0891">
      <w:pPr>
        <w:rPr>
          <w:b/>
          <w:color w:val="000000" w:themeColor="text1"/>
        </w:rPr>
      </w:pPr>
      <w:r w:rsidRPr="007C2EA5">
        <w:rPr>
          <w:b/>
          <w:color w:val="000000" w:themeColor="text1"/>
        </w:rPr>
        <w:t>Article in press:</w:t>
      </w:r>
    </w:p>
    <w:p w:rsidR="007F0891" w:rsidRPr="007C2EA5" w:rsidRDefault="007F0891" w:rsidP="007F0891">
      <w:pPr>
        <w:rPr>
          <w:b/>
          <w:color w:val="000000" w:themeColor="text1"/>
        </w:rPr>
      </w:pPr>
      <w:r w:rsidRPr="007C2EA5">
        <w:rPr>
          <w:b/>
          <w:color w:val="000000" w:themeColor="text1"/>
        </w:rPr>
        <w:t>Published online:</w:t>
      </w:r>
    </w:p>
    <w:bookmarkEnd w:id="17"/>
    <w:bookmarkEnd w:id="18"/>
    <w:bookmarkEnd w:id="19"/>
    <w:bookmarkEnd w:id="20"/>
    <w:bookmarkEnd w:id="21"/>
    <w:p w:rsidR="003C713F" w:rsidRPr="007C2EA5" w:rsidRDefault="003C713F" w:rsidP="003C713F">
      <w:pPr>
        <w:rPr>
          <w:color w:val="000000" w:themeColor="text1"/>
        </w:rPr>
      </w:pPr>
    </w:p>
    <w:p w:rsidR="003C713F" w:rsidRPr="007C2EA5" w:rsidRDefault="003C713F" w:rsidP="003C713F">
      <w:pPr>
        <w:rPr>
          <w:color w:val="000000" w:themeColor="text1"/>
        </w:rPr>
      </w:pPr>
    </w:p>
    <w:p w:rsidR="00B503C7" w:rsidRDefault="00B503C7">
      <w:pPr>
        <w:rPr>
          <w:rFonts w:cs="Book Antiqua"/>
          <w:b/>
          <w:bCs/>
          <w:color w:val="000000" w:themeColor="text1"/>
          <w:kern w:val="0"/>
        </w:rPr>
      </w:pPr>
      <w:r>
        <w:rPr>
          <w:rFonts w:cs="Book Antiqua"/>
          <w:b/>
          <w:bCs/>
          <w:color w:val="000000" w:themeColor="text1"/>
          <w:kern w:val="0"/>
        </w:rPr>
        <w:br w:type="page"/>
      </w:r>
    </w:p>
    <w:p w:rsidR="003C713F" w:rsidRPr="007C2EA5" w:rsidRDefault="003C713F" w:rsidP="003C713F">
      <w:pPr>
        <w:widowControl w:val="0"/>
        <w:autoSpaceDE w:val="0"/>
        <w:autoSpaceDN w:val="0"/>
        <w:adjustRightInd w:val="0"/>
        <w:rPr>
          <w:rFonts w:cs="Book Antiqua"/>
          <w:b/>
          <w:bCs/>
          <w:color w:val="000000" w:themeColor="text1"/>
          <w:kern w:val="0"/>
        </w:rPr>
      </w:pPr>
      <w:r w:rsidRPr="007C2EA5">
        <w:rPr>
          <w:rFonts w:cs="Book Antiqua"/>
          <w:b/>
          <w:bCs/>
          <w:color w:val="000000" w:themeColor="text1"/>
          <w:kern w:val="0"/>
        </w:rPr>
        <w:lastRenderedPageBreak/>
        <w:t>A</w:t>
      </w:r>
      <w:r w:rsidRPr="007C2EA5">
        <w:rPr>
          <w:rFonts w:cs="Book Antiqua" w:hint="eastAsia"/>
          <w:b/>
          <w:bCs/>
          <w:color w:val="000000" w:themeColor="text1"/>
          <w:kern w:val="0"/>
        </w:rPr>
        <w:t>bstract</w:t>
      </w:r>
    </w:p>
    <w:p w:rsidR="007F0891" w:rsidRPr="007C2EA5" w:rsidRDefault="007F0891" w:rsidP="003C713F">
      <w:pPr>
        <w:widowControl w:val="0"/>
        <w:autoSpaceDE w:val="0"/>
        <w:autoSpaceDN w:val="0"/>
        <w:adjustRightInd w:val="0"/>
        <w:rPr>
          <w:rFonts w:cs="Book Antiqua"/>
          <w:b/>
          <w:bCs/>
          <w:i/>
          <w:color w:val="000000" w:themeColor="text1"/>
          <w:kern w:val="0"/>
        </w:rPr>
      </w:pPr>
      <w:r w:rsidRPr="007C2EA5">
        <w:rPr>
          <w:rFonts w:cs="Book Antiqua"/>
          <w:b/>
          <w:bCs/>
          <w:i/>
          <w:color w:val="000000" w:themeColor="text1"/>
          <w:kern w:val="0"/>
        </w:rPr>
        <w:t>AIM</w:t>
      </w:r>
    </w:p>
    <w:p w:rsidR="003C713F" w:rsidRPr="007C2EA5" w:rsidRDefault="003C713F" w:rsidP="003C713F">
      <w:pPr>
        <w:widowControl w:val="0"/>
        <w:autoSpaceDE w:val="0"/>
        <w:autoSpaceDN w:val="0"/>
        <w:adjustRightInd w:val="0"/>
        <w:rPr>
          <w:rFonts w:cs="Tahoma"/>
          <w:color w:val="000000" w:themeColor="text1"/>
          <w:kern w:val="0"/>
        </w:rPr>
      </w:pPr>
      <w:r w:rsidRPr="007C2EA5">
        <w:rPr>
          <w:rFonts w:cs="Book Antiqua"/>
          <w:color w:val="000000" w:themeColor="text1"/>
          <w:kern w:val="0"/>
        </w:rPr>
        <w:t xml:space="preserve">To explore the exact interaction between </w:t>
      </w:r>
      <w:r w:rsidR="00757641" w:rsidRPr="007C2EA5">
        <w:rPr>
          <w:rFonts w:cs="Book Antiqua"/>
          <w:color w:val="000000" w:themeColor="text1"/>
          <w:kern w:val="0"/>
        </w:rPr>
        <w:t xml:space="preserve">notch </w:t>
      </w:r>
      <w:r w:rsidRPr="007C2EA5">
        <w:rPr>
          <w:rFonts w:cs="Book Antiqua"/>
          <w:color w:val="000000" w:themeColor="text1"/>
          <w:kern w:val="0"/>
        </w:rPr>
        <w:t>and transforming growth factor (TGF)-</w:t>
      </w:r>
      <w:r w:rsidRPr="007C2EA5">
        <w:rPr>
          <w:rFonts w:ascii="Times New Roman" w:hAnsi="Times New Roman" w:cs="Times New Roman"/>
          <w:color w:val="000000" w:themeColor="text1"/>
          <w:kern w:val="0"/>
        </w:rPr>
        <w:t>β</w:t>
      </w:r>
      <w:bookmarkStart w:id="23" w:name="OLE_LINK5"/>
      <w:bookmarkStart w:id="24" w:name="OLE_LINK6"/>
      <w:r w:rsidRPr="007C2EA5">
        <w:rPr>
          <w:rFonts w:cs="Book Antiqua"/>
          <w:color w:val="000000" w:themeColor="text1"/>
          <w:kern w:val="0"/>
        </w:rPr>
        <w:t xml:space="preserve"> signaling</w:t>
      </w:r>
      <w:bookmarkEnd w:id="23"/>
      <w:bookmarkEnd w:id="24"/>
      <w:r w:rsidRPr="007C2EA5">
        <w:rPr>
          <w:rFonts w:cs="Book Antiqua"/>
          <w:color w:val="000000" w:themeColor="text1"/>
          <w:kern w:val="0"/>
        </w:rPr>
        <w:t xml:space="preserve"> in liver fibrosis.</w:t>
      </w:r>
      <w:r w:rsidRPr="007C2EA5">
        <w:rPr>
          <w:rFonts w:cs="Tahoma"/>
          <w:color w:val="000000" w:themeColor="text1"/>
          <w:kern w:val="0"/>
        </w:rPr>
        <w:t xml:space="preserve"> </w:t>
      </w:r>
    </w:p>
    <w:p w:rsidR="003C713F" w:rsidRPr="007C2EA5" w:rsidRDefault="003C713F" w:rsidP="003C713F">
      <w:pPr>
        <w:widowControl w:val="0"/>
        <w:autoSpaceDE w:val="0"/>
        <w:autoSpaceDN w:val="0"/>
        <w:adjustRightInd w:val="0"/>
        <w:rPr>
          <w:rFonts w:cs="Book Antiqua"/>
          <w:color w:val="000000" w:themeColor="text1"/>
          <w:kern w:val="0"/>
        </w:rPr>
      </w:pPr>
    </w:p>
    <w:p w:rsidR="007F0891" w:rsidRPr="007C2EA5" w:rsidRDefault="007F0891" w:rsidP="003C713F">
      <w:pPr>
        <w:widowControl w:val="0"/>
        <w:autoSpaceDE w:val="0"/>
        <w:autoSpaceDN w:val="0"/>
        <w:adjustRightInd w:val="0"/>
        <w:rPr>
          <w:rFonts w:cs="Book Antiqua"/>
          <w:b/>
          <w:bCs/>
          <w:i/>
          <w:color w:val="000000" w:themeColor="text1"/>
          <w:kern w:val="0"/>
        </w:rPr>
      </w:pPr>
      <w:r w:rsidRPr="007C2EA5">
        <w:rPr>
          <w:rFonts w:cs="Book Antiqua"/>
          <w:b/>
          <w:bCs/>
          <w:i/>
          <w:color w:val="000000" w:themeColor="text1"/>
          <w:kern w:val="0"/>
        </w:rPr>
        <w:t>METHODS</w:t>
      </w:r>
    </w:p>
    <w:p w:rsidR="003C713F" w:rsidRPr="007C2EA5" w:rsidRDefault="003C713F" w:rsidP="003C713F">
      <w:pPr>
        <w:widowControl w:val="0"/>
        <w:autoSpaceDE w:val="0"/>
        <w:autoSpaceDN w:val="0"/>
        <w:adjustRightInd w:val="0"/>
        <w:rPr>
          <w:rFonts w:cs="Book Antiqua"/>
          <w:color w:val="000000" w:themeColor="text1"/>
          <w:kern w:val="0"/>
        </w:rPr>
      </w:pPr>
      <w:r w:rsidRPr="007C2EA5">
        <w:rPr>
          <w:rFonts w:cs="Book Antiqua"/>
          <w:color w:val="000000" w:themeColor="text1"/>
          <w:kern w:val="0"/>
        </w:rPr>
        <w:t xml:space="preserve">We established a rat model of liver fibrosis induced by concanavalin A. Peripheral blood mononuclear cells (PBMCs) were isolated from model rats, and cultured with </w:t>
      </w:r>
      <w:r w:rsidRPr="007C2EA5">
        <w:rPr>
          <w:rFonts w:ascii="Times New Roman" w:hAnsi="Times New Roman" w:cs="Times New Roman"/>
          <w:color w:val="000000" w:themeColor="text1"/>
          <w:kern w:val="0"/>
        </w:rPr>
        <w:t>γ</w:t>
      </w:r>
      <w:r w:rsidRPr="007C2EA5">
        <w:rPr>
          <w:rFonts w:cs="Book Antiqua"/>
          <w:color w:val="000000" w:themeColor="text1"/>
          <w:kern w:val="0"/>
        </w:rPr>
        <w:t>-secretase inhibitor DAPT and TGF-</w:t>
      </w:r>
      <w:r w:rsidRPr="007C2EA5">
        <w:rPr>
          <w:rFonts w:ascii="Times New Roman" w:hAnsi="Times New Roman" w:cs="Times New Roman"/>
          <w:color w:val="000000" w:themeColor="text1"/>
          <w:kern w:val="0"/>
        </w:rPr>
        <w:t>β</w:t>
      </w:r>
      <w:r w:rsidRPr="007C2EA5">
        <w:rPr>
          <w:rFonts w:cs="Book Antiqua"/>
          <w:color w:val="000000" w:themeColor="text1"/>
          <w:kern w:val="0"/>
        </w:rPr>
        <w:t xml:space="preserve"> inhibitor for 24 h. The mRNA levels of Notch and TGF-</w:t>
      </w:r>
      <w:r w:rsidRPr="007C2EA5">
        <w:rPr>
          <w:rFonts w:ascii="Times New Roman" w:hAnsi="Times New Roman" w:cs="Times New Roman"/>
          <w:color w:val="000000" w:themeColor="text1"/>
          <w:kern w:val="0"/>
        </w:rPr>
        <w:t>β</w:t>
      </w:r>
      <w:r w:rsidRPr="007C2EA5">
        <w:rPr>
          <w:rFonts w:cs="Book Antiqua"/>
          <w:color w:val="000000" w:themeColor="text1"/>
          <w:kern w:val="0"/>
        </w:rPr>
        <w:t xml:space="preserve"> signaling were detected by quantitative real-time polymerase chain reaction. Expression of Notch and TGF-</w:t>
      </w:r>
      <w:r w:rsidRPr="007C2EA5">
        <w:rPr>
          <w:rFonts w:ascii="Times New Roman" w:hAnsi="Times New Roman" w:cs="Times New Roman"/>
          <w:color w:val="000000" w:themeColor="text1"/>
          <w:kern w:val="0"/>
        </w:rPr>
        <w:t>β</w:t>
      </w:r>
      <w:r w:rsidRPr="007C2EA5">
        <w:rPr>
          <w:rFonts w:cs="Book Antiqua"/>
          <w:color w:val="000000" w:themeColor="text1"/>
          <w:kern w:val="0"/>
        </w:rPr>
        <w:t xml:space="preserve"> proteins was analyzed by </w:t>
      </w:r>
      <w:r w:rsidRPr="007C2EA5">
        <w:rPr>
          <w:rFonts w:cs="Book Antiqua" w:hint="eastAsia"/>
          <w:color w:val="000000" w:themeColor="text1"/>
          <w:kern w:val="0"/>
        </w:rPr>
        <w:t>W</w:t>
      </w:r>
      <w:r w:rsidRPr="007C2EA5">
        <w:rPr>
          <w:rFonts w:cs="Book Antiqua"/>
          <w:color w:val="000000" w:themeColor="text1"/>
          <w:kern w:val="0"/>
        </w:rPr>
        <w:t>estern blotting.</w:t>
      </w:r>
    </w:p>
    <w:p w:rsidR="003C713F" w:rsidRPr="007C2EA5" w:rsidRDefault="003C713F" w:rsidP="003C713F">
      <w:pPr>
        <w:widowControl w:val="0"/>
        <w:autoSpaceDE w:val="0"/>
        <w:autoSpaceDN w:val="0"/>
        <w:adjustRightInd w:val="0"/>
        <w:rPr>
          <w:rFonts w:cs="Tahoma"/>
          <w:color w:val="000000" w:themeColor="text1"/>
          <w:kern w:val="0"/>
        </w:rPr>
      </w:pPr>
    </w:p>
    <w:p w:rsidR="00FA755C" w:rsidRPr="007C2EA5" w:rsidRDefault="00FA755C" w:rsidP="003C713F">
      <w:pPr>
        <w:widowControl w:val="0"/>
        <w:autoSpaceDE w:val="0"/>
        <w:autoSpaceDN w:val="0"/>
        <w:adjustRightInd w:val="0"/>
        <w:rPr>
          <w:rFonts w:cs="Book Antiqua"/>
          <w:b/>
          <w:bCs/>
          <w:i/>
          <w:color w:val="000000" w:themeColor="text1"/>
          <w:kern w:val="0"/>
        </w:rPr>
      </w:pPr>
      <w:r w:rsidRPr="007C2EA5">
        <w:rPr>
          <w:rFonts w:cs="Book Antiqua"/>
          <w:b/>
          <w:bCs/>
          <w:i/>
          <w:color w:val="000000" w:themeColor="text1"/>
          <w:kern w:val="0"/>
        </w:rPr>
        <w:t>RESULTS</w:t>
      </w:r>
    </w:p>
    <w:p w:rsidR="003C713F" w:rsidRPr="007C2EA5" w:rsidRDefault="003C713F" w:rsidP="003C713F">
      <w:pPr>
        <w:widowControl w:val="0"/>
        <w:autoSpaceDE w:val="0"/>
        <w:autoSpaceDN w:val="0"/>
        <w:adjustRightInd w:val="0"/>
        <w:rPr>
          <w:rFonts w:cs="Tahoma"/>
          <w:color w:val="000000" w:themeColor="text1"/>
          <w:kern w:val="0"/>
        </w:rPr>
      </w:pPr>
      <w:r w:rsidRPr="007C2EA5">
        <w:rPr>
          <w:rFonts w:cs="Book Antiqua"/>
          <w:color w:val="000000" w:themeColor="text1"/>
          <w:kern w:val="0"/>
        </w:rPr>
        <w:t>Compared to control rats, Notch and TGF-</w:t>
      </w:r>
      <w:r w:rsidRPr="007C2EA5">
        <w:rPr>
          <w:rFonts w:ascii="Times New Roman" w:hAnsi="Times New Roman" w:cs="Times New Roman"/>
          <w:color w:val="000000" w:themeColor="text1"/>
          <w:kern w:val="0"/>
        </w:rPr>
        <w:t>β</w:t>
      </w:r>
      <w:r w:rsidRPr="007C2EA5">
        <w:rPr>
          <w:rFonts w:cs="Book Antiqua"/>
          <w:color w:val="000000" w:themeColor="text1"/>
          <w:kern w:val="0"/>
        </w:rPr>
        <w:t xml:space="preserve"> signaling was activated in PBMCs of model rats. Administration of DAPT and TGF-</w:t>
      </w:r>
      <w:r w:rsidRPr="007C2EA5">
        <w:rPr>
          <w:rFonts w:ascii="Times New Roman" w:hAnsi="Times New Roman" w:cs="Times New Roman"/>
          <w:color w:val="000000" w:themeColor="text1"/>
          <w:kern w:val="0"/>
        </w:rPr>
        <w:t>β</w:t>
      </w:r>
      <w:r w:rsidRPr="007C2EA5">
        <w:rPr>
          <w:rFonts w:cs="Book Antiqua"/>
          <w:color w:val="000000" w:themeColor="text1"/>
          <w:kern w:val="0"/>
        </w:rPr>
        <w:t xml:space="preserve"> inhibitor suppressed Notch and TGF-</w:t>
      </w:r>
      <w:r w:rsidRPr="007C2EA5">
        <w:rPr>
          <w:rFonts w:ascii="Times New Roman" w:hAnsi="Times New Roman" w:cs="Times New Roman"/>
          <w:color w:val="000000" w:themeColor="text1"/>
          <w:kern w:val="0"/>
        </w:rPr>
        <w:t>β</w:t>
      </w:r>
      <w:r w:rsidRPr="007C2EA5">
        <w:rPr>
          <w:rFonts w:cs="Book Antiqua"/>
          <w:color w:val="000000" w:themeColor="text1"/>
          <w:kern w:val="0"/>
        </w:rPr>
        <w:t xml:space="preserve"> signal transducer in PBMCs of model rats. DAPT reduced mRNA and protein expression of TGF-</w:t>
      </w:r>
      <w:r w:rsidRPr="007C2EA5">
        <w:rPr>
          <w:rFonts w:ascii="Times New Roman" w:hAnsi="Times New Roman" w:cs="Times New Roman"/>
          <w:color w:val="000000" w:themeColor="text1"/>
          <w:kern w:val="0"/>
        </w:rPr>
        <w:t>β</w:t>
      </w:r>
      <w:r w:rsidRPr="007C2EA5">
        <w:rPr>
          <w:rFonts w:cs="Book Antiqua"/>
          <w:color w:val="000000" w:themeColor="text1"/>
          <w:kern w:val="0"/>
        </w:rPr>
        <w:t xml:space="preserve"> signaling, such as TGF-</w:t>
      </w:r>
      <w:r w:rsidRPr="007C2EA5">
        <w:rPr>
          <w:rFonts w:ascii="Times New Roman" w:hAnsi="Times New Roman" w:cs="Times New Roman"/>
          <w:color w:val="000000" w:themeColor="text1"/>
          <w:kern w:val="0"/>
        </w:rPr>
        <w:t>β</w:t>
      </w:r>
      <w:r w:rsidRPr="007C2EA5">
        <w:rPr>
          <w:rFonts w:cs="Book Antiqua"/>
          <w:color w:val="000000" w:themeColor="text1"/>
          <w:kern w:val="0"/>
        </w:rPr>
        <w:t>1 and Smad3. TGF-</w:t>
      </w:r>
      <w:r w:rsidRPr="007C2EA5">
        <w:rPr>
          <w:rFonts w:ascii="Times New Roman" w:hAnsi="Times New Roman" w:cs="Times New Roman"/>
          <w:color w:val="000000" w:themeColor="text1"/>
          <w:kern w:val="0"/>
        </w:rPr>
        <w:t>β</w:t>
      </w:r>
      <w:r w:rsidRPr="007C2EA5">
        <w:rPr>
          <w:rFonts w:cs="Book Antiqua"/>
          <w:color w:val="000000" w:themeColor="text1"/>
          <w:kern w:val="0"/>
        </w:rPr>
        <w:t xml:space="preserve"> inhibitor also downregulated Notch1, Hes1 and Hes5, and mRNA and protein expression of the Notch signaling pathway.</w:t>
      </w:r>
    </w:p>
    <w:p w:rsidR="003C713F" w:rsidRPr="007C2EA5" w:rsidRDefault="003C713F" w:rsidP="003C713F">
      <w:pPr>
        <w:widowControl w:val="0"/>
        <w:autoSpaceDE w:val="0"/>
        <w:autoSpaceDN w:val="0"/>
        <w:adjustRightInd w:val="0"/>
        <w:rPr>
          <w:rFonts w:cs="Tahoma"/>
          <w:i/>
          <w:color w:val="000000" w:themeColor="text1"/>
          <w:kern w:val="0"/>
        </w:rPr>
      </w:pPr>
    </w:p>
    <w:p w:rsidR="00FA755C" w:rsidRPr="007C2EA5" w:rsidRDefault="00FA755C" w:rsidP="003C713F">
      <w:pPr>
        <w:widowControl w:val="0"/>
        <w:autoSpaceDE w:val="0"/>
        <w:autoSpaceDN w:val="0"/>
        <w:adjustRightInd w:val="0"/>
        <w:rPr>
          <w:rFonts w:cs="Book Antiqua"/>
          <w:b/>
          <w:bCs/>
          <w:i/>
          <w:color w:val="000000" w:themeColor="text1"/>
          <w:kern w:val="0"/>
        </w:rPr>
      </w:pPr>
      <w:r w:rsidRPr="007C2EA5">
        <w:rPr>
          <w:rFonts w:cs="Book Antiqua"/>
          <w:b/>
          <w:bCs/>
          <w:i/>
          <w:color w:val="000000" w:themeColor="text1"/>
          <w:kern w:val="0"/>
        </w:rPr>
        <w:t>CONCLUSION</w:t>
      </w:r>
    </w:p>
    <w:p w:rsidR="003C713F" w:rsidRPr="007C2EA5" w:rsidRDefault="003C713F" w:rsidP="003C713F">
      <w:pPr>
        <w:widowControl w:val="0"/>
        <w:autoSpaceDE w:val="0"/>
        <w:autoSpaceDN w:val="0"/>
        <w:adjustRightInd w:val="0"/>
        <w:rPr>
          <w:rFonts w:cs="Tahoma"/>
          <w:color w:val="000000" w:themeColor="text1"/>
          <w:kern w:val="0"/>
        </w:rPr>
      </w:pPr>
      <w:r w:rsidRPr="007C2EA5">
        <w:rPr>
          <w:rFonts w:cs="Book Antiqua"/>
          <w:color w:val="000000" w:themeColor="text1"/>
          <w:kern w:val="0"/>
        </w:rPr>
        <w:t>Notch and TGF-</w:t>
      </w:r>
      <w:r w:rsidRPr="007C2EA5">
        <w:rPr>
          <w:rFonts w:ascii="Times New Roman" w:hAnsi="Times New Roman" w:cs="Times New Roman"/>
          <w:color w:val="000000" w:themeColor="text1"/>
          <w:kern w:val="0"/>
        </w:rPr>
        <w:t>β</w:t>
      </w:r>
      <w:r w:rsidRPr="007C2EA5">
        <w:rPr>
          <w:rFonts w:cs="Book Antiqua"/>
          <w:color w:val="000000" w:themeColor="text1"/>
          <w:kern w:val="0"/>
        </w:rPr>
        <w:t xml:space="preserve"> signaling play a role in liver fibrosis. TGF-</w:t>
      </w:r>
      <w:r w:rsidRPr="007C2EA5">
        <w:rPr>
          <w:rFonts w:ascii="Times New Roman" w:hAnsi="Times New Roman" w:cs="Times New Roman"/>
          <w:color w:val="000000" w:themeColor="text1"/>
          <w:kern w:val="0"/>
        </w:rPr>
        <w:t>β</w:t>
      </w:r>
      <w:r w:rsidRPr="007C2EA5">
        <w:rPr>
          <w:rFonts w:cs="Book Antiqua"/>
          <w:color w:val="000000" w:themeColor="text1"/>
          <w:kern w:val="0"/>
        </w:rPr>
        <w:t xml:space="preserve"> signaling upregulates Notch signaling, which promotes TGF-</w:t>
      </w:r>
      <w:r w:rsidRPr="007C2EA5">
        <w:rPr>
          <w:rFonts w:ascii="Times New Roman" w:hAnsi="Times New Roman" w:cs="Times New Roman"/>
          <w:color w:val="000000" w:themeColor="text1"/>
          <w:kern w:val="0"/>
        </w:rPr>
        <w:t>β</w:t>
      </w:r>
      <w:r w:rsidRPr="007C2EA5">
        <w:rPr>
          <w:rFonts w:cs="Book Antiqua"/>
          <w:color w:val="000000" w:themeColor="text1"/>
          <w:kern w:val="0"/>
        </w:rPr>
        <w:t xml:space="preserve"> signaling.</w:t>
      </w:r>
    </w:p>
    <w:p w:rsidR="003C713F" w:rsidRPr="007C2EA5" w:rsidRDefault="003C713F" w:rsidP="003C713F">
      <w:pPr>
        <w:rPr>
          <w:color w:val="000000" w:themeColor="text1"/>
        </w:rPr>
      </w:pPr>
    </w:p>
    <w:p w:rsidR="003C713F" w:rsidRDefault="003C713F" w:rsidP="003C713F">
      <w:pPr>
        <w:rPr>
          <w:rFonts w:cs="Book Antiqua"/>
          <w:color w:val="000000" w:themeColor="text1"/>
          <w:kern w:val="0"/>
        </w:rPr>
      </w:pPr>
      <w:r w:rsidRPr="007C2EA5">
        <w:rPr>
          <w:rFonts w:cs="Book Antiqua"/>
          <w:b/>
          <w:bCs/>
          <w:color w:val="000000" w:themeColor="text1"/>
          <w:kern w:val="0"/>
        </w:rPr>
        <w:t xml:space="preserve">Key </w:t>
      </w:r>
      <w:r w:rsidRPr="007C2EA5">
        <w:rPr>
          <w:rFonts w:cs="Book Antiqua" w:hint="eastAsia"/>
          <w:b/>
          <w:bCs/>
          <w:color w:val="000000" w:themeColor="text1"/>
          <w:kern w:val="0"/>
        </w:rPr>
        <w:t>w</w:t>
      </w:r>
      <w:r w:rsidRPr="007C2EA5">
        <w:rPr>
          <w:rFonts w:cs="Book Antiqua"/>
          <w:b/>
          <w:bCs/>
          <w:color w:val="000000" w:themeColor="text1"/>
          <w:kern w:val="0"/>
        </w:rPr>
        <w:t>ords:</w:t>
      </w:r>
      <w:r w:rsidRPr="007C2EA5">
        <w:rPr>
          <w:rFonts w:cs="Book Antiqua"/>
          <w:color w:val="000000" w:themeColor="text1"/>
          <w:kern w:val="0"/>
        </w:rPr>
        <w:t xml:space="preserve"> </w:t>
      </w:r>
      <w:bookmarkStart w:id="25" w:name="OLE_LINK264"/>
      <w:bookmarkStart w:id="26" w:name="OLE_LINK265"/>
      <w:r w:rsidRPr="007C2EA5">
        <w:rPr>
          <w:rFonts w:cs="Book Antiqua"/>
          <w:color w:val="000000" w:themeColor="text1"/>
          <w:kern w:val="0"/>
        </w:rPr>
        <w:t>Notch; Transforming growth factor-</w:t>
      </w:r>
      <w:r w:rsidRPr="007C2EA5">
        <w:rPr>
          <w:color w:val="000000" w:themeColor="text1"/>
          <w:kern w:val="0"/>
        </w:rPr>
        <w:t>β</w:t>
      </w:r>
      <w:r w:rsidRPr="007C2EA5">
        <w:rPr>
          <w:rFonts w:cs="Book Antiqua"/>
          <w:color w:val="000000" w:themeColor="text1"/>
          <w:kern w:val="0"/>
        </w:rPr>
        <w:t>; Liver fibrosis; Peripheral blood mononuclear cells; Concanavalin A</w:t>
      </w:r>
      <w:bookmarkEnd w:id="25"/>
      <w:bookmarkEnd w:id="26"/>
    </w:p>
    <w:p w:rsidR="00B35EBA" w:rsidRPr="007C2EA5" w:rsidRDefault="00B35EBA" w:rsidP="003C713F">
      <w:pPr>
        <w:rPr>
          <w:rFonts w:cs="Book Antiqua"/>
          <w:color w:val="000000" w:themeColor="text1"/>
          <w:kern w:val="0"/>
        </w:rPr>
      </w:pPr>
    </w:p>
    <w:p w:rsidR="00B35EBA" w:rsidRDefault="00B35EBA" w:rsidP="00B35EBA">
      <w:pPr>
        <w:rPr>
          <w:rFonts w:cs="Arial"/>
        </w:rPr>
      </w:pPr>
      <w:bookmarkStart w:id="27" w:name="OLE_LINK55"/>
      <w:bookmarkStart w:id="28" w:name="OLE_LINK56"/>
      <w:bookmarkStart w:id="29" w:name="OLE_LINK105"/>
      <w:bookmarkStart w:id="30" w:name="OLE_LINK116"/>
      <w:bookmarkStart w:id="31" w:name="OLE_LINK89"/>
      <w:r w:rsidRPr="0071780A">
        <w:rPr>
          <w:b/>
        </w:rPr>
        <w:t>©</w:t>
      </w:r>
      <w:bookmarkEnd w:id="27"/>
      <w:bookmarkEnd w:id="28"/>
      <w:r w:rsidRPr="0071780A">
        <w:rPr>
          <w:rFonts w:hint="eastAsia"/>
          <w:b/>
        </w:rPr>
        <w:t xml:space="preserve"> </w:t>
      </w:r>
      <w:r w:rsidRPr="0071780A">
        <w:rPr>
          <w:rFonts w:cs="Arial"/>
          <w:b/>
        </w:rPr>
        <w:t>The Author(s) 201</w:t>
      </w:r>
      <w:r>
        <w:rPr>
          <w:rFonts w:cs="Arial" w:hint="eastAsia"/>
          <w:b/>
        </w:rPr>
        <w:t>7</w:t>
      </w:r>
      <w:r w:rsidRPr="0071780A">
        <w:rPr>
          <w:rFonts w:cs="Arial"/>
          <w:b/>
        </w:rPr>
        <w:t xml:space="preserve">. </w:t>
      </w:r>
      <w:r w:rsidRPr="00B55A90">
        <w:rPr>
          <w:rFonts w:cs="Arial"/>
        </w:rPr>
        <w:t>Published by Baishideng Publishing Group Inc. All rights reserved.</w:t>
      </w:r>
    </w:p>
    <w:bookmarkEnd w:id="29"/>
    <w:bookmarkEnd w:id="30"/>
    <w:bookmarkEnd w:id="31"/>
    <w:p w:rsidR="003C713F" w:rsidRPr="007C2EA5" w:rsidRDefault="003C713F" w:rsidP="003C713F">
      <w:pPr>
        <w:rPr>
          <w:color w:val="000000" w:themeColor="text1"/>
        </w:rPr>
      </w:pPr>
    </w:p>
    <w:p w:rsidR="003C713F" w:rsidRPr="007C2EA5" w:rsidRDefault="003C713F" w:rsidP="003C713F">
      <w:pPr>
        <w:rPr>
          <w:rFonts w:cs="Book Antiqua"/>
          <w:color w:val="000000" w:themeColor="text1"/>
          <w:kern w:val="0"/>
        </w:rPr>
      </w:pPr>
      <w:r w:rsidRPr="007C2EA5">
        <w:rPr>
          <w:rFonts w:cs="Book Antiqua"/>
          <w:b/>
          <w:bCs/>
          <w:color w:val="000000" w:themeColor="text1"/>
          <w:kern w:val="0"/>
        </w:rPr>
        <w:t>C</w:t>
      </w:r>
      <w:r w:rsidRPr="007C2EA5">
        <w:rPr>
          <w:rFonts w:cs="Book Antiqua" w:hint="eastAsia"/>
          <w:b/>
          <w:bCs/>
          <w:color w:val="000000" w:themeColor="text1"/>
          <w:kern w:val="0"/>
        </w:rPr>
        <w:t>ore tip</w:t>
      </w:r>
      <w:r w:rsidRPr="007C2EA5">
        <w:rPr>
          <w:rFonts w:cs="Book Antiqua"/>
          <w:b/>
          <w:bCs/>
          <w:color w:val="000000" w:themeColor="text1"/>
          <w:kern w:val="0"/>
        </w:rPr>
        <w:t xml:space="preserve">: </w:t>
      </w:r>
      <w:bookmarkStart w:id="32" w:name="OLE_LINK266"/>
      <w:bookmarkStart w:id="33" w:name="OLE_LINK267"/>
      <w:r w:rsidRPr="007C2EA5">
        <w:rPr>
          <w:rFonts w:cs="Book Antiqua"/>
          <w:color w:val="000000" w:themeColor="text1"/>
          <w:kern w:val="0"/>
        </w:rPr>
        <w:t>Notch and transforming growth factor (TGF)-</w:t>
      </w:r>
      <w:r w:rsidRPr="007C2EA5">
        <w:rPr>
          <w:color w:val="000000" w:themeColor="text1"/>
          <w:kern w:val="0"/>
        </w:rPr>
        <w:t>β</w:t>
      </w:r>
      <w:r w:rsidRPr="007C2EA5">
        <w:rPr>
          <w:rFonts w:cs="Book Antiqua"/>
          <w:color w:val="000000" w:themeColor="text1"/>
          <w:kern w:val="0"/>
        </w:rPr>
        <w:t xml:space="preserve"> activation plays an important role in liver fibrosis induced by concanavalin A. It has been shown that TGF-</w:t>
      </w:r>
      <w:r w:rsidRPr="007C2EA5">
        <w:rPr>
          <w:color w:val="000000" w:themeColor="text1"/>
          <w:kern w:val="0"/>
        </w:rPr>
        <w:t>β</w:t>
      </w:r>
      <w:r w:rsidRPr="007C2EA5">
        <w:rPr>
          <w:rFonts w:cs="Book Antiqua"/>
          <w:color w:val="000000" w:themeColor="text1"/>
          <w:kern w:val="0"/>
        </w:rPr>
        <w:t xml:space="preserve"> facilitates liver fibrosis. However, the mechanism of action of Notch in liver fibrosis is not fully understood. In this study, we found that excessive activation of TGF-</w:t>
      </w:r>
      <w:r w:rsidRPr="007C2EA5">
        <w:rPr>
          <w:color w:val="000000" w:themeColor="text1"/>
          <w:kern w:val="0"/>
        </w:rPr>
        <w:t>β</w:t>
      </w:r>
      <w:r w:rsidRPr="007C2EA5">
        <w:rPr>
          <w:rFonts w:cs="Book Antiqua"/>
          <w:color w:val="000000" w:themeColor="text1"/>
          <w:kern w:val="0"/>
        </w:rPr>
        <w:t xml:space="preserve"> regulated Notch in liver fibrosis in rats, and inhibition of TGF-</w:t>
      </w:r>
      <w:r w:rsidRPr="007C2EA5">
        <w:rPr>
          <w:color w:val="000000" w:themeColor="text1"/>
          <w:kern w:val="0"/>
        </w:rPr>
        <w:t>β</w:t>
      </w:r>
      <w:r w:rsidRPr="007C2EA5">
        <w:rPr>
          <w:rFonts w:cs="Book Antiqua"/>
          <w:color w:val="000000" w:themeColor="text1"/>
          <w:kern w:val="0"/>
        </w:rPr>
        <w:t xml:space="preserve"> signaling blocked Notch signaling and vice versa. This may be a complementary mechanism of liver fibrosis, which provides a potential immunotherapeutic strategy.</w:t>
      </w:r>
    </w:p>
    <w:bookmarkEnd w:id="32"/>
    <w:bookmarkEnd w:id="33"/>
    <w:p w:rsidR="003C713F" w:rsidRPr="007C2EA5" w:rsidRDefault="003C713F" w:rsidP="003C713F">
      <w:pPr>
        <w:rPr>
          <w:color w:val="000000" w:themeColor="text1"/>
        </w:rPr>
      </w:pPr>
    </w:p>
    <w:p w:rsidR="00FA755C" w:rsidRPr="007C2EA5" w:rsidRDefault="00DD02F5" w:rsidP="00FA755C">
      <w:pPr>
        <w:adjustRightInd w:val="0"/>
        <w:snapToGrid w:val="0"/>
        <w:rPr>
          <w:color w:val="000000" w:themeColor="text1"/>
        </w:rPr>
      </w:pPr>
      <w:bookmarkStart w:id="34" w:name="OLE_LINK268"/>
      <w:bookmarkStart w:id="35" w:name="OLE_LINK269"/>
      <w:r w:rsidRPr="007C2EA5">
        <w:rPr>
          <w:rFonts w:cs="Book Antiqua"/>
          <w:color w:val="000000" w:themeColor="text1"/>
          <w:kern w:val="0"/>
        </w:rPr>
        <w:t>Wang</w:t>
      </w:r>
      <w:r w:rsidR="00FA755C" w:rsidRPr="007C2EA5">
        <w:rPr>
          <w:rFonts w:cs="Book Antiqua" w:hint="eastAsia"/>
          <w:color w:val="000000" w:themeColor="text1"/>
          <w:kern w:val="0"/>
        </w:rPr>
        <w:t xml:space="preserve"> Y</w:t>
      </w:r>
      <w:r w:rsidRPr="007C2EA5">
        <w:rPr>
          <w:rFonts w:cs="Book Antiqua"/>
          <w:color w:val="000000" w:themeColor="text1"/>
          <w:kern w:val="0"/>
        </w:rPr>
        <w:t>, Shen</w:t>
      </w:r>
      <w:r w:rsidR="00FA755C" w:rsidRPr="007C2EA5">
        <w:rPr>
          <w:rFonts w:cs="Book Antiqua" w:hint="eastAsia"/>
          <w:color w:val="000000" w:themeColor="text1"/>
          <w:kern w:val="0"/>
        </w:rPr>
        <w:t xml:space="preserve"> EW</w:t>
      </w:r>
      <w:r w:rsidRPr="007C2EA5">
        <w:rPr>
          <w:rFonts w:cs="Book Antiqua"/>
          <w:color w:val="000000" w:themeColor="text1"/>
          <w:kern w:val="0"/>
        </w:rPr>
        <w:t>, Han</w:t>
      </w:r>
      <w:r w:rsidR="00FA755C" w:rsidRPr="007C2EA5">
        <w:rPr>
          <w:rFonts w:cs="Book Antiqua" w:hint="eastAsia"/>
          <w:color w:val="000000" w:themeColor="text1"/>
          <w:kern w:val="0"/>
        </w:rPr>
        <w:t xml:space="preserve"> B</w:t>
      </w:r>
      <w:r w:rsidRPr="007C2EA5">
        <w:rPr>
          <w:rFonts w:cs="Book Antiqua"/>
          <w:color w:val="000000" w:themeColor="text1"/>
          <w:kern w:val="0"/>
        </w:rPr>
        <w:t>, Li</w:t>
      </w:r>
      <w:r w:rsidR="00FA755C" w:rsidRPr="007C2EA5">
        <w:rPr>
          <w:rFonts w:cs="Book Antiqua" w:hint="eastAsia"/>
          <w:color w:val="000000" w:themeColor="text1"/>
          <w:kern w:val="0"/>
        </w:rPr>
        <w:t xml:space="preserve"> Z</w:t>
      </w:r>
      <w:r w:rsidRPr="007C2EA5">
        <w:rPr>
          <w:rFonts w:cs="Book Antiqua"/>
          <w:color w:val="000000" w:themeColor="text1"/>
          <w:kern w:val="0"/>
        </w:rPr>
        <w:t>, Xiong</w:t>
      </w:r>
      <w:r w:rsidR="00FA755C" w:rsidRPr="007C2EA5">
        <w:rPr>
          <w:rFonts w:cs="Book Antiqua" w:hint="eastAsia"/>
          <w:color w:val="000000" w:themeColor="text1"/>
          <w:kern w:val="0"/>
        </w:rPr>
        <w:t xml:space="preserve"> L</w:t>
      </w:r>
      <w:r w:rsidRPr="007C2EA5">
        <w:rPr>
          <w:rFonts w:cs="Book Antiqua"/>
          <w:color w:val="000000" w:themeColor="text1"/>
          <w:kern w:val="0"/>
        </w:rPr>
        <w:t>, Zhang</w:t>
      </w:r>
      <w:r w:rsidR="00FA755C" w:rsidRPr="007C2EA5">
        <w:rPr>
          <w:rFonts w:cs="Book Antiqua" w:hint="eastAsia"/>
          <w:color w:val="000000" w:themeColor="text1"/>
          <w:kern w:val="0"/>
        </w:rPr>
        <w:t xml:space="preserve"> FY</w:t>
      </w:r>
      <w:r w:rsidRPr="007C2EA5">
        <w:rPr>
          <w:rFonts w:cs="Book Antiqua"/>
          <w:color w:val="000000" w:themeColor="text1"/>
          <w:kern w:val="0"/>
        </w:rPr>
        <w:t>, Cong</w:t>
      </w:r>
      <w:r w:rsidR="00FA755C" w:rsidRPr="007C2EA5">
        <w:rPr>
          <w:rFonts w:cs="Book Antiqua" w:hint="eastAsia"/>
          <w:color w:val="000000" w:themeColor="text1"/>
          <w:kern w:val="0"/>
        </w:rPr>
        <w:t xml:space="preserve"> BB</w:t>
      </w:r>
      <w:r w:rsidRPr="007C2EA5">
        <w:rPr>
          <w:rFonts w:cs="Book Antiqua"/>
          <w:color w:val="000000" w:themeColor="text1"/>
          <w:kern w:val="0"/>
        </w:rPr>
        <w:t>, Zhang</w:t>
      </w:r>
      <w:r w:rsidR="00FA755C" w:rsidRPr="007C2EA5">
        <w:rPr>
          <w:rFonts w:cs="Book Antiqua" w:hint="eastAsia"/>
          <w:color w:val="000000" w:themeColor="text1"/>
          <w:kern w:val="0"/>
        </w:rPr>
        <w:t xml:space="preserve"> B</w:t>
      </w:r>
      <w:r w:rsidRPr="007C2EA5">
        <w:rPr>
          <w:rFonts w:cs="Book Antiqua"/>
          <w:color w:val="000000" w:themeColor="text1"/>
          <w:kern w:val="0"/>
        </w:rPr>
        <w:t xml:space="preserve">. </w:t>
      </w:r>
      <w:r w:rsidRPr="007C2EA5">
        <w:rPr>
          <w:rFonts w:cs="Book Antiqua"/>
          <w:bCs/>
          <w:color w:val="000000" w:themeColor="text1"/>
          <w:kern w:val="0"/>
        </w:rPr>
        <w:t>Notch signaling mediated by TGF-</w:t>
      </w:r>
      <w:r w:rsidRPr="007C2EA5">
        <w:rPr>
          <w:bCs/>
          <w:color w:val="000000" w:themeColor="text1"/>
          <w:kern w:val="0"/>
        </w:rPr>
        <w:t>β</w:t>
      </w:r>
      <w:r w:rsidRPr="007C2EA5">
        <w:rPr>
          <w:rFonts w:cs="Book Antiqua"/>
          <w:bCs/>
          <w:color w:val="000000" w:themeColor="text1"/>
          <w:kern w:val="0"/>
        </w:rPr>
        <w:t>/Smad pathway in concanavalin-A-induced liver fibrosis in rats</w:t>
      </w:r>
      <w:r w:rsidRPr="007C2EA5">
        <w:rPr>
          <w:rFonts w:cs="Book Antiqua" w:hint="eastAsia"/>
          <w:bCs/>
          <w:color w:val="000000" w:themeColor="text1"/>
          <w:kern w:val="0"/>
        </w:rPr>
        <w:t>.</w:t>
      </w:r>
      <w:r w:rsidR="00FA755C" w:rsidRPr="007C2EA5">
        <w:rPr>
          <w:rFonts w:cs="Book Antiqua" w:hint="eastAsia"/>
          <w:bCs/>
          <w:color w:val="000000" w:themeColor="text1"/>
          <w:kern w:val="0"/>
        </w:rPr>
        <w:t xml:space="preserve"> </w:t>
      </w:r>
      <w:bookmarkStart w:id="36" w:name="OLE_LINK424"/>
      <w:bookmarkStart w:id="37" w:name="OLE_LINK425"/>
      <w:r w:rsidR="00FA755C" w:rsidRPr="007C2EA5">
        <w:rPr>
          <w:i/>
          <w:color w:val="000000" w:themeColor="text1"/>
        </w:rPr>
        <w:t>World J Gastroenterol</w:t>
      </w:r>
      <w:r w:rsidR="00FA755C" w:rsidRPr="007C2EA5">
        <w:rPr>
          <w:color w:val="000000" w:themeColor="text1"/>
        </w:rPr>
        <w:t xml:space="preserve"> 201</w:t>
      </w:r>
      <w:r w:rsidR="00FA755C" w:rsidRPr="007C2EA5">
        <w:rPr>
          <w:rFonts w:hint="eastAsia"/>
          <w:color w:val="000000" w:themeColor="text1"/>
        </w:rPr>
        <w:t>7</w:t>
      </w:r>
      <w:r w:rsidR="00FA755C" w:rsidRPr="007C2EA5">
        <w:rPr>
          <w:color w:val="000000" w:themeColor="text1"/>
        </w:rPr>
        <w:t xml:space="preserve">; </w:t>
      </w:r>
      <w:bookmarkStart w:id="38" w:name="OLE_LINK1689"/>
      <w:bookmarkStart w:id="39" w:name="OLE_LINK1298"/>
      <w:bookmarkStart w:id="40" w:name="OLE_LINK1297"/>
      <w:r w:rsidR="00FA755C" w:rsidRPr="007C2EA5">
        <w:rPr>
          <w:color w:val="000000" w:themeColor="text1"/>
        </w:rPr>
        <w:t>In press</w:t>
      </w:r>
      <w:bookmarkEnd w:id="38"/>
      <w:bookmarkEnd w:id="39"/>
      <w:bookmarkEnd w:id="40"/>
    </w:p>
    <w:bookmarkEnd w:id="34"/>
    <w:bookmarkEnd w:id="35"/>
    <w:bookmarkEnd w:id="36"/>
    <w:bookmarkEnd w:id="37"/>
    <w:p w:rsidR="00DD02F5" w:rsidRPr="007C2EA5" w:rsidRDefault="00DD02F5" w:rsidP="00DD02F5">
      <w:pPr>
        <w:autoSpaceDE w:val="0"/>
        <w:autoSpaceDN w:val="0"/>
        <w:adjustRightInd w:val="0"/>
        <w:rPr>
          <w:rFonts w:cs="Book Antiqua"/>
          <w:color w:val="000000" w:themeColor="text1"/>
          <w:kern w:val="0"/>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3C713F">
      <w:pPr>
        <w:rPr>
          <w:color w:val="000000" w:themeColor="text1"/>
        </w:rPr>
      </w:pPr>
    </w:p>
    <w:p w:rsidR="00DD02F5" w:rsidRPr="007C2EA5" w:rsidRDefault="00DD02F5" w:rsidP="00DD02F5">
      <w:pPr>
        <w:autoSpaceDE w:val="0"/>
        <w:autoSpaceDN w:val="0"/>
        <w:adjustRightInd w:val="0"/>
        <w:rPr>
          <w:rFonts w:cs="Book Antiqua"/>
          <w:b/>
          <w:bCs/>
          <w:color w:val="000000" w:themeColor="text1"/>
          <w:kern w:val="0"/>
        </w:rPr>
      </w:pPr>
      <w:r w:rsidRPr="007C2EA5">
        <w:rPr>
          <w:rFonts w:cs="Book Antiqua"/>
          <w:b/>
          <w:bCs/>
          <w:color w:val="000000" w:themeColor="text1"/>
          <w:kern w:val="0"/>
        </w:rPr>
        <w:lastRenderedPageBreak/>
        <w:t>INTRODUCTION</w:t>
      </w:r>
    </w:p>
    <w:p w:rsidR="00DD02F5" w:rsidRPr="007C2EA5" w:rsidRDefault="00DD02F5" w:rsidP="00DD02F5">
      <w:pPr>
        <w:rPr>
          <w:rFonts w:cs="Book Antiqua"/>
          <w:color w:val="000000" w:themeColor="text1"/>
          <w:kern w:val="0"/>
        </w:rPr>
      </w:pPr>
      <w:r w:rsidRPr="007C2EA5">
        <w:rPr>
          <w:rFonts w:cs="Book Antiqua"/>
          <w:color w:val="000000" w:themeColor="text1"/>
          <w:kern w:val="0"/>
        </w:rPr>
        <w:t>Liver fibrosis occurs as a result of chronic liver disease and is associated with severe morbidity and mortality. It is a reversible wound-healing response characterized by the accumulation of extracellular matrix (ECM) in liver injury</w:t>
      </w:r>
      <w:r w:rsidRPr="007C2EA5">
        <w:rPr>
          <w:rFonts w:cs="Book Antiqua"/>
          <w:color w:val="000000" w:themeColor="text1"/>
          <w:kern w:val="0"/>
          <w:vertAlign w:val="superscript"/>
        </w:rPr>
        <w:t>[1]</w:t>
      </w:r>
      <w:r w:rsidRPr="007C2EA5">
        <w:rPr>
          <w:rFonts w:cs="Book Antiqua"/>
          <w:color w:val="000000" w:themeColor="text1"/>
          <w:kern w:val="0"/>
        </w:rPr>
        <w:t>. In the mechanisms of liver fibrosis, activation of resident hepatic stellate cells (HSCs) after liver injury remains a dominant theme</w:t>
      </w:r>
      <w:r w:rsidRPr="007C2EA5">
        <w:rPr>
          <w:rFonts w:cs="Book Antiqua"/>
          <w:color w:val="000000" w:themeColor="text1"/>
          <w:kern w:val="0"/>
          <w:vertAlign w:val="superscript"/>
        </w:rPr>
        <w:t>[2]</w:t>
      </w:r>
      <w:r w:rsidRPr="007C2EA5">
        <w:rPr>
          <w:rFonts w:cs="Book Antiqua"/>
          <w:color w:val="000000" w:themeColor="text1"/>
          <w:kern w:val="0"/>
        </w:rPr>
        <w:t>. The quiescent HSCs can be induced by transforming growth factor (TGF)-</w:t>
      </w:r>
      <w:r w:rsidRPr="007C2EA5">
        <w:rPr>
          <w:color w:val="000000" w:themeColor="text1"/>
          <w:kern w:val="0"/>
        </w:rPr>
        <w:t>β</w:t>
      </w:r>
      <w:r w:rsidRPr="007C2EA5">
        <w:rPr>
          <w:rFonts w:cs="Book Antiqua"/>
          <w:color w:val="000000" w:themeColor="text1"/>
          <w:kern w:val="0"/>
        </w:rPr>
        <w:t>1 to transdifferentiate into myofibroblasts that secrete ECM</w:t>
      </w:r>
      <w:r w:rsidRPr="007C2EA5">
        <w:rPr>
          <w:rFonts w:cs="Book Antiqua"/>
          <w:color w:val="000000" w:themeColor="text1"/>
          <w:kern w:val="0"/>
          <w:vertAlign w:val="superscript"/>
        </w:rPr>
        <w:t>[3]</w:t>
      </w:r>
      <w:r w:rsidRPr="007C2EA5">
        <w:rPr>
          <w:rFonts w:cs="Book Antiqua"/>
          <w:color w:val="000000" w:themeColor="text1"/>
          <w:kern w:val="0"/>
        </w:rPr>
        <w:t xml:space="preserve">. Accumulating evidence indicates that multiple signaling pathways, such as the </w:t>
      </w:r>
      <w:r w:rsidR="004C0614" w:rsidRPr="007C2EA5">
        <w:rPr>
          <w:rFonts w:cs="Book Antiqua"/>
          <w:color w:val="000000" w:themeColor="text1"/>
          <w:kern w:val="0"/>
        </w:rPr>
        <w:t xml:space="preserve">Notch </w:t>
      </w:r>
      <w:r w:rsidR="004C0614" w:rsidRPr="007C2EA5">
        <w:rPr>
          <w:rFonts w:cs="Book Antiqua" w:hint="eastAsia"/>
          <w:color w:val="000000" w:themeColor="text1"/>
          <w:kern w:val="0"/>
        </w:rPr>
        <w:t>and</w:t>
      </w:r>
      <w:r w:rsidR="004C0614" w:rsidRPr="007C2EA5">
        <w:rPr>
          <w:rFonts w:cs="Book Antiqua"/>
          <w:color w:val="000000" w:themeColor="text1"/>
          <w:kern w:val="0"/>
        </w:rPr>
        <w:t xml:space="preserve"> </w:t>
      </w:r>
      <w:r w:rsidRPr="007C2EA5">
        <w:rPr>
          <w:rFonts w:cs="Book Antiqua"/>
          <w:color w:val="000000" w:themeColor="text1"/>
          <w:kern w:val="0"/>
        </w:rPr>
        <w:t>TGF-</w:t>
      </w:r>
      <w:r w:rsidRPr="007C2EA5">
        <w:rPr>
          <w:color w:val="000000" w:themeColor="text1"/>
          <w:kern w:val="0"/>
        </w:rPr>
        <w:t>β</w:t>
      </w:r>
      <w:r w:rsidR="004C0614" w:rsidRPr="007C2EA5">
        <w:rPr>
          <w:color w:val="000000" w:themeColor="text1"/>
          <w:kern w:val="0"/>
        </w:rPr>
        <w:t xml:space="preserve"> </w:t>
      </w:r>
      <w:r w:rsidRPr="007C2EA5">
        <w:rPr>
          <w:rFonts w:cs="Book Antiqua"/>
          <w:color w:val="000000" w:themeColor="text1"/>
          <w:kern w:val="0"/>
        </w:rPr>
        <w:t xml:space="preserve">pathways, are involved in </w:t>
      </w:r>
      <w:r w:rsidR="004C0614" w:rsidRPr="007C2EA5">
        <w:rPr>
          <w:rFonts w:cs="Book Antiqua"/>
          <w:color w:val="000000" w:themeColor="text1"/>
          <w:kern w:val="0"/>
        </w:rPr>
        <w:t xml:space="preserve">epithelial-to-mesenchymal transition </w:t>
      </w:r>
      <w:r w:rsidRPr="007C2EA5">
        <w:rPr>
          <w:rFonts w:cs="Book Antiqua"/>
          <w:color w:val="000000" w:themeColor="text1"/>
          <w:kern w:val="0"/>
        </w:rPr>
        <w:t xml:space="preserve">and fibroblast activation, </w:t>
      </w:r>
      <w:r w:rsidR="00470EA9" w:rsidRPr="007C2EA5">
        <w:rPr>
          <w:rFonts w:cs="Book Antiqua"/>
          <w:color w:val="000000" w:themeColor="text1"/>
          <w:kern w:val="0"/>
        </w:rPr>
        <w:t>resulting in the</w:t>
      </w:r>
      <w:r w:rsidRPr="007C2EA5">
        <w:rPr>
          <w:rFonts w:cs="Book Antiqua"/>
          <w:color w:val="000000" w:themeColor="text1"/>
          <w:kern w:val="0"/>
        </w:rPr>
        <w:t xml:space="preserve"> </w:t>
      </w:r>
      <w:r w:rsidR="004E4910" w:rsidRPr="007C2EA5">
        <w:rPr>
          <w:rFonts w:cs="Book Antiqua"/>
          <w:color w:val="000000" w:themeColor="text1"/>
          <w:kern w:val="0"/>
        </w:rPr>
        <w:t>development</w:t>
      </w:r>
      <w:r w:rsidRPr="007C2EA5">
        <w:rPr>
          <w:rFonts w:cs="Book Antiqua"/>
          <w:color w:val="000000" w:themeColor="text1"/>
          <w:kern w:val="0"/>
        </w:rPr>
        <w:t xml:space="preserve"> of renal fibrosis</w:t>
      </w:r>
      <w:r w:rsidRPr="007C2EA5">
        <w:rPr>
          <w:rFonts w:cs="Book Antiqua"/>
          <w:color w:val="000000" w:themeColor="text1"/>
          <w:kern w:val="0"/>
          <w:vertAlign w:val="superscript"/>
        </w:rPr>
        <w:t>[4,5]</w:t>
      </w:r>
      <w:r w:rsidRPr="007C2EA5">
        <w:rPr>
          <w:rFonts w:cs="Book Antiqua"/>
          <w:color w:val="000000" w:themeColor="text1"/>
          <w:kern w:val="0"/>
        </w:rPr>
        <w:t>. Inhibition of Notch signaling can ameliorate renal fibrosis</w:t>
      </w:r>
      <w:r w:rsidRPr="007C2EA5">
        <w:rPr>
          <w:rFonts w:cs="Book Antiqua" w:hint="eastAsia"/>
          <w:color w:val="000000" w:themeColor="text1"/>
          <w:kern w:val="0"/>
        </w:rPr>
        <w:t xml:space="preserve"> through</w:t>
      </w:r>
      <w:r w:rsidRPr="007C2EA5">
        <w:rPr>
          <w:rFonts w:cs="Book Antiqua"/>
          <w:color w:val="000000" w:themeColor="text1"/>
          <w:kern w:val="0"/>
        </w:rPr>
        <w:t xml:space="preserve"> </w:t>
      </w:r>
      <w:r w:rsidRPr="007C2EA5">
        <w:rPr>
          <w:rFonts w:cs="Book Antiqua" w:hint="eastAsia"/>
          <w:color w:val="000000" w:themeColor="text1"/>
          <w:kern w:val="0"/>
        </w:rPr>
        <w:t xml:space="preserve">inhibition of </w:t>
      </w:r>
      <w:r w:rsidRPr="007C2EA5">
        <w:rPr>
          <w:rFonts w:cs="Book Antiqua"/>
          <w:color w:val="000000" w:themeColor="text1"/>
          <w:kern w:val="0"/>
        </w:rPr>
        <w:t>Notch-mediated TGF-</w:t>
      </w:r>
      <w:r w:rsidRPr="007C2EA5">
        <w:rPr>
          <w:color w:val="000000" w:themeColor="text1"/>
          <w:kern w:val="0"/>
        </w:rPr>
        <w:t>β</w:t>
      </w:r>
      <w:r w:rsidRPr="007C2EA5">
        <w:rPr>
          <w:rFonts w:cs="Book Antiqua"/>
          <w:color w:val="000000" w:themeColor="text1"/>
          <w:kern w:val="0"/>
        </w:rPr>
        <w:t xml:space="preserve"> signaling activation</w:t>
      </w:r>
      <w:r w:rsidRPr="007C2EA5">
        <w:rPr>
          <w:rFonts w:cs="Book Antiqua"/>
          <w:color w:val="000000" w:themeColor="text1"/>
          <w:kern w:val="0"/>
          <w:vertAlign w:val="superscript"/>
        </w:rPr>
        <w:t>[6]</w:t>
      </w:r>
      <w:r w:rsidRPr="007C2EA5">
        <w:rPr>
          <w:rFonts w:cs="Book Antiqua"/>
          <w:color w:val="000000" w:themeColor="text1"/>
          <w:kern w:val="0"/>
        </w:rPr>
        <w:t xml:space="preserve">. However, whether similar regulation occurs in liver fibrosis, and what happens between the two signaling pathways during the </w:t>
      </w:r>
      <w:r w:rsidRPr="007C2EA5">
        <w:rPr>
          <w:rFonts w:cs="Book Antiqua" w:hint="eastAsia"/>
          <w:color w:val="000000" w:themeColor="text1"/>
          <w:kern w:val="0"/>
        </w:rPr>
        <w:t>recovery</w:t>
      </w:r>
      <w:r w:rsidRPr="007C2EA5">
        <w:rPr>
          <w:rFonts w:cs="Book Antiqua"/>
          <w:color w:val="000000" w:themeColor="text1"/>
          <w:kern w:val="0"/>
        </w:rPr>
        <w:t xml:space="preserve"> stage of liver fibrosis, needs further clarification.</w:t>
      </w:r>
    </w:p>
    <w:p w:rsidR="00DD02F5" w:rsidRPr="007C2EA5" w:rsidRDefault="00DD02F5" w:rsidP="006B3568">
      <w:pPr>
        <w:autoSpaceDE w:val="0"/>
        <w:autoSpaceDN w:val="0"/>
        <w:adjustRightInd w:val="0"/>
        <w:ind w:firstLine="480"/>
        <w:rPr>
          <w:rFonts w:cs="Book Antiqua"/>
          <w:color w:val="000000" w:themeColor="text1"/>
          <w:kern w:val="0"/>
        </w:rPr>
      </w:pPr>
      <w:r w:rsidRPr="007C2EA5">
        <w:rPr>
          <w:rFonts w:cs="Book Antiqua"/>
          <w:color w:val="000000" w:themeColor="text1"/>
          <w:kern w:val="0"/>
        </w:rPr>
        <w:t xml:space="preserve">The Notch signaling is highly conserved </w:t>
      </w:r>
      <w:r w:rsidR="004E4910" w:rsidRPr="007C2EA5">
        <w:rPr>
          <w:rFonts w:cs="Book Antiqua"/>
          <w:color w:val="000000" w:themeColor="text1"/>
          <w:kern w:val="0"/>
        </w:rPr>
        <w:t>existing in</w:t>
      </w:r>
      <w:r w:rsidRPr="007C2EA5">
        <w:rPr>
          <w:rFonts w:cs="Book Antiqua"/>
          <w:color w:val="000000" w:themeColor="text1"/>
          <w:kern w:val="0"/>
        </w:rPr>
        <w:t xml:space="preserve"> </w:t>
      </w:r>
      <w:r w:rsidR="004E4910" w:rsidRPr="007C2EA5">
        <w:rPr>
          <w:rFonts w:cs="Book Antiqua"/>
          <w:color w:val="000000" w:themeColor="text1"/>
          <w:kern w:val="0"/>
        </w:rPr>
        <w:t>many</w:t>
      </w:r>
      <w:r w:rsidR="00D81176" w:rsidRPr="007C2EA5">
        <w:rPr>
          <w:rFonts w:cs="Book Antiqua"/>
          <w:color w:val="000000" w:themeColor="text1"/>
          <w:kern w:val="0"/>
        </w:rPr>
        <w:t xml:space="preserve"> animal</w:t>
      </w:r>
      <w:r w:rsidR="00D81176" w:rsidRPr="007C2EA5">
        <w:rPr>
          <w:rFonts w:cs="Book Antiqua" w:hint="eastAsia"/>
          <w:color w:val="000000" w:themeColor="text1"/>
          <w:kern w:val="0"/>
        </w:rPr>
        <w:t>s</w:t>
      </w:r>
      <w:r w:rsidRPr="007C2EA5">
        <w:rPr>
          <w:rFonts w:cs="Book Antiqua"/>
          <w:color w:val="000000" w:themeColor="text1"/>
          <w:kern w:val="0"/>
        </w:rPr>
        <w:t xml:space="preserve">. It is </w:t>
      </w:r>
      <w:r w:rsidR="004E4910" w:rsidRPr="007C2EA5">
        <w:rPr>
          <w:rFonts w:cs="Book Antiqua"/>
          <w:color w:val="000000" w:themeColor="text1"/>
          <w:kern w:val="0"/>
        </w:rPr>
        <w:t>consisted</w:t>
      </w:r>
      <w:r w:rsidRPr="007C2EA5">
        <w:rPr>
          <w:rFonts w:cs="Book Antiqua"/>
          <w:color w:val="000000" w:themeColor="text1"/>
          <w:kern w:val="0"/>
        </w:rPr>
        <w:t xml:space="preserve"> of four Notch receptors (1</w:t>
      </w:r>
      <w:r w:rsidRPr="007C2EA5">
        <w:rPr>
          <w:rFonts w:cs="SimSun"/>
          <w:color w:val="000000" w:themeColor="text1"/>
          <w:kern w:val="0"/>
        </w:rPr>
        <w:t>–</w:t>
      </w:r>
      <w:r w:rsidRPr="007C2EA5">
        <w:rPr>
          <w:rFonts w:cs="Book Antiqua"/>
          <w:color w:val="000000" w:themeColor="text1"/>
          <w:kern w:val="0"/>
        </w:rPr>
        <w:t>4) and five Notch ligands (delta-like 1, 3 and 4, and Jagged 1 and 2) in mammals</w:t>
      </w:r>
      <w:r w:rsidRPr="007C2EA5">
        <w:rPr>
          <w:rFonts w:cs="Book Antiqua"/>
          <w:color w:val="000000" w:themeColor="text1"/>
          <w:kern w:val="0"/>
          <w:vertAlign w:val="superscript"/>
        </w:rPr>
        <w:t>[7]</w:t>
      </w:r>
      <w:r w:rsidRPr="007C2EA5">
        <w:rPr>
          <w:rFonts w:cs="Book Antiqua"/>
          <w:color w:val="000000" w:themeColor="text1"/>
          <w:kern w:val="0"/>
        </w:rPr>
        <w:t>.</w:t>
      </w:r>
      <w:r w:rsidR="00863FA0" w:rsidRPr="007C2EA5">
        <w:rPr>
          <w:rFonts w:cs="Book Antiqua"/>
          <w:color w:val="000000" w:themeColor="text1"/>
          <w:kern w:val="0"/>
        </w:rPr>
        <w:t xml:space="preserve"> </w:t>
      </w:r>
      <w:r w:rsidR="004E4910" w:rsidRPr="007C2EA5">
        <w:rPr>
          <w:rFonts w:cs="Book Antiqua"/>
          <w:color w:val="000000" w:themeColor="text1"/>
          <w:kern w:val="0"/>
        </w:rPr>
        <w:t>After the</w:t>
      </w:r>
      <w:r w:rsidRPr="007C2EA5">
        <w:rPr>
          <w:rFonts w:cs="Book Antiqua"/>
          <w:color w:val="000000" w:themeColor="text1"/>
          <w:kern w:val="0"/>
        </w:rPr>
        <w:t xml:space="preserve"> ligand binding, Notch receptors </w:t>
      </w:r>
      <w:r w:rsidR="004E4910" w:rsidRPr="007C2EA5">
        <w:rPr>
          <w:rFonts w:cs="Book Antiqua"/>
          <w:color w:val="000000" w:themeColor="text1"/>
          <w:kern w:val="0"/>
        </w:rPr>
        <w:t>experience</w:t>
      </w:r>
      <w:r w:rsidRPr="007C2EA5">
        <w:rPr>
          <w:rFonts w:cs="Book Antiqua"/>
          <w:color w:val="000000" w:themeColor="text1"/>
          <w:kern w:val="0"/>
        </w:rPr>
        <w:t xml:space="preserve"> a series of cleavages catalyzed by the </w:t>
      </w:r>
      <w:r w:rsidRPr="007C2EA5">
        <w:rPr>
          <w:color w:val="000000" w:themeColor="text1"/>
          <w:kern w:val="0"/>
        </w:rPr>
        <w:t>γ</w:t>
      </w:r>
      <w:r w:rsidRPr="007C2EA5">
        <w:rPr>
          <w:rFonts w:cs="Book Antiqua"/>
          <w:color w:val="000000" w:themeColor="text1"/>
          <w:kern w:val="0"/>
        </w:rPr>
        <w:t xml:space="preserve">-secretase </w:t>
      </w:r>
      <w:r w:rsidR="00A60EFE" w:rsidRPr="007C2EA5">
        <w:rPr>
          <w:rFonts w:cs="Book Antiqua"/>
          <w:color w:val="000000" w:themeColor="text1"/>
          <w:kern w:val="0"/>
        </w:rPr>
        <w:t>combination</w:t>
      </w:r>
      <w:r w:rsidRPr="007C2EA5">
        <w:rPr>
          <w:rFonts w:cs="Book Antiqua"/>
          <w:color w:val="000000" w:themeColor="text1"/>
          <w:kern w:val="0"/>
        </w:rPr>
        <w:t xml:space="preserve">, </w:t>
      </w:r>
      <w:r w:rsidR="00A60EFE" w:rsidRPr="007C2EA5">
        <w:rPr>
          <w:rFonts w:cs="Book Antiqua"/>
          <w:color w:val="000000" w:themeColor="text1"/>
          <w:kern w:val="0"/>
        </w:rPr>
        <w:t>leading to</w:t>
      </w:r>
      <w:r w:rsidRPr="007C2EA5">
        <w:rPr>
          <w:rFonts w:cs="Book Antiqua"/>
          <w:color w:val="000000" w:themeColor="text1"/>
          <w:kern w:val="0"/>
        </w:rPr>
        <w:t xml:space="preserve"> the release of the Notch int</w:t>
      </w:r>
      <w:r w:rsidR="004E4910" w:rsidRPr="007C2EA5">
        <w:rPr>
          <w:rFonts w:cs="Book Antiqua"/>
          <w:color w:val="000000" w:themeColor="text1"/>
          <w:kern w:val="0"/>
        </w:rPr>
        <w:t>racellular domain (NICD),</w:t>
      </w:r>
      <w:r w:rsidRPr="007C2EA5">
        <w:rPr>
          <w:rFonts w:cs="Book Antiqua"/>
          <w:color w:val="000000" w:themeColor="text1"/>
          <w:kern w:val="0"/>
        </w:rPr>
        <w:t xml:space="preserve"> </w:t>
      </w:r>
      <w:r w:rsidR="004E4910" w:rsidRPr="007C2EA5">
        <w:rPr>
          <w:rFonts w:cs="Book Antiqua"/>
          <w:color w:val="000000" w:themeColor="text1"/>
          <w:kern w:val="0"/>
        </w:rPr>
        <w:t>which</w:t>
      </w:r>
      <w:r w:rsidRPr="007C2EA5">
        <w:rPr>
          <w:rFonts w:cs="Book Antiqua"/>
          <w:color w:val="000000" w:themeColor="text1"/>
          <w:kern w:val="0"/>
        </w:rPr>
        <w:t xml:space="preserve"> can be </w:t>
      </w:r>
      <w:r w:rsidR="00863FA0" w:rsidRPr="007C2EA5">
        <w:rPr>
          <w:rFonts w:cs="Book Antiqua"/>
          <w:color w:val="000000" w:themeColor="text1"/>
          <w:kern w:val="0"/>
        </w:rPr>
        <w:t>blocked</w:t>
      </w:r>
      <w:r w:rsidRPr="007C2EA5">
        <w:rPr>
          <w:rFonts w:cs="Book Antiqua"/>
          <w:color w:val="000000" w:themeColor="text1"/>
          <w:kern w:val="0"/>
        </w:rPr>
        <w:t xml:space="preserve"> by the </w:t>
      </w:r>
      <w:r w:rsidRPr="007C2EA5">
        <w:rPr>
          <w:color w:val="000000" w:themeColor="text1"/>
          <w:kern w:val="0"/>
        </w:rPr>
        <w:t>γ</w:t>
      </w:r>
      <w:r w:rsidRPr="007C2EA5">
        <w:rPr>
          <w:rFonts w:cs="Book Antiqua"/>
          <w:color w:val="000000" w:themeColor="text1"/>
          <w:kern w:val="0"/>
        </w:rPr>
        <w:t>-secretase inhibitor</w:t>
      </w:r>
      <w:r w:rsidRPr="007C2EA5">
        <w:rPr>
          <w:rFonts w:cs="Book Antiqua"/>
          <w:color w:val="000000" w:themeColor="text1"/>
          <w:kern w:val="0"/>
          <w:vertAlign w:val="superscript"/>
        </w:rPr>
        <w:t>[8]</w:t>
      </w:r>
      <w:r w:rsidRPr="007C2EA5">
        <w:rPr>
          <w:rFonts w:cs="Book Antiqua"/>
          <w:color w:val="000000" w:themeColor="text1"/>
          <w:kern w:val="0"/>
        </w:rPr>
        <w:t xml:space="preserve">. The NICD then </w:t>
      </w:r>
      <w:r w:rsidR="00863FA0" w:rsidRPr="007C2EA5">
        <w:rPr>
          <w:rFonts w:cs="Book Antiqua"/>
          <w:color w:val="000000" w:themeColor="text1"/>
          <w:kern w:val="0"/>
        </w:rPr>
        <w:t>enters</w:t>
      </w:r>
      <w:r w:rsidRPr="007C2EA5">
        <w:rPr>
          <w:rFonts w:cs="Book Antiqua"/>
          <w:color w:val="000000" w:themeColor="text1"/>
          <w:kern w:val="0"/>
        </w:rPr>
        <w:t xml:space="preserve"> into the nucleus </w:t>
      </w:r>
      <w:r w:rsidR="006A2B4E" w:rsidRPr="007C2EA5">
        <w:rPr>
          <w:rFonts w:cs="Book Antiqua" w:hint="eastAsia"/>
          <w:color w:val="000000" w:themeColor="text1"/>
          <w:kern w:val="0"/>
        </w:rPr>
        <w:t>where</w:t>
      </w:r>
      <w:r w:rsidR="006A2B4E" w:rsidRPr="007C2EA5">
        <w:rPr>
          <w:rFonts w:cs="Book Antiqua"/>
          <w:color w:val="000000" w:themeColor="text1"/>
          <w:kern w:val="0"/>
        </w:rPr>
        <w:t xml:space="preserve"> it</w:t>
      </w:r>
      <w:r w:rsidRPr="007C2EA5">
        <w:rPr>
          <w:rFonts w:cs="Book Antiqua"/>
          <w:color w:val="000000" w:themeColor="text1"/>
          <w:kern w:val="0"/>
        </w:rPr>
        <w:t xml:space="preserve"> induces </w:t>
      </w:r>
      <w:r w:rsidR="006A2B4E" w:rsidRPr="007C2EA5">
        <w:rPr>
          <w:rFonts w:cs="Book Antiqua"/>
          <w:color w:val="000000" w:themeColor="text1"/>
          <w:kern w:val="0"/>
        </w:rPr>
        <w:t>directly</w:t>
      </w:r>
      <w:r w:rsidR="00F41F47" w:rsidRPr="007C2EA5">
        <w:rPr>
          <w:rFonts w:cs="Book Antiqua"/>
          <w:color w:val="000000" w:themeColor="text1"/>
          <w:kern w:val="0"/>
        </w:rPr>
        <w:t xml:space="preserve"> </w:t>
      </w:r>
      <w:r w:rsidRPr="007C2EA5">
        <w:rPr>
          <w:rFonts w:cs="Book Antiqua"/>
          <w:color w:val="000000" w:themeColor="text1"/>
          <w:kern w:val="0"/>
        </w:rPr>
        <w:t xml:space="preserve">transcription of its target genes, such as Hes1 and Hes5. </w:t>
      </w:r>
      <w:r w:rsidR="006B3568" w:rsidRPr="007C2EA5">
        <w:rPr>
          <w:rFonts w:cs="Book Antiqua"/>
          <w:color w:val="000000" w:themeColor="text1"/>
          <w:kern w:val="0"/>
        </w:rPr>
        <w:t>Ligand-induced Notch</w:t>
      </w:r>
      <w:r w:rsidR="006B3568" w:rsidRPr="007C2EA5">
        <w:rPr>
          <w:rFonts w:cs="Book Antiqua" w:hint="eastAsia"/>
          <w:color w:val="000000" w:themeColor="text1"/>
          <w:kern w:val="0"/>
        </w:rPr>
        <w:t xml:space="preserve"> </w:t>
      </w:r>
      <w:r w:rsidR="006B3568" w:rsidRPr="007C2EA5">
        <w:rPr>
          <w:rFonts w:cs="Book Antiqua"/>
          <w:color w:val="000000" w:themeColor="text1"/>
          <w:kern w:val="0"/>
        </w:rPr>
        <w:t xml:space="preserve">signaling directs </w:t>
      </w:r>
      <w:r w:rsidRPr="007C2EA5">
        <w:rPr>
          <w:rFonts w:cs="Book Antiqua"/>
          <w:color w:val="000000" w:themeColor="text1"/>
          <w:kern w:val="0"/>
        </w:rPr>
        <w:t xml:space="preserve">a </w:t>
      </w:r>
      <w:r w:rsidR="00863FA0" w:rsidRPr="007C2EA5">
        <w:rPr>
          <w:rFonts w:cs="Book Antiqua"/>
          <w:color w:val="000000" w:themeColor="text1"/>
          <w:kern w:val="0"/>
        </w:rPr>
        <w:t>key</w:t>
      </w:r>
      <w:r w:rsidRPr="007C2EA5">
        <w:rPr>
          <w:rFonts w:cs="Book Antiqua"/>
          <w:color w:val="000000" w:themeColor="text1"/>
          <w:kern w:val="0"/>
        </w:rPr>
        <w:t xml:space="preserve"> role </w:t>
      </w:r>
      <w:r w:rsidR="006B3568" w:rsidRPr="007C2EA5">
        <w:rPr>
          <w:rFonts w:cs="Book Antiqua"/>
          <w:color w:val="000000" w:themeColor="text1"/>
          <w:kern w:val="0"/>
        </w:rPr>
        <w:t>in organ formation through effects on cellular differentiation, proliferation,</w:t>
      </w:r>
      <w:r w:rsidRPr="007C2EA5">
        <w:rPr>
          <w:rFonts w:cs="Book Antiqua"/>
          <w:color w:val="000000" w:themeColor="text1"/>
          <w:kern w:val="0"/>
        </w:rPr>
        <w:t xml:space="preserve"> </w:t>
      </w:r>
      <w:r w:rsidR="006B3568" w:rsidRPr="007C2EA5">
        <w:rPr>
          <w:rFonts w:cs="Book Antiqua"/>
          <w:color w:val="000000" w:themeColor="text1"/>
          <w:kern w:val="0"/>
        </w:rPr>
        <w:t>survival and apoptosis</w:t>
      </w:r>
      <w:r w:rsidRPr="007C2EA5">
        <w:rPr>
          <w:rFonts w:cs="Book Antiqua"/>
          <w:color w:val="000000" w:themeColor="text1"/>
          <w:kern w:val="0"/>
          <w:vertAlign w:val="superscript"/>
        </w:rPr>
        <w:t>[9]</w:t>
      </w:r>
      <w:r w:rsidRPr="007C2EA5">
        <w:rPr>
          <w:rFonts w:cs="Book Antiqua"/>
          <w:color w:val="000000" w:themeColor="text1"/>
          <w:kern w:val="0"/>
        </w:rPr>
        <w:t xml:space="preserve">. Recent studies have demonstrated that Notch signaling also </w:t>
      </w:r>
      <w:r w:rsidR="00B40329" w:rsidRPr="007C2EA5">
        <w:rPr>
          <w:rFonts w:cs="Book Antiqua"/>
          <w:color w:val="000000" w:themeColor="text1"/>
          <w:kern w:val="0"/>
        </w:rPr>
        <w:t>involves</w:t>
      </w:r>
      <w:r w:rsidRPr="007C2EA5">
        <w:rPr>
          <w:rFonts w:cs="Book Antiqua"/>
          <w:color w:val="000000" w:themeColor="text1"/>
          <w:kern w:val="0"/>
        </w:rPr>
        <w:t xml:space="preserve"> in </w:t>
      </w:r>
      <w:r w:rsidR="00B40329" w:rsidRPr="007C2EA5">
        <w:rPr>
          <w:rFonts w:cs="Book Antiqua"/>
          <w:color w:val="000000" w:themeColor="text1"/>
          <w:kern w:val="0"/>
        </w:rPr>
        <w:t xml:space="preserve">various </w:t>
      </w:r>
      <w:r w:rsidRPr="007C2EA5">
        <w:rPr>
          <w:rFonts w:cs="Book Antiqua"/>
          <w:color w:val="000000" w:themeColor="text1"/>
          <w:kern w:val="0"/>
        </w:rPr>
        <w:t>tissue fibrosis, including idiopathic pulmonary fibrosis, kidney fibrosis, and cardiac fibrosis</w:t>
      </w:r>
      <w:r w:rsidRPr="007C2EA5">
        <w:rPr>
          <w:rFonts w:cs="Book Antiqua"/>
          <w:color w:val="000000" w:themeColor="text1"/>
          <w:kern w:val="0"/>
          <w:vertAlign w:val="superscript"/>
        </w:rPr>
        <w:t>[5,10,11]</w:t>
      </w:r>
      <w:r w:rsidRPr="007C2EA5">
        <w:rPr>
          <w:rFonts w:cs="Book Antiqua"/>
          <w:color w:val="000000" w:themeColor="text1"/>
          <w:kern w:val="0"/>
        </w:rPr>
        <w:t xml:space="preserve">. However, the </w:t>
      </w:r>
      <w:r w:rsidR="00B40329" w:rsidRPr="007C2EA5">
        <w:rPr>
          <w:rFonts w:cs="Book Antiqua"/>
          <w:color w:val="000000" w:themeColor="text1"/>
          <w:kern w:val="0"/>
        </w:rPr>
        <w:t>exact</w:t>
      </w:r>
      <w:r w:rsidRPr="007C2EA5">
        <w:rPr>
          <w:rFonts w:cs="Book Antiqua"/>
          <w:color w:val="000000" w:themeColor="text1"/>
          <w:kern w:val="0"/>
        </w:rPr>
        <w:t xml:space="preserve"> </w:t>
      </w:r>
      <w:r w:rsidR="00B40329" w:rsidRPr="007C2EA5">
        <w:rPr>
          <w:rFonts w:cs="Book Antiqua"/>
          <w:color w:val="000000" w:themeColor="text1"/>
          <w:kern w:val="0"/>
        </w:rPr>
        <w:t>potential</w:t>
      </w:r>
      <w:r w:rsidRPr="007C2EA5">
        <w:rPr>
          <w:rFonts w:cs="Book Antiqua"/>
          <w:color w:val="000000" w:themeColor="text1"/>
          <w:kern w:val="0"/>
        </w:rPr>
        <w:t xml:space="preserve"> cellular mechanisms are not completely</w:t>
      </w:r>
      <w:r w:rsidR="00B40329" w:rsidRPr="007C2EA5">
        <w:rPr>
          <w:rFonts w:cs="Book Antiqua"/>
          <w:color w:val="000000" w:themeColor="text1"/>
          <w:kern w:val="0"/>
        </w:rPr>
        <w:t xml:space="preserve"> clear</w:t>
      </w:r>
      <w:r w:rsidRPr="007C2EA5">
        <w:rPr>
          <w:rFonts w:cs="Book Antiqua"/>
          <w:color w:val="000000" w:themeColor="text1"/>
          <w:kern w:val="0"/>
        </w:rPr>
        <w:t>.</w:t>
      </w:r>
    </w:p>
    <w:p w:rsidR="00DD02F5" w:rsidRPr="007C2EA5" w:rsidRDefault="00DD02F5" w:rsidP="00DD02F5">
      <w:pPr>
        <w:autoSpaceDE w:val="0"/>
        <w:autoSpaceDN w:val="0"/>
        <w:adjustRightInd w:val="0"/>
        <w:ind w:firstLine="480"/>
        <w:rPr>
          <w:rFonts w:cs="Book Antiqua"/>
          <w:color w:val="000000" w:themeColor="text1"/>
          <w:kern w:val="0"/>
        </w:rPr>
      </w:pPr>
      <w:r w:rsidRPr="007C2EA5">
        <w:rPr>
          <w:rFonts w:cs="Book Antiqua"/>
          <w:color w:val="000000" w:themeColor="text1"/>
          <w:kern w:val="0"/>
        </w:rPr>
        <w:lastRenderedPageBreak/>
        <w:t xml:space="preserve">In this study, we </w:t>
      </w:r>
      <w:r w:rsidR="00B40329" w:rsidRPr="007C2EA5">
        <w:rPr>
          <w:rFonts w:cs="Book Antiqua"/>
          <w:color w:val="000000" w:themeColor="text1"/>
          <w:kern w:val="0"/>
        </w:rPr>
        <w:t>researched</w:t>
      </w:r>
      <w:r w:rsidRPr="007C2EA5">
        <w:rPr>
          <w:rFonts w:cs="Book Antiqua"/>
          <w:color w:val="000000" w:themeColor="text1"/>
          <w:kern w:val="0"/>
        </w:rPr>
        <w:t xml:space="preserve"> the role of Notch signaling in liver fibrosis development and whether inhibition of Notch activation by </w:t>
      </w:r>
      <w:r w:rsidRPr="007C2EA5">
        <w:rPr>
          <w:color w:val="000000" w:themeColor="text1"/>
          <w:kern w:val="0"/>
        </w:rPr>
        <w:t>γ</w:t>
      </w:r>
      <w:r w:rsidRPr="007C2EA5">
        <w:rPr>
          <w:rFonts w:cs="Book Antiqua"/>
          <w:color w:val="000000" w:themeColor="text1"/>
          <w:kern w:val="0"/>
        </w:rPr>
        <w:t>-secretase inhibitor (DAPT) could suppress the TGF-</w:t>
      </w:r>
      <w:r w:rsidRPr="007C2EA5">
        <w:rPr>
          <w:color w:val="000000" w:themeColor="text1"/>
          <w:kern w:val="0"/>
        </w:rPr>
        <w:t>β</w:t>
      </w:r>
      <w:r w:rsidRPr="007C2EA5">
        <w:rPr>
          <w:rFonts w:cs="Book Antiqua"/>
          <w:color w:val="000000" w:themeColor="text1"/>
          <w:kern w:val="0"/>
        </w:rPr>
        <w:t xml:space="preserve">/Smad signaling pathway in a rat model of concanavalin (Con)A-induced liver fibrosis. We </w:t>
      </w:r>
      <w:r w:rsidR="00B40329" w:rsidRPr="007C2EA5">
        <w:rPr>
          <w:rFonts w:cs="Book Antiqua"/>
          <w:color w:val="000000" w:themeColor="text1"/>
          <w:kern w:val="0"/>
        </w:rPr>
        <w:t>found</w:t>
      </w:r>
      <w:r w:rsidRPr="007C2EA5">
        <w:rPr>
          <w:rFonts w:cs="Book Antiqua"/>
          <w:color w:val="000000" w:themeColor="text1"/>
          <w:kern w:val="0"/>
        </w:rPr>
        <w:t xml:space="preserve"> that the Notch </w:t>
      </w:r>
      <w:r w:rsidR="00B40329" w:rsidRPr="007C2EA5">
        <w:rPr>
          <w:rFonts w:cs="Book Antiqua"/>
          <w:color w:val="000000" w:themeColor="text1"/>
          <w:kern w:val="0"/>
        </w:rPr>
        <w:t>signaling</w:t>
      </w:r>
      <w:r w:rsidRPr="007C2EA5">
        <w:rPr>
          <w:rFonts w:cs="Book Antiqua"/>
          <w:color w:val="000000" w:themeColor="text1"/>
          <w:kern w:val="0"/>
        </w:rPr>
        <w:t xml:space="preserve"> is involved in liver fibrosis </w:t>
      </w:r>
      <w:r w:rsidR="00B40329" w:rsidRPr="007C2EA5">
        <w:rPr>
          <w:rFonts w:cs="Book Antiqua"/>
          <w:color w:val="000000" w:themeColor="text1"/>
          <w:kern w:val="0"/>
        </w:rPr>
        <w:t>via</w:t>
      </w:r>
      <w:r w:rsidRPr="007C2EA5">
        <w:rPr>
          <w:rFonts w:cs="Book Antiqua"/>
          <w:color w:val="000000" w:themeColor="text1"/>
          <w:kern w:val="0"/>
        </w:rPr>
        <w:t xml:space="preserve"> activation of TGF-</w:t>
      </w:r>
      <w:r w:rsidRPr="007C2EA5">
        <w:rPr>
          <w:color w:val="000000" w:themeColor="text1"/>
          <w:kern w:val="0"/>
        </w:rPr>
        <w:t>β</w:t>
      </w:r>
      <w:r w:rsidRPr="007C2EA5">
        <w:rPr>
          <w:rFonts w:cs="Book Antiqua"/>
          <w:color w:val="000000" w:themeColor="text1"/>
          <w:kern w:val="0"/>
        </w:rPr>
        <w:t xml:space="preserve">/Smad </w:t>
      </w:r>
      <w:r w:rsidR="00B40329" w:rsidRPr="007C2EA5">
        <w:rPr>
          <w:rFonts w:cs="Book Antiqua"/>
          <w:color w:val="000000" w:themeColor="text1"/>
          <w:kern w:val="0"/>
        </w:rPr>
        <w:t>pathway</w:t>
      </w:r>
      <w:r w:rsidRPr="007C2EA5">
        <w:rPr>
          <w:rFonts w:cs="Book Antiqua"/>
          <w:color w:val="000000" w:themeColor="text1"/>
          <w:kern w:val="0"/>
        </w:rPr>
        <w:t>. Administration of DAPT markedly attenuated the TGF-</w:t>
      </w:r>
      <w:r w:rsidRPr="007C2EA5">
        <w:rPr>
          <w:color w:val="000000" w:themeColor="text1"/>
          <w:kern w:val="0"/>
        </w:rPr>
        <w:t>β</w:t>
      </w:r>
      <w:r w:rsidRPr="007C2EA5">
        <w:rPr>
          <w:rFonts w:cs="Book Antiqua"/>
          <w:color w:val="000000" w:themeColor="text1"/>
          <w:kern w:val="0"/>
        </w:rPr>
        <w:t>/Smad signaling pathway in ConA-induced liver fibrosis in rats.</w:t>
      </w:r>
    </w:p>
    <w:p w:rsidR="00DD02F5" w:rsidRPr="007C2EA5" w:rsidRDefault="00DD02F5" w:rsidP="00DD02F5">
      <w:pPr>
        <w:rPr>
          <w:color w:val="000000" w:themeColor="text1"/>
        </w:rPr>
      </w:pPr>
    </w:p>
    <w:p w:rsidR="00173D88" w:rsidRPr="007C2EA5" w:rsidRDefault="00173D88" w:rsidP="00173D88">
      <w:pPr>
        <w:autoSpaceDE w:val="0"/>
        <w:autoSpaceDN w:val="0"/>
        <w:adjustRightInd w:val="0"/>
        <w:rPr>
          <w:rFonts w:cs="Book Antiqua"/>
          <w:b/>
          <w:bCs/>
          <w:color w:val="000000" w:themeColor="text1"/>
          <w:kern w:val="0"/>
        </w:rPr>
      </w:pPr>
      <w:r w:rsidRPr="007C2EA5">
        <w:rPr>
          <w:rFonts w:cs="Book Antiqua"/>
          <w:b/>
          <w:bCs/>
          <w:color w:val="000000" w:themeColor="text1"/>
          <w:kern w:val="0"/>
        </w:rPr>
        <w:t xml:space="preserve">MATERIALS AND METHODS </w:t>
      </w:r>
    </w:p>
    <w:p w:rsidR="00173D88" w:rsidRPr="007C2EA5" w:rsidRDefault="00173D88" w:rsidP="00173D88">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Animals</w:t>
      </w:r>
    </w:p>
    <w:p w:rsidR="00173D88" w:rsidRPr="007C2EA5" w:rsidRDefault="00173D88" w:rsidP="00173D88">
      <w:pPr>
        <w:rPr>
          <w:rFonts w:cs="Book Antiqua"/>
          <w:color w:val="000000" w:themeColor="text1"/>
          <w:kern w:val="0"/>
        </w:rPr>
      </w:pPr>
      <w:r w:rsidRPr="007C2EA5">
        <w:rPr>
          <w:rFonts w:cs="Book Antiqua"/>
          <w:color w:val="000000" w:themeColor="text1"/>
          <w:kern w:val="0"/>
        </w:rPr>
        <w:t>Male Wistar rats (weighing 210–230 g) were supplied by the Experimental Animal and Animal Experiment Center of Qingdao, Shandong, China. They were housed in the animal facility in a 12-h light–dark cycle, and the temperature was maintained at 22–23</w:t>
      </w:r>
      <w:r w:rsidRPr="007C2EA5">
        <w:rPr>
          <w:rFonts w:cs="SimSun"/>
          <w:color w:val="000000" w:themeColor="text1"/>
          <w:kern w:val="0"/>
        </w:rPr>
        <w:t>°</w:t>
      </w:r>
      <w:r w:rsidRPr="007C2EA5">
        <w:rPr>
          <w:rFonts w:cs="Book Antiqua"/>
          <w:color w:val="000000" w:themeColor="text1"/>
          <w:kern w:val="0"/>
        </w:rPr>
        <w:t>C and relative humidity at 60%. The animals were randomly distributed into two groups: normal group (</w:t>
      </w:r>
      <w:r w:rsidRPr="007C2EA5">
        <w:rPr>
          <w:rFonts w:cs="Book Antiqua"/>
          <w:i/>
          <w:color w:val="000000" w:themeColor="text1"/>
          <w:kern w:val="0"/>
        </w:rPr>
        <w:t>n</w:t>
      </w:r>
      <w:r w:rsidRPr="007C2EA5">
        <w:rPr>
          <w:rFonts w:cs="Book Antiqua"/>
          <w:color w:val="000000" w:themeColor="text1"/>
          <w:kern w:val="0"/>
        </w:rPr>
        <w:t xml:space="preserve"> = 12), which received a weekly intravenous injection of 300 </w:t>
      </w:r>
      <w:r w:rsidRPr="007C2EA5">
        <w:rPr>
          <w:color w:val="000000" w:themeColor="text1"/>
          <w:kern w:val="0"/>
        </w:rPr>
        <w:t>μ</w:t>
      </w:r>
      <w:r w:rsidRPr="007C2EA5">
        <w:rPr>
          <w:rFonts w:cs="Book Antiqua"/>
          <w:color w:val="000000" w:themeColor="text1"/>
          <w:kern w:val="0"/>
        </w:rPr>
        <w:t>L</w:t>
      </w:r>
      <w:r w:rsidRPr="007C2EA5" w:rsidDel="00013376">
        <w:rPr>
          <w:rFonts w:cs="Book Antiqua"/>
          <w:color w:val="000000" w:themeColor="text1"/>
          <w:kern w:val="0"/>
        </w:rPr>
        <w:t xml:space="preserve"> </w:t>
      </w:r>
      <w:r w:rsidRPr="007C2EA5">
        <w:rPr>
          <w:rFonts w:cs="Book Antiqua"/>
          <w:color w:val="000000" w:themeColor="text1"/>
          <w:kern w:val="0"/>
        </w:rPr>
        <w:t>phosphate-buffered saline (PBS) for 8 wk; and the model group (</w:t>
      </w:r>
      <w:r w:rsidRPr="007C2EA5">
        <w:rPr>
          <w:rFonts w:cs="Book Antiqua"/>
          <w:i/>
          <w:color w:val="000000" w:themeColor="text1"/>
          <w:kern w:val="0"/>
        </w:rPr>
        <w:t>n</w:t>
      </w:r>
      <w:r w:rsidRPr="007C2EA5">
        <w:rPr>
          <w:rFonts w:cs="Book Antiqua"/>
          <w:color w:val="000000" w:themeColor="text1"/>
          <w:kern w:val="0"/>
        </w:rPr>
        <w:t xml:space="preserve"> = 36), which received a weekly intravenous injection of ConA (17.5 mg/kg, in 300 </w:t>
      </w:r>
      <w:r w:rsidRPr="007C2EA5">
        <w:rPr>
          <w:color w:val="000000" w:themeColor="text1"/>
          <w:kern w:val="0"/>
        </w:rPr>
        <w:t>μ</w:t>
      </w:r>
      <w:r w:rsidRPr="007C2EA5">
        <w:rPr>
          <w:rFonts w:cs="Book Antiqua"/>
          <w:color w:val="000000" w:themeColor="text1"/>
          <w:kern w:val="0"/>
        </w:rPr>
        <w:t>L PBS) for 8 wk</w:t>
      </w:r>
      <w:r w:rsidRPr="007C2EA5">
        <w:rPr>
          <w:rFonts w:cs="Book Antiqua"/>
          <w:color w:val="000000" w:themeColor="text1"/>
          <w:kern w:val="0"/>
          <w:vertAlign w:val="superscript"/>
        </w:rPr>
        <w:t>[12,13]</w:t>
      </w:r>
      <w:r w:rsidRPr="007C2EA5">
        <w:rPr>
          <w:rFonts w:cs="Book Antiqua"/>
          <w:color w:val="000000" w:themeColor="text1"/>
          <w:kern w:val="0"/>
        </w:rPr>
        <w:t>. During all experiments, rats were maintained in individually ventilated cages under specific pathogen-free conditions. Eight weeks later, we collected blood via cardiac puncture. Rats were handled and treated in accordance with the strict guiding principles of the National Institutes of Health for Experimental Care and Use of Animals and approved by the Institutional Animal Care and Use Committee of Qingdao University Medical College</w:t>
      </w:r>
      <w:r w:rsidRPr="007C2EA5">
        <w:rPr>
          <w:rFonts w:cs="Book Antiqua" w:hint="eastAsia"/>
          <w:color w:val="000000" w:themeColor="text1"/>
          <w:kern w:val="0"/>
        </w:rPr>
        <w:t>, Qingdao, China</w:t>
      </w:r>
      <w:r w:rsidRPr="007C2EA5">
        <w:rPr>
          <w:rFonts w:cs="Book Antiqua"/>
          <w:color w:val="000000" w:themeColor="text1"/>
          <w:kern w:val="0"/>
        </w:rPr>
        <w:t>.</w:t>
      </w:r>
    </w:p>
    <w:p w:rsidR="00173D88" w:rsidRPr="007C2EA5" w:rsidRDefault="00173D88" w:rsidP="00173D88">
      <w:pPr>
        <w:rPr>
          <w:color w:val="000000" w:themeColor="text1"/>
        </w:rPr>
      </w:pPr>
    </w:p>
    <w:p w:rsidR="00173D88" w:rsidRPr="007C2EA5" w:rsidRDefault="00173D88" w:rsidP="00173D88">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 xml:space="preserve">Cell culture and treatment </w:t>
      </w:r>
    </w:p>
    <w:p w:rsidR="00173D88" w:rsidRPr="007C2EA5" w:rsidRDefault="00173D88" w:rsidP="00173D88">
      <w:pPr>
        <w:autoSpaceDE w:val="0"/>
        <w:autoSpaceDN w:val="0"/>
        <w:adjustRightInd w:val="0"/>
        <w:rPr>
          <w:rFonts w:cs="Book Antiqua"/>
          <w:color w:val="000000" w:themeColor="text1"/>
          <w:kern w:val="0"/>
        </w:rPr>
      </w:pPr>
      <w:r w:rsidRPr="007C2EA5">
        <w:rPr>
          <w:rFonts w:cs="Book Antiqua"/>
          <w:color w:val="000000" w:themeColor="text1"/>
          <w:kern w:val="0"/>
        </w:rPr>
        <w:t xml:space="preserve">Peripheral blood mononuclear cells (PBMCs) were isolated from model rats by Ficoll–Hypaque density gradient centrifugation (TBD Science, </w:t>
      </w:r>
      <w:smartTag w:uri="urn:schemas-microsoft-com:office:smarttags" w:element="place">
        <w:smartTag w:uri="urn:schemas-microsoft-com:office:smarttags" w:element="City">
          <w:r w:rsidRPr="007C2EA5">
            <w:rPr>
              <w:rFonts w:cs="Book Antiqua"/>
              <w:color w:val="000000" w:themeColor="text1"/>
              <w:kern w:val="0"/>
            </w:rPr>
            <w:t>Tianjin</w:t>
          </w:r>
        </w:smartTag>
        <w:r w:rsidRPr="007C2EA5">
          <w:rPr>
            <w:rFonts w:cs="Book Antiqua"/>
            <w:color w:val="000000" w:themeColor="text1"/>
            <w:kern w:val="0"/>
          </w:rPr>
          <w:t xml:space="preserve">, </w:t>
        </w:r>
        <w:smartTag w:uri="urn:schemas-microsoft-com:office:smarttags" w:element="country-region">
          <w:r w:rsidRPr="007C2EA5">
            <w:rPr>
              <w:rFonts w:cs="Book Antiqua"/>
              <w:color w:val="000000" w:themeColor="text1"/>
              <w:kern w:val="0"/>
            </w:rPr>
            <w:t>China</w:t>
          </w:r>
        </w:smartTag>
      </w:smartTag>
      <w:r w:rsidRPr="007C2EA5">
        <w:rPr>
          <w:rFonts w:cs="Book Antiqua"/>
          <w:color w:val="000000" w:themeColor="text1"/>
          <w:kern w:val="0"/>
        </w:rPr>
        <w:t>). The cells were washed three times with sterile PBS and suspended in a concentration of 2 × 10</w:t>
      </w:r>
      <w:r w:rsidRPr="007C2EA5">
        <w:rPr>
          <w:rFonts w:cs="Book Antiqua"/>
          <w:color w:val="000000" w:themeColor="text1"/>
          <w:kern w:val="0"/>
          <w:vertAlign w:val="superscript"/>
        </w:rPr>
        <w:t>6</w:t>
      </w:r>
      <w:r w:rsidRPr="007C2EA5">
        <w:rPr>
          <w:rFonts w:cs="Book Antiqua"/>
          <w:color w:val="000000" w:themeColor="text1"/>
          <w:kern w:val="0"/>
        </w:rPr>
        <w:t xml:space="preserve"> cells/mL in RPMI 1640 (HyClone, Logan, UT, </w:t>
      </w:r>
      <w:r w:rsidR="00FA755C" w:rsidRPr="007C2EA5">
        <w:rPr>
          <w:rFonts w:cs="Book Antiqua"/>
          <w:color w:val="000000" w:themeColor="text1"/>
          <w:kern w:val="0"/>
        </w:rPr>
        <w:lastRenderedPageBreak/>
        <w:t>United States</w:t>
      </w:r>
      <w:r w:rsidRPr="007C2EA5">
        <w:rPr>
          <w:rFonts w:cs="Book Antiqua"/>
          <w:color w:val="000000" w:themeColor="text1"/>
          <w:kern w:val="0"/>
        </w:rPr>
        <w:t>) supplemented with 10% heat-inactivated fetal calf serum, and 1% penicillin–streptomycin (HyClone). The cells were cultured at 37</w:t>
      </w:r>
      <w:r w:rsidR="00FA755C" w:rsidRPr="007C2EA5">
        <w:rPr>
          <w:rFonts w:cs="Book Antiqua" w:hint="eastAsia"/>
          <w:color w:val="000000" w:themeColor="text1"/>
          <w:kern w:val="0"/>
        </w:rPr>
        <w:t xml:space="preserve"> </w:t>
      </w:r>
      <w:r w:rsidRPr="007C2EA5">
        <w:rPr>
          <w:rFonts w:cs="Book Antiqua"/>
          <w:color w:val="000000" w:themeColor="text1"/>
          <w:kern w:val="0"/>
        </w:rPr>
        <w:t>°C in a CO</w:t>
      </w:r>
      <w:r w:rsidRPr="007C2EA5">
        <w:rPr>
          <w:rFonts w:cs="Book Antiqua"/>
          <w:color w:val="000000" w:themeColor="text1"/>
          <w:kern w:val="0"/>
          <w:vertAlign w:val="subscript"/>
        </w:rPr>
        <w:t>2</w:t>
      </w:r>
      <w:r w:rsidRPr="007C2EA5">
        <w:rPr>
          <w:rFonts w:cs="Book Antiqua"/>
          <w:color w:val="000000" w:themeColor="text1"/>
          <w:kern w:val="0"/>
        </w:rPr>
        <w:t xml:space="preserve"> incubator. These cells were treated with 0.25 </w:t>
      </w:r>
      <w:r w:rsidRPr="007C2EA5">
        <w:rPr>
          <w:color w:val="000000" w:themeColor="text1"/>
          <w:kern w:val="0"/>
        </w:rPr>
        <w:t>μ</w:t>
      </w:r>
      <w:r w:rsidR="00FA755C" w:rsidRPr="007C2EA5">
        <w:rPr>
          <w:rFonts w:cs="Book Antiqua" w:hint="eastAsia"/>
          <w:color w:val="000000" w:themeColor="text1"/>
          <w:kern w:val="0"/>
        </w:rPr>
        <w:t>mol/L</w:t>
      </w:r>
      <w:r w:rsidRPr="007C2EA5">
        <w:rPr>
          <w:rFonts w:cs="Book Antiqua"/>
          <w:color w:val="000000" w:themeColor="text1"/>
          <w:kern w:val="0"/>
        </w:rPr>
        <w:t xml:space="preserve"> DAPT (HY-13027; MedChem Express, Monmouth Junction, NJ, </w:t>
      </w:r>
      <w:r w:rsidR="00757641" w:rsidRPr="00757641">
        <w:rPr>
          <w:rFonts w:cs="Book Antiqua"/>
          <w:color w:val="000000" w:themeColor="text1"/>
          <w:kern w:val="0"/>
        </w:rPr>
        <w:t>United States</w:t>
      </w:r>
      <w:r w:rsidRPr="007C2EA5">
        <w:rPr>
          <w:rFonts w:cs="Book Antiqua"/>
          <w:color w:val="000000" w:themeColor="text1"/>
          <w:kern w:val="0"/>
        </w:rPr>
        <w:t xml:space="preserve">) and 0.25 </w:t>
      </w:r>
      <w:r w:rsidR="00FA755C" w:rsidRPr="007C2EA5">
        <w:rPr>
          <w:rFonts w:hint="eastAsia"/>
          <w:color w:val="000000" w:themeColor="text1"/>
          <w:kern w:val="0"/>
        </w:rPr>
        <w:t>mmol/L</w:t>
      </w:r>
      <w:r w:rsidRPr="007C2EA5">
        <w:rPr>
          <w:rFonts w:cs="Book Antiqua"/>
          <w:color w:val="000000" w:themeColor="text1"/>
          <w:kern w:val="0"/>
        </w:rPr>
        <w:t xml:space="preserve"> TGF-</w:t>
      </w:r>
      <w:r w:rsidRPr="007C2EA5">
        <w:rPr>
          <w:color w:val="000000" w:themeColor="text1"/>
          <w:kern w:val="0"/>
        </w:rPr>
        <w:t>β</w:t>
      </w:r>
      <w:r w:rsidRPr="007C2EA5">
        <w:rPr>
          <w:rFonts w:cs="Book Antiqua"/>
          <w:color w:val="000000" w:themeColor="text1"/>
          <w:kern w:val="0"/>
        </w:rPr>
        <w:t xml:space="preserve"> inhibitor (LY-364947; MedChem Express), with 0.1% dimethyl sulfoxide (DMSO) (Sigma, St. Louis, MO, </w:t>
      </w:r>
      <w:r w:rsidR="00FA755C" w:rsidRPr="007C2EA5">
        <w:rPr>
          <w:rFonts w:cs="Book Antiqua"/>
          <w:color w:val="000000" w:themeColor="text1"/>
          <w:kern w:val="0"/>
        </w:rPr>
        <w:t>United States</w:t>
      </w:r>
      <w:r w:rsidRPr="007C2EA5">
        <w:rPr>
          <w:rFonts w:cs="Book Antiqua"/>
          <w:color w:val="000000" w:themeColor="text1"/>
          <w:kern w:val="0"/>
        </w:rPr>
        <w:t>) as a control. After treatment for 24 h, all cells were collected for total RNA and protein extraction.</w:t>
      </w:r>
    </w:p>
    <w:p w:rsidR="00173D88" w:rsidRPr="007C2EA5" w:rsidRDefault="00173D88" w:rsidP="00173D88">
      <w:pPr>
        <w:autoSpaceDE w:val="0"/>
        <w:autoSpaceDN w:val="0"/>
        <w:adjustRightInd w:val="0"/>
        <w:rPr>
          <w:rFonts w:cs="Tahoma"/>
          <w:color w:val="000000" w:themeColor="text1"/>
          <w:kern w:val="0"/>
        </w:rPr>
      </w:pPr>
    </w:p>
    <w:p w:rsidR="00173D88" w:rsidRPr="007C2EA5" w:rsidRDefault="00173D88" w:rsidP="00173D88">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Liver histopathological observation</w:t>
      </w:r>
    </w:p>
    <w:p w:rsidR="00173D88" w:rsidRPr="007C2EA5" w:rsidRDefault="00173D88" w:rsidP="00173D88">
      <w:pPr>
        <w:autoSpaceDE w:val="0"/>
        <w:autoSpaceDN w:val="0"/>
        <w:adjustRightInd w:val="0"/>
        <w:rPr>
          <w:rFonts w:cs="Book Antiqua"/>
          <w:color w:val="000000" w:themeColor="text1"/>
          <w:kern w:val="0"/>
        </w:rPr>
      </w:pPr>
      <w:r w:rsidRPr="007C2EA5">
        <w:rPr>
          <w:rFonts w:cs="Book Antiqua"/>
          <w:color w:val="000000" w:themeColor="text1"/>
          <w:kern w:val="0"/>
        </w:rPr>
        <w:t xml:space="preserve">After rats were killed, their blood vessels were perfused with PBS, followed by 4% paraformaldehyde. The livers were removed and fixed in 4% paraformaldehyde overnight and embedded in paraffin. Sections (4 </w:t>
      </w:r>
      <w:r w:rsidRPr="007C2EA5">
        <w:rPr>
          <w:color w:val="000000" w:themeColor="text1"/>
          <w:kern w:val="0"/>
        </w:rPr>
        <w:t>μ</w:t>
      </w:r>
      <w:r w:rsidRPr="007C2EA5">
        <w:rPr>
          <w:rFonts w:cs="Book Antiqua"/>
          <w:color w:val="000000" w:themeColor="text1"/>
          <w:kern w:val="0"/>
        </w:rPr>
        <w:t>m) were cut and deparaffinized, stained with hematoxylin and eosin. Slides were evaluated using light microscopy by a pathologist on a blinded basis. Representative sections were presented.</w:t>
      </w:r>
    </w:p>
    <w:p w:rsidR="00173D88" w:rsidRPr="007C2EA5" w:rsidRDefault="00173D88" w:rsidP="00173D88">
      <w:pPr>
        <w:autoSpaceDE w:val="0"/>
        <w:autoSpaceDN w:val="0"/>
        <w:adjustRightInd w:val="0"/>
        <w:rPr>
          <w:rFonts w:cs="Book Antiqua"/>
          <w:color w:val="000000" w:themeColor="text1"/>
          <w:kern w:val="0"/>
        </w:rPr>
      </w:pPr>
    </w:p>
    <w:p w:rsidR="00173D88" w:rsidRPr="007C2EA5" w:rsidRDefault="00173D88" w:rsidP="00173D88">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Liver function</w:t>
      </w:r>
    </w:p>
    <w:p w:rsidR="00173D88" w:rsidRPr="007C2EA5" w:rsidRDefault="00173D88" w:rsidP="00173D88">
      <w:pPr>
        <w:autoSpaceDE w:val="0"/>
        <w:autoSpaceDN w:val="0"/>
        <w:adjustRightInd w:val="0"/>
        <w:rPr>
          <w:rFonts w:cs="Book Antiqua"/>
          <w:color w:val="000000" w:themeColor="text1"/>
          <w:kern w:val="0"/>
        </w:rPr>
      </w:pPr>
      <w:r w:rsidRPr="007C2EA5">
        <w:rPr>
          <w:rFonts w:cs="Book Antiqua"/>
          <w:color w:val="000000" w:themeColor="text1"/>
          <w:kern w:val="0"/>
        </w:rPr>
        <w:t xml:space="preserve">The serum levels of alanine aminotransferase (ALT), aspartate aminotransferase (AST) and albumin were measured with a biochemical autoanalyzer (P800; Roche, </w:t>
      </w:r>
      <w:smartTag w:uri="urn:schemas-microsoft-com:office:smarttags" w:element="place">
        <w:smartTag w:uri="urn:schemas-microsoft-com:office:smarttags" w:element="City">
          <w:r w:rsidRPr="007C2EA5">
            <w:rPr>
              <w:rFonts w:cs="Book Antiqua"/>
              <w:color w:val="000000" w:themeColor="text1"/>
              <w:kern w:val="0"/>
            </w:rPr>
            <w:t>Basel</w:t>
          </w:r>
        </w:smartTag>
        <w:r w:rsidRPr="007C2EA5">
          <w:rPr>
            <w:rFonts w:cs="Book Antiqua"/>
            <w:color w:val="000000" w:themeColor="text1"/>
            <w:kern w:val="0"/>
          </w:rPr>
          <w:t xml:space="preserve">, </w:t>
        </w:r>
        <w:smartTag w:uri="urn:schemas-microsoft-com:office:smarttags" w:element="country-region">
          <w:r w:rsidRPr="007C2EA5">
            <w:rPr>
              <w:rFonts w:cs="Book Antiqua"/>
              <w:color w:val="000000" w:themeColor="text1"/>
              <w:kern w:val="0"/>
            </w:rPr>
            <w:t>Switzerland</w:t>
          </w:r>
        </w:smartTag>
      </w:smartTag>
      <w:r w:rsidRPr="007C2EA5">
        <w:rPr>
          <w:rFonts w:cs="Book Antiqua"/>
          <w:color w:val="000000" w:themeColor="text1"/>
          <w:kern w:val="0"/>
        </w:rPr>
        <w:t>).</w:t>
      </w:r>
    </w:p>
    <w:p w:rsidR="00173D88" w:rsidRPr="007C2EA5" w:rsidRDefault="00173D88" w:rsidP="00173D88">
      <w:pPr>
        <w:autoSpaceDE w:val="0"/>
        <w:autoSpaceDN w:val="0"/>
        <w:adjustRightInd w:val="0"/>
        <w:rPr>
          <w:rFonts w:cs="Book Antiqua"/>
          <w:color w:val="000000" w:themeColor="text1"/>
          <w:kern w:val="0"/>
        </w:rPr>
      </w:pPr>
    </w:p>
    <w:p w:rsidR="00173D88" w:rsidRPr="007C2EA5" w:rsidRDefault="00173D88" w:rsidP="00173D88">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Quantitative reverse transcription polymerase chain reaction</w:t>
      </w:r>
      <w:r w:rsidR="00FA755C" w:rsidRPr="007C2EA5">
        <w:rPr>
          <w:rFonts w:cs="Book Antiqua" w:hint="eastAsia"/>
          <w:b/>
          <w:bCs/>
          <w:i/>
          <w:iCs/>
          <w:color w:val="000000" w:themeColor="text1"/>
          <w:kern w:val="0"/>
        </w:rPr>
        <w:t xml:space="preserve"> </w:t>
      </w:r>
      <w:r w:rsidRPr="007C2EA5">
        <w:rPr>
          <w:rFonts w:cs="Book Antiqua"/>
          <w:b/>
          <w:bCs/>
          <w:i/>
          <w:iCs/>
          <w:color w:val="000000" w:themeColor="text1"/>
          <w:kern w:val="0"/>
        </w:rPr>
        <w:t xml:space="preserve"> </w:t>
      </w:r>
    </w:p>
    <w:p w:rsidR="00173D88" w:rsidRPr="007C2EA5" w:rsidRDefault="00173D88" w:rsidP="00173D88">
      <w:pPr>
        <w:rPr>
          <w:rFonts w:cs="Book Antiqua"/>
          <w:color w:val="000000" w:themeColor="text1"/>
          <w:kern w:val="0"/>
        </w:rPr>
      </w:pPr>
      <w:r w:rsidRPr="007C2EA5">
        <w:rPr>
          <w:rFonts w:cs="Book Antiqua"/>
          <w:color w:val="000000" w:themeColor="text1"/>
          <w:kern w:val="0"/>
        </w:rPr>
        <w:t xml:space="preserve">Total RNA was purified from cultured cells using TRIzol reagent (Takara, </w:t>
      </w:r>
      <w:smartTag w:uri="urn:schemas-microsoft-com:office:smarttags" w:element="place">
        <w:smartTag w:uri="urn:schemas-microsoft-com:office:smarttags" w:element="City">
          <w:r w:rsidRPr="007C2EA5">
            <w:rPr>
              <w:rFonts w:cs="Book Antiqua"/>
              <w:color w:val="000000" w:themeColor="text1"/>
              <w:kern w:val="0"/>
            </w:rPr>
            <w:t>Otsu</w:t>
          </w:r>
        </w:smartTag>
        <w:r w:rsidRPr="007C2EA5">
          <w:rPr>
            <w:rFonts w:cs="Book Antiqua"/>
            <w:color w:val="000000" w:themeColor="text1"/>
            <w:kern w:val="0"/>
          </w:rPr>
          <w:t xml:space="preserve">, </w:t>
        </w:r>
        <w:smartTag w:uri="urn:schemas-microsoft-com:office:smarttags" w:element="country-region">
          <w:r w:rsidRPr="007C2EA5">
            <w:rPr>
              <w:rFonts w:cs="Book Antiqua"/>
              <w:color w:val="000000" w:themeColor="text1"/>
              <w:kern w:val="0"/>
            </w:rPr>
            <w:t>Japan</w:t>
          </w:r>
        </w:smartTag>
      </w:smartTag>
      <w:r w:rsidRPr="007C2EA5">
        <w:rPr>
          <w:rFonts w:cs="Book Antiqua"/>
          <w:color w:val="000000" w:themeColor="text1"/>
          <w:kern w:val="0"/>
        </w:rPr>
        <w:t xml:space="preserve">). Total RNA was reverse transcribed using PrimeScript RT Reagent Kit (Takara, </w:t>
      </w:r>
      <w:smartTag w:uri="urn:schemas-microsoft-com:office:smarttags" w:element="place">
        <w:smartTag w:uri="urn:schemas-microsoft-com:office:smarttags" w:element="City">
          <w:r w:rsidRPr="007C2EA5">
            <w:rPr>
              <w:rFonts w:cs="Book Antiqua"/>
              <w:color w:val="000000" w:themeColor="text1"/>
              <w:kern w:val="0"/>
            </w:rPr>
            <w:t>Otsu</w:t>
          </w:r>
        </w:smartTag>
        <w:r w:rsidRPr="007C2EA5">
          <w:rPr>
            <w:rFonts w:cs="Book Antiqua"/>
            <w:color w:val="000000" w:themeColor="text1"/>
            <w:kern w:val="0"/>
          </w:rPr>
          <w:t xml:space="preserve">, </w:t>
        </w:r>
        <w:smartTag w:uri="urn:schemas-microsoft-com:office:smarttags" w:element="country-region">
          <w:r w:rsidRPr="007C2EA5">
            <w:rPr>
              <w:rFonts w:cs="Book Antiqua"/>
              <w:color w:val="000000" w:themeColor="text1"/>
              <w:kern w:val="0"/>
            </w:rPr>
            <w:t>Japan</w:t>
          </w:r>
        </w:smartTag>
      </w:smartTag>
      <w:r w:rsidRPr="007C2EA5">
        <w:rPr>
          <w:rFonts w:cs="Book Antiqua"/>
          <w:color w:val="000000" w:themeColor="text1"/>
          <w:kern w:val="0"/>
        </w:rPr>
        <w:t xml:space="preserve">). Quantitative </w:t>
      </w:r>
      <w:r w:rsidR="00FA755C" w:rsidRPr="007C2EA5">
        <w:rPr>
          <w:rFonts w:cs="Book Antiqua"/>
          <w:color w:val="000000" w:themeColor="text1"/>
          <w:kern w:val="0"/>
        </w:rPr>
        <w:t>everse transcription polymerase chain reaction (RT-PCR)</w:t>
      </w:r>
      <w:r w:rsidRPr="007C2EA5">
        <w:rPr>
          <w:rFonts w:cs="Book Antiqua"/>
          <w:color w:val="000000" w:themeColor="text1"/>
          <w:kern w:val="0"/>
        </w:rPr>
        <w:t xml:space="preserve"> was performed by mixing cDNA and gene-specific primers with iQ SYBR Green Supermix (Bio-Rad, Hercules, CA, </w:t>
      </w:r>
      <w:r w:rsidR="00FA755C" w:rsidRPr="007C2EA5">
        <w:rPr>
          <w:rFonts w:cs="Book Antiqua"/>
          <w:color w:val="000000" w:themeColor="text1"/>
          <w:kern w:val="0"/>
        </w:rPr>
        <w:t>United States</w:t>
      </w:r>
      <w:r w:rsidRPr="007C2EA5">
        <w:rPr>
          <w:rFonts w:cs="Book Antiqua"/>
          <w:color w:val="000000" w:themeColor="text1"/>
          <w:kern w:val="0"/>
        </w:rPr>
        <w:t xml:space="preserve">), and reactions were carried out in an iCycler Thermal Cycler (Bio-Rad). Results were normalized to rat </w:t>
      </w:r>
      <w:r w:rsidRPr="007C2EA5">
        <w:rPr>
          <w:color w:val="000000" w:themeColor="text1"/>
          <w:kern w:val="0"/>
        </w:rPr>
        <w:t>β</w:t>
      </w:r>
      <w:r w:rsidRPr="007C2EA5">
        <w:rPr>
          <w:rFonts w:cs="Book Antiqua"/>
          <w:color w:val="000000" w:themeColor="text1"/>
          <w:kern w:val="0"/>
        </w:rPr>
        <w:t xml:space="preserve">-actin based on the threshold cycle </w:t>
      </w:r>
      <w:r w:rsidRPr="007C2EA5">
        <w:rPr>
          <w:rFonts w:cs="Book Antiqua"/>
          <w:color w:val="000000" w:themeColor="text1"/>
          <w:kern w:val="0"/>
        </w:rPr>
        <w:lastRenderedPageBreak/>
        <w:t>(Ct) and relative fold change calculated by the 2</w:t>
      </w:r>
      <w:r w:rsidRPr="007C2EA5">
        <w:rPr>
          <w:rFonts w:ascii="MS Gothic" w:eastAsia="MS Gothic" w:cs="Book Antiqua" w:hint="eastAsia"/>
          <w:color w:val="000000" w:themeColor="text1"/>
          <w:kern w:val="0"/>
          <w:vertAlign w:val="superscript"/>
        </w:rPr>
        <w:t>−</w:t>
      </w:r>
      <w:r w:rsidRPr="007C2EA5">
        <w:rPr>
          <w:color w:val="000000" w:themeColor="text1"/>
          <w:kern w:val="0"/>
          <w:vertAlign w:val="superscript"/>
        </w:rPr>
        <w:t>ΔΔ</w:t>
      </w:r>
      <w:r w:rsidRPr="007C2EA5">
        <w:rPr>
          <w:rFonts w:cs="Book Antiqua"/>
          <w:color w:val="000000" w:themeColor="text1"/>
          <w:kern w:val="0"/>
          <w:vertAlign w:val="superscript"/>
        </w:rPr>
        <w:t>Ct</w:t>
      </w:r>
      <w:r w:rsidRPr="007C2EA5">
        <w:rPr>
          <w:rFonts w:cs="Book Antiqua"/>
          <w:color w:val="000000" w:themeColor="text1"/>
          <w:kern w:val="0"/>
        </w:rPr>
        <w:t xml:space="preserve"> method. The primer sequences for mouse Notch 1</w:t>
      </w:r>
      <w:r w:rsidRPr="007C2EA5">
        <w:rPr>
          <w:rFonts w:cs="SimSun"/>
          <w:color w:val="000000" w:themeColor="text1"/>
          <w:kern w:val="0"/>
        </w:rPr>
        <w:t>–</w:t>
      </w:r>
      <w:r w:rsidRPr="007C2EA5">
        <w:rPr>
          <w:rFonts w:cs="Book Antiqua"/>
          <w:color w:val="000000" w:themeColor="text1"/>
          <w:kern w:val="0"/>
        </w:rPr>
        <w:t>4, Jagged1, Hes1, Hes5, TGF-</w:t>
      </w:r>
      <w:r w:rsidRPr="007C2EA5">
        <w:rPr>
          <w:color w:val="000000" w:themeColor="text1"/>
          <w:kern w:val="0"/>
        </w:rPr>
        <w:t>β</w:t>
      </w:r>
      <w:r w:rsidRPr="007C2EA5">
        <w:rPr>
          <w:rFonts w:cs="Book Antiqua"/>
          <w:color w:val="000000" w:themeColor="text1"/>
          <w:kern w:val="0"/>
        </w:rPr>
        <w:t>1, Smad2 and Smad3 are described in Table 1.</w:t>
      </w:r>
    </w:p>
    <w:p w:rsidR="00173D88" w:rsidRPr="007C2EA5" w:rsidRDefault="00173D88" w:rsidP="00173D88">
      <w:pPr>
        <w:rPr>
          <w:rFonts w:cs="Book Antiqua"/>
          <w:color w:val="000000" w:themeColor="text1"/>
          <w:kern w:val="0"/>
        </w:rPr>
      </w:pPr>
    </w:p>
    <w:p w:rsidR="00861267" w:rsidRPr="007C2EA5" w:rsidRDefault="00861267" w:rsidP="00861267">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Western blot analysis</w:t>
      </w:r>
    </w:p>
    <w:p w:rsidR="00861267" w:rsidRPr="007C2EA5" w:rsidRDefault="00861267" w:rsidP="00861267">
      <w:pPr>
        <w:autoSpaceDE w:val="0"/>
        <w:autoSpaceDN w:val="0"/>
        <w:adjustRightInd w:val="0"/>
        <w:rPr>
          <w:rFonts w:cs="Book Antiqua"/>
          <w:color w:val="000000" w:themeColor="text1"/>
          <w:kern w:val="0"/>
        </w:rPr>
      </w:pPr>
      <w:r w:rsidRPr="007C2EA5">
        <w:rPr>
          <w:rFonts w:cs="Book Antiqua"/>
          <w:color w:val="000000" w:themeColor="text1"/>
          <w:kern w:val="0"/>
        </w:rPr>
        <w:t xml:space="preserve">Western blot analysis was performed using standard procedures with enhanced chemiluminescence using an ECL reagent and visualized by Imager (UVP Biospectrum 810, Upland, CA, </w:t>
      </w:r>
      <w:r w:rsidR="00FA755C" w:rsidRPr="007C2EA5">
        <w:rPr>
          <w:rFonts w:cs="Book Antiqua"/>
          <w:color w:val="000000" w:themeColor="text1"/>
          <w:kern w:val="0"/>
        </w:rPr>
        <w:t>United States</w:t>
      </w:r>
      <w:r w:rsidRPr="007C2EA5">
        <w:rPr>
          <w:rFonts w:cs="Book Antiqua"/>
          <w:color w:val="000000" w:themeColor="text1"/>
          <w:kern w:val="0"/>
        </w:rPr>
        <w:t xml:space="preserve">). PBMCs were homogenized in RIPA lysis buffer (Thermo Scientific, Grand Island, NY, USA), and extracts were centrifuged for 10 min at 14000 × </w:t>
      </w:r>
      <w:r w:rsidRPr="007C2EA5">
        <w:rPr>
          <w:rFonts w:cs="Book Antiqua"/>
          <w:i/>
          <w:color w:val="000000" w:themeColor="text1"/>
          <w:kern w:val="0"/>
        </w:rPr>
        <w:t>g</w:t>
      </w:r>
      <w:r w:rsidRPr="007C2EA5">
        <w:rPr>
          <w:rFonts w:cs="Book Antiqua"/>
          <w:color w:val="000000" w:themeColor="text1"/>
          <w:kern w:val="0"/>
        </w:rPr>
        <w:t xml:space="preserve"> at 4</w:t>
      </w:r>
      <w:r w:rsidR="00FA755C" w:rsidRPr="007C2EA5">
        <w:rPr>
          <w:rFonts w:cs="Book Antiqua" w:hint="eastAsia"/>
          <w:color w:val="000000" w:themeColor="text1"/>
          <w:kern w:val="0"/>
        </w:rPr>
        <w:t xml:space="preserve"> </w:t>
      </w:r>
      <w:r w:rsidRPr="007C2EA5">
        <w:rPr>
          <w:rFonts w:cs="Book Antiqua"/>
          <w:color w:val="000000" w:themeColor="text1"/>
          <w:kern w:val="0"/>
        </w:rPr>
        <w:t>°C. Total protein samples were analyzed by 10% SDS-PAGE and transferred to polyvinylidene difluoride membranes by a wet blotting procedure (100 V, 2 h, 4</w:t>
      </w:r>
      <w:r w:rsidR="00FA755C" w:rsidRPr="007C2EA5">
        <w:rPr>
          <w:rFonts w:cs="Book Antiqua" w:hint="eastAsia"/>
          <w:color w:val="000000" w:themeColor="text1"/>
          <w:kern w:val="0"/>
        </w:rPr>
        <w:t xml:space="preserve"> </w:t>
      </w:r>
      <w:r w:rsidRPr="007C2EA5">
        <w:rPr>
          <w:rFonts w:cs="Book Antiqua"/>
          <w:color w:val="000000" w:themeColor="text1"/>
          <w:kern w:val="0"/>
        </w:rPr>
        <w:t xml:space="preserve">°C). Blocking buffer (5%) incubation was followed by incubation with primary antibodies at 4°C overnight using the following concentrations: Notch1 (1: 1000, 4380; Cell Signaling Technology, Danvers, MA, </w:t>
      </w:r>
      <w:r w:rsidR="00FA755C" w:rsidRPr="007C2EA5">
        <w:rPr>
          <w:rFonts w:cs="Book Antiqua"/>
          <w:color w:val="000000" w:themeColor="text1"/>
          <w:kern w:val="0"/>
        </w:rPr>
        <w:t>United States</w:t>
      </w:r>
      <w:r w:rsidRPr="007C2EA5">
        <w:rPr>
          <w:rFonts w:cs="Book Antiqua"/>
          <w:color w:val="000000" w:themeColor="text1"/>
          <w:kern w:val="0"/>
        </w:rPr>
        <w:t xml:space="preserve">); Hes1 (1: 1000, ab108937; Abcam, Cambridge, MA, </w:t>
      </w:r>
      <w:r w:rsidR="00FA755C" w:rsidRPr="007C2EA5">
        <w:rPr>
          <w:rFonts w:cs="Book Antiqua"/>
          <w:color w:val="000000" w:themeColor="text1"/>
          <w:kern w:val="0"/>
        </w:rPr>
        <w:t>United States</w:t>
      </w:r>
      <w:r w:rsidRPr="007C2EA5">
        <w:rPr>
          <w:rFonts w:cs="Book Antiqua"/>
          <w:color w:val="000000" w:themeColor="text1"/>
          <w:kern w:val="0"/>
        </w:rPr>
        <w:t>); Hes5 (1: 1000, ab194111; Abcam); TGF-</w:t>
      </w:r>
      <w:r w:rsidRPr="007C2EA5">
        <w:rPr>
          <w:color w:val="000000" w:themeColor="text1"/>
          <w:kern w:val="0"/>
        </w:rPr>
        <w:t>β</w:t>
      </w:r>
      <w:r w:rsidRPr="007C2EA5">
        <w:rPr>
          <w:rFonts w:cs="Book Antiqua"/>
          <w:color w:val="000000" w:themeColor="text1"/>
          <w:kern w:val="0"/>
        </w:rPr>
        <w:t xml:space="preserve"> (1: 1000, 3711; Cell Signaling Technology); Smad3 (1: 1000, ab40854; Abcam); and </w:t>
      </w:r>
      <w:r w:rsidRPr="007C2EA5">
        <w:rPr>
          <w:color w:val="000000" w:themeColor="text1"/>
          <w:kern w:val="0"/>
        </w:rPr>
        <w:t>β</w:t>
      </w:r>
      <w:r w:rsidRPr="007C2EA5">
        <w:rPr>
          <w:rFonts w:cs="Book Antiqua"/>
          <w:color w:val="000000" w:themeColor="text1"/>
          <w:kern w:val="0"/>
        </w:rPr>
        <w:t>-actin (1: 5000, TA-09; Zhongshan Jinqiao Biotechnology, Beijing, China), which acted as the internal control for normalization of protein expression. The quantification of densitometry calculated by a multimedia color image analysis system (Image-Pro Plus 6.0) was measured as a relative objective index.</w:t>
      </w:r>
    </w:p>
    <w:p w:rsidR="00861267" w:rsidRPr="007C2EA5" w:rsidRDefault="00861267" w:rsidP="00861267">
      <w:pPr>
        <w:autoSpaceDE w:val="0"/>
        <w:autoSpaceDN w:val="0"/>
        <w:adjustRightInd w:val="0"/>
        <w:rPr>
          <w:rFonts w:cs="Book Antiqua"/>
          <w:color w:val="000000" w:themeColor="text1"/>
          <w:kern w:val="0"/>
        </w:rPr>
      </w:pPr>
    </w:p>
    <w:p w:rsidR="00861267" w:rsidRPr="007C2EA5" w:rsidRDefault="00861267" w:rsidP="00861267">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 xml:space="preserve">Statistical analysis </w:t>
      </w:r>
    </w:p>
    <w:p w:rsidR="00173D88" w:rsidRPr="007C2EA5" w:rsidRDefault="00861267" w:rsidP="00861267">
      <w:pPr>
        <w:rPr>
          <w:rFonts w:cs="Book Antiqua"/>
          <w:color w:val="000000" w:themeColor="text1"/>
          <w:kern w:val="0"/>
        </w:rPr>
      </w:pPr>
      <w:r w:rsidRPr="007C2EA5">
        <w:rPr>
          <w:rFonts w:cs="Book Antiqua"/>
          <w:color w:val="000000" w:themeColor="text1"/>
          <w:kern w:val="0"/>
        </w:rPr>
        <w:t xml:space="preserve">Quantitative data are expressed as mean ± SD. Statistical comparisons among multiple groups were performed by Tukey’s </w:t>
      </w:r>
      <w:r w:rsidRPr="007C2EA5">
        <w:rPr>
          <w:rFonts w:cs="Book Antiqua"/>
          <w:i/>
          <w:color w:val="000000" w:themeColor="text1"/>
          <w:kern w:val="0"/>
        </w:rPr>
        <w:t>post hoc</w:t>
      </w:r>
      <w:r w:rsidRPr="007C2EA5">
        <w:rPr>
          <w:rFonts w:cs="Book Antiqua"/>
          <w:color w:val="000000" w:themeColor="text1"/>
          <w:kern w:val="0"/>
        </w:rPr>
        <w:t xml:space="preserve"> test and one-way ANOVA. Student’s </w:t>
      </w:r>
      <w:r w:rsidRPr="007C2EA5">
        <w:rPr>
          <w:rFonts w:cs="Book Antiqua"/>
          <w:i/>
          <w:color w:val="000000" w:themeColor="text1"/>
          <w:kern w:val="0"/>
        </w:rPr>
        <w:t>t</w:t>
      </w:r>
      <w:r w:rsidRPr="007C2EA5">
        <w:rPr>
          <w:rFonts w:cs="Book Antiqua"/>
          <w:color w:val="000000" w:themeColor="text1"/>
          <w:kern w:val="0"/>
        </w:rPr>
        <w:t xml:space="preserve"> test was used to compare the difference between two groups. </w:t>
      </w:r>
      <w:r w:rsidRPr="007C2EA5">
        <w:rPr>
          <w:rFonts w:cs="Book Antiqua"/>
          <w:i/>
          <w:color w:val="000000" w:themeColor="text1"/>
          <w:kern w:val="0"/>
        </w:rPr>
        <w:t>P</w:t>
      </w:r>
      <w:r w:rsidRPr="007C2EA5">
        <w:rPr>
          <w:rFonts w:cs="Book Antiqua"/>
          <w:color w:val="000000" w:themeColor="text1"/>
          <w:kern w:val="0"/>
        </w:rPr>
        <w:t xml:space="preserve"> </w:t>
      </w:r>
      <w:r w:rsidR="00F314F5" w:rsidRPr="007C2EA5">
        <w:rPr>
          <w:rFonts w:cs="Book Antiqua"/>
          <w:color w:val="000000" w:themeColor="text1"/>
          <w:kern w:val="0"/>
        </w:rPr>
        <w:t>≤</w:t>
      </w:r>
      <w:r w:rsidRPr="007C2EA5">
        <w:rPr>
          <w:rFonts w:cs="Book Antiqua"/>
          <w:color w:val="000000" w:themeColor="text1"/>
          <w:kern w:val="0"/>
        </w:rPr>
        <w:t xml:space="preserve"> 0.05 was considered significant.</w:t>
      </w:r>
    </w:p>
    <w:p w:rsidR="00F314F5" w:rsidRPr="007C2EA5" w:rsidRDefault="00F314F5" w:rsidP="00861267">
      <w:pPr>
        <w:rPr>
          <w:rFonts w:cs="Book Antiqua"/>
          <w:color w:val="000000" w:themeColor="text1"/>
          <w:kern w:val="0"/>
        </w:rPr>
      </w:pPr>
    </w:p>
    <w:p w:rsidR="00F314F5" w:rsidRPr="007C2EA5" w:rsidRDefault="00F314F5" w:rsidP="00F314F5">
      <w:pPr>
        <w:widowControl w:val="0"/>
        <w:autoSpaceDE w:val="0"/>
        <w:autoSpaceDN w:val="0"/>
        <w:adjustRightInd w:val="0"/>
        <w:rPr>
          <w:rFonts w:cs="Book Antiqua"/>
          <w:b/>
          <w:bCs/>
          <w:color w:val="000000" w:themeColor="text1"/>
          <w:kern w:val="0"/>
        </w:rPr>
      </w:pPr>
      <w:r w:rsidRPr="007C2EA5">
        <w:rPr>
          <w:rFonts w:cs="Book Antiqua"/>
          <w:b/>
          <w:bCs/>
          <w:color w:val="000000" w:themeColor="text1"/>
          <w:kern w:val="0"/>
        </w:rPr>
        <w:t xml:space="preserve">RESULTS </w:t>
      </w:r>
    </w:p>
    <w:p w:rsidR="00F314F5" w:rsidRPr="007C2EA5" w:rsidRDefault="00F314F5" w:rsidP="00F314F5">
      <w:pPr>
        <w:widowControl w:val="0"/>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lastRenderedPageBreak/>
        <w:t>Notch signaling and TGF-</w:t>
      </w:r>
      <w:r w:rsidRPr="007C2EA5">
        <w:rPr>
          <w:rFonts w:cs="Times New Roman"/>
          <w:b/>
          <w:bCs/>
          <w:i/>
          <w:iCs/>
          <w:color w:val="000000" w:themeColor="text1"/>
          <w:kern w:val="0"/>
        </w:rPr>
        <w:t>β</w:t>
      </w:r>
      <w:r w:rsidRPr="007C2EA5">
        <w:rPr>
          <w:rFonts w:cs="Lucida Grande"/>
          <w:b/>
          <w:bCs/>
          <w:i/>
          <w:iCs/>
          <w:color w:val="000000" w:themeColor="text1"/>
          <w:kern w:val="0"/>
        </w:rPr>
        <w:t xml:space="preserve"> </w:t>
      </w:r>
      <w:r w:rsidRPr="007C2EA5">
        <w:rPr>
          <w:rFonts w:cs="Book Antiqua"/>
          <w:b/>
          <w:bCs/>
          <w:i/>
          <w:iCs/>
          <w:color w:val="000000" w:themeColor="text1"/>
          <w:kern w:val="0"/>
        </w:rPr>
        <w:t xml:space="preserve">signaling are activated in liver fibrosis </w:t>
      </w:r>
    </w:p>
    <w:p w:rsidR="00F314F5" w:rsidRPr="007C2EA5" w:rsidRDefault="00F314F5" w:rsidP="00F314F5">
      <w:pPr>
        <w:widowControl w:val="0"/>
        <w:autoSpaceDE w:val="0"/>
        <w:autoSpaceDN w:val="0"/>
        <w:adjustRightInd w:val="0"/>
        <w:rPr>
          <w:rFonts w:cs="Book Antiqua"/>
          <w:color w:val="000000" w:themeColor="text1"/>
          <w:kern w:val="0"/>
        </w:rPr>
      </w:pPr>
      <w:r w:rsidRPr="007C2EA5">
        <w:rPr>
          <w:rFonts w:cs="Book Antiqua"/>
          <w:color w:val="000000" w:themeColor="text1"/>
          <w:kern w:val="0"/>
        </w:rPr>
        <w:t>To determine whether the Notch signaling and TGF-</w:t>
      </w:r>
      <w:r w:rsidRPr="007C2EA5">
        <w:rPr>
          <w:rFonts w:cs="Times New Roman"/>
          <w:color w:val="000000" w:themeColor="text1"/>
          <w:kern w:val="0"/>
        </w:rPr>
        <w:t>β</w:t>
      </w:r>
      <w:r w:rsidRPr="007C2EA5">
        <w:rPr>
          <w:rFonts w:cs="Book Antiqua"/>
          <w:color w:val="000000" w:themeColor="text1"/>
          <w:kern w:val="0"/>
        </w:rPr>
        <w:t xml:space="preserve"> signaling pathways were involved in liver fibrosis, we</w:t>
      </w:r>
      <w:r w:rsidR="00B40329" w:rsidRPr="007C2EA5">
        <w:rPr>
          <w:rFonts w:cs="Book Antiqua"/>
          <w:color w:val="000000" w:themeColor="text1"/>
          <w:kern w:val="0"/>
        </w:rPr>
        <w:t xml:space="preserve"> test</w:t>
      </w:r>
      <w:r w:rsidRPr="007C2EA5">
        <w:rPr>
          <w:rFonts w:cs="Book Antiqua"/>
          <w:color w:val="000000" w:themeColor="text1"/>
          <w:kern w:val="0"/>
        </w:rPr>
        <w:t>ed the expression of Notch- and TGF-</w:t>
      </w:r>
      <w:r w:rsidRPr="007C2EA5">
        <w:rPr>
          <w:rFonts w:cs="Times New Roman"/>
          <w:color w:val="000000" w:themeColor="text1"/>
          <w:kern w:val="0"/>
        </w:rPr>
        <w:t>β</w:t>
      </w:r>
      <w:r w:rsidRPr="007C2EA5">
        <w:rPr>
          <w:rFonts w:cs="SimSun"/>
          <w:color w:val="000000" w:themeColor="text1"/>
          <w:kern w:val="0"/>
        </w:rPr>
        <w:t>-</w:t>
      </w:r>
      <w:r w:rsidRPr="007C2EA5">
        <w:rPr>
          <w:rFonts w:cs="Book Antiqua"/>
          <w:color w:val="000000" w:themeColor="text1"/>
          <w:kern w:val="0"/>
        </w:rPr>
        <w:t>related genes in liver fibrosis in rats. Eight weeks after intravenous injection of ConA, hematoxylin</w:t>
      </w:r>
      <w:r w:rsidRPr="007C2EA5">
        <w:rPr>
          <w:rFonts w:cs="SimSun"/>
          <w:color w:val="000000" w:themeColor="text1"/>
          <w:kern w:val="0"/>
        </w:rPr>
        <w:t>–</w:t>
      </w:r>
      <w:r w:rsidRPr="007C2EA5">
        <w:rPr>
          <w:rFonts w:cs="Book Antiqua"/>
          <w:color w:val="000000" w:themeColor="text1"/>
          <w:kern w:val="0"/>
        </w:rPr>
        <w:t>eosin staining and liver function tests demonstrated modeling success compared with normal rats (Figure 1A, Table 1). RT-PCR analysis revealed that the mRNA levels of Notch1, Hes1, Hes5, TGF-</w:t>
      </w:r>
      <w:r w:rsidRPr="007C2EA5">
        <w:rPr>
          <w:rFonts w:cs="Times New Roman"/>
          <w:color w:val="000000" w:themeColor="text1"/>
          <w:kern w:val="0"/>
        </w:rPr>
        <w:t>β</w:t>
      </w:r>
      <w:r w:rsidRPr="007C2EA5">
        <w:rPr>
          <w:rFonts w:cs="Book Antiqua"/>
          <w:color w:val="000000" w:themeColor="text1"/>
          <w:kern w:val="0"/>
        </w:rPr>
        <w:t>1 and Smad3 were significantly increased in PBMCs of model rats as compared with controls. Notch2, Notch3, Jagged1 and Smad2 were detectable, but in contrast to Notch1, their levels did not differ between models and controls. Notch4 and HeyL were not detectable (</w:t>
      </w:r>
      <w:r w:rsidRPr="007C2EA5">
        <w:rPr>
          <w:rFonts w:cs="Book Antiqua"/>
          <w:color w:val="000000" w:themeColor="text1"/>
          <w:kern w:val="0"/>
          <w:vertAlign w:val="superscript"/>
        </w:rPr>
        <w:t>a</w:t>
      </w:r>
      <w:r w:rsidRPr="007C2EA5">
        <w:rPr>
          <w:rFonts w:cs="Book Antiqua"/>
          <w:i/>
          <w:color w:val="000000" w:themeColor="text1"/>
          <w:kern w:val="0"/>
        </w:rPr>
        <w:t>P</w:t>
      </w:r>
      <w:r w:rsidRPr="007C2EA5">
        <w:rPr>
          <w:rFonts w:cs="Book Antiqua"/>
          <w:color w:val="000000" w:themeColor="text1"/>
          <w:kern w:val="0"/>
        </w:rPr>
        <w:t xml:space="preserve"> &lt; 0.05, </w:t>
      </w:r>
      <w:r w:rsidRPr="007C2EA5">
        <w:rPr>
          <w:rFonts w:cs="Book Antiqua"/>
          <w:color w:val="000000" w:themeColor="text1"/>
          <w:kern w:val="0"/>
          <w:vertAlign w:val="superscript"/>
        </w:rPr>
        <w:t>c</w:t>
      </w:r>
      <w:r w:rsidRPr="007C2EA5">
        <w:rPr>
          <w:rFonts w:cs="Book Antiqua"/>
          <w:i/>
          <w:color w:val="000000" w:themeColor="text1"/>
          <w:kern w:val="0"/>
        </w:rPr>
        <w:t>P</w:t>
      </w:r>
      <w:r w:rsidRPr="007C2EA5">
        <w:rPr>
          <w:rFonts w:cs="Book Antiqua"/>
          <w:color w:val="000000" w:themeColor="text1"/>
          <w:kern w:val="0"/>
        </w:rPr>
        <w:t xml:space="preserve"> &lt; 0.001</w:t>
      </w:r>
      <w:r w:rsidR="00FA755C" w:rsidRPr="007C2EA5">
        <w:rPr>
          <w:rFonts w:cs="Book Antiqua" w:hint="eastAsia"/>
          <w:color w:val="000000" w:themeColor="text1"/>
          <w:kern w:val="0"/>
        </w:rPr>
        <w:t>;</w:t>
      </w:r>
      <w:r w:rsidRPr="007C2EA5">
        <w:rPr>
          <w:rFonts w:cs="Book Antiqua"/>
          <w:color w:val="000000" w:themeColor="text1"/>
          <w:kern w:val="0"/>
        </w:rPr>
        <w:t xml:space="preserve"> Figure 1B). Through western blot analysis, we observed that the protein levels of Notch 1, Hes1, Hes5, TGF-</w:t>
      </w:r>
      <w:r w:rsidRPr="007C2EA5">
        <w:rPr>
          <w:rFonts w:cs="Times New Roman"/>
          <w:color w:val="000000" w:themeColor="text1"/>
          <w:kern w:val="0"/>
        </w:rPr>
        <w:t>β</w:t>
      </w:r>
      <w:r w:rsidRPr="007C2EA5">
        <w:rPr>
          <w:rFonts w:cs="Book Antiqua"/>
          <w:color w:val="000000" w:themeColor="text1"/>
          <w:kern w:val="0"/>
        </w:rPr>
        <w:t>1 and Smad3 were increased after liver fibrosis (</w:t>
      </w:r>
      <w:r w:rsidRPr="007C2EA5">
        <w:rPr>
          <w:rFonts w:cs="Book Antiqua"/>
          <w:color w:val="000000" w:themeColor="text1"/>
          <w:kern w:val="0"/>
          <w:vertAlign w:val="superscript"/>
        </w:rPr>
        <w:t>c</w:t>
      </w:r>
      <w:r w:rsidRPr="007C2EA5">
        <w:rPr>
          <w:rFonts w:cs="Book Antiqua"/>
          <w:i/>
          <w:color w:val="000000" w:themeColor="text1"/>
          <w:kern w:val="0"/>
        </w:rPr>
        <w:t>P</w:t>
      </w:r>
      <w:r w:rsidRPr="007C2EA5">
        <w:rPr>
          <w:rFonts w:cs="Book Antiqua"/>
          <w:color w:val="000000" w:themeColor="text1"/>
          <w:kern w:val="0"/>
        </w:rPr>
        <w:t xml:space="preserve"> &lt; 0.001</w:t>
      </w:r>
      <w:r w:rsidR="00FA755C" w:rsidRPr="007C2EA5">
        <w:rPr>
          <w:rFonts w:cs="Book Antiqua" w:hint="eastAsia"/>
          <w:color w:val="000000" w:themeColor="text1"/>
          <w:kern w:val="0"/>
        </w:rPr>
        <w:t xml:space="preserve">; </w:t>
      </w:r>
      <w:r w:rsidRPr="007C2EA5">
        <w:rPr>
          <w:rFonts w:cs="Book Antiqua"/>
          <w:color w:val="000000" w:themeColor="text1"/>
          <w:kern w:val="0"/>
        </w:rPr>
        <w:t>Figure 1C</w:t>
      </w:r>
      <w:r w:rsidR="00FA755C" w:rsidRPr="007C2EA5">
        <w:rPr>
          <w:rFonts w:cs="Book Antiqua" w:hint="eastAsia"/>
          <w:color w:val="000000" w:themeColor="text1"/>
          <w:kern w:val="0"/>
        </w:rPr>
        <w:t xml:space="preserve"> and</w:t>
      </w:r>
      <w:r w:rsidRPr="007C2EA5">
        <w:rPr>
          <w:rFonts w:cs="Book Antiqua"/>
          <w:color w:val="000000" w:themeColor="text1"/>
          <w:kern w:val="0"/>
        </w:rPr>
        <w:t xml:space="preserve"> D). These results suggest that Notch and TGF-</w:t>
      </w:r>
      <w:r w:rsidRPr="007C2EA5">
        <w:rPr>
          <w:rFonts w:cs="Times New Roman"/>
          <w:color w:val="000000" w:themeColor="text1"/>
          <w:kern w:val="0"/>
        </w:rPr>
        <w:t>β</w:t>
      </w:r>
      <w:r w:rsidRPr="007C2EA5">
        <w:rPr>
          <w:rFonts w:cs="Book Antiqua"/>
          <w:color w:val="000000" w:themeColor="text1"/>
          <w:kern w:val="0"/>
        </w:rPr>
        <w:t xml:space="preserve"> signaling is activated in liver fibrosis in rats.</w:t>
      </w:r>
    </w:p>
    <w:p w:rsidR="00F314F5" w:rsidRPr="007C2EA5" w:rsidRDefault="00F314F5" w:rsidP="00861267">
      <w:pPr>
        <w:rPr>
          <w:color w:val="000000" w:themeColor="text1"/>
        </w:rPr>
      </w:pPr>
    </w:p>
    <w:p w:rsidR="00F314F5" w:rsidRPr="007C2EA5" w:rsidRDefault="00F314F5" w:rsidP="00F314F5">
      <w:pPr>
        <w:widowControl w:val="0"/>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DAPT inhibits Notch and TGF-</w:t>
      </w:r>
      <w:r w:rsidRPr="007C2EA5">
        <w:rPr>
          <w:rFonts w:cs="Times New Roman"/>
          <w:b/>
          <w:bCs/>
          <w:i/>
          <w:iCs/>
          <w:color w:val="000000" w:themeColor="text1"/>
          <w:kern w:val="0"/>
        </w:rPr>
        <w:t>β</w:t>
      </w:r>
      <w:r w:rsidRPr="007C2EA5">
        <w:rPr>
          <w:rFonts w:cs="Book Antiqua"/>
          <w:b/>
          <w:bCs/>
          <w:i/>
          <w:iCs/>
          <w:color w:val="000000" w:themeColor="text1"/>
          <w:kern w:val="0"/>
        </w:rPr>
        <w:t xml:space="preserve"> signaling pathway in vitro</w:t>
      </w:r>
    </w:p>
    <w:p w:rsidR="00F314F5" w:rsidRPr="007C2EA5" w:rsidRDefault="00F314F5" w:rsidP="00F314F5">
      <w:pPr>
        <w:widowControl w:val="0"/>
        <w:autoSpaceDE w:val="0"/>
        <w:autoSpaceDN w:val="0"/>
        <w:adjustRightInd w:val="0"/>
        <w:rPr>
          <w:rFonts w:cs="Book Antiqua"/>
          <w:color w:val="000000" w:themeColor="text1"/>
          <w:kern w:val="0"/>
        </w:rPr>
      </w:pPr>
      <w:r w:rsidRPr="007C2EA5">
        <w:rPr>
          <w:rFonts w:cs="Book Antiqua"/>
          <w:color w:val="000000" w:themeColor="text1"/>
          <w:kern w:val="0"/>
        </w:rPr>
        <w:t>Because the TGF-</w:t>
      </w:r>
      <w:r w:rsidRPr="007C2EA5">
        <w:rPr>
          <w:rFonts w:cs="Times New Roman"/>
          <w:color w:val="000000" w:themeColor="text1"/>
          <w:kern w:val="0"/>
        </w:rPr>
        <w:t>β</w:t>
      </w:r>
      <w:r w:rsidR="00B40329" w:rsidRPr="007C2EA5">
        <w:rPr>
          <w:rFonts w:cs="Book Antiqua"/>
          <w:color w:val="000000" w:themeColor="text1"/>
          <w:kern w:val="0"/>
        </w:rPr>
        <w:t xml:space="preserve"> signaling</w:t>
      </w:r>
      <w:r w:rsidRPr="007C2EA5">
        <w:rPr>
          <w:rFonts w:cs="Book Antiqua"/>
          <w:color w:val="000000" w:themeColor="text1"/>
          <w:kern w:val="0"/>
        </w:rPr>
        <w:t xml:space="preserve"> was involved in the</w:t>
      </w:r>
      <w:r w:rsidR="002F32C0" w:rsidRPr="007C2EA5">
        <w:rPr>
          <w:rFonts w:cs="Book Antiqua"/>
          <w:color w:val="000000" w:themeColor="text1"/>
          <w:kern w:val="0"/>
        </w:rPr>
        <w:t xml:space="preserve"> development</w:t>
      </w:r>
      <w:r w:rsidRPr="007C2EA5">
        <w:rPr>
          <w:rFonts w:cs="Book Antiqua"/>
          <w:color w:val="000000" w:themeColor="text1"/>
          <w:kern w:val="0"/>
        </w:rPr>
        <w:t xml:space="preserve"> of liver fibrosis</w:t>
      </w:r>
      <w:r w:rsidRPr="007C2EA5">
        <w:rPr>
          <w:rFonts w:cs="Book Antiqua"/>
          <w:color w:val="000000" w:themeColor="text1"/>
          <w:kern w:val="0"/>
          <w:vertAlign w:val="superscript"/>
        </w:rPr>
        <w:t>[14]</w:t>
      </w:r>
      <w:r w:rsidRPr="007C2EA5">
        <w:rPr>
          <w:rFonts w:cs="Book Antiqua"/>
          <w:color w:val="000000" w:themeColor="text1"/>
          <w:kern w:val="0"/>
        </w:rPr>
        <w:t>, we tested whether DAPT affected this pathway in PBMCs of liver fibrosis rats. TGF-</w:t>
      </w:r>
      <w:r w:rsidRPr="007C2EA5">
        <w:rPr>
          <w:rFonts w:cs="Times New Roman"/>
          <w:color w:val="000000" w:themeColor="text1"/>
          <w:kern w:val="0"/>
        </w:rPr>
        <w:t>β</w:t>
      </w:r>
      <w:r w:rsidRPr="007C2EA5">
        <w:rPr>
          <w:rFonts w:cs="Book Antiqua"/>
          <w:color w:val="000000" w:themeColor="text1"/>
          <w:kern w:val="0"/>
        </w:rPr>
        <w:t xml:space="preserve">1 and Smad3 expression was significantly downregulated in the PBMCs of liver fibrosis rats treated with DAPT compared with the DMSO groups (Figure 2). The levels of Notch1, Hes1 and Hes5 genes were significantly attenuated in the DAPT-treated group at the same time. Protein was extracted from the PBMCs of DAPT- or DMSO-treated rats for Western blotting. We observed a significant </w:t>
      </w:r>
      <w:r w:rsidR="007F1A5E" w:rsidRPr="007C2EA5">
        <w:rPr>
          <w:rFonts w:cs="Book Antiqua"/>
          <w:color w:val="000000" w:themeColor="text1"/>
          <w:kern w:val="0"/>
        </w:rPr>
        <w:t>reducing</w:t>
      </w:r>
      <w:r w:rsidRPr="007C2EA5">
        <w:rPr>
          <w:rFonts w:cs="Book Antiqua"/>
          <w:color w:val="000000" w:themeColor="text1"/>
          <w:kern w:val="0"/>
        </w:rPr>
        <w:t xml:space="preserve"> in the expression of TGF-</w:t>
      </w:r>
      <w:r w:rsidRPr="007C2EA5">
        <w:rPr>
          <w:rFonts w:cs="Times New Roman"/>
          <w:color w:val="000000" w:themeColor="text1"/>
          <w:kern w:val="0"/>
        </w:rPr>
        <w:t>β</w:t>
      </w:r>
      <w:r w:rsidRPr="007C2EA5">
        <w:rPr>
          <w:rFonts w:cs="Book Antiqua"/>
          <w:color w:val="000000" w:themeColor="text1"/>
          <w:kern w:val="0"/>
        </w:rPr>
        <w:t>1 and Smad3 protein, and a decrease in Notch1, Hes1, and Hes5 protein (Figure 2B, C). These changes indicated that inhibiti</w:t>
      </w:r>
      <w:r w:rsidR="002F32C0" w:rsidRPr="007C2EA5">
        <w:rPr>
          <w:rFonts w:cs="Book Antiqua"/>
          <w:color w:val="000000" w:themeColor="text1"/>
          <w:kern w:val="0"/>
        </w:rPr>
        <w:t xml:space="preserve">ng </w:t>
      </w:r>
      <w:r w:rsidRPr="007C2EA5">
        <w:rPr>
          <w:rFonts w:cs="Book Antiqua"/>
          <w:color w:val="000000" w:themeColor="text1"/>
          <w:kern w:val="0"/>
        </w:rPr>
        <w:t xml:space="preserve">Notch signaling </w:t>
      </w:r>
      <w:r w:rsidR="002F32C0" w:rsidRPr="007C2EA5">
        <w:rPr>
          <w:rFonts w:cs="Book Antiqua"/>
          <w:color w:val="000000" w:themeColor="text1"/>
          <w:kern w:val="0"/>
        </w:rPr>
        <w:t>suppresses the activation of</w:t>
      </w:r>
      <w:r w:rsidRPr="007C2EA5">
        <w:rPr>
          <w:rFonts w:cs="Book Antiqua"/>
          <w:color w:val="000000" w:themeColor="text1"/>
          <w:kern w:val="0"/>
        </w:rPr>
        <w:t xml:space="preserve"> TGF-</w:t>
      </w:r>
      <w:r w:rsidRPr="007C2EA5">
        <w:rPr>
          <w:rFonts w:cs="Times New Roman"/>
          <w:color w:val="000000" w:themeColor="text1"/>
          <w:kern w:val="0"/>
        </w:rPr>
        <w:t>β</w:t>
      </w:r>
      <w:r w:rsidRPr="007C2EA5">
        <w:rPr>
          <w:rFonts w:cs="Book Antiqua"/>
          <w:color w:val="000000" w:themeColor="text1"/>
          <w:kern w:val="0"/>
        </w:rPr>
        <w:t xml:space="preserve"> signaling in PBMCs of liver fribosis model rats.</w:t>
      </w:r>
    </w:p>
    <w:p w:rsidR="00F314F5" w:rsidRPr="007C2EA5" w:rsidRDefault="00F314F5" w:rsidP="00F314F5">
      <w:pPr>
        <w:widowControl w:val="0"/>
        <w:autoSpaceDE w:val="0"/>
        <w:autoSpaceDN w:val="0"/>
        <w:adjustRightInd w:val="0"/>
        <w:rPr>
          <w:rFonts w:cs="??"/>
          <w:color w:val="000000" w:themeColor="text1"/>
          <w:kern w:val="0"/>
        </w:rPr>
      </w:pPr>
    </w:p>
    <w:p w:rsidR="00F314F5" w:rsidRPr="007C2EA5" w:rsidRDefault="00F314F5" w:rsidP="00F314F5">
      <w:pPr>
        <w:widowControl w:val="0"/>
        <w:autoSpaceDE w:val="0"/>
        <w:autoSpaceDN w:val="0"/>
        <w:adjustRightInd w:val="0"/>
        <w:rPr>
          <w:rFonts w:cs="Book Antiqua"/>
          <w:b/>
          <w:bCs/>
          <w:i/>
          <w:color w:val="000000" w:themeColor="text1"/>
          <w:kern w:val="0"/>
        </w:rPr>
      </w:pPr>
      <w:r w:rsidRPr="007C2EA5">
        <w:rPr>
          <w:rFonts w:cs="Book Antiqua"/>
          <w:b/>
          <w:bCs/>
          <w:i/>
          <w:color w:val="000000" w:themeColor="text1"/>
          <w:kern w:val="0"/>
        </w:rPr>
        <w:t>TGF-</w:t>
      </w:r>
      <w:r w:rsidRPr="007C2EA5">
        <w:rPr>
          <w:rFonts w:cs="Times New Roman"/>
          <w:b/>
          <w:i/>
          <w:color w:val="000000" w:themeColor="text1"/>
          <w:kern w:val="0"/>
        </w:rPr>
        <w:t>β</w:t>
      </w:r>
      <w:r w:rsidRPr="007C2EA5">
        <w:rPr>
          <w:rFonts w:cs="Book Antiqua"/>
          <w:b/>
          <w:bCs/>
          <w:i/>
          <w:color w:val="000000" w:themeColor="text1"/>
          <w:kern w:val="0"/>
        </w:rPr>
        <w:t xml:space="preserve"> inhibitor blocks the Notch and TGF-</w:t>
      </w:r>
      <w:r w:rsidRPr="007C2EA5">
        <w:rPr>
          <w:rFonts w:cs="Times New Roman"/>
          <w:b/>
          <w:i/>
          <w:color w:val="000000" w:themeColor="text1"/>
          <w:kern w:val="0"/>
        </w:rPr>
        <w:t>β</w:t>
      </w:r>
      <w:r w:rsidRPr="007C2EA5">
        <w:rPr>
          <w:rFonts w:cs="Book Antiqua"/>
          <w:b/>
          <w:bCs/>
          <w:i/>
          <w:color w:val="000000" w:themeColor="text1"/>
          <w:kern w:val="0"/>
        </w:rPr>
        <w:t xml:space="preserve"> signaling pathways in vitro</w:t>
      </w:r>
    </w:p>
    <w:p w:rsidR="00F314F5" w:rsidRPr="007C2EA5" w:rsidRDefault="00F314F5" w:rsidP="00F314F5">
      <w:pPr>
        <w:widowControl w:val="0"/>
        <w:autoSpaceDE w:val="0"/>
        <w:autoSpaceDN w:val="0"/>
        <w:adjustRightInd w:val="0"/>
        <w:rPr>
          <w:rFonts w:cs="Book Antiqua"/>
          <w:color w:val="000000" w:themeColor="text1"/>
          <w:kern w:val="0"/>
        </w:rPr>
      </w:pPr>
      <w:r w:rsidRPr="007C2EA5">
        <w:rPr>
          <w:rFonts w:cs="Book Antiqua"/>
          <w:color w:val="000000" w:themeColor="text1"/>
          <w:kern w:val="0"/>
        </w:rPr>
        <w:lastRenderedPageBreak/>
        <w:t>To further examine possible crosstalk between the Notch and TGF-</w:t>
      </w:r>
      <w:r w:rsidRPr="007C2EA5">
        <w:rPr>
          <w:rFonts w:cs="Times New Roman"/>
          <w:color w:val="000000" w:themeColor="text1"/>
          <w:kern w:val="0"/>
        </w:rPr>
        <w:t>β</w:t>
      </w:r>
      <w:r w:rsidRPr="007C2EA5">
        <w:rPr>
          <w:rFonts w:cs="Book Antiqua"/>
          <w:color w:val="000000" w:themeColor="text1"/>
          <w:kern w:val="0"/>
        </w:rPr>
        <w:t xml:space="preserve"> signaling pathways, the PBMCs from liver fibrosis rats were treated with TGF-</w:t>
      </w:r>
      <w:r w:rsidRPr="007C2EA5">
        <w:rPr>
          <w:rFonts w:cs="Times New Roman"/>
          <w:color w:val="000000" w:themeColor="text1"/>
          <w:kern w:val="0"/>
        </w:rPr>
        <w:t>β</w:t>
      </w:r>
      <w:r w:rsidRPr="007C2EA5">
        <w:rPr>
          <w:rFonts w:cs="Book Antiqua"/>
          <w:color w:val="000000" w:themeColor="text1"/>
          <w:kern w:val="0"/>
        </w:rPr>
        <w:t xml:space="preserve"> inhibitor. TGF-</w:t>
      </w:r>
      <w:r w:rsidRPr="007C2EA5">
        <w:rPr>
          <w:rFonts w:cs="Times New Roman"/>
          <w:color w:val="000000" w:themeColor="text1"/>
          <w:kern w:val="0"/>
        </w:rPr>
        <w:t>β</w:t>
      </w:r>
      <w:r w:rsidRPr="007C2EA5">
        <w:rPr>
          <w:rFonts w:cs="Book Antiqua"/>
          <w:color w:val="000000" w:themeColor="text1"/>
          <w:kern w:val="0"/>
        </w:rPr>
        <w:t xml:space="preserve"> inhibitor caused suppression of Notch1, Hes1, Hes5, TGF-</w:t>
      </w:r>
      <w:r w:rsidRPr="007C2EA5">
        <w:rPr>
          <w:rFonts w:cs="Times New Roman"/>
          <w:color w:val="000000" w:themeColor="text1"/>
          <w:kern w:val="0"/>
        </w:rPr>
        <w:t>β</w:t>
      </w:r>
      <w:r w:rsidRPr="007C2EA5">
        <w:rPr>
          <w:rFonts w:cs="Book Antiqua"/>
          <w:color w:val="000000" w:themeColor="text1"/>
          <w:kern w:val="0"/>
        </w:rPr>
        <w:t xml:space="preserve"> and Smad3 genes (Figure 3A), demonstrating that canonical TGF-</w:t>
      </w:r>
      <w:r w:rsidRPr="007C2EA5">
        <w:rPr>
          <w:rFonts w:cs="Times New Roman"/>
          <w:color w:val="000000" w:themeColor="text1"/>
          <w:kern w:val="0"/>
        </w:rPr>
        <w:t>β</w:t>
      </w:r>
      <w:r w:rsidRPr="007C2EA5">
        <w:rPr>
          <w:rFonts w:cs="Book Antiqua"/>
          <w:color w:val="000000" w:themeColor="text1"/>
          <w:kern w:val="0"/>
        </w:rPr>
        <w:t xml:space="preserve"> signaling pathway activity promotes the expression of Notch signaling pathway genes. Protein expression of Notch1, Hes1, Hes5, TGF-</w:t>
      </w:r>
      <w:r w:rsidRPr="007C2EA5">
        <w:rPr>
          <w:rFonts w:cs="Times New Roman"/>
          <w:color w:val="000000" w:themeColor="text1"/>
          <w:kern w:val="0"/>
        </w:rPr>
        <w:t>β</w:t>
      </w:r>
      <w:r w:rsidRPr="007C2EA5">
        <w:rPr>
          <w:rFonts w:cs="Book Antiqua"/>
          <w:color w:val="000000" w:themeColor="text1"/>
          <w:kern w:val="0"/>
        </w:rPr>
        <w:t xml:space="preserve"> and Smad3 in PBMCs cultured for 24 h with TGF-</w:t>
      </w:r>
      <w:r w:rsidRPr="007C2EA5">
        <w:rPr>
          <w:rFonts w:cs="Times New Roman"/>
          <w:color w:val="000000" w:themeColor="text1"/>
          <w:kern w:val="0"/>
        </w:rPr>
        <w:t>β</w:t>
      </w:r>
      <w:r w:rsidRPr="007C2EA5">
        <w:rPr>
          <w:rFonts w:cs="Book Antiqua"/>
          <w:color w:val="000000" w:themeColor="text1"/>
          <w:kern w:val="0"/>
        </w:rPr>
        <w:t xml:space="preserve"> inhibitor or DMSO was detected by Western blot analysis (Figure 3B, C). These results showed that treatment with TGF-</w:t>
      </w:r>
      <w:r w:rsidRPr="007C2EA5">
        <w:rPr>
          <w:rFonts w:cs="Times New Roman"/>
          <w:color w:val="000000" w:themeColor="text1"/>
          <w:kern w:val="0"/>
        </w:rPr>
        <w:t>β</w:t>
      </w:r>
      <w:r w:rsidRPr="007C2EA5">
        <w:rPr>
          <w:rFonts w:cs="Book Antiqua"/>
          <w:color w:val="000000" w:themeColor="text1"/>
          <w:kern w:val="0"/>
        </w:rPr>
        <w:t xml:space="preserve"> inhibitor effectively blocked the Notch signaling pathway in PBMCs from liver fibrosis rats.</w:t>
      </w:r>
    </w:p>
    <w:p w:rsidR="00F314F5" w:rsidRPr="007C2EA5" w:rsidRDefault="00F314F5" w:rsidP="00861267">
      <w:pPr>
        <w:rPr>
          <w:color w:val="000000" w:themeColor="text1"/>
        </w:rPr>
      </w:pPr>
    </w:p>
    <w:p w:rsidR="00DC2D0F" w:rsidRPr="007C2EA5" w:rsidRDefault="00DC2D0F" w:rsidP="00DC2D0F">
      <w:pPr>
        <w:autoSpaceDE w:val="0"/>
        <w:autoSpaceDN w:val="0"/>
        <w:adjustRightInd w:val="0"/>
        <w:rPr>
          <w:rFonts w:cs="Book Antiqua"/>
          <w:b/>
          <w:bCs/>
          <w:color w:val="000000" w:themeColor="text1"/>
          <w:kern w:val="0"/>
        </w:rPr>
      </w:pPr>
      <w:r w:rsidRPr="007C2EA5">
        <w:rPr>
          <w:rFonts w:cs="Book Antiqua"/>
          <w:b/>
          <w:bCs/>
          <w:color w:val="000000" w:themeColor="text1"/>
          <w:kern w:val="0"/>
        </w:rPr>
        <w:t>DISCUSSION</w:t>
      </w:r>
    </w:p>
    <w:p w:rsidR="00DC2D0F" w:rsidRPr="007C2EA5" w:rsidRDefault="00DC2D0F" w:rsidP="00DC2D0F">
      <w:pPr>
        <w:autoSpaceDE w:val="0"/>
        <w:autoSpaceDN w:val="0"/>
        <w:adjustRightInd w:val="0"/>
        <w:rPr>
          <w:rFonts w:cs="Book Antiqua"/>
          <w:color w:val="000000" w:themeColor="text1"/>
          <w:kern w:val="0"/>
        </w:rPr>
      </w:pPr>
      <w:r w:rsidRPr="007C2EA5">
        <w:rPr>
          <w:rFonts w:cs="Book Antiqua"/>
          <w:color w:val="000000" w:themeColor="text1"/>
          <w:kern w:val="0"/>
        </w:rPr>
        <w:t>We showed that there is an interaction between the Notch and TGF-</w:t>
      </w:r>
      <w:r w:rsidRPr="007C2EA5">
        <w:rPr>
          <w:color w:val="000000" w:themeColor="text1"/>
          <w:kern w:val="0"/>
        </w:rPr>
        <w:t>β</w:t>
      </w:r>
      <w:r w:rsidRPr="007C2EA5">
        <w:rPr>
          <w:rFonts w:cs="Book Antiqua"/>
          <w:color w:val="000000" w:themeColor="text1"/>
          <w:kern w:val="0"/>
        </w:rPr>
        <w:t xml:space="preserve"> signaling pathways in ConA-induced liver fibrosis rats. We showed that Notch signaling and TGF-</w:t>
      </w:r>
      <w:r w:rsidRPr="007C2EA5">
        <w:rPr>
          <w:color w:val="000000" w:themeColor="text1"/>
          <w:kern w:val="0"/>
        </w:rPr>
        <w:t>β</w:t>
      </w:r>
      <w:r w:rsidRPr="007C2EA5">
        <w:rPr>
          <w:rFonts w:cs="Book Antiqua"/>
          <w:color w:val="000000" w:themeColor="text1"/>
          <w:kern w:val="0"/>
        </w:rPr>
        <w:t xml:space="preserve"> signaling are activated in liver fibrosis rats, with prominent expression of the Notch1 receptor and TGF-</w:t>
      </w:r>
      <w:r w:rsidRPr="007C2EA5">
        <w:rPr>
          <w:color w:val="000000" w:themeColor="text1"/>
          <w:kern w:val="0"/>
        </w:rPr>
        <w:t>β</w:t>
      </w:r>
      <w:r w:rsidRPr="007C2EA5">
        <w:rPr>
          <w:rFonts w:cs="Book Antiqua"/>
          <w:color w:val="000000" w:themeColor="text1"/>
          <w:kern w:val="0"/>
        </w:rPr>
        <w:t xml:space="preserve">1 accumulation and increased transcription of target genes such as Hes1, Hes5 and Smad3 in PBMCs of model rats. Furthermore, we found that treatment with the </w:t>
      </w:r>
      <w:r w:rsidRPr="007C2EA5">
        <w:rPr>
          <w:color w:val="000000" w:themeColor="text1"/>
          <w:kern w:val="0"/>
        </w:rPr>
        <w:t>γ</w:t>
      </w:r>
      <w:r w:rsidRPr="007C2EA5">
        <w:rPr>
          <w:rFonts w:cs="Book Antiqua"/>
          <w:color w:val="000000" w:themeColor="text1"/>
          <w:kern w:val="0"/>
        </w:rPr>
        <w:t>-secretase inhibitor DAPT significantly inhibited Notch and TGF-</w:t>
      </w:r>
      <w:r w:rsidRPr="007C2EA5">
        <w:rPr>
          <w:color w:val="000000" w:themeColor="text1"/>
          <w:kern w:val="0"/>
        </w:rPr>
        <w:t>β</w:t>
      </w:r>
      <w:r w:rsidRPr="007C2EA5">
        <w:rPr>
          <w:rFonts w:cs="Book Antiqua"/>
          <w:color w:val="000000" w:themeColor="text1"/>
          <w:kern w:val="0"/>
        </w:rPr>
        <w:t xml:space="preserve"> signaling in PBMCs of liver fibrosis rats, similar to the TGF-</w:t>
      </w:r>
      <w:r w:rsidRPr="007C2EA5">
        <w:rPr>
          <w:color w:val="000000" w:themeColor="text1"/>
          <w:kern w:val="0"/>
        </w:rPr>
        <w:t>β</w:t>
      </w:r>
      <w:r w:rsidRPr="007C2EA5">
        <w:rPr>
          <w:rFonts w:cs="Book Antiqua"/>
          <w:color w:val="000000" w:themeColor="text1"/>
          <w:kern w:val="0"/>
        </w:rPr>
        <w:t xml:space="preserve"> inhibitor.</w:t>
      </w:r>
    </w:p>
    <w:p w:rsidR="00DC2D0F" w:rsidRPr="007C2EA5" w:rsidRDefault="00DC2D0F" w:rsidP="00DC2D0F">
      <w:pPr>
        <w:autoSpaceDE w:val="0"/>
        <w:autoSpaceDN w:val="0"/>
        <w:adjustRightInd w:val="0"/>
        <w:ind w:firstLine="480"/>
        <w:rPr>
          <w:rFonts w:cs="Book Antiqua"/>
          <w:color w:val="000000" w:themeColor="text1"/>
          <w:kern w:val="0"/>
        </w:rPr>
      </w:pPr>
      <w:r w:rsidRPr="007C2EA5">
        <w:rPr>
          <w:rFonts w:cs="Book Antiqua"/>
          <w:color w:val="000000" w:themeColor="text1"/>
          <w:kern w:val="0"/>
        </w:rPr>
        <w:t>In the earliest stages, all forms of fibrosis are inflammatory–immunological reactions, and elements of both the innate and adaptive immune systems are involved in subsequent profibrotic processes</w:t>
      </w:r>
      <w:r w:rsidRPr="007C2EA5">
        <w:rPr>
          <w:rFonts w:cs="Book Antiqua"/>
          <w:color w:val="000000" w:themeColor="text1"/>
          <w:kern w:val="0"/>
          <w:vertAlign w:val="superscript"/>
        </w:rPr>
        <w:t>[15]</w:t>
      </w:r>
      <w:r w:rsidRPr="007C2EA5">
        <w:rPr>
          <w:rFonts w:cs="Book Antiqua"/>
          <w:color w:val="000000" w:themeColor="text1"/>
          <w:kern w:val="0"/>
        </w:rPr>
        <w:t xml:space="preserve">. Growing evidence shows that Notch signaling plays a crucial role in the pathogenesis of </w:t>
      </w:r>
      <w:r w:rsidR="002F32C0" w:rsidRPr="007C2EA5">
        <w:rPr>
          <w:rFonts w:cs="Book Antiqua"/>
          <w:color w:val="000000" w:themeColor="text1"/>
          <w:kern w:val="0"/>
        </w:rPr>
        <w:t>multiple</w:t>
      </w:r>
      <w:r w:rsidRPr="007C2EA5">
        <w:rPr>
          <w:rFonts w:cs="Book Antiqua"/>
          <w:color w:val="000000" w:themeColor="text1"/>
          <w:kern w:val="0"/>
        </w:rPr>
        <w:t xml:space="preserve"> inflammatory diseases</w:t>
      </w:r>
      <w:r w:rsidRPr="007C2EA5">
        <w:rPr>
          <w:rFonts w:cs="Book Antiqua"/>
          <w:color w:val="000000" w:themeColor="text1"/>
          <w:kern w:val="0"/>
          <w:vertAlign w:val="superscript"/>
        </w:rPr>
        <w:t>[16,17]</w:t>
      </w:r>
      <w:r w:rsidRPr="007C2EA5">
        <w:rPr>
          <w:rFonts w:cs="Book Antiqua"/>
          <w:color w:val="000000" w:themeColor="text1"/>
          <w:kern w:val="0"/>
        </w:rPr>
        <w:t>. Our findings of increased activation of Notch signaling are consistent with ConA-induced liver fibrosis. We have previously shown an imbalance between T helper 17 and T regulatory cells in liver fibrosis model rats. In addition, TGF-</w:t>
      </w:r>
      <w:r w:rsidRPr="007C2EA5">
        <w:rPr>
          <w:color w:val="000000" w:themeColor="text1"/>
          <w:kern w:val="0"/>
        </w:rPr>
        <w:t>β</w:t>
      </w:r>
      <w:r w:rsidRPr="007C2EA5">
        <w:rPr>
          <w:rFonts w:cs="Book Antiqua"/>
          <w:color w:val="000000" w:themeColor="text1"/>
          <w:kern w:val="0"/>
        </w:rPr>
        <w:t xml:space="preserve"> plays an important part in both normal and diseased conditions in the liver and other organs </w:t>
      </w:r>
      <w:r w:rsidRPr="007C2EA5">
        <w:rPr>
          <w:rFonts w:cs="Book Antiqua"/>
          <w:color w:val="000000" w:themeColor="text1"/>
          <w:kern w:val="0"/>
          <w:vertAlign w:val="superscript"/>
        </w:rPr>
        <w:t>[14]</w:t>
      </w:r>
      <w:r w:rsidRPr="007C2EA5">
        <w:rPr>
          <w:rFonts w:cs="Book Antiqua"/>
          <w:color w:val="000000" w:themeColor="text1"/>
          <w:kern w:val="0"/>
        </w:rPr>
        <w:t>. The direct targets in the TGF-</w:t>
      </w:r>
      <w:r w:rsidRPr="007C2EA5">
        <w:rPr>
          <w:color w:val="000000" w:themeColor="text1"/>
          <w:kern w:val="0"/>
        </w:rPr>
        <w:t>β</w:t>
      </w:r>
      <w:r w:rsidR="002F32C0" w:rsidRPr="007C2EA5">
        <w:rPr>
          <w:rFonts w:cs="Book Antiqua"/>
          <w:color w:val="000000" w:themeColor="text1"/>
          <w:kern w:val="0"/>
        </w:rPr>
        <w:t>1</w:t>
      </w:r>
      <w:r w:rsidRPr="007C2EA5">
        <w:rPr>
          <w:rFonts w:cs="Book Antiqua"/>
          <w:color w:val="000000" w:themeColor="text1"/>
          <w:kern w:val="0"/>
        </w:rPr>
        <w:t xml:space="preserve">, Smads (Smad2, and especially </w:t>
      </w:r>
      <w:r w:rsidRPr="007C2EA5">
        <w:rPr>
          <w:rFonts w:cs="Book Antiqua"/>
          <w:color w:val="000000" w:themeColor="text1"/>
          <w:kern w:val="0"/>
        </w:rPr>
        <w:lastRenderedPageBreak/>
        <w:t>Smad3), are critical mediators in fibrogenesis</w:t>
      </w:r>
      <w:r w:rsidRPr="007C2EA5">
        <w:rPr>
          <w:rFonts w:cs="Book Antiqua"/>
          <w:color w:val="000000" w:themeColor="text1"/>
          <w:kern w:val="0"/>
          <w:vertAlign w:val="superscript"/>
        </w:rPr>
        <w:t>[18]</w:t>
      </w:r>
      <w:r w:rsidRPr="007C2EA5">
        <w:rPr>
          <w:rFonts w:cs="Book Antiqua"/>
          <w:color w:val="000000" w:themeColor="text1"/>
          <w:kern w:val="0"/>
        </w:rPr>
        <w:t>. In a recent study, TGF-</w:t>
      </w:r>
      <w:r w:rsidRPr="007C2EA5">
        <w:rPr>
          <w:color w:val="000000" w:themeColor="text1"/>
          <w:kern w:val="0"/>
        </w:rPr>
        <w:t>β</w:t>
      </w:r>
      <w:r w:rsidRPr="007C2EA5">
        <w:rPr>
          <w:rFonts w:cs="Book Antiqua"/>
          <w:color w:val="000000" w:themeColor="text1"/>
          <w:kern w:val="0"/>
        </w:rPr>
        <w:t xml:space="preserve"> induced transport and Golgi organization 1 and unfolded protein response, which facilitated fibrogenesis in murine </w:t>
      </w:r>
      <w:r w:rsidRPr="007C2EA5">
        <w:rPr>
          <w:rFonts w:cs="Book Antiqua"/>
          <w:color w:val="000000" w:themeColor="text1"/>
          <w:kern w:val="0"/>
          <w:highlight w:val="white"/>
        </w:rPr>
        <w:t>hepatic fibrosis</w:t>
      </w:r>
      <w:r w:rsidRPr="007C2EA5">
        <w:rPr>
          <w:rFonts w:cs="Book Antiqua"/>
          <w:color w:val="000000" w:themeColor="text1"/>
          <w:kern w:val="0"/>
          <w:vertAlign w:val="superscript"/>
        </w:rPr>
        <w:t>[19]</w:t>
      </w:r>
      <w:r w:rsidRPr="007C2EA5">
        <w:rPr>
          <w:rFonts w:cs="Book Antiqua"/>
          <w:color w:val="000000" w:themeColor="text1"/>
          <w:kern w:val="0"/>
        </w:rPr>
        <w:t>. Furthermore, the Notch and TGF-</w:t>
      </w:r>
      <w:r w:rsidRPr="007C2EA5">
        <w:rPr>
          <w:color w:val="000000" w:themeColor="text1"/>
          <w:kern w:val="0"/>
        </w:rPr>
        <w:t>β</w:t>
      </w:r>
      <w:r w:rsidRPr="007C2EA5">
        <w:rPr>
          <w:rFonts w:cs="Book Antiqua"/>
          <w:color w:val="000000" w:themeColor="text1"/>
          <w:kern w:val="0"/>
        </w:rPr>
        <w:t xml:space="preserve"> signaling pathways cooperatively regulate forkhead </w:t>
      </w:r>
      <w:smartTag w:uri="urn:schemas-microsoft-com:office:smarttags" w:element="address">
        <w:smartTag w:uri="urn:schemas-microsoft-com:office:smarttags" w:element="Street">
          <w:r w:rsidRPr="007C2EA5">
            <w:rPr>
              <w:rFonts w:cs="Book Antiqua"/>
              <w:color w:val="000000" w:themeColor="text1"/>
              <w:kern w:val="0"/>
            </w:rPr>
            <w:t>box</w:t>
          </w:r>
        </w:smartTag>
        <w:r w:rsidRPr="007C2EA5">
          <w:rPr>
            <w:rFonts w:cs="Book Antiqua"/>
            <w:color w:val="000000" w:themeColor="text1"/>
            <w:kern w:val="0"/>
          </w:rPr>
          <w:t xml:space="preserve"> p3</w:t>
        </w:r>
      </w:smartTag>
      <w:r w:rsidRPr="007C2EA5">
        <w:rPr>
          <w:rFonts w:cs="Book Antiqua"/>
          <w:color w:val="000000" w:themeColor="text1"/>
          <w:kern w:val="0"/>
        </w:rPr>
        <w:t xml:space="preserve"> expression and regulatory T-cell maintenance </w:t>
      </w:r>
      <w:r w:rsidRPr="007C2EA5">
        <w:rPr>
          <w:rFonts w:cs="Book Antiqua"/>
          <w:i/>
          <w:color w:val="000000" w:themeColor="text1"/>
          <w:kern w:val="0"/>
        </w:rPr>
        <w:t>in vitro</w:t>
      </w:r>
      <w:r w:rsidRPr="007C2EA5">
        <w:rPr>
          <w:rFonts w:cs="Book Antiqua"/>
          <w:color w:val="000000" w:themeColor="text1"/>
          <w:kern w:val="0"/>
        </w:rPr>
        <w:t xml:space="preserve"> and </w:t>
      </w:r>
      <w:r w:rsidRPr="007C2EA5">
        <w:rPr>
          <w:rFonts w:cs="Book Antiqua"/>
          <w:i/>
          <w:color w:val="000000" w:themeColor="text1"/>
          <w:kern w:val="0"/>
        </w:rPr>
        <w:t>in vivo</w:t>
      </w:r>
      <w:r w:rsidRPr="007C2EA5">
        <w:rPr>
          <w:rFonts w:cs="Book Antiqua"/>
          <w:color w:val="000000" w:themeColor="text1"/>
          <w:kern w:val="0"/>
        </w:rPr>
        <w:t>, and integration of the TGF-</w:t>
      </w:r>
      <w:r w:rsidRPr="007C2EA5">
        <w:rPr>
          <w:color w:val="000000" w:themeColor="text1"/>
          <w:kern w:val="0"/>
        </w:rPr>
        <w:t>β</w:t>
      </w:r>
      <w:r w:rsidRPr="007C2EA5">
        <w:rPr>
          <w:rFonts w:cs="Book Antiqua"/>
          <w:color w:val="000000" w:themeColor="text1"/>
          <w:kern w:val="0"/>
        </w:rPr>
        <w:t xml:space="preserve"> and Notch1 pathways may be an important mechanism for the maintenance of immune homeostasis in the periphery </w:t>
      </w:r>
      <w:r w:rsidRPr="007C2EA5">
        <w:rPr>
          <w:rFonts w:cs="Book Antiqua"/>
          <w:color w:val="000000" w:themeColor="text1"/>
          <w:kern w:val="0"/>
          <w:vertAlign w:val="superscript"/>
        </w:rPr>
        <w:t>[20,21]</w:t>
      </w:r>
      <w:r w:rsidRPr="007C2EA5">
        <w:rPr>
          <w:rFonts w:cs="Book Antiqua"/>
          <w:color w:val="000000" w:themeColor="text1"/>
          <w:kern w:val="0"/>
        </w:rPr>
        <w:t>. Our study also showed that TGF-</w:t>
      </w:r>
      <w:r w:rsidRPr="007C2EA5">
        <w:rPr>
          <w:color w:val="000000" w:themeColor="text1"/>
          <w:kern w:val="0"/>
        </w:rPr>
        <w:t>β</w:t>
      </w:r>
      <w:r w:rsidRPr="007C2EA5">
        <w:rPr>
          <w:rFonts w:cs="Book Antiqua"/>
          <w:color w:val="000000" w:themeColor="text1"/>
          <w:kern w:val="0"/>
        </w:rPr>
        <w:t xml:space="preserve"> signaling markedly increased in PBMCs of liver fibrosis rats. However, the </w:t>
      </w:r>
      <w:r w:rsidR="002F32C0" w:rsidRPr="007C2EA5">
        <w:rPr>
          <w:rFonts w:cs="Book Antiqua"/>
          <w:color w:val="000000" w:themeColor="text1"/>
          <w:kern w:val="0"/>
        </w:rPr>
        <w:t>cellular and molecular mechanism</w:t>
      </w:r>
      <w:r w:rsidRPr="007C2EA5">
        <w:rPr>
          <w:rFonts w:cs="Book Antiqua"/>
          <w:color w:val="000000" w:themeColor="text1"/>
          <w:kern w:val="0"/>
        </w:rPr>
        <w:t xml:space="preserve"> by Notch and TGF-</w:t>
      </w:r>
      <w:r w:rsidRPr="007C2EA5">
        <w:rPr>
          <w:color w:val="000000" w:themeColor="text1"/>
          <w:kern w:val="0"/>
        </w:rPr>
        <w:t>β</w:t>
      </w:r>
      <w:r w:rsidRPr="007C2EA5">
        <w:rPr>
          <w:rFonts w:cs="Book Antiqua"/>
          <w:color w:val="000000" w:themeColor="text1"/>
          <w:kern w:val="0"/>
        </w:rPr>
        <w:t xml:space="preserve"> activation </w:t>
      </w:r>
      <w:r w:rsidR="002F32C0" w:rsidRPr="007C2EA5">
        <w:rPr>
          <w:rFonts w:cs="Book Antiqua"/>
          <w:color w:val="000000" w:themeColor="text1"/>
          <w:kern w:val="0"/>
        </w:rPr>
        <w:t>facilitate</w:t>
      </w:r>
      <w:r w:rsidRPr="007C2EA5">
        <w:rPr>
          <w:rFonts w:cs="Book Antiqua"/>
          <w:color w:val="000000" w:themeColor="text1"/>
          <w:kern w:val="0"/>
        </w:rPr>
        <w:t>s liver fibrosis have not been previously explored. Our study demonstrated that Notch signaling is mediated by the TGF-</w:t>
      </w:r>
      <w:r w:rsidRPr="007C2EA5">
        <w:rPr>
          <w:color w:val="000000" w:themeColor="text1"/>
          <w:kern w:val="0"/>
        </w:rPr>
        <w:t>β</w:t>
      </w:r>
      <w:r w:rsidRPr="007C2EA5">
        <w:rPr>
          <w:rFonts w:cs="Book Antiqua"/>
          <w:color w:val="000000" w:themeColor="text1"/>
          <w:kern w:val="0"/>
        </w:rPr>
        <w:t>/Smad signaling in liver fibrosis.</w:t>
      </w:r>
    </w:p>
    <w:p w:rsidR="00DC2D0F" w:rsidRPr="007C2EA5" w:rsidRDefault="00DC2D0F" w:rsidP="00DC2D0F">
      <w:pPr>
        <w:autoSpaceDE w:val="0"/>
        <w:autoSpaceDN w:val="0"/>
        <w:adjustRightInd w:val="0"/>
        <w:ind w:firstLine="480"/>
        <w:rPr>
          <w:rFonts w:cs="Book Antiqua"/>
          <w:color w:val="000000" w:themeColor="text1"/>
          <w:kern w:val="0"/>
        </w:rPr>
      </w:pPr>
      <w:r w:rsidRPr="007C2EA5">
        <w:rPr>
          <w:rFonts w:cs="Book Antiqua"/>
          <w:color w:val="000000" w:themeColor="text1"/>
          <w:kern w:val="0"/>
        </w:rPr>
        <w:t>Evidence for the important role of Notch signaling is growing, such as the crosstalk between Notch and Hedgehog in liver injury, and the Notch inhibitor restriction of the TGF-</w:t>
      </w:r>
      <w:r w:rsidRPr="007C2EA5">
        <w:rPr>
          <w:color w:val="000000" w:themeColor="text1"/>
          <w:kern w:val="0"/>
        </w:rPr>
        <w:t>β</w:t>
      </w:r>
      <w:r w:rsidRPr="007C2EA5">
        <w:rPr>
          <w:rFonts w:cs="Book Antiqua"/>
          <w:color w:val="000000" w:themeColor="text1"/>
          <w:kern w:val="0"/>
        </w:rPr>
        <w:t>/Smad2/3 signaling pathway in kidney fibrosis</w:t>
      </w:r>
      <w:r w:rsidR="00757641">
        <w:rPr>
          <w:rFonts w:cs="Book Antiqua"/>
          <w:color w:val="000000" w:themeColor="text1"/>
          <w:kern w:val="0"/>
          <w:vertAlign w:val="superscript"/>
        </w:rPr>
        <w:t>[6,</w:t>
      </w:r>
      <w:r w:rsidRPr="007C2EA5">
        <w:rPr>
          <w:rFonts w:cs="Book Antiqua"/>
          <w:color w:val="000000" w:themeColor="text1"/>
          <w:kern w:val="0"/>
          <w:vertAlign w:val="superscript"/>
        </w:rPr>
        <w:t>22]</w:t>
      </w:r>
      <w:r w:rsidRPr="007C2EA5">
        <w:rPr>
          <w:rFonts w:cs="Book Antiqua"/>
          <w:color w:val="000000" w:themeColor="text1"/>
          <w:kern w:val="0"/>
        </w:rPr>
        <w:t>, even TGF-b/Smad crosstalk with Notch in many diseases</w:t>
      </w:r>
      <w:r w:rsidRPr="007C2EA5">
        <w:rPr>
          <w:rFonts w:cs="Book Antiqua"/>
          <w:color w:val="000000" w:themeColor="text1"/>
          <w:kern w:val="0"/>
          <w:vertAlign w:val="superscript"/>
        </w:rPr>
        <w:t>[23]</w:t>
      </w:r>
      <w:r w:rsidRPr="007C2EA5">
        <w:rPr>
          <w:rFonts w:cs="Book Antiqua"/>
          <w:color w:val="000000" w:themeColor="text1"/>
          <w:kern w:val="0"/>
        </w:rPr>
        <w:t>.</w:t>
      </w:r>
      <w:r w:rsidRPr="007C2EA5">
        <w:rPr>
          <w:rFonts w:cs="Book Antiqua" w:hint="eastAsia"/>
          <w:color w:val="000000" w:themeColor="text1"/>
          <w:kern w:val="0"/>
          <w:vertAlign w:val="superscript"/>
        </w:rPr>
        <w:t xml:space="preserve"> </w:t>
      </w:r>
      <w:r w:rsidRPr="007C2EA5">
        <w:rPr>
          <w:rFonts w:cs="Book Antiqua"/>
          <w:color w:val="000000" w:themeColor="text1"/>
          <w:kern w:val="0"/>
        </w:rPr>
        <w:t>However, the relation between Notch and TGF-</w:t>
      </w:r>
      <w:r w:rsidRPr="007C2EA5">
        <w:rPr>
          <w:color w:val="000000" w:themeColor="text1"/>
          <w:kern w:val="0"/>
        </w:rPr>
        <w:t>β</w:t>
      </w:r>
      <w:r w:rsidRPr="007C2EA5">
        <w:rPr>
          <w:rFonts w:cs="Book Antiqua"/>
          <w:color w:val="000000" w:themeColor="text1"/>
          <w:kern w:val="0"/>
        </w:rPr>
        <w:t xml:space="preserve"> signaling pathway in liver fibrosis remains unclear. Previously, it has been shown that Notch3 and Hes1 are critically involved in CCL</w:t>
      </w:r>
      <w:r w:rsidRPr="007C2EA5">
        <w:rPr>
          <w:rFonts w:cs="Book Antiqua"/>
          <w:color w:val="000000" w:themeColor="text1"/>
          <w:kern w:val="0"/>
          <w:vertAlign w:val="subscript"/>
        </w:rPr>
        <w:t>4</w:t>
      </w:r>
      <w:r w:rsidRPr="007C2EA5">
        <w:rPr>
          <w:rFonts w:cs="Book Antiqua"/>
          <w:color w:val="000000" w:themeColor="text1"/>
          <w:kern w:val="0"/>
        </w:rPr>
        <w:t>-induced liver fibrosis in rats</w:t>
      </w:r>
      <w:r w:rsidRPr="007C2EA5">
        <w:rPr>
          <w:rFonts w:cs="Book Antiqua"/>
          <w:color w:val="000000" w:themeColor="text1"/>
          <w:kern w:val="0"/>
          <w:vertAlign w:val="superscript"/>
        </w:rPr>
        <w:t>[24]</w:t>
      </w:r>
      <w:r w:rsidRPr="007C2EA5">
        <w:rPr>
          <w:rFonts w:cs="Book Antiqua"/>
          <w:color w:val="000000" w:themeColor="text1"/>
          <w:kern w:val="0"/>
        </w:rPr>
        <w:t>. Hes1 and Hes5, as the targets of Notch affect chondrogenesis and chondrocyte hypertrophy in cartilage maintenance and osteoarthritis</w:t>
      </w:r>
      <w:r w:rsidRPr="007C2EA5">
        <w:rPr>
          <w:rFonts w:cs="Book Antiqua"/>
          <w:color w:val="000000" w:themeColor="text1"/>
          <w:kern w:val="0"/>
          <w:vertAlign w:val="superscript"/>
        </w:rPr>
        <w:t>[25,26]</w:t>
      </w:r>
      <w:r w:rsidRPr="007C2EA5">
        <w:rPr>
          <w:rFonts w:cs="Book Antiqua"/>
          <w:color w:val="000000" w:themeColor="text1"/>
          <w:kern w:val="0"/>
        </w:rPr>
        <w:t xml:space="preserve">. In our study, we found that Notch1 was markedly increased in PBMCs during liver fibrogenesis. This may reveal the different fibrotic mechanism between liver and peripheral tissues. Studies analyzing the therapeutic potential of inhibitors of the </w:t>
      </w:r>
      <w:r w:rsidRPr="007C2EA5">
        <w:rPr>
          <w:color w:val="000000" w:themeColor="text1"/>
          <w:kern w:val="0"/>
        </w:rPr>
        <w:t>γ</w:t>
      </w:r>
      <w:r w:rsidRPr="007C2EA5">
        <w:rPr>
          <w:rFonts w:cs="Book Antiqua"/>
          <w:color w:val="000000" w:themeColor="text1"/>
          <w:kern w:val="0"/>
        </w:rPr>
        <w:t>-secretase complex that is required for release of the active NICD are currently the most common method for targeting Notch</w:t>
      </w:r>
      <w:r w:rsidRPr="007C2EA5">
        <w:rPr>
          <w:rFonts w:cs="Book Antiqua"/>
          <w:color w:val="000000" w:themeColor="text1"/>
          <w:kern w:val="0"/>
          <w:vertAlign w:val="superscript"/>
        </w:rPr>
        <w:t>[27]</w:t>
      </w:r>
      <w:r w:rsidRPr="007C2EA5">
        <w:rPr>
          <w:rFonts w:cs="Book Antiqua"/>
          <w:color w:val="000000" w:themeColor="text1"/>
          <w:kern w:val="0"/>
        </w:rPr>
        <w:t>. It should be noted that our study examined only the interaction between the Notch and TGF-</w:t>
      </w:r>
      <w:r w:rsidRPr="007C2EA5">
        <w:rPr>
          <w:color w:val="000000" w:themeColor="text1"/>
          <w:kern w:val="0"/>
        </w:rPr>
        <w:t>β</w:t>
      </w:r>
      <w:r w:rsidRPr="007C2EA5">
        <w:rPr>
          <w:rFonts w:cs="Book Antiqua"/>
          <w:color w:val="000000" w:themeColor="text1"/>
          <w:kern w:val="0"/>
        </w:rPr>
        <w:t xml:space="preserve"> signaling pathways </w:t>
      </w:r>
      <w:r w:rsidRPr="007C2EA5">
        <w:rPr>
          <w:rFonts w:cs="Book Antiqua"/>
          <w:i/>
          <w:color w:val="000000" w:themeColor="text1"/>
          <w:kern w:val="0"/>
        </w:rPr>
        <w:t>in vitro</w:t>
      </w:r>
      <w:r w:rsidRPr="007C2EA5">
        <w:rPr>
          <w:rFonts w:cs="Book Antiqua"/>
          <w:color w:val="000000" w:themeColor="text1"/>
          <w:kern w:val="0"/>
        </w:rPr>
        <w:t xml:space="preserve">, and we now need to explore the interaction </w:t>
      </w:r>
      <w:r w:rsidRPr="007C2EA5">
        <w:rPr>
          <w:rFonts w:cs="Book Antiqua"/>
          <w:i/>
          <w:color w:val="000000" w:themeColor="text1"/>
          <w:kern w:val="0"/>
        </w:rPr>
        <w:t>in vivo</w:t>
      </w:r>
      <w:r w:rsidRPr="007C2EA5">
        <w:rPr>
          <w:rFonts w:cs="Book Antiqua"/>
          <w:color w:val="000000" w:themeColor="text1"/>
          <w:kern w:val="0"/>
        </w:rPr>
        <w:t xml:space="preserve"> in model rats and patients with liver fibrosis.</w:t>
      </w:r>
    </w:p>
    <w:p w:rsidR="00DC2D0F" w:rsidRPr="007C2EA5" w:rsidRDefault="00DC2D0F" w:rsidP="00FA755C">
      <w:pPr>
        <w:ind w:firstLineChars="150" w:firstLine="360"/>
        <w:rPr>
          <w:rFonts w:cs="Book Antiqua"/>
          <w:color w:val="000000" w:themeColor="text1"/>
          <w:kern w:val="0"/>
        </w:rPr>
      </w:pPr>
      <w:r w:rsidRPr="007C2EA5">
        <w:rPr>
          <w:rFonts w:cs="Book Antiqua"/>
          <w:color w:val="000000" w:themeColor="text1"/>
          <w:kern w:val="0"/>
        </w:rPr>
        <w:lastRenderedPageBreak/>
        <w:t>In summary, we have demonstrated that the Notch pathway is activated in liver fibrosis rats and that inhibition of Notch and TGF-</w:t>
      </w:r>
      <w:r w:rsidRPr="007C2EA5">
        <w:rPr>
          <w:color w:val="000000" w:themeColor="text1"/>
          <w:kern w:val="0"/>
        </w:rPr>
        <w:t>β</w:t>
      </w:r>
      <w:r w:rsidRPr="007C2EA5">
        <w:rPr>
          <w:rFonts w:cs="Book Antiqua"/>
          <w:color w:val="000000" w:themeColor="text1"/>
          <w:kern w:val="0"/>
        </w:rPr>
        <w:t xml:space="preserve"> signaling reduces the mRNA and protein expression </w:t>
      </w:r>
      <w:r w:rsidRPr="007C2EA5">
        <w:rPr>
          <w:rFonts w:cs="Book Antiqua" w:hint="eastAsia"/>
          <w:color w:val="000000" w:themeColor="text1"/>
          <w:kern w:val="0"/>
        </w:rPr>
        <w:t>in</w:t>
      </w:r>
      <w:r w:rsidRPr="007C2EA5">
        <w:rPr>
          <w:rFonts w:cs="Book Antiqua"/>
          <w:color w:val="000000" w:themeColor="text1"/>
          <w:kern w:val="0"/>
        </w:rPr>
        <w:t xml:space="preserve"> immune-induced rat liver fibrosis. Thus, we conclude that Notch signaling exerts fibrogenesis mediated by the TGF-</w:t>
      </w:r>
      <w:r w:rsidRPr="007C2EA5">
        <w:rPr>
          <w:color w:val="000000" w:themeColor="text1"/>
          <w:kern w:val="0"/>
        </w:rPr>
        <w:t>β</w:t>
      </w:r>
      <w:r w:rsidRPr="007C2EA5">
        <w:rPr>
          <w:rFonts w:cs="Book Antiqua"/>
          <w:color w:val="000000" w:themeColor="text1"/>
          <w:kern w:val="0"/>
        </w:rPr>
        <w:t>/Smad signaling pathway, although additional research is needed to clarify the nuances of this process.</w:t>
      </w:r>
    </w:p>
    <w:p w:rsidR="006325D1" w:rsidRPr="007C2EA5" w:rsidRDefault="006325D1" w:rsidP="00DC2D0F">
      <w:pPr>
        <w:rPr>
          <w:color w:val="000000" w:themeColor="text1"/>
        </w:rPr>
      </w:pPr>
    </w:p>
    <w:p w:rsidR="006325D1" w:rsidRPr="007C2EA5" w:rsidRDefault="006325D1" w:rsidP="006325D1">
      <w:pPr>
        <w:autoSpaceDE w:val="0"/>
        <w:autoSpaceDN w:val="0"/>
        <w:adjustRightInd w:val="0"/>
        <w:rPr>
          <w:rFonts w:cs="Book Antiqua"/>
          <w:color w:val="000000" w:themeColor="text1"/>
          <w:kern w:val="0"/>
        </w:rPr>
      </w:pPr>
      <w:r w:rsidRPr="007C2EA5">
        <w:rPr>
          <w:rFonts w:cs="Book Antiqua"/>
          <w:b/>
          <w:bCs/>
          <w:color w:val="000000" w:themeColor="text1"/>
          <w:kern w:val="0"/>
        </w:rPr>
        <w:t>COMMENTS</w:t>
      </w:r>
    </w:p>
    <w:p w:rsidR="006325D1" w:rsidRPr="007C2EA5" w:rsidRDefault="006325D1" w:rsidP="006325D1">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Background</w:t>
      </w:r>
    </w:p>
    <w:p w:rsidR="006325D1" w:rsidRPr="007C2EA5" w:rsidRDefault="006325D1" w:rsidP="006325D1">
      <w:pPr>
        <w:autoSpaceDE w:val="0"/>
        <w:autoSpaceDN w:val="0"/>
        <w:adjustRightInd w:val="0"/>
        <w:rPr>
          <w:rFonts w:cs="Book Antiqua"/>
          <w:color w:val="000000" w:themeColor="text1"/>
          <w:kern w:val="0"/>
        </w:rPr>
      </w:pPr>
      <w:r w:rsidRPr="007C2EA5">
        <w:rPr>
          <w:rFonts w:cs="Book Antiqua"/>
          <w:color w:val="000000" w:themeColor="text1"/>
          <w:kern w:val="0"/>
        </w:rPr>
        <w:t>Liver fibrosis is distributed widely and a serious threat to human health. It is difficult to cure the disease because the pathogenesis is not completely understood. The current study suggests that liver damage is related to immune factors, and Notch and transforming growth factor (TGF)-</w:t>
      </w:r>
      <w:r w:rsidRPr="007C2EA5">
        <w:rPr>
          <w:color w:val="000000" w:themeColor="text1"/>
          <w:kern w:val="0"/>
        </w:rPr>
        <w:t>β</w:t>
      </w:r>
      <w:r w:rsidRPr="007C2EA5">
        <w:rPr>
          <w:rFonts w:cs="Book Antiqua"/>
          <w:color w:val="000000" w:themeColor="text1"/>
          <w:kern w:val="0"/>
        </w:rPr>
        <w:t xml:space="preserve"> signaling play an important role in it. Blocking the two pathways may alleviate liver fibrosis.</w:t>
      </w:r>
    </w:p>
    <w:p w:rsidR="0022079F" w:rsidRPr="007C2EA5" w:rsidRDefault="0022079F" w:rsidP="006325D1">
      <w:pPr>
        <w:autoSpaceDE w:val="0"/>
        <w:autoSpaceDN w:val="0"/>
        <w:adjustRightInd w:val="0"/>
        <w:rPr>
          <w:rFonts w:cs="Book Antiqua"/>
          <w:color w:val="000000" w:themeColor="text1"/>
          <w:kern w:val="0"/>
        </w:rPr>
      </w:pPr>
    </w:p>
    <w:p w:rsidR="006325D1" w:rsidRPr="007C2EA5" w:rsidRDefault="006325D1" w:rsidP="006325D1">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Research frontiers</w:t>
      </w:r>
    </w:p>
    <w:p w:rsidR="006325D1" w:rsidRPr="007C2EA5" w:rsidRDefault="006325D1" w:rsidP="006325D1">
      <w:pPr>
        <w:autoSpaceDE w:val="0"/>
        <w:autoSpaceDN w:val="0"/>
        <w:adjustRightInd w:val="0"/>
        <w:rPr>
          <w:rFonts w:cs="Book Antiqua"/>
          <w:color w:val="000000" w:themeColor="text1"/>
          <w:kern w:val="0"/>
        </w:rPr>
      </w:pPr>
      <w:r w:rsidRPr="007C2EA5">
        <w:rPr>
          <w:rFonts w:cs="Book Antiqua"/>
          <w:color w:val="000000" w:themeColor="text1"/>
          <w:kern w:val="0"/>
        </w:rPr>
        <w:t>TGF-</w:t>
      </w:r>
      <w:r w:rsidRPr="007C2EA5">
        <w:rPr>
          <w:color w:val="000000" w:themeColor="text1"/>
          <w:kern w:val="0"/>
        </w:rPr>
        <w:t>β</w:t>
      </w:r>
      <w:r w:rsidRPr="007C2EA5">
        <w:rPr>
          <w:rFonts w:cs="Book Antiqua"/>
          <w:color w:val="000000" w:themeColor="text1"/>
          <w:kern w:val="0"/>
        </w:rPr>
        <w:t xml:space="preserve"> is one of the key factors that activates quiescent hepatic stellate cells, which transform into myofibroblasts, and it also promotes collagen production. Notch crosstalk with TGF-</w:t>
      </w:r>
      <w:r w:rsidRPr="007C2EA5">
        <w:rPr>
          <w:color w:val="000000" w:themeColor="text1"/>
          <w:kern w:val="0"/>
        </w:rPr>
        <w:t>β</w:t>
      </w:r>
      <w:r w:rsidRPr="007C2EA5">
        <w:rPr>
          <w:rFonts w:cs="Book Antiqua"/>
          <w:color w:val="000000" w:themeColor="text1"/>
          <w:kern w:val="0"/>
        </w:rPr>
        <w:t xml:space="preserve"> is involved in fibrosis of many organs including the liver, and overexpression of Notch intracellular domain and Smad3 activates their target gene transcription.</w:t>
      </w:r>
    </w:p>
    <w:p w:rsidR="0022079F" w:rsidRPr="007C2EA5" w:rsidRDefault="0022079F" w:rsidP="006325D1">
      <w:pPr>
        <w:autoSpaceDE w:val="0"/>
        <w:autoSpaceDN w:val="0"/>
        <w:adjustRightInd w:val="0"/>
        <w:rPr>
          <w:rFonts w:cs="Book Antiqua"/>
          <w:color w:val="000000" w:themeColor="text1"/>
          <w:kern w:val="0"/>
        </w:rPr>
      </w:pPr>
    </w:p>
    <w:p w:rsidR="006325D1" w:rsidRPr="007C2EA5" w:rsidRDefault="006325D1" w:rsidP="006325D1">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Innovations and breakthroughs</w:t>
      </w:r>
    </w:p>
    <w:p w:rsidR="006325D1" w:rsidRPr="007C2EA5" w:rsidRDefault="006325D1" w:rsidP="006325D1">
      <w:pPr>
        <w:autoSpaceDE w:val="0"/>
        <w:autoSpaceDN w:val="0"/>
        <w:adjustRightInd w:val="0"/>
        <w:rPr>
          <w:rFonts w:cs="Book Antiqua"/>
          <w:color w:val="000000" w:themeColor="text1"/>
          <w:kern w:val="0"/>
        </w:rPr>
      </w:pPr>
      <w:r w:rsidRPr="007C2EA5">
        <w:rPr>
          <w:rFonts w:cs="Book Antiqua"/>
          <w:color w:val="000000" w:themeColor="text1"/>
          <w:kern w:val="0"/>
        </w:rPr>
        <w:t>The present study showed that Notch signaling and TGF-</w:t>
      </w:r>
      <w:r w:rsidRPr="007C2EA5">
        <w:rPr>
          <w:color w:val="000000" w:themeColor="text1"/>
          <w:kern w:val="0"/>
        </w:rPr>
        <w:t>β</w:t>
      </w:r>
      <w:r w:rsidRPr="007C2EA5">
        <w:rPr>
          <w:rFonts w:cs="Book Antiqua"/>
          <w:color w:val="000000" w:themeColor="text1"/>
          <w:kern w:val="0"/>
        </w:rPr>
        <w:t xml:space="preserve"> signaling regulate each other in liver fibrosis, which provide a new insight into the immune mechanism of liver fibrosis.</w:t>
      </w:r>
    </w:p>
    <w:p w:rsidR="0022079F" w:rsidRPr="007C2EA5" w:rsidRDefault="0022079F" w:rsidP="006325D1">
      <w:pPr>
        <w:autoSpaceDE w:val="0"/>
        <w:autoSpaceDN w:val="0"/>
        <w:adjustRightInd w:val="0"/>
        <w:rPr>
          <w:rFonts w:cs="Book Antiqua"/>
          <w:color w:val="000000" w:themeColor="text1"/>
          <w:kern w:val="0"/>
        </w:rPr>
      </w:pPr>
    </w:p>
    <w:p w:rsidR="006325D1" w:rsidRPr="007C2EA5" w:rsidRDefault="006325D1" w:rsidP="006325D1">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Applications</w:t>
      </w:r>
    </w:p>
    <w:p w:rsidR="006325D1" w:rsidRPr="007C2EA5" w:rsidRDefault="006325D1" w:rsidP="006325D1">
      <w:pPr>
        <w:autoSpaceDE w:val="0"/>
        <w:autoSpaceDN w:val="0"/>
        <w:adjustRightInd w:val="0"/>
        <w:rPr>
          <w:rFonts w:cs="Book Antiqua"/>
          <w:color w:val="000000" w:themeColor="text1"/>
          <w:kern w:val="0"/>
        </w:rPr>
      </w:pPr>
      <w:r w:rsidRPr="007C2EA5">
        <w:rPr>
          <w:rFonts w:cs="Book Antiqua"/>
          <w:color w:val="000000" w:themeColor="text1"/>
          <w:kern w:val="0"/>
        </w:rPr>
        <w:lastRenderedPageBreak/>
        <w:t xml:space="preserve">The results of </w:t>
      </w:r>
      <w:r w:rsidRPr="007C2EA5">
        <w:rPr>
          <w:rFonts w:cs="Book Antiqua" w:hint="eastAsia"/>
          <w:color w:val="000000" w:themeColor="text1"/>
          <w:kern w:val="0"/>
        </w:rPr>
        <w:t>this</w:t>
      </w:r>
      <w:r w:rsidRPr="007C2EA5">
        <w:rPr>
          <w:rFonts w:cs="Book Antiqua"/>
          <w:color w:val="000000" w:themeColor="text1"/>
          <w:kern w:val="0"/>
        </w:rPr>
        <w:t xml:space="preserve"> study may have a positive impact on patients with liver fibrosis and its outcome.</w:t>
      </w:r>
    </w:p>
    <w:p w:rsidR="0022079F" w:rsidRPr="007C2EA5" w:rsidRDefault="0022079F" w:rsidP="006325D1">
      <w:pPr>
        <w:autoSpaceDE w:val="0"/>
        <w:autoSpaceDN w:val="0"/>
        <w:adjustRightInd w:val="0"/>
        <w:rPr>
          <w:rFonts w:cs="Book Antiqua"/>
          <w:color w:val="000000" w:themeColor="text1"/>
          <w:kern w:val="0"/>
        </w:rPr>
      </w:pPr>
    </w:p>
    <w:p w:rsidR="006325D1" w:rsidRPr="007C2EA5" w:rsidRDefault="006325D1" w:rsidP="006325D1">
      <w:pPr>
        <w:autoSpaceDE w:val="0"/>
        <w:autoSpaceDN w:val="0"/>
        <w:adjustRightInd w:val="0"/>
        <w:rPr>
          <w:rFonts w:cs="Book Antiqua"/>
          <w:b/>
          <w:bCs/>
          <w:i/>
          <w:iCs/>
          <w:color w:val="000000" w:themeColor="text1"/>
          <w:kern w:val="0"/>
        </w:rPr>
      </w:pPr>
      <w:r w:rsidRPr="007C2EA5">
        <w:rPr>
          <w:rFonts w:cs="Book Antiqua"/>
          <w:b/>
          <w:bCs/>
          <w:i/>
          <w:iCs/>
          <w:color w:val="000000" w:themeColor="text1"/>
          <w:kern w:val="0"/>
        </w:rPr>
        <w:t>Terminology</w:t>
      </w:r>
    </w:p>
    <w:p w:rsidR="006325D1" w:rsidRPr="007C2EA5" w:rsidRDefault="006325D1" w:rsidP="006325D1">
      <w:pPr>
        <w:autoSpaceDE w:val="0"/>
        <w:autoSpaceDN w:val="0"/>
        <w:adjustRightInd w:val="0"/>
        <w:rPr>
          <w:rFonts w:cs="Book Antiqua"/>
          <w:color w:val="000000" w:themeColor="text1"/>
          <w:kern w:val="0"/>
        </w:rPr>
      </w:pPr>
      <w:r w:rsidRPr="007C2EA5">
        <w:rPr>
          <w:rFonts w:cs="Book Antiqua"/>
          <w:color w:val="000000" w:themeColor="text1"/>
          <w:kern w:val="0"/>
        </w:rPr>
        <w:t xml:space="preserve">Notch is a highly conserved signaling pathway among all animal species, and </w:t>
      </w:r>
      <w:r w:rsidR="00B36652" w:rsidRPr="007C2EA5">
        <w:rPr>
          <w:rFonts w:cs="Book Antiqua"/>
          <w:color w:val="000000" w:themeColor="text1"/>
          <w:kern w:val="0"/>
        </w:rPr>
        <w:t xml:space="preserve">plays a key role in regulating </w:t>
      </w:r>
      <w:r w:rsidR="00050035" w:rsidRPr="007C2EA5">
        <w:rPr>
          <w:rFonts w:cs="Book Antiqua"/>
          <w:color w:val="000000" w:themeColor="text1"/>
          <w:kern w:val="0"/>
        </w:rPr>
        <w:t>cellular differentiation, proliferation, survival and apoptosis.</w:t>
      </w:r>
    </w:p>
    <w:p w:rsidR="0022079F" w:rsidRPr="007C2EA5" w:rsidRDefault="0022079F" w:rsidP="006325D1">
      <w:pPr>
        <w:autoSpaceDE w:val="0"/>
        <w:autoSpaceDN w:val="0"/>
        <w:adjustRightInd w:val="0"/>
        <w:rPr>
          <w:rFonts w:cs="Book Antiqua"/>
          <w:color w:val="000000" w:themeColor="text1"/>
          <w:kern w:val="0"/>
        </w:rPr>
      </w:pPr>
    </w:p>
    <w:p w:rsidR="006325D1" w:rsidRPr="007C2EA5" w:rsidRDefault="006325D1" w:rsidP="006325D1">
      <w:pPr>
        <w:autoSpaceDE w:val="0"/>
        <w:autoSpaceDN w:val="0"/>
        <w:adjustRightInd w:val="0"/>
        <w:rPr>
          <w:rFonts w:cs="Book Antiqua"/>
          <w:b/>
          <w:bCs/>
          <w:color w:val="000000" w:themeColor="text1"/>
          <w:kern w:val="0"/>
        </w:rPr>
      </w:pPr>
      <w:r w:rsidRPr="007C2EA5">
        <w:rPr>
          <w:rFonts w:cs="Book Antiqua"/>
          <w:b/>
          <w:bCs/>
          <w:i/>
          <w:iCs/>
          <w:color w:val="000000" w:themeColor="text1"/>
          <w:kern w:val="0"/>
        </w:rPr>
        <w:t>Peer-review</w:t>
      </w:r>
    </w:p>
    <w:p w:rsidR="0022079F" w:rsidRPr="007C2EA5" w:rsidRDefault="006325D1" w:rsidP="006325D1">
      <w:pPr>
        <w:rPr>
          <w:rFonts w:cs="Book Antiqua"/>
          <w:color w:val="000000" w:themeColor="text1"/>
          <w:kern w:val="0"/>
        </w:rPr>
      </w:pPr>
      <w:r w:rsidRPr="007C2EA5">
        <w:rPr>
          <w:rFonts w:cs="Book Antiqua"/>
          <w:color w:val="000000" w:themeColor="text1"/>
          <w:kern w:val="0"/>
        </w:rPr>
        <w:t xml:space="preserve">This article provides a particular answer only that is associated with the white blood cells being present in the circulation of the hepatic fibrosis-induced rats, presuming that the </w:t>
      </w:r>
      <w:r w:rsidR="00FA755C" w:rsidRPr="007C2EA5">
        <w:rPr>
          <w:rFonts w:cs="Book Antiqua"/>
          <w:color w:val="000000" w:themeColor="text1"/>
          <w:kern w:val="0"/>
        </w:rPr>
        <w:t xml:space="preserve">peripheral blood mononuclear cells (PBMCs) </w:t>
      </w:r>
      <w:r w:rsidRPr="007C2EA5">
        <w:rPr>
          <w:rFonts w:cs="Book Antiqua"/>
          <w:color w:val="000000" w:themeColor="text1"/>
          <w:kern w:val="0"/>
        </w:rPr>
        <w:t xml:space="preserve">fraction is characteristic and indicative of the fibrotic state, and that the PBMC fraction may have a role in hepatic fibrogenesis. </w:t>
      </w:r>
    </w:p>
    <w:p w:rsidR="0022079F" w:rsidRPr="007C2EA5" w:rsidRDefault="0022079F" w:rsidP="006325D1">
      <w:pPr>
        <w:rPr>
          <w:rFonts w:cs="Book Antiqua"/>
          <w:color w:val="000000" w:themeColor="text1"/>
          <w:kern w:val="0"/>
        </w:rPr>
      </w:pPr>
    </w:p>
    <w:p w:rsidR="0022079F" w:rsidRPr="007C2EA5" w:rsidRDefault="0022079F" w:rsidP="006325D1">
      <w:pPr>
        <w:rPr>
          <w:rFonts w:cs="Book Antiqua"/>
          <w:color w:val="000000" w:themeColor="text1"/>
          <w:kern w:val="0"/>
        </w:rPr>
      </w:pPr>
    </w:p>
    <w:p w:rsidR="0022079F" w:rsidRPr="007C2EA5" w:rsidRDefault="0022079F" w:rsidP="006325D1">
      <w:pPr>
        <w:rPr>
          <w:rFonts w:cs="Book Antiqua"/>
          <w:color w:val="000000" w:themeColor="text1"/>
          <w:kern w:val="0"/>
        </w:rPr>
      </w:pPr>
    </w:p>
    <w:p w:rsidR="0022079F" w:rsidRPr="007C2EA5" w:rsidRDefault="0022079F" w:rsidP="006325D1">
      <w:pPr>
        <w:rPr>
          <w:rFonts w:cs="Book Antiqua"/>
          <w:color w:val="000000" w:themeColor="text1"/>
          <w:kern w:val="0"/>
        </w:rPr>
      </w:pPr>
    </w:p>
    <w:p w:rsidR="0022079F" w:rsidRPr="007C2EA5" w:rsidRDefault="0022079F" w:rsidP="006325D1">
      <w:pPr>
        <w:rPr>
          <w:rFonts w:cs="Book Antiqua"/>
          <w:color w:val="000000" w:themeColor="text1"/>
          <w:kern w:val="0"/>
        </w:rPr>
      </w:pPr>
    </w:p>
    <w:p w:rsidR="0022079F" w:rsidRPr="007C2EA5" w:rsidRDefault="0022079F" w:rsidP="006325D1">
      <w:pPr>
        <w:rPr>
          <w:rFonts w:cs="Book Antiqua"/>
          <w:color w:val="000000" w:themeColor="text1"/>
          <w:kern w:val="0"/>
        </w:rPr>
      </w:pPr>
    </w:p>
    <w:p w:rsidR="0022079F" w:rsidRPr="007C2EA5" w:rsidRDefault="0022079F" w:rsidP="006325D1">
      <w:pPr>
        <w:rPr>
          <w:rFonts w:cs="Book Antiqua"/>
          <w:color w:val="000000" w:themeColor="text1"/>
          <w:kern w:val="0"/>
        </w:rPr>
      </w:pPr>
    </w:p>
    <w:p w:rsidR="0022079F" w:rsidRPr="007C2EA5" w:rsidRDefault="0022079F" w:rsidP="006325D1">
      <w:pPr>
        <w:rPr>
          <w:rFonts w:cs="Book Antiqua"/>
          <w:color w:val="000000" w:themeColor="text1"/>
          <w:kern w:val="0"/>
        </w:rPr>
      </w:pPr>
    </w:p>
    <w:p w:rsidR="0022079F" w:rsidRPr="007C2EA5" w:rsidRDefault="0022079F" w:rsidP="006325D1">
      <w:pPr>
        <w:rPr>
          <w:rFonts w:cs="Book Antiqua"/>
          <w:color w:val="000000" w:themeColor="text1"/>
          <w:kern w:val="0"/>
        </w:rPr>
      </w:pPr>
    </w:p>
    <w:p w:rsidR="0022079F" w:rsidRPr="007C2EA5" w:rsidRDefault="0022079F" w:rsidP="006325D1">
      <w:pPr>
        <w:rPr>
          <w:rFonts w:cs="Book Antiqua"/>
          <w:color w:val="000000" w:themeColor="text1"/>
          <w:kern w:val="0"/>
        </w:rPr>
      </w:pPr>
    </w:p>
    <w:p w:rsidR="0022079F" w:rsidRPr="007C2EA5" w:rsidRDefault="0022079F" w:rsidP="006325D1">
      <w:pPr>
        <w:rPr>
          <w:rFonts w:cs="Book Antiqua"/>
          <w:color w:val="000000" w:themeColor="text1"/>
          <w:kern w:val="0"/>
        </w:rPr>
      </w:pPr>
    </w:p>
    <w:p w:rsidR="0022079F" w:rsidRPr="007C2EA5" w:rsidRDefault="0022079F" w:rsidP="006325D1">
      <w:pPr>
        <w:rPr>
          <w:rFonts w:cs="Book Antiqua"/>
          <w:color w:val="000000" w:themeColor="text1"/>
          <w:kern w:val="0"/>
        </w:rPr>
      </w:pPr>
    </w:p>
    <w:p w:rsidR="0022079F" w:rsidRDefault="0022079F" w:rsidP="006325D1">
      <w:pPr>
        <w:rPr>
          <w:rFonts w:cs="Book Antiqua"/>
          <w:color w:val="000000" w:themeColor="text1"/>
          <w:kern w:val="0"/>
        </w:rPr>
      </w:pPr>
    </w:p>
    <w:p w:rsidR="00025738" w:rsidRDefault="00025738" w:rsidP="006325D1">
      <w:pPr>
        <w:rPr>
          <w:rFonts w:cs="Book Antiqua"/>
          <w:color w:val="000000" w:themeColor="text1"/>
          <w:kern w:val="0"/>
        </w:rPr>
      </w:pPr>
    </w:p>
    <w:p w:rsidR="00025738" w:rsidRDefault="00025738" w:rsidP="006325D1">
      <w:pPr>
        <w:rPr>
          <w:rFonts w:cs="Book Antiqua"/>
          <w:color w:val="000000" w:themeColor="text1"/>
          <w:kern w:val="0"/>
        </w:rPr>
      </w:pPr>
    </w:p>
    <w:p w:rsidR="00025738" w:rsidRPr="007C2EA5" w:rsidRDefault="00025738" w:rsidP="006325D1">
      <w:pPr>
        <w:rPr>
          <w:rFonts w:cs="Book Antiqua"/>
          <w:color w:val="000000" w:themeColor="text1"/>
          <w:kern w:val="0"/>
        </w:rPr>
      </w:pPr>
    </w:p>
    <w:p w:rsidR="00B35EBA" w:rsidRDefault="0022079F" w:rsidP="00B35EBA">
      <w:pPr>
        <w:autoSpaceDE w:val="0"/>
        <w:autoSpaceDN w:val="0"/>
        <w:adjustRightInd w:val="0"/>
        <w:rPr>
          <w:rFonts w:cs="Book Antiqua"/>
          <w:color w:val="000000" w:themeColor="text1"/>
          <w:kern w:val="0"/>
        </w:rPr>
      </w:pPr>
      <w:r w:rsidRPr="007C2EA5">
        <w:rPr>
          <w:rFonts w:cs="Book Antiqua"/>
          <w:b/>
          <w:bCs/>
          <w:color w:val="000000" w:themeColor="text1"/>
          <w:kern w:val="0"/>
        </w:rPr>
        <w:lastRenderedPageBreak/>
        <w:t>REFERENCES</w:t>
      </w:r>
      <w:bookmarkStart w:id="41" w:name="OLE_LINK167"/>
      <w:bookmarkStart w:id="42" w:name="OLE_LINK168"/>
    </w:p>
    <w:p w:rsidR="00B35EBA" w:rsidRPr="000F1BBB" w:rsidRDefault="00B35EBA" w:rsidP="00B35EBA">
      <w:pPr>
        <w:rPr>
          <w:rFonts w:cs="SimSun"/>
          <w:kern w:val="0"/>
        </w:rPr>
      </w:pPr>
      <w:bookmarkStart w:id="43" w:name="OLE_LINK177"/>
      <w:bookmarkStart w:id="44" w:name="OLE_LINK178"/>
      <w:r w:rsidRPr="000F1BBB">
        <w:rPr>
          <w:rFonts w:cs="SimSun"/>
          <w:kern w:val="0"/>
        </w:rPr>
        <w:t>1 </w:t>
      </w:r>
      <w:r w:rsidRPr="000F1BBB">
        <w:rPr>
          <w:rFonts w:cs="SimSun"/>
          <w:b/>
          <w:bCs/>
          <w:kern w:val="0"/>
        </w:rPr>
        <w:t>Hernandez-Gea V</w:t>
      </w:r>
      <w:r w:rsidRPr="000F1BBB">
        <w:rPr>
          <w:rFonts w:cs="SimSun"/>
          <w:kern w:val="0"/>
        </w:rPr>
        <w:t>, Friedman SL. Pathogenesis of liver fibrosis. </w:t>
      </w:r>
      <w:r w:rsidRPr="000F1BBB">
        <w:rPr>
          <w:rFonts w:cs="SimSun"/>
          <w:i/>
          <w:iCs/>
          <w:kern w:val="0"/>
        </w:rPr>
        <w:t>Annu Rev Pathol</w:t>
      </w:r>
      <w:r w:rsidRPr="000F1BBB">
        <w:rPr>
          <w:rFonts w:cs="SimSun"/>
          <w:kern w:val="0"/>
        </w:rPr>
        <w:t> 2011; </w:t>
      </w:r>
      <w:r w:rsidRPr="000F1BBB">
        <w:rPr>
          <w:rFonts w:cs="SimSun"/>
          <w:b/>
          <w:bCs/>
          <w:kern w:val="0"/>
        </w:rPr>
        <w:t>6</w:t>
      </w:r>
      <w:r w:rsidRPr="000F1BBB">
        <w:rPr>
          <w:rFonts w:cs="SimSun"/>
          <w:kern w:val="0"/>
        </w:rPr>
        <w:t>: 425-456 [PMID: 21073339 DOI: 10.1146/annurev-pathol-011110-130246]</w:t>
      </w:r>
    </w:p>
    <w:p w:rsidR="00B35EBA" w:rsidRPr="000F1BBB" w:rsidRDefault="00B35EBA" w:rsidP="00B35EBA">
      <w:pPr>
        <w:rPr>
          <w:rFonts w:cs="SimSun"/>
          <w:kern w:val="0"/>
        </w:rPr>
      </w:pPr>
      <w:r w:rsidRPr="000F1BBB">
        <w:rPr>
          <w:rFonts w:cs="SimSun"/>
          <w:kern w:val="0"/>
        </w:rPr>
        <w:t>2 </w:t>
      </w:r>
      <w:r w:rsidRPr="000F1BBB">
        <w:rPr>
          <w:rFonts w:cs="SimSun"/>
          <w:b/>
          <w:bCs/>
          <w:kern w:val="0"/>
        </w:rPr>
        <w:t>Friedman SL</w:t>
      </w:r>
      <w:r w:rsidRPr="000F1BBB">
        <w:rPr>
          <w:rFonts w:cs="SimSun"/>
          <w:kern w:val="0"/>
        </w:rPr>
        <w:t>. Mechanisms of hepatic fibrogenesis. </w:t>
      </w:r>
      <w:r w:rsidRPr="000F1BBB">
        <w:rPr>
          <w:rFonts w:cs="SimSun"/>
          <w:i/>
          <w:iCs/>
          <w:kern w:val="0"/>
        </w:rPr>
        <w:t>Gastroenterology</w:t>
      </w:r>
      <w:r w:rsidRPr="000F1BBB">
        <w:rPr>
          <w:rFonts w:cs="SimSun"/>
          <w:kern w:val="0"/>
        </w:rPr>
        <w:t> 2008; </w:t>
      </w:r>
      <w:r w:rsidRPr="000F1BBB">
        <w:rPr>
          <w:rFonts w:cs="SimSun"/>
          <w:b/>
          <w:bCs/>
          <w:kern w:val="0"/>
        </w:rPr>
        <w:t>134</w:t>
      </w:r>
      <w:r w:rsidRPr="000F1BBB">
        <w:rPr>
          <w:rFonts w:cs="SimSun"/>
          <w:kern w:val="0"/>
        </w:rPr>
        <w:t>: 1655-1669 [PMID: 18471545 DOI: 10.1053/j.gastro.2008.03.003]</w:t>
      </w:r>
    </w:p>
    <w:p w:rsidR="00B35EBA" w:rsidRPr="000F1BBB" w:rsidRDefault="00B35EBA" w:rsidP="00B35EBA">
      <w:pPr>
        <w:rPr>
          <w:rFonts w:cs="SimSun"/>
          <w:kern w:val="0"/>
        </w:rPr>
      </w:pPr>
      <w:r w:rsidRPr="000F1BBB">
        <w:rPr>
          <w:rFonts w:cs="SimSun"/>
          <w:kern w:val="0"/>
        </w:rPr>
        <w:t>3 </w:t>
      </w:r>
      <w:r w:rsidRPr="000F1BBB">
        <w:rPr>
          <w:rFonts w:cs="SimSun"/>
          <w:b/>
          <w:bCs/>
          <w:kern w:val="0"/>
        </w:rPr>
        <w:t>Lee UE</w:t>
      </w:r>
      <w:r w:rsidRPr="000F1BBB">
        <w:rPr>
          <w:rFonts w:cs="SimSun"/>
          <w:kern w:val="0"/>
        </w:rPr>
        <w:t>, Friedman SL. Mechanisms of hepatic fibrogenesis. </w:t>
      </w:r>
      <w:r w:rsidRPr="000F1BBB">
        <w:rPr>
          <w:rFonts w:cs="SimSun"/>
          <w:i/>
          <w:iCs/>
          <w:kern w:val="0"/>
        </w:rPr>
        <w:t>Best Pract Res Clin Gastroenterol</w:t>
      </w:r>
      <w:r w:rsidRPr="000F1BBB">
        <w:rPr>
          <w:rFonts w:cs="SimSun"/>
          <w:kern w:val="0"/>
        </w:rPr>
        <w:t> 2011; </w:t>
      </w:r>
      <w:r w:rsidRPr="000F1BBB">
        <w:rPr>
          <w:rFonts w:cs="SimSun"/>
          <w:b/>
          <w:bCs/>
          <w:kern w:val="0"/>
        </w:rPr>
        <w:t>25</w:t>
      </w:r>
      <w:r w:rsidRPr="000F1BBB">
        <w:rPr>
          <w:rFonts w:cs="SimSun"/>
          <w:kern w:val="0"/>
        </w:rPr>
        <w:t>: 195-206 [PMID: 21497738 DOI: 10.1016/j.bpg.2011.02.005]</w:t>
      </w:r>
    </w:p>
    <w:p w:rsidR="00B35EBA" w:rsidRPr="000F1BBB" w:rsidRDefault="00B35EBA" w:rsidP="00B35EBA">
      <w:pPr>
        <w:rPr>
          <w:rFonts w:cs="SimSun"/>
          <w:kern w:val="0"/>
        </w:rPr>
      </w:pPr>
      <w:r w:rsidRPr="000F1BBB">
        <w:rPr>
          <w:rFonts w:cs="SimSun"/>
          <w:kern w:val="0"/>
        </w:rPr>
        <w:t>4 </w:t>
      </w:r>
      <w:r w:rsidRPr="000F1BBB">
        <w:rPr>
          <w:rFonts w:cs="SimSun"/>
          <w:b/>
          <w:bCs/>
          <w:kern w:val="0"/>
        </w:rPr>
        <w:t>Schnaper HW</w:t>
      </w:r>
      <w:r w:rsidRPr="000F1BBB">
        <w:rPr>
          <w:rFonts w:cs="SimSun"/>
          <w:kern w:val="0"/>
        </w:rPr>
        <w:t>, Jandeska S, Runyan CE, Hubchak SC, Basu RK, Curley JF, Smith RD, Hayashida T. TGF-beta signal transduction in chronic kidney disease. </w:t>
      </w:r>
      <w:r w:rsidRPr="000F1BBB">
        <w:rPr>
          <w:rFonts w:cs="SimSun"/>
          <w:i/>
          <w:iCs/>
          <w:kern w:val="0"/>
        </w:rPr>
        <w:t>Front Biosci</w:t>
      </w:r>
      <w:r w:rsidRPr="000F1BBB">
        <w:rPr>
          <w:rFonts w:cs="SimSun"/>
          <w:iCs/>
          <w:kern w:val="0"/>
        </w:rPr>
        <w:t xml:space="preserve"> (Landmark Ed)</w:t>
      </w:r>
      <w:r w:rsidRPr="000F1BBB">
        <w:rPr>
          <w:rFonts w:cs="SimSun"/>
          <w:kern w:val="0"/>
        </w:rPr>
        <w:t> 2009; </w:t>
      </w:r>
      <w:r w:rsidRPr="000F1BBB">
        <w:rPr>
          <w:rFonts w:cs="SimSun"/>
          <w:b/>
          <w:bCs/>
          <w:kern w:val="0"/>
        </w:rPr>
        <w:t>14</w:t>
      </w:r>
      <w:r w:rsidRPr="000F1BBB">
        <w:rPr>
          <w:rFonts w:cs="SimSun"/>
          <w:kern w:val="0"/>
        </w:rPr>
        <w:t>: 2448-2465 [PMID: 19273211]</w:t>
      </w:r>
    </w:p>
    <w:p w:rsidR="00B35EBA" w:rsidRPr="000F1BBB" w:rsidRDefault="00B35EBA" w:rsidP="00B35EBA">
      <w:pPr>
        <w:rPr>
          <w:rFonts w:cs="SimSun"/>
          <w:kern w:val="0"/>
        </w:rPr>
      </w:pPr>
      <w:r w:rsidRPr="000F1BBB">
        <w:rPr>
          <w:rFonts w:cs="SimSun"/>
          <w:kern w:val="0"/>
        </w:rPr>
        <w:t>5 </w:t>
      </w:r>
      <w:r w:rsidRPr="000F1BBB">
        <w:rPr>
          <w:rFonts w:cs="SimSun"/>
          <w:b/>
          <w:bCs/>
          <w:kern w:val="0"/>
        </w:rPr>
        <w:t>Bielesz B</w:t>
      </w:r>
      <w:r w:rsidRPr="000F1BBB">
        <w:rPr>
          <w:rFonts w:cs="SimSun"/>
          <w:kern w:val="0"/>
        </w:rPr>
        <w:t>, Sirin Y, Si H, Niranjan T, Gruenwald A, Ahn S, Kato H, Pullman J, Gessler M, Haase VH, Susztak K. Epithelial Notch signaling regulates interstitial fibrosis development in the kidneys of mice and humans. </w:t>
      </w:r>
      <w:r w:rsidRPr="000F1BBB">
        <w:rPr>
          <w:rFonts w:cs="SimSun"/>
          <w:i/>
          <w:iCs/>
          <w:kern w:val="0"/>
        </w:rPr>
        <w:t>J Clin Invest</w:t>
      </w:r>
      <w:r w:rsidRPr="000F1BBB">
        <w:rPr>
          <w:rFonts w:cs="SimSun"/>
          <w:kern w:val="0"/>
        </w:rPr>
        <w:t> 2010; </w:t>
      </w:r>
      <w:r w:rsidRPr="000F1BBB">
        <w:rPr>
          <w:rFonts w:cs="SimSun"/>
          <w:b/>
          <w:bCs/>
          <w:kern w:val="0"/>
        </w:rPr>
        <w:t>120</w:t>
      </w:r>
      <w:r w:rsidRPr="000F1BBB">
        <w:rPr>
          <w:rFonts w:cs="SimSun"/>
          <w:kern w:val="0"/>
        </w:rPr>
        <w:t>: 4040-4054 [PMID: 20978353 DOI: 10.1172/JCI43025]</w:t>
      </w:r>
    </w:p>
    <w:p w:rsidR="00B35EBA" w:rsidRPr="000F1BBB" w:rsidRDefault="00B35EBA" w:rsidP="00B35EBA">
      <w:pPr>
        <w:rPr>
          <w:rFonts w:cs="SimSun"/>
          <w:kern w:val="0"/>
        </w:rPr>
      </w:pPr>
      <w:r w:rsidRPr="000F1BBB">
        <w:rPr>
          <w:rFonts w:cs="SimSun"/>
          <w:kern w:val="0"/>
        </w:rPr>
        <w:t>6 </w:t>
      </w:r>
      <w:r w:rsidRPr="000F1BBB">
        <w:rPr>
          <w:rFonts w:cs="SimSun"/>
          <w:b/>
          <w:bCs/>
          <w:kern w:val="0"/>
        </w:rPr>
        <w:t>Xiao Z</w:t>
      </w:r>
      <w:r w:rsidRPr="000F1BBB">
        <w:rPr>
          <w:rFonts w:cs="SimSun"/>
          <w:kern w:val="0"/>
        </w:rPr>
        <w:t>, Zhang J, Peng X, Dong Y, Jia L, Li H, Du J. The Notch γ-secretase inhibitor ameliorates kidney fibrosis via inhibition of TGF-β/Smad2/3 signaling pathway activation. </w:t>
      </w:r>
      <w:r w:rsidRPr="000F1BBB">
        <w:rPr>
          <w:rFonts w:cs="SimSun"/>
          <w:i/>
          <w:iCs/>
          <w:kern w:val="0"/>
        </w:rPr>
        <w:t>Int J Biochem Cell Biol</w:t>
      </w:r>
      <w:r w:rsidRPr="000F1BBB">
        <w:rPr>
          <w:rFonts w:cs="SimSun"/>
          <w:kern w:val="0"/>
        </w:rPr>
        <w:t> 2014; </w:t>
      </w:r>
      <w:r w:rsidRPr="000F1BBB">
        <w:rPr>
          <w:rFonts w:cs="SimSun"/>
          <w:b/>
          <w:bCs/>
          <w:kern w:val="0"/>
        </w:rPr>
        <w:t>55</w:t>
      </w:r>
      <w:r w:rsidRPr="000F1BBB">
        <w:rPr>
          <w:rFonts w:cs="SimSun"/>
          <w:kern w:val="0"/>
        </w:rPr>
        <w:t>: 65-71 [PMID: 25150830 DOI: 10.1016/j.biocel.2014.08.009]</w:t>
      </w:r>
    </w:p>
    <w:p w:rsidR="00B35EBA" w:rsidRPr="000F1BBB" w:rsidRDefault="00B35EBA" w:rsidP="00B35EBA">
      <w:pPr>
        <w:rPr>
          <w:rFonts w:cs="SimSun"/>
          <w:kern w:val="0"/>
        </w:rPr>
      </w:pPr>
      <w:r w:rsidRPr="000F1BBB">
        <w:rPr>
          <w:rFonts w:cs="SimSun"/>
          <w:kern w:val="0"/>
        </w:rPr>
        <w:t>7 </w:t>
      </w:r>
      <w:r w:rsidRPr="000F1BBB">
        <w:rPr>
          <w:rFonts w:cs="SimSun"/>
          <w:b/>
          <w:bCs/>
          <w:kern w:val="0"/>
        </w:rPr>
        <w:t>Maillard I</w:t>
      </w:r>
      <w:r w:rsidRPr="000F1BBB">
        <w:rPr>
          <w:rFonts w:cs="SimSun"/>
          <w:kern w:val="0"/>
        </w:rPr>
        <w:t>, Adler SH, Pear WS. Notch and the immune system. </w:t>
      </w:r>
      <w:r w:rsidRPr="000F1BBB">
        <w:rPr>
          <w:rFonts w:cs="SimSun"/>
          <w:i/>
          <w:iCs/>
          <w:kern w:val="0"/>
        </w:rPr>
        <w:t>Immunity</w:t>
      </w:r>
      <w:r w:rsidRPr="000F1BBB">
        <w:rPr>
          <w:rFonts w:cs="SimSun"/>
          <w:kern w:val="0"/>
        </w:rPr>
        <w:t> 2003; </w:t>
      </w:r>
      <w:r w:rsidRPr="000F1BBB">
        <w:rPr>
          <w:rFonts w:cs="SimSun"/>
          <w:b/>
          <w:bCs/>
          <w:kern w:val="0"/>
        </w:rPr>
        <w:t>19</w:t>
      </w:r>
      <w:r w:rsidRPr="000F1BBB">
        <w:rPr>
          <w:rFonts w:cs="SimSun"/>
          <w:kern w:val="0"/>
        </w:rPr>
        <w:t>: 781-791 [PMID: 14670296]</w:t>
      </w:r>
    </w:p>
    <w:p w:rsidR="00B35EBA" w:rsidRPr="000F1BBB" w:rsidRDefault="00B35EBA" w:rsidP="00B35EBA">
      <w:pPr>
        <w:rPr>
          <w:rFonts w:cs="SimSun"/>
          <w:kern w:val="0"/>
        </w:rPr>
      </w:pPr>
      <w:r w:rsidRPr="000F1BBB">
        <w:rPr>
          <w:rFonts w:cs="SimSun"/>
          <w:kern w:val="0"/>
        </w:rPr>
        <w:t>8 </w:t>
      </w:r>
      <w:r w:rsidRPr="000F1BBB">
        <w:rPr>
          <w:rFonts w:cs="SimSun"/>
          <w:b/>
          <w:bCs/>
          <w:kern w:val="0"/>
        </w:rPr>
        <w:t>Milano J</w:t>
      </w:r>
      <w:r w:rsidRPr="000F1BBB">
        <w:rPr>
          <w:rFonts w:cs="SimSun"/>
          <w:kern w:val="0"/>
        </w:rPr>
        <w:t>, McKay J, Dagenais C, Foster-Brown L, Pognan F, Gadient R, Jacobs RT, Zacco A, Greenberg B, Ciaccio PJ. Modulation of notch processing by gamma-secretase inhibitors causes intestinal goblet cell metaplasia and induction of genes known to specify gut secretory lineage differentiation. </w:t>
      </w:r>
      <w:r w:rsidRPr="000F1BBB">
        <w:rPr>
          <w:rFonts w:cs="SimSun"/>
          <w:i/>
          <w:iCs/>
          <w:kern w:val="0"/>
        </w:rPr>
        <w:t>Toxicol Sci</w:t>
      </w:r>
      <w:r w:rsidRPr="000F1BBB">
        <w:rPr>
          <w:rFonts w:cs="SimSun"/>
          <w:kern w:val="0"/>
        </w:rPr>
        <w:t> 2004; </w:t>
      </w:r>
      <w:r w:rsidRPr="000F1BBB">
        <w:rPr>
          <w:rFonts w:cs="SimSun"/>
          <w:b/>
          <w:bCs/>
          <w:kern w:val="0"/>
        </w:rPr>
        <w:t>82</w:t>
      </w:r>
      <w:r w:rsidRPr="000F1BBB">
        <w:rPr>
          <w:rFonts w:cs="SimSun"/>
          <w:kern w:val="0"/>
        </w:rPr>
        <w:t>: 341-358 [PMID: 15319485 DOI: 10.1093/toxsci/kfh254]</w:t>
      </w:r>
    </w:p>
    <w:p w:rsidR="00B35EBA" w:rsidRPr="000F1BBB" w:rsidRDefault="00B35EBA" w:rsidP="00B35EBA">
      <w:pPr>
        <w:rPr>
          <w:rFonts w:cs="SimSun"/>
          <w:kern w:val="0"/>
        </w:rPr>
      </w:pPr>
      <w:r w:rsidRPr="000F1BBB">
        <w:rPr>
          <w:rFonts w:cs="SimSun"/>
          <w:kern w:val="0"/>
        </w:rPr>
        <w:t>9</w:t>
      </w:r>
      <w:r w:rsidRPr="000F1BBB">
        <w:rPr>
          <w:rFonts w:cs="SimSun"/>
          <w:b/>
          <w:kern w:val="0"/>
        </w:rPr>
        <w:t xml:space="preserve"> Fiuza UM</w:t>
      </w:r>
      <w:r w:rsidRPr="000F1BBB">
        <w:rPr>
          <w:rFonts w:cs="SimSun"/>
          <w:kern w:val="0"/>
        </w:rPr>
        <w:t xml:space="preserve">, Arias AM. </w:t>
      </w:r>
      <w:bookmarkStart w:id="45" w:name="OLE_LINK169"/>
      <w:bookmarkStart w:id="46" w:name="OLE_LINK170"/>
      <w:r w:rsidRPr="000F1BBB">
        <w:rPr>
          <w:rFonts w:cs="SimSun"/>
          <w:kern w:val="0"/>
        </w:rPr>
        <w:t>Cell and molecular biology of Notch.</w:t>
      </w:r>
      <w:r w:rsidRPr="000F1BBB">
        <w:rPr>
          <w:rFonts w:cs="SimSun"/>
          <w:i/>
          <w:kern w:val="0"/>
        </w:rPr>
        <w:t xml:space="preserve"> J</w:t>
      </w:r>
      <w:r w:rsidRPr="000F1BBB">
        <w:rPr>
          <w:rFonts w:cs="SimSun" w:hint="eastAsia"/>
          <w:i/>
          <w:kern w:val="0"/>
        </w:rPr>
        <w:t xml:space="preserve"> </w:t>
      </w:r>
      <w:r w:rsidRPr="000F1BBB">
        <w:rPr>
          <w:rFonts w:cs="SimSun"/>
          <w:i/>
          <w:kern w:val="0"/>
        </w:rPr>
        <w:t>Endocrinol</w:t>
      </w:r>
      <w:r w:rsidRPr="000F1BBB">
        <w:rPr>
          <w:rFonts w:cs="SimSun" w:hint="eastAsia"/>
          <w:i/>
          <w:kern w:val="0"/>
        </w:rPr>
        <w:t xml:space="preserve"> </w:t>
      </w:r>
      <w:r w:rsidRPr="000F1BBB">
        <w:rPr>
          <w:rFonts w:cs="SimSun"/>
          <w:kern w:val="0"/>
        </w:rPr>
        <w:t xml:space="preserve">2007; </w:t>
      </w:r>
      <w:r w:rsidRPr="000F1BBB">
        <w:rPr>
          <w:rFonts w:cs="SimSun"/>
          <w:b/>
          <w:kern w:val="0"/>
        </w:rPr>
        <w:t>194</w:t>
      </w:r>
      <w:r w:rsidRPr="000F1BBB">
        <w:rPr>
          <w:rFonts w:cs="SimSun"/>
          <w:kern w:val="0"/>
        </w:rPr>
        <w:t xml:space="preserve">: 459-474 </w:t>
      </w:r>
      <w:bookmarkEnd w:id="45"/>
      <w:bookmarkEnd w:id="46"/>
      <w:r w:rsidRPr="000F1BBB">
        <w:rPr>
          <w:rFonts w:cs="SimSun"/>
          <w:kern w:val="0"/>
        </w:rPr>
        <w:t>[PMID: 17761886</w:t>
      </w:r>
      <w:r>
        <w:rPr>
          <w:rFonts w:cs="SimSun" w:hint="eastAsia"/>
          <w:kern w:val="0"/>
        </w:rPr>
        <w:t xml:space="preserve"> </w:t>
      </w:r>
      <w:r w:rsidRPr="000F1BBB">
        <w:rPr>
          <w:rFonts w:cs="SimSun"/>
          <w:kern w:val="0"/>
        </w:rPr>
        <w:t>DOI: 10.1677/joe-07-0242]</w:t>
      </w:r>
    </w:p>
    <w:p w:rsidR="00B35EBA" w:rsidRPr="000F1BBB" w:rsidRDefault="00B35EBA" w:rsidP="00B35EBA">
      <w:pPr>
        <w:rPr>
          <w:rFonts w:cs="SimSun"/>
          <w:kern w:val="0"/>
        </w:rPr>
      </w:pPr>
      <w:r w:rsidRPr="000F1BBB">
        <w:rPr>
          <w:rFonts w:cs="SimSun"/>
          <w:kern w:val="0"/>
        </w:rPr>
        <w:lastRenderedPageBreak/>
        <w:t xml:space="preserve">10 </w:t>
      </w:r>
      <w:r w:rsidRPr="000F1BBB">
        <w:rPr>
          <w:rFonts w:cs="SimSun"/>
          <w:b/>
          <w:kern w:val="0"/>
        </w:rPr>
        <w:t>Plantier L,</w:t>
      </w:r>
      <w:r w:rsidRPr="000F1BBB">
        <w:rPr>
          <w:rFonts w:cs="SimSun"/>
          <w:kern w:val="0"/>
        </w:rPr>
        <w:t xml:space="preserve"> Crestani B, Wert SE, Dehoux M, Zweytick B, Guenther A, Whitsett JA. Ectopic respiratory epithelial cell differentiation in bronchiolised distal airspaces in idiopathic pulmonary fibrosis. </w:t>
      </w:r>
      <w:r w:rsidRPr="000F1BBB">
        <w:rPr>
          <w:rFonts w:cs="SimSun"/>
          <w:i/>
          <w:kern w:val="0"/>
        </w:rPr>
        <w:t>Thorax</w:t>
      </w:r>
      <w:r w:rsidRPr="000F1BBB">
        <w:rPr>
          <w:rFonts w:cs="SimSun"/>
          <w:kern w:val="0"/>
        </w:rPr>
        <w:t xml:space="preserve"> 2011; </w:t>
      </w:r>
      <w:r w:rsidRPr="000F1BBB">
        <w:rPr>
          <w:rFonts w:cs="SimSun"/>
          <w:b/>
          <w:kern w:val="0"/>
        </w:rPr>
        <w:t>66</w:t>
      </w:r>
      <w:r w:rsidRPr="000F1BBB">
        <w:rPr>
          <w:rFonts w:cs="SimSun"/>
          <w:kern w:val="0"/>
        </w:rPr>
        <w:t>: 651-657 [DOI: 10.1136/thx.2010.151555]</w:t>
      </w:r>
    </w:p>
    <w:p w:rsidR="00B35EBA" w:rsidRPr="000F1BBB" w:rsidRDefault="00B35EBA" w:rsidP="00B35EBA">
      <w:pPr>
        <w:rPr>
          <w:rFonts w:cs="SimSun"/>
          <w:kern w:val="0"/>
        </w:rPr>
      </w:pPr>
      <w:r w:rsidRPr="000F1BBB">
        <w:rPr>
          <w:rFonts w:cs="SimSun"/>
          <w:kern w:val="0"/>
        </w:rPr>
        <w:t>11 </w:t>
      </w:r>
      <w:r w:rsidRPr="000F1BBB">
        <w:rPr>
          <w:rFonts w:cs="SimSun"/>
          <w:b/>
          <w:bCs/>
          <w:kern w:val="0"/>
        </w:rPr>
        <w:t>Russell JL</w:t>
      </w:r>
      <w:r w:rsidRPr="000F1BBB">
        <w:rPr>
          <w:rFonts w:cs="SimSun"/>
          <w:kern w:val="0"/>
        </w:rPr>
        <w:t>, Goetsch SC, Gaiano NR, Hill JA, Olson EN, Schneider JW. A dynamic notch injury response activates epicardium and contributes to fibrosis repair. </w:t>
      </w:r>
      <w:r w:rsidRPr="000F1BBB">
        <w:rPr>
          <w:rFonts w:cs="SimSun"/>
          <w:i/>
          <w:iCs/>
          <w:kern w:val="0"/>
        </w:rPr>
        <w:t>Circ Res</w:t>
      </w:r>
      <w:r w:rsidRPr="000F1BBB">
        <w:rPr>
          <w:rFonts w:cs="SimSun"/>
          <w:kern w:val="0"/>
        </w:rPr>
        <w:t> 2011; </w:t>
      </w:r>
      <w:r w:rsidRPr="000F1BBB">
        <w:rPr>
          <w:rFonts w:cs="SimSun"/>
          <w:b/>
          <w:bCs/>
          <w:kern w:val="0"/>
        </w:rPr>
        <w:t>108</w:t>
      </w:r>
      <w:r w:rsidRPr="000F1BBB">
        <w:rPr>
          <w:rFonts w:cs="SimSun"/>
          <w:kern w:val="0"/>
        </w:rPr>
        <w:t>: 51-59 [PMID: 21106942 DOI: 10.1161/circresaha.110.233262]</w:t>
      </w:r>
    </w:p>
    <w:p w:rsidR="00B35EBA" w:rsidRPr="000F1BBB" w:rsidRDefault="00B35EBA" w:rsidP="00B35EBA">
      <w:pPr>
        <w:rPr>
          <w:rFonts w:cs="SimSun"/>
          <w:kern w:val="0"/>
        </w:rPr>
      </w:pPr>
      <w:r w:rsidRPr="000F1BBB">
        <w:rPr>
          <w:rFonts w:cs="SimSun"/>
          <w:kern w:val="0"/>
        </w:rPr>
        <w:t>12 </w:t>
      </w:r>
      <w:r w:rsidRPr="000F1BBB">
        <w:rPr>
          <w:rFonts w:cs="SimSun"/>
          <w:b/>
          <w:bCs/>
          <w:kern w:val="0"/>
        </w:rPr>
        <w:t>Liang J</w:t>
      </w:r>
      <w:r w:rsidRPr="000F1BBB">
        <w:rPr>
          <w:rFonts w:cs="SimSun"/>
          <w:kern w:val="0"/>
        </w:rPr>
        <w:t>, Zhang B, Shen RW, Liu JB, Gao MH, Li Y, Li YY, Zhang W. Preventive effect of halofuginone on concanavalin A-induced liver fibrosis. </w:t>
      </w:r>
      <w:r w:rsidRPr="000F1BBB">
        <w:rPr>
          <w:rFonts w:cs="SimSun"/>
          <w:i/>
          <w:iCs/>
          <w:kern w:val="0"/>
        </w:rPr>
        <w:t>PLoS One</w:t>
      </w:r>
      <w:r w:rsidRPr="000F1BBB">
        <w:rPr>
          <w:rFonts w:cs="SimSun"/>
          <w:kern w:val="0"/>
        </w:rPr>
        <w:t> 2013; </w:t>
      </w:r>
      <w:r w:rsidRPr="000F1BBB">
        <w:rPr>
          <w:rFonts w:cs="SimSun"/>
          <w:b/>
          <w:bCs/>
          <w:kern w:val="0"/>
        </w:rPr>
        <w:t>8</w:t>
      </w:r>
      <w:r w:rsidRPr="000F1BBB">
        <w:rPr>
          <w:rFonts w:cs="SimSun"/>
          <w:kern w:val="0"/>
        </w:rPr>
        <w:t>: e82232 [PMID: 24358159 DOI: 10.1371/journal.pone.0082232]</w:t>
      </w:r>
    </w:p>
    <w:p w:rsidR="00B35EBA" w:rsidRPr="000F1BBB" w:rsidRDefault="00B35EBA" w:rsidP="00B35EBA">
      <w:pPr>
        <w:rPr>
          <w:rFonts w:cs="SimSun"/>
          <w:kern w:val="0"/>
        </w:rPr>
      </w:pPr>
      <w:r w:rsidRPr="000F1BBB">
        <w:rPr>
          <w:rFonts w:cs="SimSun"/>
          <w:kern w:val="0"/>
        </w:rPr>
        <w:t>13 </w:t>
      </w:r>
      <w:r w:rsidRPr="000F1BBB">
        <w:rPr>
          <w:rFonts w:cs="SimSun"/>
          <w:b/>
          <w:bCs/>
          <w:kern w:val="0"/>
        </w:rPr>
        <w:t>Liang J</w:t>
      </w:r>
      <w:r w:rsidRPr="000F1BBB">
        <w:rPr>
          <w:rFonts w:cs="SimSun"/>
          <w:kern w:val="0"/>
        </w:rPr>
        <w:t>, Zhang B, Shen RW, Liu JB, Gao MH, Geng X, Li Y, Li YY, Zhang W. The effect of antifibrotic drug halofugine on Th17 cells in concanavalin A-induced liver fibrosis. </w:t>
      </w:r>
      <w:r w:rsidRPr="000F1BBB">
        <w:rPr>
          <w:rFonts w:cs="SimSun"/>
          <w:i/>
          <w:iCs/>
          <w:kern w:val="0"/>
        </w:rPr>
        <w:t>Scand J Immunol</w:t>
      </w:r>
      <w:r w:rsidRPr="000F1BBB">
        <w:rPr>
          <w:rFonts w:cs="SimSun"/>
          <w:kern w:val="0"/>
        </w:rPr>
        <w:t> 2014; </w:t>
      </w:r>
      <w:r w:rsidRPr="000F1BBB">
        <w:rPr>
          <w:rFonts w:cs="SimSun"/>
          <w:b/>
          <w:bCs/>
          <w:kern w:val="0"/>
        </w:rPr>
        <w:t>79</w:t>
      </w:r>
      <w:r w:rsidRPr="000F1BBB">
        <w:rPr>
          <w:rFonts w:cs="SimSun"/>
          <w:kern w:val="0"/>
        </w:rPr>
        <w:t>: 163-172 [PMID: 24383550 DOI: 10.1111/sji.12144]</w:t>
      </w:r>
    </w:p>
    <w:p w:rsidR="00B35EBA" w:rsidRPr="000F1BBB" w:rsidRDefault="00B35EBA" w:rsidP="00B35EBA">
      <w:pPr>
        <w:rPr>
          <w:rFonts w:cs="SimSun"/>
          <w:kern w:val="0"/>
        </w:rPr>
      </w:pPr>
      <w:r w:rsidRPr="000F1BBB">
        <w:rPr>
          <w:rFonts w:cs="SimSun"/>
          <w:kern w:val="0"/>
        </w:rPr>
        <w:t>14 </w:t>
      </w:r>
      <w:r w:rsidRPr="000F1BBB">
        <w:rPr>
          <w:rFonts w:cs="SimSun"/>
          <w:b/>
          <w:bCs/>
          <w:kern w:val="0"/>
        </w:rPr>
        <w:t>Inagaki Y</w:t>
      </w:r>
      <w:r w:rsidRPr="000F1BBB">
        <w:rPr>
          <w:rFonts w:cs="SimSun"/>
          <w:kern w:val="0"/>
        </w:rPr>
        <w:t>, Okazaki I. Emerging insights into Transforming growth factor beta Smad signal in hepatic fibrogenesis. </w:t>
      </w:r>
      <w:r w:rsidRPr="000F1BBB">
        <w:rPr>
          <w:rFonts w:cs="SimSun"/>
          <w:i/>
          <w:iCs/>
          <w:kern w:val="0"/>
        </w:rPr>
        <w:t>Gut</w:t>
      </w:r>
      <w:r w:rsidRPr="000F1BBB">
        <w:rPr>
          <w:rFonts w:cs="SimSun"/>
          <w:kern w:val="0"/>
        </w:rPr>
        <w:t> 2007; </w:t>
      </w:r>
      <w:r w:rsidRPr="000F1BBB">
        <w:rPr>
          <w:rFonts w:cs="SimSun"/>
          <w:b/>
          <w:bCs/>
          <w:kern w:val="0"/>
        </w:rPr>
        <w:t>56</w:t>
      </w:r>
      <w:r w:rsidRPr="000F1BBB">
        <w:rPr>
          <w:rFonts w:cs="SimSun"/>
          <w:kern w:val="0"/>
        </w:rPr>
        <w:t>: 284-292 [PMID: 17303605 DOI: 10.1136/gut.2005.088690]</w:t>
      </w:r>
    </w:p>
    <w:p w:rsidR="00B35EBA" w:rsidRPr="000F1BBB" w:rsidRDefault="00B35EBA" w:rsidP="00B35EBA">
      <w:pPr>
        <w:rPr>
          <w:rFonts w:cs="SimSun"/>
          <w:kern w:val="0"/>
        </w:rPr>
      </w:pPr>
      <w:r w:rsidRPr="000F1BBB">
        <w:rPr>
          <w:rFonts w:cs="SimSun"/>
          <w:kern w:val="0"/>
        </w:rPr>
        <w:t>15 </w:t>
      </w:r>
      <w:r w:rsidRPr="000F1BBB">
        <w:rPr>
          <w:rFonts w:cs="SimSun"/>
          <w:b/>
          <w:bCs/>
          <w:kern w:val="0"/>
        </w:rPr>
        <w:t>Wick G</w:t>
      </w:r>
      <w:r w:rsidRPr="000F1BBB">
        <w:rPr>
          <w:rFonts w:cs="SimSun"/>
          <w:kern w:val="0"/>
        </w:rPr>
        <w:t>, Grundtman C, Mayerl C, Wimpissinger TF, Feichtinger J, Zelger B, Sgonc R, Wolfram D. The immunology of fibrosis. </w:t>
      </w:r>
      <w:r w:rsidRPr="000F1BBB">
        <w:rPr>
          <w:rFonts w:cs="SimSun"/>
          <w:i/>
          <w:iCs/>
          <w:kern w:val="0"/>
        </w:rPr>
        <w:t>Annu Rev Immunol</w:t>
      </w:r>
      <w:r w:rsidRPr="000F1BBB">
        <w:rPr>
          <w:rFonts w:cs="SimSun"/>
          <w:kern w:val="0"/>
        </w:rPr>
        <w:t> 2013; </w:t>
      </w:r>
      <w:r w:rsidRPr="000F1BBB">
        <w:rPr>
          <w:rFonts w:cs="SimSun"/>
          <w:b/>
          <w:bCs/>
          <w:kern w:val="0"/>
        </w:rPr>
        <w:t>31</w:t>
      </w:r>
      <w:r w:rsidRPr="000F1BBB">
        <w:rPr>
          <w:rFonts w:cs="SimSun"/>
          <w:kern w:val="0"/>
        </w:rPr>
        <w:t>: 107-135 [PMID: 23516981 DOI: 10.1146/annurev-immunol-032712-095937]</w:t>
      </w:r>
    </w:p>
    <w:p w:rsidR="00B35EBA" w:rsidRPr="000F1BBB" w:rsidRDefault="00B35EBA" w:rsidP="00B35EBA">
      <w:pPr>
        <w:rPr>
          <w:rFonts w:cs="SimSun"/>
          <w:kern w:val="0"/>
        </w:rPr>
      </w:pPr>
      <w:r w:rsidRPr="000F1BBB">
        <w:rPr>
          <w:rFonts w:cs="SimSun"/>
          <w:kern w:val="0"/>
        </w:rPr>
        <w:t>16 </w:t>
      </w:r>
      <w:r w:rsidRPr="000F1BBB">
        <w:rPr>
          <w:rFonts w:cs="SimSun"/>
          <w:b/>
          <w:bCs/>
          <w:kern w:val="0"/>
        </w:rPr>
        <w:t>Cheng YL</w:t>
      </w:r>
      <w:r w:rsidRPr="000F1BBB">
        <w:rPr>
          <w:rFonts w:cs="SimSun"/>
          <w:kern w:val="0"/>
        </w:rPr>
        <w:t>, Choi Y, Sobey CG, Arumugam TV, Jo DG. Emerging roles of the γ-secretase-notch axis in inflammation. </w:t>
      </w:r>
      <w:r w:rsidRPr="000F1BBB">
        <w:rPr>
          <w:rFonts w:cs="SimSun"/>
          <w:i/>
          <w:iCs/>
          <w:kern w:val="0"/>
        </w:rPr>
        <w:t>Pharmacol Ther</w:t>
      </w:r>
      <w:r w:rsidRPr="000F1BBB">
        <w:rPr>
          <w:rFonts w:cs="SimSun"/>
          <w:kern w:val="0"/>
        </w:rPr>
        <w:t> 2015; </w:t>
      </w:r>
      <w:r w:rsidRPr="000F1BBB">
        <w:rPr>
          <w:rFonts w:cs="SimSun"/>
          <w:b/>
          <w:bCs/>
          <w:kern w:val="0"/>
        </w:rPr>
        <w:t>147</w:t>
      </w:r>
      <w:r w:rsidRPr="000F1BBB">
        <w:rPr>
          <w:rFonts w:cs="SimSun"/>
          <w:kern w:val="0"/>
        </w:rPr>
        <w:t>: 80-90 [PMID: 25448038 DOI: 10.1016/j.pharmthera.2014.11.005]</w:t>
      </w:r>
    </w:p>
    <w:p w:rsidR="00B35EBA" w:rsidRPr="000F1BBB" w:rsidRDefault="00B35EBA" w:rsidP="00B35EBA">
      <w:pPr>
        <w:rPr>
          <w:rFonts w:cs="SimSun"/>
          <w:kern w:val="0"/>
        </w:rPr>
      </w:pPr>
      <w:r w:rsidRPr="000F1BBB">
        <w:rPr>
          <w:rFonts w:cs="SimSun"/>
          <w:kern w:val="0"/>
        </w:rPr>
        <w:t xml:space="preserve">17 </w:t>
      </w:r>
      <w:bookmarkStart w:id="47" w:name="OLE_LINK175"/>
      <w:bookmarkStart w:id="48" w:name="OLE_LINK176"/>
      <w:r w:rsidRPr="000F1BBB">
        <w:rPr>
          <w:rFonts w:cs="SimSun"/>
          <w:b/>
          <w:kern w:val="0"/>
        </w:rPr>
        <w:t>Hans CP</w:t>
      </w:r>
      <w:r w:rsidRPr="000F1BBB">
        <w:rPr>
          <w:rFonts w:cs="SimSun"/>
          <w:kern w:val="0"/>
        </w:rPr>
        <w:t>, Koenig SN, Huang N, Cheng J, Beceiro S, Guggilam A, Kuivaniemi H, Partida-Sánchez S, Garg V. Inhibition of Notch1 Signaling Reduces Abdominal Aortic Aneurysm in Mice by Attenuating Macrophage-Mediated Inflammation</w:t>
      </w:r>
      <w:bookmarkEnd w:id="47"/>
      <w:bookmarkEnd w:id="48"/>
      <w:r w:rsidRPr="000F1BBB">
        <w:rPr>
          <w:rFonts w:cs="SimSun"/>
          <w:kern w:val="0"/>
        </w:rPr>
        <w:t xml:space="preserve">. </w:t>
      </w:r>
      <w:r w:rsidRPr="000F1BBB">
        <w:rPr>
          <w:rFonts w:cs="SimSun"/>
          <w:i/>
          <w:kern w:val="0"/>
        </w:rPr>
        <w:t>Arterioscler Thromb Vasc Biol</w:t>
      </w:r>
      <w:r>
        <w:rPr>
          <w:rFonts w:cs="SimSun" w:hint="eastAsia"/>
          <w:i/>
          <w:kern w:val="0"/>
        </w:rPr>
        <w:t xml:space="preserve"> </w:t>
      </w:r>
      <w:r w:rsidRPr="000F1BBB">
        <w:rPr>
          <w:rFonts w:cs="SimSun"/>
          <w:kern w:val="0"/>
        </w:rPr>
        <w:t xml:space="preserve">2012; </w:t>
      </w:r>
      <w:r w:rsidRPr="000F1BBB">
        <w:rPr>
          <w:rFonts w:cs="SimSun"/>
          <w:b/>
          <w:kern w:val="0"/>
        </w:rPr>
        <w:t>32</w:t>
      </w:r>
      <w:r w:rsidRPr="000F1BBB">
        <w:rPr>
          <w:rFonts w:cs="SimSun"/>
          <w:kern w:val="0"/>
        </w:rPr>
        <w:t>: 3012-3023 [PMID: 23087364</w:t>
      </w:r>
      <w:r>
        <w:rPr>
          <w:rFonts w:cs="SimSun" w:hint="eastAsia"/>
          <w:kern w:val="0"/>
        </w:rPr>
        <w:t xml:space="preserve"> </w:t>
      </w:r>
      <w:r w:rsidRPr="000F1BBB">
        <w:rPr>
          <w:rFonts w:cs="SimSun"/>
          <w:kern w:val="0"/>
        </w:rPr>
        <w:t>DOI: 10.1161/atvbaha.112.254219]</w:t>
      </w:r>
    </w:p>
    <w:p w:rsidR="00B35EBA" w:rsidRPr="000F1BBB" w:rsidRDefault="00B35EBA" w:rsidP="00B35EBA">
      <w:pPr>
        <w:rPr>
          <w:rFonts w:cs="SimSun"/>
          <w:kern w:val="0"/>
        </w:rPr>
      </w:pPr>
      <w:r w:rsidRPr="000F1BBB">
        <w:rPr>
          <w:rFonts w:cs="SimSun"/>
          <w:kern w:val="0"/>
        </w:rPr>
        <w:lastRenderedPageBreak/>
        <w:t>18 </w:t>
      </w:r>
      <w:r w:rsidRPr="000F1BBB">
        <w:rPr>
          <w:rFonts w:cs="SimSun"/>
          <w:b/>
          <w:bCs/>
          <w:kern w:val="0"/>
        </w:rPr>
        <w:t>Wang C</w:t>
      </w:r>
      <w:r w:rsidRPr="000F1BBB">
        <w:rPr>
          <w:rFonts w:cs="SimSun"/>
          <w:kern w:val="0"/>
        </w:rPr>
        <w:t>, Song X, Li Y, Han F, Gao S, Wang X, Xie S, Lv C. Low-dose paclitaxel ameliorates pulmonary fibrosis by suppressing TGF-β1/Smad3 pathway via miR-140 upregulation. </w:t>
      </w:r>
      <w:r w:rsidRPr="000F1BBB">
        <w:rPr>
          <w:rFonts w:cs="SimSun"/>
          <w:i/>
          <w:iCs/>
          <w:kern w:val="0"/>
        </w:rPr>
        <w:t>PLoS One</w:t>
      </w:r>
      <w:r w:rsidRPr="000F1BBB">
        <w:rPr>
          <w:rFonts w:cs="SimSun"/>
          <w:kern w:val="0"/>
        </w:rPr>
        <w:t> 2013; </w:t>
      </w:r>
      <w:r w:rsidRPr="000F1BBB">
        <w:rPr>
          <w:rFonts w:cs="SimSun"/>
          <w:b/>
          <w:bCs/>
          <w:kern w:val="0"/>
        </w:rPr>
        <w:t>8</w:t>
      </w:r>
      <w:r w:rsidRPr="000F1BBB">
        <w:rPr>
          <w:rFonts w:cs="SimSun"/>
          <w:kern w:val="0"/>
        </w:rPr>
        <w:t>: e70725 [PMID: 23967091 DOI: 10.1371/journal.pone.0070725]</w:t>
      </w:r>
    </w:p>
    <w:p w:rsidR="00B35EBA" w:rsidRPr="000F1BBB" w:rsidRDefault="00B35EBA" w:rsidP="00B35EBA">
      <w:pPr>
        <w:rPr>
          <w:rFonts w:cs="SimSun"/>
          <w:kern w:val="0"/>
        </w:rPr>
      </w:pPr>
      <w:r w:rsidRPr="000F1BBB">
        <w:rPr>
          <w:rFonts w:cs="SimSun"/>
          <w:kern w:val="0"/>
        </w:rPr>
        <w:t>19 </w:t>
      </w:r>
      <w:r w:rsidRPr="000F1BBB">
        <w:rPr>
          <w:rFonts w:cs="SimSun"/>
          <w:b/>
          <w:bCs/>
          <w:kern w:val="0"/>
        </w:rPr>
        <w:t>Maiers JL</w:t>
      </w:r>
      <w:r w:rsidRPr="000F1BBB">
        <w:rPr>
          <w:rFonts w:cs="SimSun"/>
          <w:kern w:val="0"/>
        </w:rPr>
        <w:t>, Kostallari E, Mushref M, deAssuncao TM, Li H, Jalan-Sakrikar N, Huebert RC, Cao S, Malhi H, Shah VH. The unfolded protein response mediates fibrogenesis and collagen I secretion through regulating TANGO1 in mice. </w:t>
      </w:r>
      <w:r w:rsidRPr="000F1BBB">
        <w:rPr>
          <w:rFonts w:cs="SimSun"/>
          <w:i/>
          <w:iCs/>
          <w:kern w:val="0"/>
        </w:rPr>
        <w:t>Hepatology</w:t>
      </w:r>
      <w:r w:rsidRPr="000F1BBB">
        <w:rPr>
          <w:rFonts w:cs="SimSun"/>
          <w:kern w:val="0"/>
        </w:rPr>
        <w:t xml:space="preserve"> 2016; Epub ahead of print [PMID: </w:t>
      </w:r>
      <w:bookmarkStart w:id="49" w:name="OLE_LINK173"/>
      <w:bookmarkStart w:id="50" w:name="OLE_LINK174"/>
      <w:r w:rsidRPr="000F1BBB">
        <w:rPr>
          <w:rFonts w:cs="SimSun"/>
          <w:kern w:val="0"/>
        </w:rPr>
        <w:t xml:space="preserve">28039913 </w:t>
      </w:r>
      <w:bookmarkEnd w:id="49"/>
      <w:bookmarkEnd w:id="50"/>
      <w:r w:rsidRPr="000F1BBB">
        <w:rPr>
          <w:rFonts w:cs="SimSun"/>
          <w:kern w:val="0"/>
        </w:rPr>
        <w:t>DOI: 10.1002/hep.28921]</w:t>
      </w:r>
    </w:p>
    <w:p w:rsidR="00B35EBA" w:rsidRPr="000F1BBB" w:rsidRDefault="00B35EBA" w:rsidP="00B35EBA">
      <w:pPr>
        <w:rPr>
          <w:rFonts w:cs="SimSun"/>
          <w:kern w:val="0"/>
        </w:rPr>
      </w:pPr>
      <w:r w:rsidRPr="000F1BBB">
        <w:rPr>
          <w:rFonts w:cs="SimSun"/>
          <w:kern w:val="0"/>
        </w:rPr>
        <w:t>20 </w:t>
      </w:r>
      <w:r w:rsidRPr="000F1BBB">
        <w:rPr>
          <w:rFonts w:cs="SimSun"/>
          <w:b/>
          <w:bCs/>
          <w:kern w:val="0"/>
        </w:rPr>
        <w:t>Samon JB</w:t>
      </w:r>
      <w:r w:rsidRPr="000F1BBB">
        <w:rPr>
          <w:rFonts w:cs="SimSun"/>
          <w:kern w:val="0"/>
        </w:rPr>
        <w:t>, Champhekar A, Minter LM, Telfer JC, Miele L, Fauq A, Das P, Golde TE, Osborne BA. Notch1 and TGFbeta1 cooperatively regulate Foxp3 expression and the maintenance of peripheral regulatory T cells. </w:t>
      </w:r>
      <w:r w:rsidRPr="000F1BBB">
        <w:rPr>
          <w:rFonts w:cs="SimSun"/>
          <w:i/>
          <w:iCs/>
          <w:kern w:val="0"/>
        </w:rPr>
        <w:t>Blood</w:t>
      </w:r>
      <w:r w:rsidRPr="000F1BBB">
        <w:rPr>
          <w:rFonts w:cs="SimSun"/>
          <w:kern w:val="0"/>
        </w:rPr>
        <w:t> 2008; </w:t>
      </w:r>
      <w:r w:rsidRPr="000F1BBB">
        <w:rPr>
          <w:rFonts w:cs="SimSun"/>
          <w:b/>
          <w:bCs/>
          <w:kern w:val="0"/>
        </w:rPr>
        <w:t>112</w:t>
      </w:r>
      <w:r w:rsidRPr="000F1BBB">
        <w:rPr>
          <w:rFonts w:cs="SimSun"/>
          <w:kern w:val="0"/>
        </w:rPr>
        <w:t>: 1813-1821 [PMID: 18550850 DOI: 10.1182/blood-2008-03-144980]</w:t>
      </w:r>
    </w:p>
    <w:p w:rsidR="00B35EBA" w:rsidRPr="000F1BBB" w:rsidRDefault="00B35EBA" w:rsidP="00B35EBA">
      <w:pPr>
        <w:rPr>
          <w:rFonts w:cs="SimSun"/>
          <w:kern w:val="0"/>
        </w:rPr>
      </w:pPr>
      <w:r w:rsidRPr="000F1BBB">
        <w:rPr>
          <w:rFonts w:cs="SimSun"/>
          <w:kern w:val="0"/>
        </w:rPr>
        <w:t>21 </w:t>
      </w:r>
      <w:r w:rsidRPr="000F1BBB">
        <w:rPr>
          <w:rFonts w:cs="SimSun"/>
          <w:b/>
          <w:bCs/>
          <w:kern w:val="0"/>
        </w:rPr>
        <w:t>Ostroukhova M</w:t>
      </w:r>
      <w:r w:rsidRPr="000F1BBB">
        <w:rPr>
          <w:rFonts w:cs="SimSun"/>
          <w:kern w:val="0"/>
        </w:rPr>
        <w:t>, Qi Z, Oriss TB, Dixon-McCarthy B, Ray P, Ray A. Treg-mediated immunosuppression involves activation of the Notch-HES1 axis by membrane-bound TGF-beta. </w:t>
      </w:r>
      <w:r w:rsidRPr="000F1BBB">
        <w:rPr>
          <w:rFonts w:cs="SimSun"/>
          <w:i/>
          <w:iCs/>
          <w:kern w:val="0"/>
        </w:rPr>
        <w:t>J Clin Invest</w:t>
      </w:r>
      <w:r w:rsidRPr="000F1BBB">
        <w:rPr>
          <w:rFonts w:cs="SimSun"/>
          <w:kern w:val="0"/>
        </w:rPr>
        <w:t> 2006; </w:t>
      </w:r>
      <w:r w:rsidRPr="000F1BBB">
        <w:rPr>
          <w:rFonts w:cs="SimSun"/>
          <w:b/>
          <w:bCs/>
          <w:kern w:val="0"/>
        </w:rPr>
        <w:t>116</w:t>
      </w:r>
      <w:r w:rsidRPr="000F1BBB">
        <w:rPr>
          <w:rFonts w:cs="SimSun"/>
          <w:kern w:val="0"/>
        </w:rPr>
        <w:t>: 996-1004 [PMID: 16543950 DOI: 10.1172/JCI26490]</w:t>
      </w:r>
    </w:p>
    <w:p w:rsidR="00B35EBA" w:rsidRPr="000F1BBB" w:rsidRDefault="00B35EBA" w:rsidP="00B35EBA">
      <w:pPr>
        <w:rPr>
          <w:rFonts w:cs="SimSun"/>
          <w:kern w:val="0"/>
        </w:rPr>
      </w:pPr>
      <w:r w:rsidRPr="000F1BBB">
        <w:rPr>
          <w:rFonts w:cs="SimSun"/>
          <w:kern w:val="0"/>
        </w:rPr>
        <w:t>22 </w:t>
      </w:r>
      <w:r w:rsidRPr="000F1BBB">
        <w:rPr>
          <w:rFonts w:cs="SimSun"/>
          <w:b/>
          <w:bCs/>
          <w:kern w:val="0"/>
        </w:rPr>
        <w:t>Xie G</w:t>
      </w:r>
      <w:r w:rsidRPr="000F1BBB">
        <w:rPr>
          <w:rFonts w:cs="SimSun"/>
          <w:kern w:val="0"/>
        </w:rPr>
        <w:t>, Karaca G, Swiderska-Syn M, Michelotti GA, Krüger L, Chen Y, Premont RT, Choi SS, Diehl AM. Cross-talk between Notch and Hedgehog regulates hepatic stellate cell fate in mice. </w:t>
      </w:r>
      <w:r w:rsidRPr="000F1BBB">
        <w:rPr>
          <w:rFonts w:cs="SimSun"/>
          <w:i/>
          <w:iCs/>
          <w:kern w:val="0"/>
        </w:rPr>
        <w:t>Hepatology</w:t>
      </w:r>
      <w:r w:rsidRPr="000F1BBB">
        <w:rPr>
          <w:rFonts w:cs="SimSun"/>
          <w:kern w:val="0"/>
        </w:rPr>
        <w:t> 2013; </w:t>
      </w:r>
      <w:r w:rsidRPr="000F1BBB">
        <w:rPr>
          <w:rFonts w:cs="SimSun"/>
          <w:b/>
          <w:bCs/>
          <w:kern w:val="0"/>
        </w:rPr>
        <w:t>58</w:t>
      </w:r>
      <w:r w:rsidRPr="000F1BBB">
        <w:rPr>
          <w:rFonts w:cs="SimSun"/>
          <w:kern w:val="0"/>
        </w:rPr>
        <w:t>: 1801-1813 [PMID: 23703657 DOI: 10.1002/hep.26511]</w:t>
      </w:r>
    </w:p>
    <w:p w:rsidR="00B35EBA" w:rsidRPr="000F1BBB" w:rsidRDefault="00B35EBA" w:rsidP="00B35EBA">
      <w:pPr>
        <w:rPr>
          <w:rFonts w:cs="SimSun"/>
          <w:kern w:val="0"/>
        </w:rPr>
      </w:pPr>
      <w:r w:rsidRPr="000F1BBB">
        <w:rPr>
          <w:rFonts w:cs="SimSun"/>
          <w:kern w:val="0"/>
        </w:rPr>
        <w:t>23 </w:t>
      </w:r>
      <w:r w:rsidRPr="000F1BBB">
        <w:rPr>
          <w:rFonts w:cs="SimSun"/>
          <w:b/>
          <w:bCs/>
          <w:kern w:val="0"/>
        </w:rPr>
        <w:t>Luo K</w:t>
      </w:r>
      <w:r w:rsidRPr="000F1BBB">
        <w:rPr>
          <w:rFonts w:cs="SimSun"/>
          <w:kern w:val="0"/>
        </w:rPr>
        <w:t>. Signaling Cross Talk between TGF-β/Smad and Other Signaling Pathways. </w:t>
      </w:r>
      <w:r w:rsidRPr="000F1BBB">
        <w:rPr>
          <w:rFonts w:cs="SimSun"/>
          <w:i/>
          <w:iCs/>
          <w:kern w:val="0"/>
        </w:rPr>
        <w:t>Cold Spring Harb Perspect Biol</w:t>
      </w:r>
      <w:r w:rsidRPr="000F1BBB">
        <w:rPr>
          <w:rFonts w:cs="SimSun"/>
          <w:kern w:val="0"/>
        </w:rPr>
        <w:t> 2017; </w:t>
      </w:r>
      <w:r w:rsidRPr="000F1BBB">
        <w:rPr>
          <w:rFonts w:cs="SimSun"/>
          <w:b/>
          <w:bCs/>
          <w:kern w:val="0"/>
        </w:rPr>
        <w:t>9</w:t>
      </w:r>
      <w:r w:rsidRPr="000F1BBB">
        <w:rPr>
          <w:rFonts w:cs="SimSun"/>
          <w:kern w:val="0"/>
        </w:rPr>
        <w:t>: [PMID: 27836834 DOI: 10.1101/cshperspect</w:t>
      </w:r>
      <w:r>
        <w:rPr>
          <w:rFonts w:cs="SimSun"/>
          <w:kern w:val="0"/>
        </w:rPr>
        <w:t>]</w:t>
      </w:r>
    </w:p>
    <w:p w:rsidR="00B35EBA" w:rsidRPr="000F1BBB" w:rsidRDefault="00B35EBA" w:rsidP="00B35EBA">
      <w:pPr>
        <w:rPr>
          <w:rFonts w:cs="SimSun"/>
          <w:kern w:val="0"/>
        </w:rPr>
      </w:pPr>
      <w:r w:rsidRPr="000F1BBB">
        <w:rPr>
          <w:rFonts w:cs="SimSun"/>
          <w:kern w:val="0"/>
        </w:rPr>
        <w:t>24 </w:t>
      </w:r>
      <w:r w:rsidRPr="000F1BBB">
        <w:rPr>
          <w:rFonts w:cs="SimSun"/>
          <w:b/>
          <w:bCs/>
          <w:kern w:val="0"/>
        </w:rPr>
        <w:t>Chen Y</w:t>
      </w:r>
      <w:r w:rsidRPr="000F1BBB">
        <w:rPr>
          <w:rFonts w:cs="SimSun"/>
          <w:kern w:val="0"/>
        </w:rPr>
        <w:t>, Zheng S, Qi D, Zheng S, Guo J, Zhang S, Weng Z. Inhibition of Notch signaling by a γ-secretase inhibitor attenuates hepatic fibrosis in rats. </w:t>
      </w:r>
      <w:r w:rsidRPr="000F1BBB">
        <w:rPr>
          <w:rFonts w:cs="SimSun"/>
          <w:i/>
          <w:iCs/>
          <w:kern w:val="0"/>
        </w:rPr>
        <w:t>PLoS One</w:t>
      </w:r>
      <w:r w:rsidRPr="000F1BBB">
        <w:rPr>
          <w:rFonts w:cs="SimSun"/>
          <w:kern w:val="0"/>
        </w:rPr>
        <w:t> 2012; </w:t>
      </w:r>
      <w:r w:rsidRPr="000F1BBB">
        <w:rPr>
          <w:rFonts w:cs="SimSun"/>
          <w:b/>
          <w:bCs/>
          <w:kern w:val="0"/>
        </w:rPr>
        <w:t>7</w:t>
      </w:r>
      <w:r w:rsidRPr="000F1BBB">
        <w:rPr>
          <w:rFonts w:cs="SimSun"/>
          <w:kern w:val="0"/>
        </w:rPr>
        <w:t>: e46512 [PMID: 23056328 DOI: 10.1371/journal.pone.0046512]</w:t>
      </w:r>
    </w:p>
    <w:p w:rsidR="00B35EBA" w:rsidRPr="000F1BBB" w:rsidRDefault="00B35EBA" w:rsidP="00B35EBA">
      <w:pPr>
        <w:rPr>
          <w:rFonts w:cs="SimSun"/>
          <w:kern w:val="0"/>
        </w:rPr>
      </w:pPr>
      <w:r w:rsidRPr="000F1BBB">
        <w:rPr>
          <w:rFonts w:cs="SimSun"/>
          <w:kern w:val="0"/>
        </w:rPr>
        <w:lastRenderedPageBreak/>
        <w:t>25 </w:t>
      </w:r>
      <w:r w:rsidRPr="000F1BBB">
        <w:rPr>
          <w:rFonts w:cs="SimSun"/>
          <w:b/>
          <w:bCs/>
          <w:kern w:val="0"/>
        </w:rPr>
        <w:t>Rutkowski TP</w:t>
      </w:r>
      <w:r w:rsidRPr="000F1BBB">
        <w:rPr>
          <w:rFonts w:cs="SimSun"/>
          <w:kern w:val="0"/>
        </w:rPr>
        <w:t>, Kohn A, Sharma D, Ren Y, Mirando AJ, Hilton MJ. HES factors regulate specific aspects of chondrogenesis and chondrocyte hypertrophy during cartilage development. </w:t>
      </w:r>
      <w:r w:rsidRPr="000F1BBB">
        <w:rPr>
          <w:rFonts w:cs="SimSun"/>
          <w:i/>
          <w:iCs/>
          <w:kern w:val="0"/>
        </w:rPr>
        <w:t>J Cell Sci</w:t>
      </w:r>
      <w:r w:rsidRPr="000F1BBB">
        <w:rPr>
          <w:rFonts w:cs="SimSun"/>
          <w:kern w:val="0"/>
        </w:rPr>
        <w:t> 2016; </w:t>
      </w:r>
      <w:r w:rsidRPr="000F1BBB">
        <w:rPr>
          <w:rFonts w:cs="SimSun"/>
          <w:b/>
          <w:bCs/>
          <w:kern w:val="0"/>
        </w:rPr>
        <w:t>129</w:t>
      </w:r>
      <w:r w:rsidRPr="000F1BBB">
        <w:rPr>
          <w:rFonts w:cs="SimSun"/>
          <w:kern w:val="0"/>
        </w:rPr>
        <w:t>: 2145-2155 [PMID: 27160681 DOI: 10.1242/jcs.181271]</w:t>
      </w:r>
    </w:p>
    <w:p w:rsidR="00B35EBA" w:rsidRPr="000F1BBB" w:rsidRDefault="00B35EBA" w:rsidP="00B35EBA">
      <w:pPr>
        <w:rPr>
          <w:rFonts w:cs="SimSun"/>
          <w:kern w:val="0"/>
        </w:rPr>
      </w:pPr>
      <w:r w:rsidRPr="000F1BBB">
        <w:rPr>
          <w:rFonts w:cs="SimSun"/>
          <w:kern w:val="0"/>
        </w:rPr>
        <w:t>26 </w:t>
      </w:r>
      <w:r w:rsidRPr="000F1BBB">
        <w:rPr>
          <w:rFonts w:cs="SimSun"/>
          <w:b/>
          <w:bCs/>
          <w:kern w:val="0"/>
        </w:rPr>
        <w:t>Liu Z</w:t>
      </w:r>
      <w:r w:rsidRPr="000F1BBB">
        <w:rPr>
          <w:rFonts w:cs="SimSun"/>
          <w:kern w:val="0"/>
        </w:rPr>
        <w:t>, Chen J, Mirando AJ, Wang C, Zuscik MJ, O'Keefe RJ, Hilton MJ. A dual role for NOTCH signaling in joint cartilage maintenance and osteoarthritis. </w:t>
      </w:r>
      <w:r w:rsidRPr="000F1BBB">
        <w:rPr>
          <w:rFonts w:cs="SimSun"/>
          <w:i/>
          <w:iCs/>
          <w:kern w:val="0"/>
        </w:rPr>
        <w:t>Sci Signal</w:t>
      </w:r>
      <w:r w:rsidRPr="000F1BBB">
        <w:rPr>
          <w:rFonts w:cs="SimSun"/>
          <w:kern w:val="0"/>
        </w:rPr>
        <w:t> 2015; </w:t>
      </w:r>
      <w:r w:rsidRPr="000F1BBB">
        <w:rPr>
          <w:rFonts w:cs="SimSun"/>
          <w:b/>
          <w:bCs/>
          <w:kern w:val="0"/>
        </w:rPr>
        <w:t>8</w:t>
      </w:r>
      <w:r w:rsidRPr="000F1BBB">
        <w:rPr>
          <w:rFonts w:cs="SimSun"/>
          <w:kern w:val="0"/>
        </w:rPr>
        <w:t>: ra71 [PMID: 26198357 DOI: 10.1126/scisignal.aaa3792]</w:t>
      </w:r>
    </w:p>
    <w:p w:rsidR="00B35EBA" w:rsidRPr="000F1BBB" w:rsidRDefault="00B35EBA" w:rsidP="00B35EBA">
      <w:pPr>
        <w:rPr>
          <w:rFonts w:cs="SimSun"/>
          <w:kern w:val="0"/>
        </w:rPr>
      </w:pPr>
      <w:r w:rsidRPr="000F1BBB">
        <w:rPr>
          <w:rFonts w:cs="SimSun"/>
          <w:kern w:val="0"/>
        </w:rPr>
        <w:t xml:space="preserve">27 </w:t>
      </w:r>
      <w:r w:rsidRPr="000F1BBB">
        <w:rPr>
          <w:rFonts w:cs="SimSun"/>
          <w:b/>
          <w:kern w:val="0"/>
        </w:rPr>
        <w:t>Rizzo P</w:t>
      </w:r>
      <w:r w:rsidRPr="000F1BBB">
        <w:rPr>
          <w:rFonts w:cs="SimSun"/>
          <w:kern w:val="0"/>
        </w:rPr>
        <w:t xml:space="preserve">, Osipo C, Foreman K, Golde T, Osborne B, Miele L. </w:t>
      </w:r>
      <w:bookmarkStart w:id="51" w:name="OLE_LINK171"/>
      <w:bookmarkStart w:id="52" w:name="OLE_LINK172"/>
      <w:r w:rsidRPr="000F1BBB">
        <w:rPr>
          <w:rFonts w:cs="SimSun"/>
          <w:kern w:val="0"/>
        </w:rPr>
        <w:t xml:space="preserve">Rational targeting of Notch signaling in cancer. </w:t>
      </w:r>
      <w:r w:rsidRPr="000F1BBB">
        <w:rPr>
          <w:rFonts w:cs="SimSun"/>
          <w:i/>
          <w:kern w:val="0"/>
        </w:rPr>
        <w:t>Oncogene</w:t>
      </w:r>
      <w:r w:rsidRPr="000F1BBB">
        <w:rPr>
          <w:rFonts w:cs="SimSun"/>
          <w:kern w:val="0"/>
        </w:rPr>
        <w:t xml:space="preserve"> 2008; </w:t>
      </w:r>
      <w:r w:rsidRPr="000F1BBB">
        <w:rPr>
          <w:rFonts w:cs="SimSun"/>
          <w:b/>
          <w:kern w:val="0"/>
        </w:rPr>
        <w:t>27</w:t>
      </w:r>
      <w:r w:rsidRPr="000F1BBB">
        <w:rPr>
          <w:rFonts w:cs="SimSun"/>
          <w:kern w:val="0"/>
        </w:rPr>
        <w:t>: 5124-5131</w:t>
      </w:r>
      <w:bookmarkEnd w:id="51"/>
      <w:bookmarkEnd w:id="52"/>
      <w:r>
        <w:rPr>
          <w:rFonts w:cs="SimSun" w:hint="eastAsia"/>
          <w:kern w:val="0"/>
        </w:rPr>
        <w:t xml:space="preserve"> [</w:t>
      </w:r>
      <w:r w:rsidRPr="000F1BBB">
        <w:rPr>
          <w:rFonts w:cs="SimSun"/>
          <w:kern w:val="0"/>
        </w:rPr>
        <w:t>PMID: 18758481</w:t>
      </w:r>
      <w:r>
        <w:rPr>
          <w:rFonts w:cs="SimSun" w:hint="eastAsia"/>
          <w:kern w:val="0"/>
        </w:rPr>
        <w:t xml:space="preserve"> </w:t>
      </w:r>
      <w:r w:rsidRPr="000F1BBB">
        <w:rPr>
          <w:rFonts w:cs="SimSun"/>
          <w:kern w:val="0"/>
        </w:rPr>
        <w:t>DOI: 10.1038/onc.2008.226</w:t>
      </w:r>
      <w:r>
        <w:rPr>
          <w:rFonts w:cs="SimSun" w:hint="eastAsia"/>
          <w:kern w:val="0"/>
        </w:rPr>
        <w:t>]</w:t>
      </w:r>
    </w:p>
    <w:bookmarkEnd w:id="41"/>
    <w:bookmarkEnd w:id="42"/>
    <w:bookmarkEnd w:id="43"/>
    <w:bookmarkEnd w:id="44"/>
    <w:p w:rsidR="004B2B5B" w:rsidRPr="00B35EBA" w:rsidRDefault="004B2B5B" w:rsidP="00B35EBA">
      <w:pPr>
        <w:autoSpaceDE w:val="0"/>
        <w:autoSpaceDN w:val="0"/>
        <w:adjustRightInd w:val="0"/>
        <w:rPr>
          <w:rFonts w:cs="Book Antiqua"/>
          <w:color w:val="000000" w:themeColor="text1"/>
          <w:kern w:val="0"/>
        </w:rPr>
      </w:pPr>
    </w:p>
    <w:p w:rsidR="00FA755C" w:rsidRPr="007C2EA5" w:rsidRDefault="00FA755C" w:rsidP="00FA755C">
      <w:pPr>
        <w:pStyle w:val="ListParagraph"/>
        <w:spacing w:line="360" w:lineRule="auto"/>
        <w:ind w:right="120" w:firstLineChars="0" w:firstLine="0"/>
        <w:rPr>
          <w:rFonts w:ascii="Book Antiqua" w:eastAsia="SimSun" w:hAnsi="Book Antiqua"/>
          <w:b/>
          <w:bCs/>
          <w:color w:val="000000" w:themeColor="text1"/>
          <w:lang w:eastAsia="zh-CN"/>
        </w:rPr>
      </w:pPr>
      <w:r w:rsidRPr="007C2EA5">
        <w:rPr>
          <w:rStyle w:val="Strong"/>
          <w:rFonts w:ascii="Book Antiqua" w:hAnsi="Book Antiqua" w:cs="Arial"/>
          <w:bCs w:val="0"/>
          <w:noProof/>
          <w:color w:val="000000" w:themeColor="text1"/>
        </w:rPr>
        <w:t>P-Reviewer</w:t>
      </w:r>
      <w:r w:rsidRPr="007C2EA5">
        <w:rPr>
          <w:rStyle w:val="Strong"/>
          <w:rFonts w:ascii="Book Antiqua" w:eastAsia="SimSun" w:hAnsi="Book Antiqua" w:cs="Arial"/>
          <w:bCs w:val="0"/>
          <w:noProof/>
          <w:color w:val="000000" w:themeColor="text1"/>
          <w:lang w:eastAsia="zh-CN"/>
        </w:rPr>
        <w:t>:</w:t>
      </w:r>
      <w:r w:rsidRPr="007C2EA5">
        <w:rPr>
          <w:rFonts w:ascii="Book Antiqua" w:hAnsi="Book Antiqua"/>
          <w:bCs/>
          <w:color w:val="000000" w:themeColor="text1"/>
        </w:rPr>
        <w:t xml:space="preserve"> </w:t>
      </w:r>
      <w:r w:rsidR="00463AAC" w:rsidRPr="00463AAC">
        <w:rPr>
          <w:rFonts w:ascii="Book Antiqua" w:hAnsi="Book Antiqua"/>
          <w:bCs/>
          <w:color w:val="000000" w:themeColor="text1"/>
        </w:rPr>
        <w:t>Abdelgawad</w:t>
      </w:r>
      <w:r w:rsidR="00463AAC">
        <w:rPr>
          <w:rFonts w:ascii="Book Antiqua" w:eastAsiaTheme="minorEastAsia" w:hAnsi="Book Antiqua" w:hint="eastAsia"/>
          <w:bCs/>
          <w:color w:val="000000" w:themeColor="text1"/>
          <w:lang w:eastAsia="zh-CN"/>
        </w:rPr>
        <w:t xml:space="preserve"> </w:t>
      </w:r>
      <w:r w:rsidR="00463AAC" w:rsidRPr="00463AAC">
        <w:rPr>
          <w:rFonts w:ascii="Book Antiqua" w:hAnsi="Book Antiqua"/>
          <w:bCs/>
          <w:color w:val="000000" w:themeColor="text1"/>
        </w:rPr>
        <w:t>IA</w:t>
      </w:r>
      <w:r w:rsidR="00463AAC">
        <w:rPr>
          <w:rFonts w:ascii="Book Antiqua" w:eastAsiaTheme="minorEastAsia" w:hAnsi="Book Antiqua" w:hint="eastAsia"/>
          <w:bCs/>
          <w:color w:val="000000" w:themeColor="text1"/>
          <w:lang w:eastAsia="zh-CN"/>
        </w:rPr>
        <w:t>,</w:t>
      </w:r>
      <w:r w:rsidR="00463AAC" w:rsidRPr="00463AAC">
        <w:t xml:space="preserve"> </w:t>
      </w:r>
      <w:r w:rsidR="00463AAC">
        <w:rPr>
          <w:rFonts w:ascii="Book Antiqua" w:eastAsiaTheme="minorEastAsia" w:hAnsi="Book Antiqua" w:hint="eastAsia"/>
          <w:bCs/>
          <w:color w:val="000000" w:themeColor="text1"/>
          <w:lang w:eastAsia="zh-CN"/>
        </w:rPr>
        <w:t xml:space="preserve">Ji G, </w:t>
      </w:r>
      <w:r w:rsidR="00463AAC" w:rsidRPr="00463AAC">
        <w:rPr>
          <w:rFonts w:ascii="Book Antiqua" w:eastAsiaTheme="minorEastAsia" w:hAnsi="Book Antiqua"/>
          <w:bCs/>
          <w:color w:val="000000" w:themeColor="text1"/>
          <w:lang w:eastAsia="zh-CN"/>
        </w:rPr>
        <w:t>Lendvai</w:t>
      </w:r>
      <w:r w:rsidR="00463AAC">
        <w:rPr>
          <w:rFonts w:ascii="Book Antiqua" w:eastAsiaTheme="minorEastAsia" w:hAnsi="Book Antiqua" w:hint="eastAsia"/>
          <w:bCs/>
          <w:color w:val="000000" w:themeColor="text1"/>
          <w:lang w:eastAsia="zh-CN"/>
        </w:rPr>
        <w:t xml:space="preserve"> </w:t>
      </w:r>
      <w:r w:rsidR="00463AAC" w:rsidRPr="00463AAC">
        <w:rPr>
          <w:rFonts w:ascii="Book Antiqua" w:eastAsiaTheme="minorEastAsia" w:hAnsi="Book Antiqua"/>
          <w:bCs/>
          <w:color w:val="000000" w:themeColor="text1"/>
          <w:lang w:eastAsia="zh-CN"/>
        </w:rPr>
        <w:t>G</w:t>
      </w:r>
      <w:r w:rsidR="00463AAC">
        <w:rPr>
          <w:rFonts w:ascii="Book Antiqua" w:eastAsiaTheme="minorEastAsia" w:hAnsi="Book Antiqua" w:hint="eastAsia"/>
          <w:bCs/>
          <w:color w:val="000000" w:themeColor="text1"/>
          <w:lang w:eastAsia="zh-CN"/>
        </w:rPr>
        <w:t xml:space="preserve"> </w:t>
      </w:r>
      <w:r w:rsidRPr="007C2EA5">
        <w:rPr>
          <w:rFonts w:ascii="Book Antiqua" w:hAnsi="Book Antiqua"/>
          <w:b/>
          <w:bCs/>
          <w:color w:val="000000" w:themeColor="text1"/>
        </w:rPr>
        <w:t>S-Editor</w:t>
      </w:r>
      <w:r w:rsidRPr="007C2EA5">
        <w:rPr>
          <w:rFonts w:ascii="Book Antiqua" w:eastAsia="SimSun" w:hAnsi="Book Antiqua"/>
          <w:b/>
          <w:bCs/>
          <w:color w:val="000000" w:themeColor="text1"/>
          <w:lang w:eastAsia="zh-CN"/>
        </w:rPr>
        <w:t>:</w:t>
      </w:r>
      <w:r w:rsidRPr="007C2EA5">
        <w:rPr>
          <w:rFonts w:ascii="Book Antiqua" w:hAnsi="Book Antiqua"/>
          <w:bCs/>
          <w:color w:val="000000" w:themeColor="text1"/>
        </w:rPr>
        <w:t xml:space="preserve"> </w:t>
      </w:r>
      <w:r w:rsidRPr="007C2EA5">
        <w:rPr>
          <w:rFonts w:ascii="Book Antiqua" w:eastAsia="SimSun" w:hAnsi="Book Antiqua"/>
          <w:bCs/>
          <w:color w:val="000000" w:themeColor="text1"/>
          <w:lang w:eastAsia="zh-CN"/>
        </w:rPr>
        <w:t>Qi Y</w:t>
      </w:r>
      <w:r w:rsidRPr="007C2EA5">
        <w:rPr>
          <w:rFonts w:ascii="Book Antiqua" w:hAnsi="Book Antiqua"/>
          <w:b/>
          <w:bCs/>
          <w:color w:val="000000" w:themeColor="text1"/>
        </w:rPr>
        <w:t xml:space="preserve">   L-Editor</w:t>
      </w:r>
      <w:r w:rsidRPr="007C2EA5">
        <w:rPr>
          <w:rFonts w:ascii="Book Antiqua" w:eastAsia="SimSun" w:hAnsi="Book Antiqua"/>
          <w:b/>
          <w:bCs/>
          <w:color w:val="000000" w:themeColor="text1"/>
          <w:lang w:eastAsia="zh-CN"/>
        </w:rPr>
        <w:t>:</w:t>
      </w:r>
      <w:r w:rsidRPr="007C2EA5">
        <w:rPr>
          <w:rFonts w:ascii="Book Antiqua" w:hAnsi="Book Antiqua"/>
          <w:b/>
          <w:bCs/>
          <w:color w:val="000000" w:themeColor="text1"/>
        </w:rPr>
        <w:t xml:space="preserve">   E-Editor</w:t>
      </w:r>
      <w:r w:rsidRPr="007C2EA5">
        <w:rPr>
          <w:rFonts w:ascii="Book Antiqua" w:eastAsia="SimSun" w:hAnsi="Book Antiqua"/>
          <w:b/>
          <w:bCs/>
          <w:color w:val="000000" w:themeColor="text1"/>
          <w:lang w:eastAsia="zh-CN"/>
        </w:rPr>
        <w:t>:</w:t>
      </w:r>
    </w:p>
    <w:p w:rsidR="00FA755C" w:rsidRPr="00463AAC" w:rsidRDefault="00FA755C" w:rsidP="00FA755C">
      <w:pPr>
        <w:shd w:val="clear" w:color="auto" w:fill="FFFFFF"/>
        <w:snapToGrid w:val="0"/>
        <w:rPr>
          <w:rFonts w:cs="Helvetica"/>
          <w:b/>
          <w:color w:val="000000" w:themeColor="text1"/>
          <w:lang w:val="it-IT"/>
        </w:rPr>
      </w:pPr>
    </w:p>
    <w:p w:rsidR="00FA755C" w:rsidRPr="007C2EA5" w:rsidRDefault="00FA755C" w:rsidP="00FA755C">
      <w:pPr>
        <w:shd w:val="clear" w:color="auto" w:fill="FFFFFF"/>
        <w:snapToGrid w:val="0"/>
        <w:rPr>
          <w:rFonts w:cs="Helvetica"/>
          <w:b/>
          <w:color w:val="000000" w:themeColor="text1"/>
        </w:rPr>
      </w:pPr>
      <w:r w:rsidRPr="007C2EA5">
        <w:rPr>
          <w:rFonts w:cs="Helvetica"/>
          <w:b/>
          <w:color w:val="000000" w:themeColor="text1"/>
        </w:rPr>
        <w:t xml:space="preserve">Specialty type: </w:t>
      </w:r>
      <w:r w:rsidRPr="007C2EA5">
        <w:rPr>
          <w:rFonts w:cs="Helvetica"/>
          <w:color w:val="000000" w:themeColor="text1"/>
        </w:rPr>
        <w:t>Gastroenterology and</w:t>
      </w:r>
      <w:r w:rsidRPr="007C2EA5">
        <w:rPr>
          <w:rFonts w:cs="Helvetica" w:hint="eastAsia"/>
          <w:color w:val="000000" w:themeColor="text1"/>
        </w:rPr>
        <w:t xml:space="preserve"> </w:t>
      </w:r>
      <w:r w:rsidRPr="007C2EA5">
        <w:rPr>
          <w:rFonts w:cs="Helvetica"/>
          <w:color w:val="000000" w:themeColor="text1"/>
        </w:rPr>
        <w:t>hepatology</w:t>
      </w:r>
    </w:p>
    <w:p w:rsidR="00FA755C" w:rsidRPr="007C2EA5" w:rsidRDefault="00FA755C" w:rsidP="00FA755C">
      <w:pPr>
        <w:shd w:val="clear" w:color="auto" w:fill="FFFFFF"/>
        <w:snapToGrid w:val="0"/>
        <w:rPr>
          <w:rFonts w:cs="Helvetica"/>
          <w:b/>
          <w:color w:val="000000" w:themeColor="text1"/>
        </w:rPr>
      </w:pPr>
      <w:r w:rsidRPr="007C2EA5">
        <w:rPr>
          <w:rFonts w:cs="Helvetica"/>
          <w:b/>
          <w:color w:val="000000" w:themeColor="text1"/>
        </w:rPr>
        <w:t xml:space="preserve">Country of origin: </w:t>
      </w:r>
      <w:r w:rsidR="00463AAC" w:rsidRPr="00463AAC">
        <w:rPr>
          <w:rFonts w:cs="Helvetica" w:hint="eastAsia"/>
          <w:color w:val="000000" w:themeColor="text1"/>
        </w:rPr>
        <w:t>China</w:t>
      </w:r>
    </w:p>
    <w:p w:rsidR="00FA755C" w:rsidRPr="007C2EA5" w:rsidRDefault="00FA755C" w:rsidP="00FA755C">
      <w:pPr>
        <w:shd w:val="clear" w:color="auto" w:fill="FFFFFF"/>
        <w:snapToGrid w:val="0"/>
        <w:rPr>
          <w:rFonts w:cs="Helvetica"/>
          <w:b/>
          <w:color w:val="000000" w:themeColor="text1"/>
        </w:rPr>
      </w:pPr>
      <w:r w:rsidRPr="007C2EA5">
        <w:rPr>
          <w:rFonts w:cs="Helvetica"/>
          <w:b/>
          <w:color w:val="000000" w:themeColor="text1"/>
        </w:rPr>
        <w:t>Peer-review report classification</w:t>
      </w:r>
    </w:p>
    <w:p w:rsidR="00FA755C" w:rsidRPr="007C2EA5" w:rsidRDefault="00FA755C" w:rsidP="00FA755C">
      <w:pPr>
        <w:shd w:val="clear" w:color="auto" w:fill="FFFFFF"/>
        <w:snapToGrid w:val="0"/>
        <w:rPr>
          <w:rFonts w:cs="Helvetica"/>
          <w:color w:val="000000" w:themeColor="text1"/>
        </w:rPr>
      </w:pPr>
      <w:r w:rsidRPr="007C2EA5">
        <w:rPr>
          <w:rFonts w:cs="Helvetica"/>
          <w:color w:val="000000" w:themeColor="text1"/>
        </w:rPr>
        <w:t xml:space="preserve">Grade A (Excellent): </w:t>
      </w:r>
      <w:r w:rsidRPr="007C2EA5">
        <w:rPr>
          <w:rFonts w:cs="Helvetica" w:hint="eastAsia"/>
          <w:color w:val="000000" w:themeColor="text1"/>
        </w:rPr>
        <w:t>0</w:t>
      </w:r>
    </w:p>
    <w:p w:rsidR="00FA755C" w:rsidRPr="007C2EA5" w:rsidRDefault="00FA755C" w:rsidP="00FA755C">
      <w:pPr>
        <w:shd w:val="clear" w:color="auto" w:fill="FFFFFF"/>
        <w:snapToGrid w:val="0"/>
        <w:rPr>
          <w:rFonts w:cs="Helvetica"/>
          <w:color w:val="000000" w:themeColor="text1"/>
        </w:rPr>
      </w:pPr>
      <w:r w:rsidRPr="007C2EA5">
        <w:rPr>
          <w:rFonts w:cs="Helvetica"/>
          <w:color w:val="000000" w:themeColor="text1"/>
        </w:rPr>
        <w:t xml:space="preserve">Grade B (Very good): </w:t>
      </w:r>
      <w:r w:rsidR="00463AAC">
        <w:rPr>
          <w:rFonts w:cs="Helvetica" w:hint="eastAsia"/>
          <w:color w:val="000000" w:themeColor="text1"/>
        </w:rPr>
        <w:t>B</w:t>
      </w:r>
    </w:p>
    <w:p w:rsidR="00FA755C" w:rsidRPr="007C2EA5" w:rsidRDefault="00FA755C" w:rsidP="00FA755C">
      <w:pPr>
        <w:shd w:val="clear" w:color="auto" w:fill="FFFFFF"/>
        <w:snapToGrid w:val="0"/>
        <w:rPr>
          <w:rFonts w:cs="Helvetica"/>
          <w:color w:val="000000" w:themeColor="text1"/>
        </w:rPr>
      </w:pPr>
      <w:r w:rsidRPr="007C2EA5">
        <w:rPr>
          <w:rFonts w:cs="Helvetica"/>
          <w:color w:val="000000" w:themeColor="text1"/>
        </w:rPr>
        <w:t xml:space="preserve">Grade C (Good): </w:t>
      </w:r>
      <w:r w:rsidR="00463AAC">
        <w:rPr>
          <w:rFonts w:cs="Helvetica" w:hint="eastAsia"/>
          <w:color w:val="000000" w:themeColor="text1"/>
        </w:rPr>
        <w:t>C, C</w:t>
      </w:r>
    </w:p>
    <w:p w:rsidR="00FA755C" w:rsidRPr="007C2EA5" w:rsidRDefault="00FA755C" w:rsidP="00FA755C">
      <w:pPr>
        <w:shd w:val="clear" w:color="auto" w:fill="FFFFFF"/>
        <w:snapToGrid w:val="0"/>
        <w:rPr>
          <w:rFonts w:cs="Helvetica"/>
          <w:color w:val="000000" w:themeColor="text1"/>
        </w:rPr>
      </w:pPr>
      <w:r w:rsidRPr="007C2EA5">
        <w:rPr>
          <w:rFonts w:cs="Helvetica"/>
          <w:color w:val="000000" w:themeColor="text1"/>
        </w:rPr>
        <w:t xml:space="preserve">Grade D (Fair): </w:t>
      </w:r>
      <w:r w:rsidRPr="007C2EA5">
        <w:rPr>
          <w:rFonts w:cs="Helvetica" w:hint="eastAsia"/>
          <w:color w:val="000000" w:themeColor="text1"/>
        </w:rPr>
        <w:t>0</w:t>
      </w:r>
    </w:p>
    <w:p w:rsidR="00FA755C" w:rsidRPr="007C2EA5" w:rsidRDefault="00FA755C" w:rsidP="00FA755C">
      <w:pPr>
        <w:shd w:val="clear" w:color="auto" w:fill="FFFFFF"/>
        <w:snapToGrid w:val="0"/>
        <w:rPr>
          <w:rFonts w:cs="Helvetica"/>
          <w:color w:val="000000" w:themeColor="text1"/>
        </w:rPr>
      </w:pPr>
      <w:r w:rsidRPr="007C2EA5">
        <w:rPr>
          <w:rFonts w:cs="Helvetica"/>
          <w:color w:val="000000" w:themeColor="text1"/>
        </w:rPr>
        <w:t xml:space="preserve">Grade E (Poor): </w:t>
      </w:r>
      <w:r w:rsidRPr="007C2EA5">
        <w:rPr>
          <w:rFonts w:cs="Helvetica" w:hint="eastAsia"/>
          <w:color w:val="000000" w:themeColor="text1"/>
        </w:rPr>
        <w:t>0</w:t>
      </w:r>
    </w:p>
    <w:p w:rsidR="004B2B5B" w:rsidRPr="007C2EA5" w:rsidRDefault="004B2B5B" w:rsidP="006325D1">
      <w:pPr>
        <w:rPr>
          <w:color w:val="000000" w:themeColor="text1"/>
        </w:rPr>
      </w:pPr>
    </w:p>
    <w:p w:rsidR="004B2B5B" w:rsidRPr="007C2EA5" w:rsidRDefault="004B2B5B" w:rsidP="006325D1">
      <w:pPr>
        <w:rPr>
          <w:color w:val="000000" w:themeColor="text1"/>
        </w:rPr>
      </w:pPr>
    </w:p>
    <w:p w:rsidR="004B2B5B" w:rsidRPr="007C2EA5" w:rsidRDefault="004B2B5B" w:rsidP="006325D1">
      <w:pPr>
        <w:rPr>
          <w:color w:val="000000" w:themeColor="text1"/>
        </w:rPr>
      </w:pPr>
    </w:p>
    <w:p w:rsidR="004B2B5B" w:rsidRPr="007C2EA5" w:rsidRDefault="004B2B5B" w:rsidP="006325D1">
      <w:pPr>
        <w:rPr>
          <w:color w:val="000000" w:themeColor="text1"/>
        </w:rPr>
      </w:pPr>
    </w:p>
    <w:p w:rsidR="004B2B5B" w:rsidRPr="007C2EA5" w:rsidRDefault="004B2B5B" w:rsidP="006325D1">
      <w:pPr>
        <w:rPr>
          <w:color w:val="000000" w:themeColor="text1"/>
        </w:rPr>
      </w:pPr>
    </w:p>
    <w:p w:rsidR="004B2B5B" w:rsidRPr="007C2EA5" w:rsidRDefault="007C2EA5" w:rsidP="006325D1">
      <w:pPr>
        <w:rPr>
          <w:color w:val="000000" w:themeColor="text1"/>
        </w:rPr>
      </w:pPr>
      <w:r w:rsidRPr="007C2EA5">
        <w:rPr>
          <w:noProof/>
          <w:color w:val="000000" w:themeColor="text1"/>
        </w:rPr>
        <w:lastRenderedPageBreak/>
        <w:drawing>
          <wp:inline distT="0" distB="0" distL="0" distR="0" wp14:anchorId="0AF14F89" wp14:editId="6684E002">
            <wp:extent cx="2200275" cy="2596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03665" cy="2600325"/>
                    </a:xfrm>
                    <a:prstGeom prst="rect">
                      <a:avLst/>
                    </a:prstGeom>
                  </pic:spPr>
                </pic:pic>
              </a:graphicData>
            </a:graphic>
          </wp:inline>
        </w:drawing>
      </w:r>
    </w:p>
    <w:p w:rsidR="004B2B5B" w:rsidRPr="007C2EA5" w:rsidRDefault="004B2B5B" w:rsidP="006325D1">
      <w:pPr>
        <w:rPr>
          <w:color w:val="000000" w:themeColor="text1"/>
        </w:rPr>
      </w:pPr>
      <w:r w:rsidRPr="007C2EA5">
        <w:rPr>
          <w:color w:val="000000" w:themeColor="text1"/>
        </w:rPr>
        <w:t>A</w:t>
      </w:r>
    </w:p>
    <w:p w:rsidR="004B2B5B" w:rsidRPr="007C2EA5" w:rsidRDefault="007C2EA5" w:rsidP="006325D1">
      <w:pPr>
        <w:rPr>
          <w:color w:val="000000" w:themeColor="text1"/>
        </w:rPr>
      </w:pPr>
      <w:r w:rsidRPr="007C2EA5">
        <w:rPr>
          <w:noProof/>
          <w:color w:val="000000" w:themeColor="text1"/>
        </w:rPr>
        <w:drawing>
          <wp:inline distT="0" distB="0" distL="0" distR="0" wp14:anchorId="3820AE64" wp14:editId="58CF0233">
            <wp:extent cx="2863273" cy="1771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61895" cy="1770797"/>
                    </a:xfrm>
                    <a:prstGeom prst="rect">
                      <a:avLst/>
                    </a:prstGeom>
                  </pic:spPr>
                </pic:pic>
              </a:graphicData>
            </a:graphic>
          </wp:inline>
        </w:drawing>
      </w:r>
    </w:p>
    <w:p w:rsidR="004B2B5B" w:rsidRPr="007C2EA5" w:rsidRDefault="004B2B5B" w:rsidP="006325D1">
      <w:pPr>
        <w:rPr>
          <w:color w:val="000000" w:themeColor="text1"/>
        </w:rPr>
      </w:pPr>
      <w:r w:rsidRPr="007C2EA5">
        <w:rPr>
          <w:rFonts w:hint="eastAsia"/>
          <w:color w:val="000000" w:themeColor="text1"/>
        </w:rPr>
        <w:t>B</w:t>
      </w:r>
    </w:p>
    <w:p w:rsidR="004B2B5B" w:rsidRPr="007C2EA5" w:rsidRDefault="007C2EA5" w:rsidP="006325D1">
      <w:pPr>
        <w:rPr>
          <w:color w:val="000000" w:themeColor="text1"/>
        </w:rPr>
      </w:pPr>
      <w:r w:rsidRPr="007C2EA5">
        <w:rPr>
          <w:noProof/>
          <w:color w:val="000000" w:themeColor="text1"/>
        </w:rPr>
        <w:drawing>
          <wp:inline distT="0" distB="0" distL="0" distR="0" wp14:anchorId="35130A42" wp14:editId="367D53E7">
            <wp:extent cx="1543050" cy="219127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43050" cy="2191272"/>
                    </a:xfrm>
                    <a:prstGeom prst="rect">
                      <a:avLst/>
                    </a:prstGeom>
                  </pic:spPr>
                </pic:pic>
              </a:graphicData>
            </a:graphic>
          </wp:inline>
        </w:drawing>
      </w:r>
    </w:p>
    <w:p w:rsidR="004B2B5B" w:rsidRPr="007C2EA5" w:rsidRDefault="004B2B5B" w:rsidP="006325D1">
      <w:pPr>
        <w:rPr>
          <w:color w:val="000000" w:themeColor="text1"/>
        </w:rPr>
      </w:pPr>
      <w:r w:rsidRPr="007C2EA5">
        <w:rPr>
          <w:rFonts w:hint="eastAsia"/>
          <w:color w:val="000000" w:themeColor="text1"/>
        </w:rPr>
        <w:t>C</w:t>
      </w:r>
    </w:p>
    <w:p w:rsidR="004B2B5B" w:rsidRPr="007C2EA5" w:rsidRDefault="007C2EA5" w:rsidP="006325D1">
      <w:pPr>
        <w:rPr>
          <w:color w:val="000000" w:themeColor="text1"/>
        </w:rPr>
      </w:pPr>
      <w:r w:rsidRPr="007C2EA5">
        <w:rPr>
          <w:noProof/>
          <w:color w:val="000000" w:themeColor="text1"/>
        </w:rPr>
        <w:lastRenderedPageBreak/>
        <w:drawing>
          <wp:inline distT="0" distB="0" distL="0" distR="0" wp14:anchorId="1D0D6396" wp14:editId="25B2245F">
            <wp:extent cx="4114800" cy="2449353"/>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12819" cy="2448174"/>
                    </a:xfrm>
                    <a:prstGeom prst="rect">
                      <a:avLst/>
                    </a:prstGeom>
                  </pic:spPr>
                </pic:pic>
              </a:graphicData>
            </a:graphic>
          </wp:inline>
        </w:drawing>
      </w:r>
    </w:p>
    <w:p w:rsidR="004B2B5B" w:rsidRPr="007C2EA5" w:rsidRDefault="004B2B5B" w:rsidP="006325D1">
      <w:pPr>
        <w:rPr>
          <w:color w:val="000000" w:themeColor="text1"/>
        </w:rPr>
      </w:pPr>
      <w:r w:rsidRPr="007C2EA5">
        <w:rPr>
          <w:rFonts w:hint="eastAsia"/>
          <w:color w:val="000000" w:themeColor="text1"/>
        </w:rPr>
        <w:t>D</w:t>
      </w:r>
    </w:p>
    <w:p w:rsidR="004B2B5B" w:rsidRPr="007C2EA5" w:rsidRDefault="004B2B5B" w:rsidP="006325D1">
      <w:pPr>
        <w:rPr>
          <w:color w:val="000000" w:themeColor="text1"/>
        </w:rPr>
      </w:pPr>
    </w:p>
    <w:p w:rsidR="00025738" w:rsidRDefault="00FA755C" w:rsidP="004B2B5B">
      <w:pPr>
        <w:widowControl w:val="0"/>
        <w:autoSpaceDE w:val="0"/>
        <w:autoSpaceDN w:val="0"/>
        <w:adjustRightInd w:val="0"/>
        <w:rPr>
          <w:rFonts w:cs="Book Antiqua"/>
          <w:color w:val="000000" w:themeColor="text1"/>
          <w:kern w:val="0"/>
        </w:rPr>
      </w:pPr>
      <w:r w:rsidRPr="007C2EA5">
        <w:rPr>
          <w:rFonts w:cs="Book Antiqua"/>
          <w:b/>
          <w:bCs/>
          <w:color w:val="000000" w:themeColor="text1"/>
          <w:kern w:val="0"/>
        </w:rPr>
        <w:t>Figure 1</w:t>
      </w:r>
      <w:r w:rsidRPr="007C2EA5">
        <w:rPr>
          <w:rFonts w:cs="Book Antiqua" w:hint="eastAsia"/>
          <w:b/>
          <w:bCs/>
          <w:color w:val="000000" w:themeColor="text1"/>
          <w:kern w:val="0"/>
        </w:rPr>
        <w:t xml:space="preserve"> </w:t>
      </w:r>
      <w:r w:rsidR="004B2B5B" w:rsidRPr="007C2EA5">
        <w:rPr>
          <w:rFonts w:cs="Book Antiqua"/>
          <w:b/>
          <w:bCs/>
          <w:color w:val="000000" w:themeColor="text1"/>
          <w:kern w:val="0"/>
        </w:rPr>
        <w:t xml:space="preserve">Notch signaling and </w:t>
      </w:r>
      <w:r w:rsidR="007C2EA5" w:rsidRPr="007C2EA5">
        <w:rPr>
          <w:rFonts w:cs="Book Antiqua"/>
          <w:b/>
          <w:bCs/>
          <w:color w:val="000000" w:themeColor="text1"/>
          <w:kern w:val="0"/>
        </w:rPr>
        <w:t>transforming growth factor</w:t>
      </w:r>
      <w:r w:rsidR="004B2B5B" w:rsidRPr="007C2EA5">
        <w:rPr>
          <w:rFonts w:cs="Book Antiqua"/>
          <w:b/>
          <w:bCs/>
          <w:color w:val="000000" w:themeColor="text1"/>
          <w:kern w:val="0"/>
        </w:rPr>
        <w:t>-</w:t>
      </w:r>
      <w:r w:rsidR="004B2B5B" w:rsidRPr="007C2EA5">
        <w:rPr>
          <w:rFonts w:cs="Times New Roman"/>
          <w:b/>
          <w:color w:val="000000" w:themeColor="text1"/>
          <w:kern w:val="0"/>
        </w:rPr>
        <w:t>β</w:t>
      </w:r>
      <w:r w:rsidR="004B2B5B" w:rsidRPr="007C2EA5">
        <w:rPr>
          <w:rFonts w:cs="Book Antiqua"/>
          <w:b/>
          <w:bCs/>
          <w:color w:val="000000" w:themeColor="text1"/>
          <w:kern w:val="0"/>
        </w:rPr>
        <w:t xml:space="preserve"> signaling pathways were activated in liver fibrosis rats.</w:t>
      </w:r>
      <w:r w:rsidRPr="007C2EA5">
        <w:rPr>
          <w:rFonts w:cs="Book Antiqua"/>
          <w:color w:val="000000" w:themeColor="text1"/>
          <w:kern w:val="0"/>
        </w:rPr>
        <w:t xml:space="preserve"> </w:t>
      </w:r>
      <w:r w:rsidR="004B2B5B" w:rsidRPr="007C2EA5">
        <w:rPr>
          <w:rFonts w:cs="Book Antiqua"/>
          <w:color w:val="000000" w:themeColor="text1"/>
          <w:kern w:val="0"/>
        </w:rPr>
        <w:t>A</w:t>
      </w:r>
      <w:r w:rsidRPr="007C2EA5">
        <w:rPr>
          <w:rFonts w:cs="Book Antiqua" w:hint="eastAsia"/>
          <w:color w:val="000000" w:themeColor="text1"/>
          <w:kern w:val="0"/>
        </w:rPr>
        <w:t>:</w:t>
      </w:r>
      <w:r w:rsidR="004B2B5B" w:rsidRPr="007C2EA5">
        <w:rPr>
          <w:rFonts w:cs="Book Antiqua"/>
          <w:color w:val="000000" w:themeColor="text1"/>
          <w:kern w:val="0"/>
        </w:rPr>
        <w:t xml:space="preserve"> Representative hematoxylin</w:t>
      </w:r>
      <w:r w:rsidR="004B2B5B" w:rsidRPr="007C2EA5">
        <w:rPr>
          <w:rFonts w:cs="SimSun"/>
          <w:color w:val="000000" w:themeColor="text1"/>
          <w:kern w:val="0"/>
        </w:rPr>
        <w:t>–</w:t>
      </w:r>
      <w:r w:rsidR="004B2B5B" w:rsidRPr="007C2EA5">
        <w:rPr>
          <w:rFonts w:cs="Book Antiqua"/>
          <w:color w:val="000000" w:themeColor="text1"/>
          <w:kern w:val="0"/>
        </w:rPr>
        <w:t>eosin staining in the livers from normal or model group rats (</w:t>
      </w:r>
      <w:r w:rsidRPr="007C2EA5">
        <w:rPr>
          <w:rFonts w:cs="Book Antiqua"/>
          <w:color w:val="000000" w:themeColor="text1"/>
          <w:kern w:val="0"/>
        </w:rPr>
        <w:t>×</w:t>
      </w:r>
      <w:r w:rsidRPr="007C2EA5">
        <w:rPr>
          <w:rFonts w:cs="Book Antiqua" w:hint="eastAsia"/>
          <w:color w:val="000000" w:themeColor="text1"/>
          <w:kern w:val="0"/>
        </w:rPr>
        <w:t xml:space="preserve"> </w:t>
      </w:r>
      <w:r w:rsidR="004B2B5B" w:rsidRPr="007C2EA5">
        <w:rPr>
          <w:rFonts w:cs="Book Antiqua"/>
          <w:color w:val="000000" w:themeColor="text1"/>
          <w:kern w:val="0"/>
        </w:rPr>
        <w:t>200)</w:t>
      </w:r>
      <w:r w:rsidRPr="007C2EA5">
        <w:rPr>
          <w:rFonts w:cs="Book Antiqua" w:hint="eastAsia"/>
          <w:color w:val="000000" w:themeColor="text1"/>
          <w:kern w:val="0"/>
        </w:rPr>
        <w:t xml:space="preserve">; </w:t>
      </w:r>
      <w:r w:rsidR="004B2B5B" w:rsidRPr="007C2EA5">
        <w:rPr>
          <w:rFonts w:cs="Book Antiqua"/>
          <w:color w:val="000000" w:themeColor="text1"/>
          <w:kern w:val="0"/>
        </w:rPr>
        <w:t>B</w:t>
      </w:r>
      <w:r w:rsidRPr="007C2EA5">
        <w:rPr>
          <w:rFonts w:cs="Book Antiqua" w:hint="eastAsia"/>
          <w:color w:val="000000" w:themeColor="text1"/>
          <w:kern w:val="0"/>
        </w:rPr>
        <w:t>:</w:t>
      </w:r>
      <w:r w:rsidR="004B2B5B" w:rsidRPr="007C2EA5">
        <w:rPr>
          <w:rFonts w:cs="Book Antiqua"/>
          <w:color w:val="000000" w:themeColor="text1"/>
          <w:kern w:val="0"/>
        </w:rPr>
        <w:t xml:space="preserve"> RT-PCR analyzed mRNA expression of Notch- and TGF-</w:t>
      </w:r>
      <w:r w:rsidR="004B2B5B" w:rsidRPr="007C2EA5">
        <w:rPr>
          <w:rFonts w:cs="Times New Roman"/>
          <w:color w:val="000000" w:themeColor="text1"/>
          <w:kern w:val="0"/>
        </w:rPr>
        <w:t>β</w:t>
      </w:r>
      <w:r w:rsidR="004B2B5B" w:rsidRPr="007C2EA5">
        <w:rPr>
          <w:rFonts w:cs="Book Antiqua"/>
          <w:color w:val="000000" w:themeColor="text1"/>
          <w:kern w:val="0"/>
        </w:rPr>
        <w:t>-related genes in the PBMCs (2 × 10</w:t>
      </w:r>
      <w:r w:rsidR="004B2B5B" w:rsidRPr="007C2EA5">
        <w:rPr>
          <w:rFonts w:cs="Book Antiqua"/>
          <w:color w:val="000000" w:themeColor="text1"/>
          <w:kern w:val="0"/>
          <w:vertAlign w:val="superscript"/>
        </w:rPr>
        <w:t>6</w:t>
      </w:r>
      <w:r w:rsidR="004B2B5B" w:rsidRPr="007C2EA5">
        <w:rPr>
          <w:rFonts w:cs="Book Antiqua"/>
          <w:color w:val="000000" w:themeColor="text1"/>
          <w:kern w:val="0"/>
        </w:rPr>
        <w:t>) from model rats and control group</w:t>
      </w:r>
      <w:r w:rsidRPr="007C2EA5">
        <w:rPr>
          <w:rFonts w:cs="Book Antiqua" w:hint="eastAsia"/>
          <w:color w:val="000000" w:themeColor="text1"/>
          <w:kern w:val="0"/>
        </w:rPr>
        <w:t xml:space="preserve">; </w:t>
      </w:r>
      <w:r w:rsidR="004B2B5B" w:rsidRPr="007C2EA5">
        <w:rPr>
          <w:rFonts w:cs="Book Antiqua"/>
          <w:color w:val="000000" w:themeColor="text1"/>
          <w:kern w:val="0"/>
        </w:rPr>
        <w:t>C, D</w:t>
      </w:r>
      <w:r w:rsidRPr="007C2EA5">
        <w:rPr>
          <w:rFonts w:cs="Book Antiqua" w:hint="eastAsia"/>
          <w:color w:val="000000" w:themeColor="text1"/>
          <w:kern w:val="0"/>
        </w:rPr>
        <w:t xml:space="preserve">: </w:t>
      </w:r>
      <w:r w:rsidR="004B2B5B" w:rsidRPr="007C2EA5">
        <w:rPr>
          <w:rFonts w:cs="Book Antiqua"/>
          <w:color w:val="000000" w:themeColor="text1"/>
          <w:kern w:val="0"/>
        </w:rPr>
        <w:t>Protein expression and quantification of Notch1, Hes1, Hes5, TGF-</w:t>
      </w:r>
      <w:r w:rsidR="004B2B5B" w:rsidRPr="007C2EA5">
        <w:rPr>
          <w:rFonts w:cs="Times New Roman"/>
          <w:color w:val="000000" w:themeColor="text1"/>
          <w:kern w:val="0"/>
        </w:rPr>
        <w:t>β</w:t>
      </w:r>
      <w:r w:rsidR="004B2B5B" w:rsidRPr="007C2EA5">
        <w:rPr>
          <w:rFonts w:cs="Book Antiqua"/>
          <w:color w:val="000000" w:themeColor="text1"/>
          <w:kern w:val="0"/>
        </w:rPr>
        <w:t xml:space="preserve"> and Smad3 were measured by Western blotting in PBMCs (2 × 10</w:t>
      </w:r>
      <w:r w:rsidR="004B2B5B" w:rsidRPr="007C2EA5">
        <w:rPr>
          <w:rFonts w:cs="Book Antiqua"/>
          <w:color w:val="000000" w:themeColor="text1"/>
          <w:kern w:val="0"/>
          <w:vertAlign w:val="superscript"/>
        </w:rPr>
        <w:t>6</w:t>
      </w:r>
      <w:r w:rsidR="004B2B5B" w:rsidRPr="007C2EA5">
        <w:rPr>
          <w:rFonts w:cs="Book Antiqua"/>
          <w:color w:val="000000" w:themeColor="text1"/>
          <w:kern w:val="0"/>
        </w:rPr>
        <w:t xml:space="preserve">) from model rats and control group. </w:t>
      </w:r>
      <w:r w:rsidR="004B2B5B" w:rsidRPr="007C2EA5">
        <w:rPr>
          <w:rFonts w:cs="Book Antiqua"/>
          <w:color w:val="000000" w:themeColor="text1"/>
          <w:kern w:val="0"/>
          <w:vertAlign w:val="superscript"/>
        </w:rPr>
        <w:t>a</w:t>
      </w:r>
      <w:r w:rsidR="004B2B5B" w:rsidRPr="007C2EA5">
        <w:rPr>
          <w:rFonts w:cs="Book Antiqua"/>
          <w:i/>
          <w:color w:val="000000" w:themeColor="text1"/>
          <w:kern w:val="0"/>
        </w:rPr>
        <w:t>P</w:t>
      </w:r>
      <w:r w:rsidR="004B2B5B" w:rsidRPr="007C2EA5">
        <w:rPr>
          <w:rFonts w:cs="Book Antiqua"/>
          <w:color w:val="000000" w:themeColor="text1"/>
          <w:kern w:val="0"/>
        </w:rPr>
        <w:t xml:space="preserve"> &lt; 0.05,</w:t>
      </w:r>
      <w:r w:rsidR="004B2B5B" w:rsidRPr="007C2EA5">
        <w:rPr>
          <w:rFonts w:cs="Book Antiqua"/>
          <w:color w:val="000000" w:themeColor="text1"/>
          <w:kern w:val="0"/>
          <w:vertAlign w:val="superscript"/>
        </w:rPr>
        <w:t xml:space="preserve"> c</w:t>
      </w:r>
      <w:r w:rsidR="004B2B5B" w:rsidRPr="007C2EA5">
        <w:rPr>
          <w:rFonts w:cs="Book Antiqua"/>
          <w:i/>
          <w:color w:val="000000" w:themeColor="text1"/>
          <w:kern w:val="0"/>
        </w:rPr>
        <w:t>P</w:t>
      </w:r>
      <w:r w:rsidR="004B2B5B" w:rsidRPr="007C2EA5">
        <w:rPr>
          <w:rFonts w:cs="Book Antiqua"/>
          <w:color w:val="000000" w:themeColor="text1"/>
          <w:kern w:val="0"/>
        </w:rPr>
        <w:t xml:space="preserve"> &lt; 0.001 </w:t>
      </w:r>
      <w:r w:rsidR="007C2EA5" w:rsidRPr="007C2EA5">
        <w:rPr>
          <w:rFonts w:cs="Book Antiqua" w:hint="eastAsia"/>
          <w:i/>
          <w:color w:val="000000" w:themeColor="text1"/>
          <w:kern w:val="0"/>
        </w:rPr>
        <w:t>vs</w:t>
      </w:r>
      <w:r w:rsidR="004B2B5B" w:rsidRPr="007C2EA5">
        <w:rPr>
          <w:rFonts w:cs="Book Antiqua"/>
          <w:color w:val="000000" w:themeColor="text1"/>
          <w:kern w:val="0"/>
        </w:rPr>
        <w:t xml:space="preserve"> normal group, </w:t>
      </w:r>
      <w:r w:rsidR="004B2B5B" w:rsidRPr="007C2EA5">
        <w:rPr>
          <w:rFonts w:cs="Book Antiqua"/>
          <w:i/>
          <w:color w:val="000000" w:themeColor="text1"/>
          <w:kern w:val="0"/>
        </w:rPr>
        <w:t>n</w:t>
      </w:r>
      <w:r w:rsidR="004B2B5B" w:rsidRPr="007C2EA5">
        <w:rPr>
          <w:rFonts w:cs="Book Antiqua"/>
          <w:color w:val="000000" w:themeColor="text1"/>
          <w:kern w:val="0"/>
        </w:rPr>
        <w:t xml:space="preserve"> = 12 per group.</w:t>
      </w:r>
    </w:p>
    <w:p w:rsidR="00025738" w:rsidRDefault="00025738">
      <w:pPr>
        <w:rPr>
          <w:rFonts w:cs="Book Antiqua"/>
          <w:color w:val="000000" w:themeColor="text1"/>
          <w:kern w:val="0"/>
        </w:rPr>
      </w:pPr>
      <w:r>
        <w:rPr>
          <w:rFonts w:cs="Book Antiqua"/>
          <w:color w:val="000000" w:themeColor="text1"/>
          <w:kern w:val="0"/>
        </w:rPr>
        <w:br w:type="page"/>
      </w:r>
    </w:p>
    <w:p w:rsidR="004B2B5B" w:rsidRPr="007C2EA5" w:rsidRDefault="004B2B5B" w:rsidP="004B2B5B">
      <w:pPr>
        <w:widowControl w:val="0"/>
        <w:autoSpaceDE w:val="0"/>
        <w:autoSpaceDN w:val="0"/>
        <w:adjustRightInd w:val="0"/>
        <w:rPr>
          <w:rFonts w:cs="Book Antiqua"/>
          <w:color w:val="000000" w:themeColor="text1"/>
          <w:kern w:val="0"/>
        </w:rPr>
      </w:pPr>
    </w:p>
    <w:p w:rsidR="004B2B5B" w:rsidRPr="007C2EA5" w:rsidRDefault="007C2EA5" w:rsidP="006325D1">
      <w:pPr>
        <w:rPr>
          <w:color w:val="000000" w:themeColor="text1"/>
        </w:rPr>
      </w:pPr>
      <w:r w:rsidRPr="007C2EA5">
        <w:rPr>
          <w:noProof/>
          <w:color w:val="000000" w:themeColor="text1"/>
        </w:rPr>
        <w:drawing>
          <wp:inline distT="0" distB="0" distL="0" distR="0" wp14:anchorId="3E050C27" wp14:editId="62B008AF">
            <wp:extent cx="3192106" cy="191452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93181" cy="1915170"/>
                    </a:xfrm>
                    <a:prstGeom prst="rect">
                      <a:avLst/>
                    </a:prstGeom>
                  </pic:spPr>
                </pic:pic>
              </a:graphicData>
            </a:graphic>
          </wp:inline>
        </w:drawing>
      </w:r>
    </w:p>
    <w:p w:rsidR="004B2B5B" w:rsidRPr="007C2EA5" w:rsidRDefault="004B2B5B" w:rsidP="006325D1">
      <w:pPr>
        <w:rPr>
          <w:color w:val="000000" w:themeColor="text1"/>
        </w:rPr>
      </w:pPr>
      <w:r w:rsidRPr="007C2EA5">
        <w:rPr>
          <w:rFonts w:hint="eastAsia"/>
          <w:color w:val="000000" w:themeColor="text1"/>
        </w:rPr>
        <w:t>A</w:t>
      </w:r>
    </w:p>
    <w:p w:rsidR="00274882" w:rsidRPr="007C2EA5" w:rsidRDefault="007C2EA5" w:rsidP="006325D1">
      <w:pPr>
        <w:rPr>
          <w:color w:val="000000" w:themeColor="text1"/>
        </w:rPr>
      </w:pPr>
      <w:r w:rsidRPr="007C2EA5">
        <w:rPr>
          <w:noProof/>
          <w:color w:val="000000" w:themeColor="text1"/>
        </w:rPr>
        <w:drawing>
          <wp:inline distT="0" distB="0" distL="0" distR="0" wp14:anchorId="77A1D67F" wp14:editId="16AEBB7A">
            <wp:extent cx="2105138" cy="3133725"/>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05138" cy="3133725"/>
                    </a:xfrm>
                    <a:prstGeom prst="rect">
                      <a:avLst/>
                    </a:prstGeom>
                  </pic:spPr>
                </pic:pic>
              </a:graphicData>
            </a:graphic>
          </wp:inline>
        </w:drawing>
      </w:r>
    </w:p>
    <w:p w:rsidR="004B2B5B" w:rsidRPr="007C2EA5" w:rsidRDefault="004B2B5B" w:rsidP="006325D1">
      <w:pPr>
        <w:rPr>
          <w:color w:val="000000" w:themeColor="text1"/>
        </w:rPr>
      </w:pPr>
      <w:r w:rsidRPr="007C2EA5">
        <w:rPr>
          <w:rFonts w:hint="eastAsia"/>
          <w:color w:val="000000" w:themeColor="text1"/>
        </w:rPr>
        <w:t>B</w:t>
      </w:r>
    </w:p>
    <w:p w:rsidR="004B2B5B" w:rsidRPr="007C2EA5" w:rsidRDefault="007C2EA5" w:rsidP="006325D1">
      <w:pPr>
        <w:rPr>
          <w:color w:val="000000" w:themeColor="text1"/>
        </w:rPr>
      </w:pPr>
      <w:r w:rsidRPr="007C2EA5">
        <w:rPr>
          <w:noProof/>
          <w:color w:val="000000" w:themeColor="text1"/>
        </w:rPr>
        <w:drawing>
          <wp:inline distT="0" distB="0" distL="0" distR="0" wp14:anchorId="1B07921E" wp14:editId="0C7D575A">
            <wp:extent cx="2876550" cy="170428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77201" cy="1704675"/>
                    </a:xfrm>
                    <a:prstGeom prst="rect">
                      <a:avLst/>
                    </a:prstGeom>
                  </pic:spPr>
                </pic:pic>
              </a:graphicData>
            </a:graphic>
          </wp:inline>
        </w:drawing>
      </w:r>
    </w:p>
    <w:p w:rsidR="00274882" w:rsidRPr="007C2EA5" w:rsidRDefault="00274882" w:rsidP="006325D1">
      <w:pPr>
        <w:rPr>
          <w:color w:val="000000" w:themeColor="text1"/>
        </w:rPr>
      </w:pPr>
      <w:r w:rsidRPr="007C2EA5">
        <w:rPr>
          <w:rFonts w:hint="eastAsia"/>
          <w:color w:val="000000" w:themeColor="text1"/>
        </w:rPr>
        <w:t>C</w:t>
      </w:r>
    </w:p>
    <w:p w:rsidR="00274882" w:rsidRPr="007C2EA5" w:rsidRDefault="00274882" w:rsidP="006325D1">
      <w:pPr>
        <w:rPr>
          <w:color w:val="000000" w:themeColor="text1"/>
        </w:rPr>
      </w:pPr>
    </w:p>
    <w:p w:rsidR="007C2EA5" w:rsidRDefault="00274882" w:rsidP="00274882">
      <w:pPr>
        <w:autoSpaceDE w:val="0"/>
        <w:autoSpaceDN w:val="0"/>
        <w:adjustRightInd w:val="0"/>
        <w:rPr>
          <w:rFonts w:cs="Book Antiqua"/>
          <w:color w:val="000000" w:themeColor="text1"/>
          <w:kern w:val="0"/>
        </w:rPr>
      </w:pPr>
      <w:r w:rsidRPr="007C2EA5">
        <w:rPr>
          <w:rFonts w:cs="Book Antiqua"/>
          <w:b/>
          <w:bCs/>
          <w:color w:val="000000" w:themeColor="text1"/>
          <w:kern w:val="0"/>
        </w:rPr>
        <w:lastRenderedPageBreak/>
        <w:t>Figure 2</w:t>
      </w:r>
      <w:r w:rsidR="00FA755C" w:rsidRPr="007C2EA5">
        <w:rPr>
          <w:rFonts w:cs="Book Antiqua" w:hint="eastAsia"/>
          <w:b/>
          <w:bCs/>
          <w:color w:val="000000" w:themeColor="text1"/>
          <w:kern w:val="0"/>
        </w:rPr>
        <w:t xml:space="preserve"> </w:t>
      </w:r>
      <w:r w:rsidRPr="007C2EA5">
        <w:rPr>
          <w:rFonts w:cs="Book Antiqua"/>
          <w:b/>
          <w:bCs/>
          <w:color w:val="000000" w:themeColor="text1"/>
          <w:kern w:val="0"/>
        </w:rPr>
        <w:t xml:space="preserve">Notch </w:t>
      </w:r>
      <w:r w:rsidRPr="007C2EA5">
        <w:rPr>
          <w:b/>
          <w:bCs/>
          <w:color w:val="000000" w:themeColor="text1"/>
          <w:kern w:val="0"/>
        </w:rPr>
        <w:t>γ</w:t>
      </w:r>
      <w:r w:rsidRPr="007C2EA5">
        <w:rPr>
          <w:rFonts w:cs="Book Antiqua"/>
          <w:b/>
          <w:bCs/>
          <w:color w:val="000000" w:themeColor="text1"/>
          <w:kern w:val="0"/>
        </w:rPr>
        <w:t xml:space="preserve">-secretase inhibitor attenuates </w:t>
      </w:r>
      <w:r w:rsidR="007C2EA5" w:rsidRPr="007C2EA5">
        <w:rPr>
          <w:rFonts w:cs="Book Antiqua"/>
          <w:b/>
          <w:bCs/>
          <w:color w:val="000000" w:themeColor="text1"/>
          <w:kern w:val="0"/>
        </w:rPr>
        <w:t xml:space="preserve">notch </w:t>
      </w:r>
      <w:r w:rsidRPr="007C2EA5">
        <w:rPr>
          <w:rFonts w:cs="Book Antiqua"/>
          <w:b/>
          <w:bCs/>
          <w:color w:val="000000" w:themeColor="text1"/>
          <w:kern w:val="0"/>
        </w:rPr>
        <w:t xml:space="preserve">and </w:t>
      </w:r>
      <w:r w:rsidR="007C2EA5" w:rsidRPr="007C2EA5">
        <w:rPr>
          <w:rFonts w:cs="Book Antiqua"/>
          <w:b/>
          <w:bCs/>
          <w:color w:val="000000" w:themeColor="text1"/>
          <w:kern w:val="0"/>
        </w:rPr>
        <w:t>transforming growth factor</w:t>
      </w:r>
      <w:r w:rsidRPr="007C2EA5">
        <w:rPr>
          <w:rFonts w:cs="Book Antiqua"/>
          <w:b/>
          <w:bCs/>
          <w:color w:val="000000" w:themeColor="text1"/>
          <w:kern w:val="0"/>
        </w:rPr>
        <w:t>-</w:t>
      </w:r>
      <w:r w:rsidRPr="007C2EA5">
        <w:rPr>
          <w:b/>
          <w:color w:val="000000" w:themeColor="text1"/>
          <w:kern w:val="0"/>
        </w:rPr>
        <w:t>β</w:t>
      </w:r>
      <w:r w:rsidRPr="007C2EA5">
        <w:rPr>
          <w:rFonts w:cs="Book Antiqua"/>
          <w:b/>
          <w:bCs/>
          <w:color w:val="000000" w:themeColor="text1"/>
          <w:kern w:val="0"/>
        </w:rPr>
        <w:t xml:space="preserve"> signaling pathways in </w:t>
      </w:r>
      <w:r w:rsidR="007C2EA5" w:rsidRPr="007C2EA5">
        <w:rPr>
          <w:rFonts w:cs="Book Antiqua"/>
          <w:b/>
          <w:bCs/>
          <w:color w:val="000000" w:themeColor="text1"/>
          <w:kern w:val="0"/>
        </w:rPr>
        <w:t xml:space="preserve">peripheral blood mononuclear cells </w:t>
      </w:r>
      <w:r w:rsidRPr="007C2EA5">
        <w:rPr>
          <w:rFonts w:cs="Book Antiqua"/>
          <w:b/>
          <w:bCs/>
          <w:color w:val="000000" w:themeColor="text1"/>
          <w:kern w:val="0"/>
        </w:rPr>
        <w:t>of liver fibrosis rats.</w:t>
      </w:r>
      <w:r w:rsidR="00FA755C" w:rsidRPr="007C2EA5">
        <w:rPr>
          <w:rFonts w:cs="Book Antiqua"/>
          <w:color w:val="000000" w:themeColor="text1"/>
          <w:kern w:val="0"/>
        </w:rPr>
        <w:t xml:space="preserve"> </w:t>
      </w:r>
      <w:r w:rsidRPr="007C2EA5">
        <w:rPr>
          <w:rFonts w:cs="Book Antiqua"/>
          <w:color w:val="000000" w:themeColor="text1"/>
          <w:kern w:val="0"/>
        </w:rPr>
        <w:t>A</w:t>
      </w:r>
      <w:r w:rsidR="00FA755C" w:rsidRPr="007C2EA5">
        <w:rPr>
          <w:rFonts w:cs="Book Antiqua" w:hint="eastAsia"/>
          <w:color w:val="000000" w:themeColor="text1"/>
          <w:kern w:val="0"/>
        </w:rPr>
        <w:t>:</w:t>
      </w:r>
      <w:r w:rsidRPr="007C2EA5">
        <w:rPr>
          <w:rFonts w:cs="Book Antiqua"/>
          <w:color w:val="000000" w:themeColor="text1"/>
          <w:kern w:val="0"/>
        </w:rPr>
        <w:t xml:space="preserve"> mRNA expression for TGF-</w:t>
      </w:r>
      <w:r w:rsidRPr="007C2EA5">
        <w:rPr>
          <w:color w:val="000000" w:themeColor="text1"/>
          <w:kern w:val="0"/>
        </w:rPr>
        <w:t>β</w:t>
      </w:r>
      <w:r w:rsidRPr="007C2EA5">
        <w:rPr>
          <w:rFonts w:cs="Book Antiqua"/>
          <w:color w:val="000000" w:themeColor="text1"/>
          <w:kern w:val="0"/>
        </w:rPr>
        <w:t>1 Smad3 and Notch1, and Notch target genes Hes1 and Hes5 in PBMCs (2 × 10</w:t>
      </w:r>
      <w:r w:rsidRPr="007C2EA5">
        <w:rPr>
          <w:rFonts w:cs="Book Antiqua"/>
          <w:color w:val="000000" w:themeColor="text1"/>
          <w:kern w:val="0"/>
          <w:vertAlign w:val="superscript"/>
        </w:rPr>
        <w:t>6</w:t>
      </w:r>
      <w:r w:rsidRPr="007C2EA5">
        <w:rPr>
          <w:rFonts w:cs="Book Antiqua"/>
          <w:color w:val="000000" w:themeColor="text1"/>
          <w:kern w:val="0"/>
        </w:rPr>
        <w:t>) from rats treated with DAPT or DMSO for 24 h, as detected by RT-PCR. (B, C) Western blot analysis of protein expression of Notch1, Hes1, Hes5, TGF-</w:t>
      </w:r>
      <w:r w:rsidRPr="007C2EA5">
        <w:rPr>
          <w:color w:val="000000" w:themeColor="text1"/>
          <w:kern w:val="0"/>
        </w:rPr>
        <w:t>β</w:t>
      </w:r>
      <w:r w:rsidRPr="007C2EA5">
        <w:rPr>
          <w:rFonts w:cs="Book Antiqua"/>
          <w:color w:val="000000" w:themeColor="text1"/>
          <w:kern w:val="0"/>
        </w:rPr>
        <w:t xml:space="preserve"> and Smad3 and quantification in PBMCs (2 × 10</w:t>
      </w:r>
      <w:r w:rsidRPr="007C2EA5">
        <w:rPr>
          <w:rFonts w:cs="Book Antiqua"/>
          <w:color w:val="000000" w:themeColor="text1"/>
          <w:kern w:val="0"/>
          <w:vertAlign w:val="superscript"/>
        </w:rPr>
        <w:t>6</w:t>
      </w:r>
      <w:r w:rsidRPr="007C2EA5">
        <w:rPr>
          <w:rFonts w:cs="Book Antiqua"/>
          <w:color w:val="000000" w:themeColor="text1"/>
          <w:kern w:val="0"/>
        </w:rPr>
        <w:t xml:space="preserve">) from rats treated with DAPT or DMSO for 24 h. </w:t>
      </w:r>
      <w:r w:rsidRPr="007C2EA5">
        <w:rPr>
          <w:rFonts w:cs="Book Antiqua"/>
          <w:color w:val="000000" w:themeColor="text1"/>
          <w:kern w:val="0"/>
          <w:vertAlign w:val="superscript"/>
        </w:rPr>
        <w:t>a</w:t>
      </w:r>
      <w:r w:rsidRPr="007C2EA5">
        <w:rPr>
          <w:rFonts w:cs="Book Antiqua"/>
          <w:i/>
          <w:color w:val="000000" w:themeColor="text1"/>
          <w:kern w:val="0"/>
        </w:rPr>
        <w:t>P</w:t>
      </w:r>
      <w:r w:rsidRPr="007C2EA5">
        <w:rPr>
          <w:rFonts w:cs="Book Antiqua"/>
          <w:color w:val="000000" w:themeColor="text1"/>
          <w:kern w:val="0"/>
        </w:rPr>
        <w:t xml:space="preserve"> &lt; 0.05, </w:t>
      </w:r>
      <w:r w:rsidRPr="007C2EA5">
        <w:rPr>
          <w:rFonts w:cs="Book Antiqua"/>
          <w:color w:val="000000" w:themeColor="text1"/>
          <w:kern w:val="0"/>
          <w:vertAlign w:val="superscript"/>
        </w:rPr>
        <w:t>b</w:t>
      </w:r>
      <w:r w:rsidRPr="007C2EA5">
        <w:rPr>
          <w:rFonts w:cs="Book Antiqua"/>
          <w:i/>
          <w:color w:val="000000" w:themeColor="text1"/>
          <w:kern w:val="0"/>
        </w:rPr>
        <w:t>P</w:t>
      </w:r>
      <w:r w:rsidRPr="007C2EA5">
        <w:rPr>
          <w:rFonts w:cs="Book Antiqua"/>
          <w:color w:val="000000" w:themeColor="text1"/>
          <w:kern w:val="0"/>
        </w:rPr>
        <w:t xml:space="preserve"> &lt; 0.01, </w:t>
      </w:r>
      <w:r w:rsidRPr="007C2EA5">
        <w:rPr>
          <w:rFonts w:cs="Book Antiqua"/>
          <w:color w:val="000000" w:themeColor="text1"/>
          <w:kern w:val="0"/>
          <w:vertAlign w:val="superscript"/>
        </w:rPr>
        <w:t>c</w:t>
      </w:r>
      <w:r w:rsidRPr="007C2EA5">
        <w:rPr>
          <w:rFonts w:cs="Book Antiqua"/>
          <w:i/>
          <w:color w:val="000000" w:themeColor="text1"/>
          <w:kern w:val="0"/>
        </w:rPr>
        <w:t>P</w:t>
      </w:r>
      <w:r w:rsidRPr="007C2EA5">
        <w:rPr>
          <w:rFonts w:cs="Book Antiqua"/>
          <w:color w:val="000000" w:themeColor="text1"/>
          <w:kern w:val="0"/>
        </w:rPr>
        <w:t xml:space="preserve"> &lt; 0.001 </w:t>
      </w:r>
      <w:r w:rsidR="007C2EA5" w:rsidRPr="007C2EA5">
        <w:rPr>
          <w:rFonts w:cs="Book Antiqua" w:hint="eastAsia"/>
          <w:i/>
          <w:color w:val="000000" w:themeColor="text1"/>
          <w:kern w:val="0"/>
        </w:rPr>
        <w:t>vs</w:t>
      </w:r>
      <w:r w:rsidRPr="007C2EA5">
        <w:rPr>
          <w:rFonts w:cs="Book Antiqua"/>
          <w:color w:val="000000" w:themeColor="text1"/>
          <w:kern w:val="0"/>
        </w:rPr>
        <w:t xml:space="preserve"> DMSO group, </w:t>
      </w:r>
      <w:r w:rsidRPr="007C2EA5">
        <w:rPr>
          <w:rFonts w:cs="Book Antiqua"/>
          <w:i/>
          <w:color w:val="000000" w:themeColor="text1"/>
          <w:kern w:val="0"/>
        </w:rPr>
        <w:t>n</w:t>
      </w:r>
      <w:r w:rsidRPr="007C2EA5">
        <w:rPr>
          <w:rFonts w:cs="Book Antiqua"/>
          <w:color w:val="000000" w:themeColor="text1"/>
          <w:kern w:val="0"/>
        </w:rPr>
        <w:t xml:space="preserve"> = 12 per group.</w:t>
      </w:r>
    </w:p>
    <w:p w:rsidR="007C2EA5" w:rsidRDefault="007C2EA5">
      <w:pPr>
        <w:rPr>
          <w:rFonts w:cs="Book Antiqua"/>
          <w:color w:val="000000" w:themeColor="text1"/>
          <w:kern w:val="0"/>
        </w:rPr>
      </w:pPr>
      <w:r>
        <w:rPr>
          <w:rFonts w:cs="Book Antiqua"/>
          <w:color w:val="000000" w:themeColor="text1"/>
          <w:kern w:val="0"/>
        </w:rPr>
        <w:br w:type="page"/>
      </w:r>
    </w:p>
    <w:p w:rsidR="00274882" w:rsidRPr="007C2EA5" w:rsidRDefault="00274882" w:rsidP="00274882">
      <w:pPr>
        <w:autoSpaceDE w:val="0"/>
        <w:autoSpaceDN w:val="0"/>
        <w:adjustRightInd w:val="0"/>
        <w:rPr>
          <w:rFonts w:cs="Book Antiqua"/>
          <w:color w:val="000000" w:themeColor="text1"/>
          <w:kern w:val="0"/>
        </w:rPr>
      </w:pPr>
    </w:p>
    <w:p w:rsidR="00274882" w:rsidRPr="007C2EA5" w:rsidRDefault="007C2EA5" w:rsidP="006325D1">
      <w:pPr>
        <w:rPr>
          <w:color w:val="000000" w:themeColor="text1"/>
        </w:rPr>
      </w:pPr>
      <w:r w:rsidRPr="007C2EA5">
        <w:rPr>
          <w:noProof/>
          <w:color w:val="000000" w:themeColor="text1"/>
        </w:rPr>
        <w:drawing>
          <wp:inline distT="0" distB="0" distL="0" distR="0" wp14:anchorId="0B1A0AED" wp14:editId="0121E98A">
            <wp:extent cx="3324225" cy="179687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796878"/>
                    </a:xfrm>
                    <a:prstGeom prst="rect">
                      <a:avLst/>
                    </a:prstGeom>
                  </pic:spPr>
                </pic:pic>
              </a:graphicData>
            </a:graphic>
          </wp:inline>
        </w:drawing>
      </w:r>
    </w:p>
    <w:p w:rsidR="00274882" w:rsidRPr="007C2EA5" w:rsidRDefault="00274882" w:rsidP="006325D1">
      <w:pPr>
        <w:rPr>
          <w:color w:val="000000" w:themeColor="text1"/>
        </w:rPr>
      </w:pPr>
      <w:r w:rsidRPr="007C2EA5">
        <w:rPr>
          <w:rFonts w:hint="eastAsia"/>
          <w:color w:val="000000" w:themeColor="text1"/>
        </w:rPr>
        <w:t>A</w:t>
      </w:r>
    </w:p>
    <w:p w:rsidR="00274882" w:rsidRPr="007C2EA5" w:rsidRDefault="007C2EA5" w:rsidP="006325D1">
      <w:pPr>
        <w:rPr>
          <w:color w:val="000000" w:themeColor="text1"/>
        </w:rPr>
      </w:pPr>
      <w:r w:rsidRPr="007C2EA5">
        <w:rPr>
          <w:noProof/>
          <w:color w:val="000000" w:themeColor="text1"/>
        </w:rPr>
        <w:drawing>
          <wp:inline distT="0" distB="0" distL="0" distR="0" wp14:anchorId="56B27F6B" wp14:editId="18CF1FA3">
            <wp:extent cx="1685925" cy="2581793"/>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85925" cy="2581793"/>
                    </a:xfrm>
                    <a:prstGeom prst="rect">
                      <a:avLst/>
                    </a:prstGeom>
                  </pic:spPr>
                </pic:pic>
              </a:graphicData>
            </a:graphic>
          </wp:inline>
        </w:drawing>
      </w:r>
    </w:p>
    <w:p w:rsidR="00274882" w:rsidRPr="007C2EA5" w:rsidRDefault="00274882" w:rsidP="006325D1">
      <w:pPr>
        <w:rPr>
          <w:color w:val="000000" w:themeColor="text1"/>
        </w:rPr>
      </w:pPr>
      <w:r w:rsidRPr="007C2EA5">
        <w:rPr>
          <w:rFonts w:hint="eastAsia"/>
          <w:color w:val="000000" w:themeColor="text1"/>
        </w:rPr>
        <w:t>B</w:t>
      </w:r>
    </w:p>
    <w:p w:rsidR="00274882" w:rsidRPr="007C2EA5" w:rsidRDefault="007C2EA5" w:rsidP="006325D1">
      <w:pPr>
        <w:rPr>
          <w:color w:val="000000" w:themeColor="text1"/>
        </w:rPr>
      </w:pPr>
      <w:r w:rsidRPr="007C2EA5">
        <w:rPr>
          <w:noProof/>
          <w:color w:val="000000" w:themeColor="text1"/>
        </w:rPr>
        <w:drawing>
          <wp:inline distT="0" distB="0" distL="0" distR="0" wp14:anchorId="4F205420" wp14:editId="26482C77">
            <wp:extent cx="3324225" cy="1805163"/>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24225" cy="1805163"/>
                    </a:xfrm>
                    <a:prstGeom prst="rect">
                      <a:avLst/>
                    </a:prstGeom>
                  </pic:spPr>
                </pic:pic>
              </a:graphicData>
            </a:graphic>
          </wp:inline>
        </w:drawing>
      </w:r>
    </w:p>
    <w:p w:rsidR="00274882" w:rsidRPr="007C2EA5" w:rsidRDefault="00274882" w:rsidP="006325D1">
      <w:pPr>
        <w:rPr>
          <w:color w:val="000000" w:themeColor="text1"/>
        </w:rPr>
      </w:pPr>
      <w:r w:rsidRPr="007C2EA5">
        <w:rPr>
          <w:rFonts w:hint="eastAsia"/>
          <w:color w:val="000000" w:themeColor="text1"/>
        </w:rPr>
        <w:t>C</w:t>
      </w:r>
    </w:p>
    <w:p w:rsidR="00274882" w:rsidRPr="007C2EA5" w:rsidRDefault="00274882" w:rsidP="006325D1">
      <w:pPr>
        <w:rPr>
          <w:color w:val="000000" w:themeColor="text1"/>
        </w:rPr>
      </w:pPr>
    </w:p>
    <w:p w:rsidR="00274882" w:rsidRPr="007C2EA5" w:rsidRDefault="00274882" w:rsidP="00274882">
      <w:pPr>
        <w:tabs>
          <w:tab w:val="left" w:pos="600"/>
        </w:tabs>
        <w:autoSpaceDE w:val="0"/>
        <w:autoSpaceDN w:val="0"/>
        <w:adjustRightInd w:val="0"/>
        <w:rPr>
          <w:rFonts w:cs="Book Antiqua"/>
          <w:color w:val="000000" w:themeColor="text1"/>
          <w:kern w:val="0"/>
        </w:rPr>
      </w:pPr>
      <w:r w:rsidRPr="007C2EA5">
        <w:rPr>
          <w:rFonts w:cs="Book Antiqua"/>
          <w:color w:val="000000" w:themeColor="text1"/>
          <w:kern w:val="0"/>
        </w:rPr>
        <w:t>F</w:t>
      </w:r>
      <w:r w:rsidR="00FA755C" w:rsidRPr="007C2EA5">
        <w:rPr>
          <w:rFonts w:cs="Book Antiqua"/>
          <w:b/>
          <w:bCs/>
          <w:color w:val="000000" w:themeColor="text1"/>
          <w:kern w:val="0"/>
        </w:rPr>
        <w:t>igure 3</w:t>
      </w:r>
      <w:r w:rsidR="00FA755C" w:rsidRPr="007C2EA5">
        <w:rPr>
          <w:rFonts w:cs="Book Antiqua" w:hint="eastAsia"/>
          <w:b/>
          <w:bCs/>
          <w:color w:val="000000" w:themeColor="text1"/>
          <w:kern w:val="0"/>
        </w:rPr>
        <w:t xml:space="preserve"> </w:t>
      </w:r>
      <w:r w:rsidR="007C2EA5" w:rsidRPr="007C2EA5">
        <w:rPr>
          <w:rFonts w:cs="Book Antiqua"/>
          <w:b/>
          <w:bCs/>
          <w:color w:val="000000" w:themeColor="text1"/>
          <w:kern w:val="0"/>
        </w:rPr>
        <w:t>Transforming growth factor</w:t>
      </w:r>
      <w:r w:rsidRPr="007C2EA5">
        <w:rPr>
          <w:rFonts w:cs="Book Antiqua"/>
          <w:b/>
          <w:bCs/>
          <w:color w:val="000000" w:themeColor="text1"/>
          <w:kern w:val="0"/>
        </w:rPr>
        <w:t>-</w:t>
      </w:r>
      <w:r w:rsidRPr="007C2EA5">
        <w:rPr>
          <w:b/>
          <w:bCs/>
          <w:color w:val="000000" w:themeColor="text1"/>
          <w:kern w:val="0"/>
        </w:rPr>
        <w:t>β</w:t>
      </w:r>
      <w:r w:rsidRPr="007C2EA5">
        <w:rPr>
          <w:rFonts w:cs="Book Antiqua"/>
          <w:b/>
          <w:bCs/>
          <w:color w:val="000000" w:themeColor="text1"/>
          <w:kern w:val="0"/>
        </w:rPr>
        <w:t xml:space="preserve"> inhibitor blocks Notch and </w:t>
      </w:r>
      <w:r w:rsidR="007C2EA5" w:rsidRPr="007C2EA5">
        <w:rPr>
          <w:rFonts w:cs="Book Antiqua"/>
          <w:b/>
          <w:bCs/>
          <w:color w:val="000000" w:themeColor="text1"/>
          <w:kern w:val="0"/>
        </w:rPr>
        <w:t>transforming growth factor</w:t>
      </w:r>
      <w:r w:rsidRPr="007C2EA5">
        <w:rPr>
          <w:rFonts w:cs="Book Antiqua"/>
          <w:b/>
          <w:bCs/>
          <w:color w:val="000000" w:themeColor="text1"/>
          <w:kern w:val="0"/>
        </w:rPr>
        <w:t>-</w:t>
      </w:r>
      <w:r w:rsidRPr="007C2EA5">
        <w:rPr>
          <w:b/>
          <w:bCs/>
          <w:color w:val="000000" w:themeColor="text1"/>
          <w:kern w:val="0"/>
        </w:rPr>
        <w:t>β</w:t>
      </w:r>
      <w:r w:rsidRPr="007C2EA5">
        <w:rPr>
          <w:rFonts w:cs="Book Antiqua"/>
          <w:b/>
          <w:bCs/>
          <w:color w:val="000000" w:themeColor="text1"/>
          <w:kern w:val="0"/>
        </w:rPr>
        <w:t xml:space="preserve"> signaling pathways in </w:t>
      </w:r>
      <w:r w:rsidR="007C2EA5" w:rsidRPr="007C2EA5">
        <w:rPr>
          <w:rFonts w:cs="Book Antiqua"/>
          <w:b/>
          <w:bCs/>
          <w:color w:val="000000" w:themeColor="text1"/>
          <w:kern w:val="0"/>
        </w:rPr>
        <w:t xml:space="preserve">peripheral blood </w:t>
      </w:r>
      <w:r w:rsidR="007C2EA5" w:rsidRPr="007C2EA5">
        <w:rPr>
          <w:rFonts w:cs="Book Antiqua"/>
          <w:b/>
          <w:bCs/>
          <w:color w:val="000000" w:themeColor="text1"/>
          <w:kern w:val="0"/>
        </w:rPr>
        <w:lastRenderedPageBreak/>
        <w:t xml:space="preserve">mononuclear cells </w:t>
      </w:r>
      <w:r w:rsidRPr="007C2EA5">
        <w:rPr>
          <w:rFonts w:cs="Book Antiqua"/>
          <w:b/>
          <w:bCs/>
          <w:color w:val="000000" w:themeColor="text1"/>
          <w:kern w:val="0"/>
        </w:rPr>
        <w:t>of liver fibrosis rats.</w:t>
      </w:r>
      <w:r w:rsidR="00FA755C" w:rsidRPr="007C2EA5">
        <w:rPr>
          <w:rFonts w:cs="Book Antiqua"/>
          <w:color w:val="000000" w:themeColor="text1"/>
          <w:kern w:val="0"/>
        </w:rPr>
        <w:t xml:space="preserve"> </w:t>
      </w:r>
      <w:r w:rsidRPr="007C2EA5">
        <w:rPr>
          <w:rFonts w:cs="Book Antiqua"/>
          <w:color w:val="000000" w:themeColor="text1"/>
          <w:kern w:val="0"/>
        </w:rPr>
        <w:t>A</w:t>
      </w:r>
      <w:r w:rsidR="00FA755C" w:rsidRPr="007C2EA5">
        <w:rPr>
          <w:rFonts w:cs="Book Antiqua" w:hint="eastAsia"/>
          <w:color w:val="000000" w:themeColor="text1"/>
          <w:kern w:val="0"/>
        </w:rPr>
        <w:t xml:space="preserve">: </w:t>
      </w:r>
      <w:r w:rsidRPr="007C2EA5">
        <w:rPr>
          <w:rFonts w:cs="Book Antiqua"/>
          <w:color w:val="000000" w:themeColor="text1"/>
          <w:kern w:val="0"/>
        </w:rPr>
        <w:t>RT-PCR analyzed mRNA expression of TGF-</w:t>
      </w:r>
      <w:r w:rsidRPr="007C2EA5">
        <w:rPr>
          <w:color w:val="000000" w:themeColor="text1"/>
          <w:kern w:val="0"/>
        </w:rPr>
        <w:t>β</w:t>
      </w:r>
      <w:r w:rsidRPr="007C2EA5">
        <w:rPr>
          <w:rFonts w:cs="Book Antiqua"/>
          <w:color w:val="000000" w:themeColor="text1"/>
          <w:kern w:val="0"/>
        </w:rPr>
        <w:t xml:space="preserve">1 Smad3 and Notch1, and Notch target genes Hes1 and Hes5 in </w:t>
      </w:r>
      <w:r w:rsidR="007C2EA5" w:rsidRPr="007C2EA5">
        <w:rPr>
          <w:rFonts w:cs="Book Antiqua"/>
          <w:color w:val="000000" w:themeColor="text1"/>
          <w:kern w:val="0"/>
        </w:rPr>
        <w:t xml:space="preserve">peripheral blood mononuclear cells </w:t>
      </w:r>
      <w:r w:rsidR="007C2EA5">
        <w:rPr>
          <w:rFonts w:cs="Book Antiqua" w:hint="eastAsia"/>
          <w:color w:val="000000" w:themeColor="text1"/>
          <w:kern w:val="0"/>
        </w:rPr>
        <w:t>(</w:t>
      </w:r>
      <w:r w:rsidRPr="007C2EA5">
        <w:rPr>
          <w:rFonts w:cs="Book Antiqua"/>
          <w:color w:val="000000" w:themeColor="text1"/>
          <w:kern w:val="0"/>
        </w:rPr>
        <w:t>PBMCs</w:t>
      </w:r>
      <w:r w:rsidR="007C2EA5">
        <w:rPr>
          <w:rFonts w:cs="Book Antiqua" w:hint="eastAsia"/>
          <w:color w:val="000000" w:themeColor="text1"/>
          <w:kern w:val="0"/>
        </w:rPr>
        <w:t>)</w:t>
      </w:r>
      <w:r w:rsidRPr="007C2EA5">
        <w:rPr>
          <w:rFonts w:cs="Book Antiqua"/>
          <w:color w:val="000000" w:themeColor="text1"/>
          <w:kern w:val="0"/>
        </w:rPr>
        <w:t xml:space="preserve"> (2 × 10</w:t>
      </w:r>
      <w:r w:rsidRPr="007C2EA5">
        <w:rPr>
          <w:rFonts w:cs="Book Antiqua"/>
          <w:color w:val="000000" w:themeColor="text1"/>
          <w:kern w:val="0"/>
          <w:vertAlign w:val="superscript"/>
        </w:rPr>
        <w:t>6</w:t>
      </w:r>
      <w:r w:rsidRPr="007C2EA5">
        <w:rPr>
          <w:rFonts w:cs="Book Antiqua"/>
          <w:color w:val="000000" w:themeColor="text1"/>
          <w:kern w:val="0"/>
        </w:rPr>
        <w:t>) from rats treated with DAPT or DMSO for 24 h</w:t>
      </w:r>
      <w:r w:rsidR="00FA755C" w:rsidRPr="007C2EA5">
        <w:rPr>
          <w:rFonts w:cs="Book Antiqua" w:hint="eastAsia"/>
          <w:color w:val="000000" w:themeColor="text1"/>
          <w:kern w:val="0"/>
        </w:rPr>
        <w:t xml:space="preserve">; </w:t>
      </w:r>
      <w:r w:rsidRPr="007C2EA5">
        <w:rPr>
          <w:rFonts w:cs="Book Antiqua"/>
          <w:color w:val="000000" w:themeColor="text1"/>
          <w:kern w:val="0"/>
        </w:rPr>
        <w:t>B, C</w:t>
      </w:r>
      <w:r w:rsidR="00FA755C" w:rsidRPr="007C2EA5">
        <w:rPr>
          <w:rFonts w:cs="Book Antiqua" w:hint="eastAsia"/>
          <w:color w:val="000000" w:themeColor="text1"/>
          <w:kern w:val="0"/>
        </w:rPr>
        <w:t>:</w:t>
      </w:r>
      <w:r w:rsidRPr="007C2EA5">
        <w:rPr>
          <w:rFonts w:cs="Book Antiqua"/>
          <w:color w:val="000000" w:themeColor="text1"/>
          <w:kern w:val="0"/>
        </w:rPr>
        <w:t xml:space="preserve"> Western blot analysis of Notch1, Hes1, Hes5, TGF-</w:t>
      </w:r>
      <w:r w:rsidRPr="007C2EA5">
        <w:rPr>
          <w:color w:val="000000" w:themeColor="text1"/>
          <w:kern w:val="0"/>
        </w:rPr>
        <w:t>β</w:t>
      </w:r>
      <w:r w:rsidRPr="007C2EA5">
        <w:rPr>
          <w:rFonts w:cs="Book Antiqua"/>
          <w:color w:val="000000" w:themeColor="text1"/>
          <w:kern w:val="0"/>
        </w:rPr>
        <w:t xml:space="preserve"> and Smad3 and quantification in PBMCs (2 × 10</w:t>
      </w:r>
      <w:r w:rsidRPr="007C2EA5">
        <w:rPr>
          <w:rFonts w:cs="Book Antiqua"/>
          <w:color w:val="000000" w:themeColor="text1"/>
          <w:kern w:val="0"/>
          <w:vertAlign w:val="superscript"/>
        </w:rPr>
        <w:t>6</w:t>
      </w:r>
      <w:r w:rsidRPr="007C2EA5">
        <w:rPr>
          <w:rFonts w:cs="Book Antiqua"/>
          <w:color w:val="000000" w:themeColor="text1"/>
          <w:kern w:val="0"/>
        </w:rPr>
        <w:t xml:space="preserve">) from rats treated with DAPT or DMSO for 24 h. </w:t>
      </w:r>
      <w:r w:rsidRPr="007C2EA5">
        <w:rPr>
          <w:rFonts w:cs="Book Antiqua"/>
          <w:color w:val="000000" w:themeColor="text1"/>
          <w:kern w:val="0"/>
          <w:vertAlign w:val="superscript"/>
        </w:rPr>
        <w:t>a</w:t>
      </w:r>
      <w:r w:rsidRPr="007C2EA5">
        <w:rPr>
          <w:rFonts w:cs="Book Antiqua"/>
          <w:i/>
          <w:color w:val="000000" w:themeColor="text1"/>
          <w:kern w:val="0"/>
        </w:rPr>
        <w:t>P</w:t>
      </w:r>
      <w:r w:rsidR="001064A2" w:rsidRPr="007C2EA5">
        <w:rPr>
          <w:rFonts w:cs="Book Antiqua"/>
          <w:color w:val="000000" w:themeColor="text1"/>
          <w:kern w:val="0"/>
        </w:rPr>
        <w:t xml:space="preserve"> &lt; 0.0</w:t>
      </w:r>
      <w:r w:rsidRPr="007C2EA5">
        <w:rPr>
          <w:rFonts w:cs="Book Antiqua"/>
          <w:color w:val="000000" w:themeColor="text1"/>
          <w:kern w:val="0"/>
        </w:rPr>
        <w:t xml:space="preserve">5, </w:t>
      </w:r>
      <w:r w:rsidRPr="007C2EA5">
        <w:rPr>
          <w:rFonts w:cs="Book Antiqua"/>
          <w:color w:val="000000" w:themeColor="text1"/>
          <w:kern w:val="0"/>
          <w:vertAlign w:val="superscript"/>
        </w:rPr>
        <w:t>b</w:t>
      </w:r>
      <w:r w:rsidRPr="007C2EA5">
        <w:rPr>
          <w:rFonts w:cs="Book Antiqua"/>
          <w:i/>
          <w:color w:val="000000" w:themeColor="text1"/>
          <w:kern w:val="0"/>
        </w:rPr>
        <w:t>P</w:t>
      </w:r>
      <w:r w:rsidR="001064A2" w:rsidRPr="007C2EA5">
        <w:rPr>
          <w:rFonts w:cs="Book Antiqua"/>
          <w:color w:val="000000" w:themeColor="text1"/>
          <w:kern w:val="0"/>
        </w:rPr>
        <w:t xml:space="preserve"> &lt; 0.</w:t>
      </w:r>
      <w:r w:rsidRPr="007C2EA5">
        <w:rPr>
          <w:rFonts w:cs="Book Antiqua"/>
          <w:color w:val="000000" w:themeColor="text1"/>
          <w:kern w:val="0"/>
        </w:rPr>
        <w:t xml:space="preserve">01, </w:t>
      </w:r>
      <w:r w:rsidRPr="007C2EA5">
        <w:rPr>
          <w:rFonts w:cs="Book Antiqua"/>
          <w:color w:val="000000" w:themeColor="text1"/>
          <w:kern w:val="0"/>
          <w:vertAlign w:val="superscript"/>
        </w:rPr>
        <w:t>c</w:t>
      </w:r>
      <w:r w:rsidRPr="007C2EA5">
        <w:rPr>
          <w:rFonts w:cs="Book Antiqua"/>
          <w:i/>
          <w:color w:val="000000" w:themeColor="text1"/>
          <w:kern w:val="0"/>
        </w:rPr>
        <w:t>P</w:t>
      </w:r>
      <w:r w:rsidRPr="007C2EA5">
        <w:rPr>
          <w:rFonts w:cs="Book Antiqua"/>
          <w:color w:val="000000" w:themeColor="text1"/>
          <w:kern w:val="0"/>
        </w:rPr>
        <w:t xml:space="preserve"> &lt; 0.001 </w:t>
      </w:r>
      <w:r w:rsidR="00FA755C" w:rsidRPr="007C2EA5">
        <w:rPr>
          <w:rFonts w:cs="Book Antiqua" w:hint="eastAsia"/>
          <w:i/>
          <w:color w:val="000000" w:themeColor="text1"/>
          <w:kern w:val="0"/>
        </w:rPr>
        <w:t>vs</w:t>
      </w:r>
      <w:r w:rsidRPr="007C2EA5">
        <w:rPr>
          <w:rFonts w:cs="Book Antiqua"/>
          <w:color w:val="000000" w:themeColor="text1"/>
          <w:kern w:val="0"/>
        </w:rPr>
        <w:t xml:space="preserve"> DMSO group, </w:t>
      </w:r>
      <w:r w:rsidRPr="007C2EA5">
        <w:rPr>
          <w:rFonts w:cs="Book Antiqua"/>
          <w:i/>
          <w:color w:val="000000" w:themeColor="text1"/>
          <w:kern w:val="0"/>
        </w:rPr>
        <w:t>n</w:t>
      </w:r>
      <w:r w:rsidRPr="007C2EA5">
        <w:rPr>
          <w:rFonts w:cs="Book Antiqua"/>
          <w:color w:val="000000" w:themeColor="text1"/>
          <w:kern w:val="0"/>
        </w:rPr>
        <w:t xml:space="preserve"> = 12 per group.</w:t>
      </w:r>
    </w:p>
    <w:p w:rsidR="00274882" w:rsidRPr="007C2EA5" w:rsidRDefault="00274882" w:rsidP="006325D1">
      <w:pPr>
        <w:rPr>
          <w:color w:val="000000" w:themeColor="text1"/>
        </w:rPr>
      </w:pPr>
    </w:p>
    <w:p w:rsidR="00FA755C" w:rsidRPr="007C2EA5" w:rsidRDefault="00FA755C">
      <w:pPr>
        <w:rPr>
          <w:rFonts w:cs="Book Antiqua"/>
          <w:b/>
          <w:bCs/>
          <w:color w:val="000000" w:themeColor="text1"/>
          <w:kern w:val="0"/>
        </w:rPr>
      </w:pPr>
      <w:r w:rsidRPr="007C2EA5">
        <w:rPr>
          <w:rFonts w:cs="Book Antiqua"/>
          <w:b/>
          <w:bCs/>
          <w:color w:val="000000" w:themeColor="text1"/>
          <w:kern w:val="0"/>
        </w:rPr>
        <w:br w:type="page"/>
      </w:r>
    </w:p>
    <w:p w:rsidR="00274882" w:rsidRPr="007C2EA5" w:rsidRDefault="00274882" w:rsidP="00274882">
      <w:pPr>
        <w:tabs>
          <w:tab w:val="left" w:pos="600"/>
        </w:tabs>
        <w:autoSpaceDE w:val="0"/>
        <w:autoSpaceDN w:val="0"/>
        <w:adjustRightInd w:val="0"/>
        <w:rPr>
          <w:rFonts w:cs="Book Antiqua"/>
          <w:color w:val="000000" w:themeColor="text1"/>
          <w:kern w:val="0"/>
        </w:rPr>
      </w:pPr>
      <w:r w:rsidRPr="007C2EA5">
        <w:rPr>
          <w:rFonts w:cs="Book Antiqua"/>
          <w:b/>
          <w:bCs/>
          <w:color w:val="000000" w:themeColor="text1"/>
          <w:kern w:val="0"/>
        </w:rPr>
        <w:lastRenderedPageBreak/>
        <w:t>Table 1</w:t>
      </w:r>
      <w:r w:rsidR="00FA755C" w:rsidRPr="007C2EA5">
        <w:rPr>
          <w:rFonts w:cs="Book Antiqua" w:hint="eastAsia"/>
          <w:b/>
          <w:bCs/>
          <w:color w:val="000000" w:themeColor="text1"/>
          <w:kern w:val="0"/>
        </w:rPr>
        <w:t xml:space="preserve"> </w:t>
      </w:r>
      <w:r w:rsidRPr="007C2EA5">
        <w:rPr>
          <w:rFonts w:cs="Book Antiqua"/>
          <w:b/>
          <w:bCs/>
          <w:color w:val="000000" w:themeColor="text1"/>
          <w:kern w:val="0"/>
        </w:rPr>
        <w:t xml:space="preserve">Levels of serum biochemical markers in rats </w:t>
      </w:r>
      <w:r w:rsidRPr="007C2EA5">
        <w:rPr>
          <w:rFonts w:cs="Book Antiqua"/>
          <w:color w:val="000000" w:themeColor="text1"/>
          <w:kern w:val="0"/>
        </w:rPr>
        <w:t>(</w:t>
      </w:r>
      <w:r w:rsidRPr="007C2EA5">
        <w:rPr>
          <w:rFonts w:cs="Book Antiqua"/>
          <w:b/>
          <w:bCs/>
          <w:iCs/>
          <w:color w:val="000000" w:themeColor="text1"/>
          <w:kern w:val="0"/>
        </w:rPr>
        <w:t>mean ± SD</w:t>
      </w:r>
      <w:r w:rsidRPr="007C2EA5">
        <w:rPr>
          <w:rFonts w:cs="Book Antiqua"/>
          <w:color w:val="000000" w:themeColor="text1"/>
          <w:kern w:val="0"/>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413"/>
        <w:gridCol w:w="2268"/>
        <w:gridCol w:w="2268"/>
        <w:gridCol w:w="2347"/>
      </w:tblGrid>
      <w:tr w:rsidR="007C2EA5" w:rsidRPr="007C2EA5" w:rsidTr="00FA755C">
        <w:trPr>
          <w:trHeight w:hRule="exact" w:val="510"/>
        </w:trPr>
        <w:tc>
          <w:tcPr>
            <w:tcW w:w="1413" w:type="dxa"/>
            <w:tcBorders>
              <w:top w:val="single" w:sz="4" w:space="0" w:color="auto"/>
              <w:left w:val="nil"/>
              <w:bottom w:val="single" w:sz="4" w:space="0" w:color="auto"/>
            </w:tcBorders>
            <w:vAlign w:val="center"/>
          </w:tcPr>
          <w:p w:rsidR="00274882" w:rsidRPr="007C2EA5" w:rsidRDefault="00274882" w:rsidP="00274882">
            <w:pPr>
              <w:rPr>
                <w:b/>
                <w:color w:val="000000" w:themeColor="text1"/>
              </w:rPr>
            </w:pPr>
            <w:r w:rsidRPr="007C2EA5">
              <w:rPr>
                <w:rFonts w:hint="eastAsia"/>
                <w:b/>
                <w:color w:val="000000" w:themeColor="text1"/>
              </w:rPr>
              <w:t>G</w:t>
            </w:r>
            <w:r w:rsidRPr="007C2EA5">
              <w:rPr>
                <w:b/>
                <w:color w:val="000000" w:themeColor="text1"/>
              </w:rPr>
              <w:t>roup</w:t>
            </w:r>
          </w:p>
        </w:tc>
        <w:tc>
          <w:tcPr>
            <w:tcW w:w="2268" w:type="dxa"/>
            <w:tcBorders>
              <w:top w:val="single" w:sz="4" w:space="0" w:color="auto"/>
              <w:bottom w:val="single" w:sz="4" w:space="0" w:color="auto"/>
            </w:tcBorders>
            <w:vAlign w:val="center"/>
          </w:tcPr>
          <w:p w:rsidR="00274882" w:rsidRPr="007C2EA5" w:rsidRDefault="00274882" w:rsidP="00274882">
            <w:pPr>
              <w:rPr>
                <w:b/>
                <w:color w:val="000000" w:themeColor="text1"/>
              </w:rPr>
            </w:pPr>
            <w:r w:rsidRPr="007C2EA5">
              <w:rPr>
                <w:b/>
                <w:color w:val="000000" w:themeColor="text1"/>
              </w:rPr>
              <w:t>ALT(U/L)</w:t>
            </w:r>
          </w:p>
        </w:tc>
        <w:tc>
          <w:tcPr>
            <w:tcW w:w="2268" w:type="dxa"/>
            <w:tcBorders>
              <w:top w:val="single" w:sz="4" w:space="0" w:color="auto"/>
              <w:bottom w:val="single" w:sz="4" w:space="0" w:color="auto"/>
            </w:tcBorders>
            <w:vAlign w:val="center"/>
          </w:tcPr>
          <w:p w:rsidR="00274882" w:rsidRPr="007C2EA5" w:rsidRDefault="00274882" w:rsidP="00274882">
            <w:pPr>
              <w:rPr>
                <w:b/>
                <w:color w:val="000000" w:themeColor="text1"/>
              </w:rPr>
            </w:pPr>
            <w:r w:rsidRPr="007C2EA5">
              <w:rPr>
                <w:b/>
                <w:color w:val="000000" w:themeColor="text1"/>
              </w:rPr>
              <w:t>AST(U/L)</w:t>
            </w:r>
          </w:p>
        </w:tc>
        <w:tc>
          <w:tcPr>
            <w:tcW w:w="2347" w:type="dxa"/>
            <w:tcBorders>
              <w:top w:val="single" w:sz="4" w:space="0" w:color="auto"/>
              <w:bottom w:val="single" w:sz="4" w:space="0" w:color="auto"/>
              <w:right w:val="nil"/>
            </w:tcBorders>
            <w:vAlign w:val="center"/>
          </w:tcPr>
          <w:p w:rsidR="00274882" w:rsidRPr="007C2EA5" w:rsidRDefault="00CB0C9A" w:rsidP="00274882">
            <w:pPr>
              <w:rPr>
                <w:b/>
                <w:color w:val="000000" w:themeColor="text1"/>
              </w:rPr>
            </w:pPr>
            <w:r w:rsidRPr="007C2EA5">
              <w:rPr>
                <w:b/>
                <w:color w:val="000000" w:themeColor="text1"/>
              </w:rPr>
              <w:t xml:space="preserve">Albumin </w:t>
            </w:r>
            <w:r w:rsidR="00274882" w:rsidRPr="007C2EA5">
              <w:rPr>
                <w:b/>
                <w:color w:val="000000" w:themeColor="text1"/>
              </w:rPr>
              <w:t>(g/L)</w:t>
            </w:r>
          </w:p>
        </w:tc>
      </w:tr>
      <w:tr w:rsidR="007C2EA5" w:rsidRPr="007C2EA5" w:rsidTr="00BF48C8">
        <w:trPr>
          <w:trHeight w:hRule="exact" w:val="510"/>
        </w:trPr>
        <w:tc>
          <w:tcPr>
            <w:tcW w:w="1413" w:type="dxa"/>
            <w:tcBorders>
              <w:top w:val="single" w:sz="4" w:space="0" w:color="auto"/>
              <w:left w:val="nil"/>
              <w:bottom w:val="nil"/>
            </w:tcBorders>
            <w:vAlign w:val="center"/>
          </w:tcPr>
          <w:p w:rsidR="00274882" w:rsidRPr="007C2EA5" w:rsidRDefault="00274882" w:rsidP="00274882">
            <w:pPr>
              <w:rPr>
                <w:color w:val="000000" w:themeColor="text1"/>
              </w:rPr>
            </w:pPr>
            <w:r w:rsidRPr="007C2EA5">
              <w:rPr>
                <w:rFonts w:hint="eastAsia"/>
                <w:color w:val="000000" w:themeColor="text1"/>
              </w:rPr>
              <w:t>C</w:t>
            </w:r>
            <w:r w:rsidRPr="007C2EA5">
              <w:rPr>
                <w:color w:val="000000" w:themeColor="text1"/>
              </w:rPr>
              <w:t>ontrol</w:t>
            </w:r>
          </w:p>
        </w:tc>
        <w:tc>
          <w:tcPr>
            <w:tcW w:w="2268" w:type="dxa"/>
            <w:tcBorders>
              <w:top w:val="single" w:sz="4" w:space="0" w:color="auto"/>
              <w:bottom w:val="nil"/>
            </w:tcBorders>
            <w:vAlign w:val="center"/>
          </w:tcPr>
          <w:p w:rsidR="00274882" w:rsidRPr="007C2EA5" w:rsidRDefault="00274882" w:rsidP="00274882">
            <w:pPr>
              <w:rPr>
                <w:color w:val="000000" w:themeColor="text1"/>
              </w:rPr>
            </w:pPr>
            <w:r w:rsidRPr="007C2EA5">
              <w:rPr>
                <w:rFonts w:hint="eastAsia"/>
                <w:color w:val="000000" w:themeColor="text1"/>
              </w:rPr>
              <w:t>47.</w:t>
            </w:r>
            <w:r w:rsidRPr="007C2EA5">
              <w:rPr>
                <w:color w:val="000000" w:themeColor="text1"/>
              </w:rPr>
              <w:t>32</w:t>
            </w:r>
            <w:r w:rsidRPr="007C2EA5">
              <w:rPr>
                <w:rFonts w:hint="eastAsia"/>
                <w:color w:val="000000" w:themeColor="text1"/>
              </w:rPr>
              <w:t>±</w:t>
            </w:r>
            <w:r w:rsidRPr="007C2EA5">
              <w:rPr>
                <w:rFonts w:hint="eastAsia"/>
                <w:color w:val="000000" w:themeColor="text1"/>
              </w:rPr>
              <w:t>5</w:t>
            </w:r>
            <w:r w:rsidRPr="007C2EA5">
              <w:rPr>
                <w:color w:val="000000" w:themeColor="text1"/>
              </w:rPr>
              <w:t>.21</w:t>
            </w:r>
          </w:p>
        </w:tc>
        <w:tc>
          <w:tcPr>
            <w:tcW w:w="2268" w:type="dxa"/>
            <w:tcBorders>
              <w:top w:val="single" w:sz="4" w:space="0" w:color="auto"/>
              <w:bottom w:val="nil"/>
            </w:tcBorders>
            <w:vAlign w:val="center"/>
          </w:tcPr>
          <w:p w:rsidR="00274882" w:rsidRPr="007C2EA5" w:rsidRDefault="00274882" w:rsidP="00274882">
            <w:pPr>
              <w:rPr>
                <w:color w:val="000000" w:themeColor="text1"/>
              </w:rPr>
            </w:pPr>
            <w:r w:rsidRPr="007C2EA5">
              <w:rPr>
                <w:rFonts w:hint="eastAsia"/>
                <w:color w:val="000000" w:themeColor="text1"/>
              </w:rPr>
              <w:t>167.68</w:t>
            </w:r>
            <w:bookmarkStart w:id="53" w:name="OLE_LINK21"/>
            <w:r w:rsidRPr="007C2EA5">
              <w:rPr>
                <w:rFonts w:hint="eastAsia"/>
                <w:color w:val="000000" w:themeColor="text1"/>
              </w:rPr>
              <w:t>±</w:t>
            </w:r>
            <w:bookmarkEnd w:id="53"/>
            <w:r w:rsidRPr="007C2EA5">
              <w:rPr>
                <w:rFonts w:hint="eastAsia"/>
                <w:color w:val="000000" w:themeColor="text1"/>
              </w:rPr>
              <w:t>14.31</w:t>
            </w:r>
          </w:p>
        </w:tc>
        <w:tc>
          <w:tcPr>
            <w:tcW w:w="2347" w:type="dxa"/>
            <w:tcBorders>
              <w:top w:val="single" w:sz="4" w:space="0" w:color="auto"/>
              <w:bottom w:val="nil"/>
              <w:right w:val="nil"/>
            </w:tcBorders>
            <w:vAlign w:val="center"/>
          </w:tcPr>
          <w:p w:rsidR="00C2608C" w:rsidRPr="007C2EA5" w:rsidRDefault="00274882" w:rsidP="00274882">
            <w:pPr>
              <w:rPr>
                <w:color w:val="000000" w:themeColor="text1"/>
              </w:rPr>
            </w:pPr>
            <w:r w:rsidRPr="007C2EA5">
              <w:rPr>
                <w:color w:val="000000" w:themeColor="text1"/>
              </w:rPr>
              <w:t>3</w:t>
            </w:r>
            <w:r w:rsidRPr="007C2EA5">
              <w:rPr>
                <w:rFonts w:hint="eastAsia"/>
                <w:color w:val="000000" w:themeColor="text1"/>
              </w:rPr>
              <w:t>4.23</w:t>
            </w:r>
            <w:r w:rsidRPr="007C2EA5">
              <w:rPr>
                <w:rFonts w:hint="eastAsia"/>
                <w:color w:val="000000" w:themeColor="text1"/>
              </w:rPr>
              <w:t>±</w:t>
            </w:r>
            <w:r w:rsidRPr="007C2EA5">
              <w:rPr>
                <w:rFonts w:hint="eastAsia"/>
                <w:color w:val="000000" w:themeColor="text1"/>
              </w:rPr>
              <w:t>2.62</w:t>
            </w:r>
          </w:p>
        </w:tc>
      </w:tr>
      <w:tr w:rsidR="007C2EA5" w:rsidRPr="007C2EA5" w:rsidTr="00FA755C">
        <w:trPr>
          <w:trHeight w:hRule="exact" w:val="510"/>
        </w:trPr>
        <w:tc>
          <w:tcPr>
            <w:tcW w:w="1413" w:type="dxa"/>
            <w:tcBorders>
              <w:top w:val="nil"/>
              <w:left w:val="nil"/>
              <w:bottom w:val="single" w:sz="4" w:space="0" w:color="auto"/>
            </w:tcBorders>
            <w:vAlign w:val="center"/>
          </w:tcPr>
          <w:p w:rsidR="00274882" w:rsidRPr="007C2EA5" w:rsidRDefault="00274882" w:rsidP="00274882">
            <w:pPr>
              <w:rPr>
                <w:color w:val="000000" w:themeColor="text1"/>
              </w:rPr>
            </w:pPr>
            <w:r w:rsidRPr="007C2EA5">
              <w:rPr>
                <w:rFonts w:hint="eastAsia"/>
                <w:color w:val="000000" w:themeColor="text1"/>
              </w:rPr>
              <w:t>M</w:t>
            </w:r>
            <w:r w:rsidRPr="007C2EA5">
              <w:rPr>
                <w:color w:val="000000" w:themeColor="text1"/>
              </w:rPr>
              <w:t>odel</w:t>
            </w:r>
          </w:p>
        </w:tc>
        <w:tc>
          <w:tcPr>
            <w:tcW w:w="2268" w:type="dxa"/>
            <w:tcBorders>
              <w:top w:val="nil"/>
              <w:bottom w:val="single" w:sz="4" w:space="0" w:color="auto"/>
            </w:tcBorders>
            <w:vAlign w:val="center"/>
          </w:tcPr>
          <w:p w:rsidR="00274882" w:rsidRPr="007C2EA5" w:rsidRDefault="00274882" w:rsidP="00274882">
            <w:pPr>
              <w:rPr>
                <w:color w:val="000000" w:themeColor="text1"/>
              </w:rPr>
            </w:pPr>
            <w:r w:rsidRPr="007C2EA5">
              <w:rPr>
                <w:rFonts w:hint="eastAsia"/>
                <w:color w:val="000000" w:themeColor="text1"/>
              </w:rPr>
              <w:t>75.</w:t>
            </w:r>
            <w:r w:rsidRPr="007C2EA5">
              <w:rPr>
                <w:color w:val="000000" w:themeColor="text1"/>
              </w:rPr>
              <w:t>13</w:t>
            </w:r>
            <w:r w:rsidRPr="007C2EA5">
              <w:rPr>
                <w:rFonts w:hint="eastAsia"/>
                <w:color w:val="000000" w:themeColor="text1"/>
              </w:rPr>
              <w:t>±</w:t>
            </w:r>
            <w:r w:rsidRPr="007C2EA5">
              <w:rPr>
                <w:rFonts w:hint="eastAsia"/>
                <w:color w:val="000000" w:themeColor="text1"/>
              </w:rPr>
              <w:t>9.68</w:t>
            </w:r>
            <w:r w:rsidRPr="007C2EA5">
              <w:rPr>
                <w:color w:val="000000" w:themeColor="text1"/>
                <w:vertAlign w:val="superscript"/>
              </w:rPr>
              <w:t>a</w:t>
            </w:r>
          </w:p>
        </w:tc>
        <w:tc>
          <w:tcPr>
            <w:tcW w:w="2268" w:type="dxa"/>
            <w:tcBorders>
              <w:top w:val="nil"/>
              <w:bottom w:val="single" w:sz="4" w:space="0" w:color="auto"/>
            </w:tcBorders>
            <w:vAlign w:val="center"/>
          </w:tcPr>
          <w:p w:rsidR="00274882" w:rsidRPr="007C2EA5" w:rsidRDefault="00274882" w:rsidP="00274882">
            <w:pPr>
              <w:rPr>
                <w:color w:val="000000" w:themeColor="text1"/>
              </w:rPr>
            </w:pPr>
            <w:r w:rsidRPr="007C2EA5">
              <w:rPr>
                <w:rFonts w:hint="eastAsia"/>
                <w:color w:val="000000" w:themeColor="text1"/>
              </w:rPr>
              <w:t>252.06</w:t>
            </w:r>
            <w:r w:rsidRPr="007C2EA5">
              <w:rPr>
                <w:rFonts w:hint="eastAsia"/>
                <w:color w:val="000000" w:themeColor="text1"/>
              </w:rPr>
              <w:t>±</w:t>
            </w:r>
            <w:r w:rsidRPr="007C2EA5">
              <w:rPr>
                <w:rFonts w:hint="eastAsia"/>
                <w:color w:val="000000" w:themeColor="text1"/>
              </w:rPr>
              <w:t>22.83</w:t>
            </w:r>
            <w:r w:rsidRPr="007C2EA5">
              <w:rPr>
                <w:color w:val="000000" w:themeColor="text1"/>
                <w:vertAlign w:val="superscript"/>
              </w:rPr>
              <w:t>a</w:t>
            </w:r>
          </w:p>
        </w:tc>
        <w:tc>
          <w:tcPr>
            <w:tcW w:w="2347" w:type="dxa"/>
            <w:tcBorders>
              <w:top w:val="nil"/>
              <w:bottom w:val="single" w:sz="4" w:space="0" w:color="auto"/>
              <w:right w:val="nil"/>
            </w:tcBorders>
            <w:vAlign w:val="center"/>
          </w:tcPr>
          <w:p w:rsidR="00274882" w:rsidRPr="007C2EA5" w:rsidRDefault="00274882" w:rsidP="00274882">
            <w:pPr>
              <w:rPr>
                <w:color w:val="000000" w:themeColor="text1"/>
              </w:rPr>
            </w:pPr>
            <w:r w:rsidRPr="007C2EA5">
              <w:rPr>
                <w:rFonts w:hint="eastAsia"/>
                <w:color w:val="000000" w:themeColor="text1"/>
              </w:rPr>
              <w:t>25.60</w:t>
            </w:r>
            <w:r w:rsidRPr="007C2EA5">
              <w:rPr>
                <w:rFonts w:hint="eastAsia"/>
                <w:color w:val="000000" w:themeColor="text1"/>
              </w:rPr>
              <w:t>±</w:t>
            </w:r>
            <w:r w:rsidRPr="007C2EA5">
              <w:rPr>
                <w:rFonts w:hint="eastAsia"/>
                <w:color w:val="000000" w:themeColor="text1"/>
              </w:rPr>
              <w:t>1.90</w:t>
            </w:r>
            <w:r w:rsidRPr="007C2EA5">
              <w:rPr>
                <w:color w:val="000000" w:themeColor="text1"/>
                <w:vertAlign w:val="superscript"/>
              </w:rPr>
              <w:t>a</w:t>
            </w:r>
          </w:p>
        </w:tc>
      </w:tr>
    </w:tbl>
    <w:p w:rsidR="00274882" w:rsidRPr="007C2EA5" w:rsidRDefault="00274882" w:rsidP="00274882">
      <w:pPr>
        <w:tabs>
          <w:tab w:val="left" w:pos="600"/>
        </w:tabs>
        <w:autoSpaceDE w:val="0"/>
        <w:autoSpaceDN w:val="0"/>
        <w:adjustRightInd w:val="0"/>
        <w:rPr>
          <w:rFonts w:cs="Book Antiqua"/>
          <w:color w:val="000000" w:themeColor="text1"/>
          <w:kern w:val="0"/>
        </w:rPr>
      </w:pPr>
      <w:r w:rsidRPr="007C2EA5">
        <w:rPr>
          <w:rFonts w:cs="Book Antiqua"/>
          <w:color w:val="000000" w:themeColor="text1"/>
          <w:kern w:val="0"/>
          <w:vertAlign w:val="superscript"/>
        </w:rPr>
        <w:t>a</w:t>
      </w:r>
      <w:r w:rsidRPr="007C2EA5">
        <w:rPr>
          <w:rFonts w:cs="Book Antiqua"/>
          <w:i/>
          <w:color w:val="000000" w:themeColor="text1"/>
          <w:kern w:val="0"/>
        </w:rPr>
        <w:t>P</w:t>
      </w:r>
      <w:r w:rsidRPr="007C2EA5">
        <w:rPr>
          <w:rFonts w:cs="Book Antiqua"/>
          <w:color w:val="000000" w:themeColor="text1"/>
          <w:kern w:val="0"/>
        </w:rPr>
        <w:t xml:space="preserve"> &lt; 0.05 </w:t>
      </w:r>
      <w:r w:rsidR="00FA755C" w:rsidRPr="007C2EA5">
        <w:rPr>
          <w:rFonts w:cs="Book Antiqua" w:hint="eastAsia"/>
          <w:i/>
          <w:color w:val="000000" w:themeColor="text1"/>
          <w:kern w:val="0"/>
        </w:rPr>
        <w:t>vs</w:t>
      </w:r>
      <w:r w:rsidRPr="007C2EA5">
        <w:rPr>
          <w:rFonts w:cs="Book Antiqua"/>
          <w:color w:val="000000" w:themeColor="text1"/>
          <w:kern w:val="0"/>
        </w:rPr>
        <w:t xml:space="preserve"> control, </w:t>
      </w:r>
      <w:r w:rsidRPr="007C2EA5">
        <w:rPr>
          <w:rFonts w:cs="Book Antiqua"/>
          <w:i/>
          <w:color w:val="000000" w:themeColor="text1"/>
          <w:kern w:val="0"/>
        </w:rPr>
        <w:t>n</w:t>
      </w:r>
      <w:r w:rsidRPr="007C2EA5">
        <w:rPr>
          <w:rFonts w:cs="Book Antiqua"/>
          <w:color w:val="000000" w:themeColor="text1"/>
          <w:kern w:val="0"/>
        </w:rPr>
        <w:t xml:space="preserve"> = 12 per group.</w:t>
      </w:r>
      <w:r w:rsidR="007C2EA5">
        <w:rPr>
          <w:rFonts w:cs="Book Antiqua" w:hint="eastAsia"/>
          <w:color w:val="000000" w:themeColor="text1"/>
          <w:kern w:val="0"/>
        </w:rPr>
        <w:t xml:space="preserve"> </w:t>
      </w:r>
      <w:r w:rsidR="007C2EA5" w:rsidRPr="007C2EA5">
        <w:rPr>
          <w:rFonts w:cs="Book Antiqua"/>
          <w:color w:val="000000" w:themeColor="text1"/>
          <w:kern w:val="0"/>
        </w:rPr>
        <w:t>ALT</w:t>
      </w:r>
      <w:r w:rsidR="007C2EA5">
        <w:rPr>
          <w:rFonts w:cs="Book Antiqua" w:hint="eastAsia"/>
          <w:color w:val="000000" w:themeColor="text1"/>
          <w:kern w:val="0"/>
        </w:rPr>
        <w:t xml:space="preserve">: </w:t>
      </w:r>
      <w:r w:rsidR="007C2EA5" w:rsidRPr="007C2EA5">
        <w:rPr>
          <w:rFonts w:cs="Book Antiqua"/>
          <w:color w:val="000000" w:themeColor="text1"/>
          <w:kern w:val="0"/>
        </w:rPr>
        <w:t>Alanine aminotransferase</w:t>
      </w:r>
      <w:r w:rsidR="007C2EA5">
        <w:rPr>
          <w:rFonts w:cs="Book Antiqua" w:hint="eastAsia"/>
          <w:color w:val="000000" w:themeColor="text1"/>
          <w:kern w:val="0"/>
        </w:rPr>
        <w:t xml:space="preserve">; </w:t>
      </w:r>
      <w:r w:rsidR="007C2EA5" w:rsidRPr="007C2EA5">
        <w:rPr>
          <w:rFonts w:cs="Book Antiqua"/>
          <w:color w:val="000000" w:themeColor="text1"/>
          <w:kern w:val="0"/>
        </w:rPr>
        <w:t>AST</w:t>
      </w:r>
      <w:r w:rsidR="007C2EA5">
        <w:rPr>
          <w:rFonts w:cs="Book Antiqua" w:hint="eastAsia"/>
          <w:color w:val="000000" w:themeColor="text1"/>
          <w:kern w:val="0"/>
        </w:rPr>
        <w:t xml:space="preserve">: </w:t>
      </w:r>
      <w:r w:rsidR="007C2EA5" w:rsidRPr="007C2EA5">
        <w:rPr>
          <w:rFonts w:cs="Book Antiqua"/>
          <w:color w:val="000000" w:themeColor="text1"/>
          <w:kern w:val="0"/>
        </w:rPr>
        <w:t>Aspartate aminotransferase</w:t>
      </w:r>
      <w:r w:rsidR="007C2EA5">
        <w:rPr>
          <w:rFonts w:cs="Book Antiqua" w:hint="eastAsia"/>
          <w:color w:val="000000" w:themeColor="text1"/>
          <w:kern w:val="0"/>
        </w:rPr>
        <w:t>.</w:t>
      </w:r>
    </w:p>
    <w:p w:rsidR="00CB0C9A" w:rsidRPr="007C2EA5" w:rsidRDefault="00CB0C9A" w:rsidP="00274882">
      <w:pPr>
        <w:tabs>
          <w:tab w:val="left" w:pos="600"/>
        </w:tabs>
        <w:autoSpaceDE w:val="0"/>
        <w:autoSpaceDN w:val="0"/>
        <w:adjustRightInd w:val="0"/>
        <w:rPr>
          <w:rFonts w:cs="Book Antiqua"/>
          <w:color w:val="000000" w:themeColor="text1"/>
          <w:kern w:val="0"/>
        </w:rPr>
      </w:pPr>
    </w:p>
    <w:p w:rsidR="00274882" w:rsidRPr="007C2EA5" w:rsidRDefault="00274882" w:rsidP="006325D1">
      <w:pPr>
        <w:rPr>
          <w:color w:val="000000" w:themeColor="text1"/>
        </w:rPr>
      </w:pPr>
    </w:p>
    <w:p w:rsidR="00CB0C9A" w:rsidRPr="007C2EA5" w:rsidRDefault="00CB0C9A" w:rsidP="006325D1">
      <w:pPr>
        <w:rPr>
          <w:color w:val="000000" w:themeColor="text1"/>
        </w:rPr>
      </w:pPr>
    </w:p>
    <w:p w:rsidR="00CB0C9A" w:rsidRPr="007C2EA5" w:rsidRDefault="00CB0C9A" w:rsidP="006325D1">
      <w:pPr>
        <w:rPr>
          <w:color w:val="000000" w:themeColor="text1"/>
        </w:rPr>
      </w:pPr>
    </w:p>
    <w:p w:rsidR="00CB0C9A" w:rsidRPr="007C2EA5" w:rsidRDefault="00CB0C9A" w:rsidP="006325D1">
      <w:pPr>
        <w:rPr>
          <w:color w:val="000000" w:themeColor="text1"/>
        </w:rPr>
      </w:pPr>
    </w:p>
    <w:p w:rsidR="00CB0C9A" w:rsidRPr="007C2EA5" w:rsidRDefault="00CB0C9A" w:rsidP="006325D1">
      <w:pPr>
        <w:rPr>
          <w:color w:val="000000" w:themeColor="text1"/>
        </w:rPr>
      </w:pPr>
    </w:p>
    <w:p w:rsidR="00F77E5D" w:rsidRPr="007C2EA5" w:rsidRDefault="00F77E5D" w:rsidP="006325D1">
      <w:pPr>
        <w:rPr>
          <w:color w:val="000000" w:themeColor="text1"/>
        </w:rPr>
      </w:pPr>
    </w:p>
    <w:p w:rsidR="00F77E5D" w:rsidRPr="007C2EA5" w:rsidRDefault="00F77E5D" w:rsidP="006325D1">
      <w:pPr>
        <w:rPr>
          <w:color w:val="000000" w:themeColor="text1"/>
        </w:rPr>
      </w:pPr>
    </w:p>
    <w:p w:rsidR="00FA755C" w:rsidRPr="007C2EA5" w:rsidRDefault="00FA755C">
      <w:pPr>
        <w:rPr>
          <w:rFonts w:cs="Book Antiqua"/>
          <w:b/>
          <w:bCs/>
          <w:color w:val="000000" w:themeColor="text1"/>
          <w:kern w:val="0"/>
        </w:rPr>
      </w:pPr>
      <w:r w:rsidRPr="007C2EA5">
        <w:rPr>
          <w:rFonts w:cs="Book Antiqua"/>
          <w:b/>
          <w:bCs/>
          <w:color w:val="000000" w:themeColor="text1"/>
          <w:kern w:val="0"/>
        </w:rPr>
        <w:br w:type="page"/>
      </w:r>
    </w:p>
    <w:p w:rsidR="00CB0C9A" w:rsidRPr="007C2EA5" w:rsidRDefault="00CB0C9A" w:rsidP="00CB0C9A">
      <w:pPr>
        <w:autoSpaceDE w:val="0"/>
        <w:autoSpaceDN w:val="0"/>
        <w:adjustRightInd w:val="0"/>
        <w:rPr>
          <w:rFonts w:cs="Book Antiqua"/>
          <w:b/>
          <w:bCs/>
          <w:color w:val="000000" w:themeColor="text1"/>
          <w:kern w:val="0"/>
        </w:rPr>
      </w:pPr>
      <w:r w:rsidRPr="007C2EA5">
        <w:rPr>
          <w:rFonts w:cs="Book Antiqua"/>
          <w:b/>
          <w:bCs/>
          <w:color w:val="000000" w:themeColor="text1"/>
          <w:kern w:val="0"/>
        </w:rPr>
        <w:lastRenderedPageBreak/>
        <w:t xml:space="preserve">Table 2 Sequences of primers for quantitative real-time </w:t>
      </w:r>
      <w:r w:rsidR="00FA755C" w:rsidRPr="007C2EA5">
        <w:rPr>
          <w:rFonts w:cs="Book Antiqua"/>
          <w:b/>
          <w:bCs/>
          <w:color w:val="000000" w:themeColor="text1"/>
          <w:kern w:val="0"/>
        </w:rPr>
        <w:t>reverse transcription polymerase chain reaction</w:t>
      </w:r>
      <w:r w:rsidR="00FA755C" w:rsidRPr="007C2EA5">
        <w:rPr>
          <w:rFonts w:cs="Book Antiqua" w:hint="eastAsia"/>
          <w:b/>
          <w:bCs/>
          <w:color w:val="000000" w:themeColor="text1"/>
          <w:kern w:val="0"/>
        </w:rPr>
        <w:t xml:space="preserve"> </w:t>
      </w:r>
    </w:p>
    <w:tbl>
      <w:tblPr>
        <w:tblStyle w:val="TableGrid"/>
        <w:tblW w:w="0" w:type="auto"/>
        <w:tblBorders>
          <w:insideV w:val="none" w:sz="0" w:space="0" w:color="auto"/>
        </w:tblBorders>
        <w:tblLayout w:type="fixed"/>
        <w:tblLook w:val="04A0" w:firstRow="1" w:lastRow="0" w:firstColumn="1" w:lastColumn="0" w:noHBand="0" w:noVBand="1"/>
      </w:tblPr>
      <w:tblGrid>
        <w:gridCol w:w="1420"/>
        <w:gridCol w:w="3306"/>
        <w:gridCol w:w="3580"/>
      </w:tblGrid>
      <w:tr w:rsidR="007C2EA5" w:rsidRPr="007C2EA5" w:rsidTr="00FA755C">
        <w:trPr>
          <w:trHeight w:hRule="exact" w:val="510"/>
        </w:trPr>
        <w:tc>
          <w:tcPr>
            <w:tcW w:w="1420" w:type="dxa"/>
            <w:tcBorders>
              <w:top w:val="single" w:sz="4" w:space="0" w:color="auto"/>
              <w:left w:val="nil"/>
              <w:bottom w:val="single" w:sz="4" w:space="0" w:color="auto"/>
            </w:tcBorders>
            <w:vAlign w:val="center"/>
          </w:tcPr>
          <w:p w:rsidR="001E18C9" w:rsidRPr="007C2EA5" w:rsidRDefault="001E18C9" w:rsidP="00FA755C">
            <w:pPr>
              <w:spacing w:line="360" w:lineRule="auto"/>
              <w:jc w:val="center"/>
              <w:rPr>
                <w:b/>
                <w:color w:val="000000" w:themeColor="text1"/>
              </w:rPr>
            </w:pPr>
            <w:r w:rsidRPr="007C2EA5">
              <w:rPr>
                <w:b/>
                <w:color w:val="000000" w:themeColor="text1"/>
              </w:rPr>
              <w:t>Genes</w:t>
            </w:r>
          </w:p>
        </w:tc>
        <w:tc>
          <w:tcPr>
            <w:tcW w:w="3306" w:type="dxa"/>
            <w:tcBorders>
              <w:top w:val="single" w:sz="4" w:space="0" w:color="auto"/>
              <w:bottom w:val="single" w:sz="4" w:space="0" w:color="auto"/>
            </w:tcBorders>
            <w:vAlign w:val="center"/>
          </w:tcPr>
          <w:p w:rsidR="001E18C9" w:rsidRPr="007C2EA5" w:rsidRDefault="001E18C9" w:rsidP="00FA755C">
            <w:pPr>
              <w:spacing w:line="360" w:lineRule="auto"/>
              <w:jc w:val="center"/>
              <w:rPr>
                <w:b/>
                <w:color w:val="000000" w:themeColor="text1"/>
              </w:rPr>
            </w:pPr>
            <w:r w:rsidRPr="007C2EA5">
              <w:rPr>
                <w:b/>
                <w:color w:val="000000" w:themeColor="text1"/>
              </w:rPr>
              <w:t>Forward</w:t>
            </w:r>
          </w:p>
        </w:tc>
        <w:tc>
          <w:tcPr>
            <w:tcW w:w="3580" w:type="dxa"/>
            <w:tcBorders>
              <w:top w:val="single" w:sz="4" w:space="0" w:color="auto"/>
              <w:bottom w:val="single" w:sz="4" w:space="0" w:color="auto"/>
              <w:right w:val="nil"/>
            </w:tcBorders>
            <w:vAlign w:val="center"/>
          </w:tcPr>
          <w:p w:rsidR="001E18C9" w:rsidRPr="007C2EA5" w:rsidRDefault="001E18C9" w:rsidP="00FA755C">
            <w:pPr>
              <w:spacing w:line="360" w:lineRule="auto"/>
              <w:jc w:val="center"/>
              <w:rPr>
                <w:b/>
                <w:color w:val="000000" w:themeColor="text1"/>
              </w:rPr>
            </w:pPr>
            <w:r w:rsidRPr="007C2EA5">
              <w:rPr>
                <w:b/>
                <w:color w:val="000000" w:themeColor="text1"/>
              </w:rPr>
              <w:t>Reverse</w:t>
            </w:r>
          </w:p>
        </w:tc>
      </w:tr>
      <w:tr w:rsidR="007C2EA5" w:rsidRPr="007C2EA5" w:rsidTr="00BF48C8">
        <w:trPr>
          <w:trHeight w:hRule="exact" w:val="510"/>
        </w:trPr>
        <w:tc>
          <w:tcPr>
            <w:tcW w:w="1420" w:type="dxa"/>
            <w:tcBorders>
              <w:left w:val="nil"/>
              <w:bottom w:val="nil"/>
            </w:tcBorders>
            <w:vAlign w:val="center"/>
          </w:tcPr>
          <w:p w:rsidR="001E18C9" w:rsidRPr="007C2EA5" w:rsidRDefault="001E18C9" w:rsidP="00FA755C">
            <w:pPr>
              <w:spacing w:line="360" w:lineRule="auto"/>
              <w:jc w:val="center"/>
              <w:rPr>
                <w:i/>
                <w:color w:val="000000" w:themeColor="text1"/>
              </w:rPr>
            </w:pPr>
            <w:r w:rsidRPr="007C2EA5">
              <w:rPr>
                <w:i/>
                <w:color w:val="000000" w:themeColor="text1"/>
              </w:rPr>
              <w:t>Notch1</w:t>
            </w:r>
          </w:p>
        </w:tc>
        <w:tc>
          <w:tcPr>
            <w:tcW w:w="3306" w:type="dxa"/>
            <w:tcBorders>
              <w:bottom w:val="nil"/>
            </w:tcBorders>
            <w:vAlign w:val="center"/>
          </w:tcPr>
          <w:p w:rsidR="001E18C9" w:rsidRPr="007C2EA5" w:rsidRDefault="001E18C9" w:rsidP="00FA755C">
            <w:pPr>
              <w:spacing w:line="360" w:lineRule="auto"/>
              <w:rPr>
                <w:color w:val="000000" w:themeColor="text1"/>
              </w:rPr>
            </w:pPr>
            <w:r w:rsidRPr="007C2EA5">
              <w:rPr>
                <w:color w:val="000000" w:themeColor="text1"/>
              </w:rPr>
              <w:t>5’-tcgtgctcctgttctttgtg-3’</w:t>
            </w:r>
          </w:p>
        </w:tc>
        <w:tc>
          <w:tcPr>
            <w:tcW w:w="3580" w:type="dxa"/>
            <w:tcBorders>
              <w:bottom w:val="nil"/>
              <w:right w:val="nil"/>
            </w:tcBorders>
            <w:vAlign w:val="center"/>
          </w:tcPr>
          <w:p w:rsidR="001E18C9" w:rsidRPr="007C2EA5" w:rsidRDefault="001E18C9" w:rsidP="00FA755C">
            <w:pPr>
              <w:spacing w:line="360" w:lineRule="auto"/>
              <w:rPr>
                <w:color w:val="000000" w:themeColor="text1"/>
              </w:rPr>
            </w:pPr>
            <w:r w:rsidRPr="007C2EA5">
              <w:rPr>
                <w:color w:val="000000" w:themeColor="text1"/>
              </w:rPr>
              <w:t>5’-ttctctccgcttcttcttgc-3’</w:t>
            </w:r>
          </w:p>
        </w:tc>
      </w:tr>
      <w:tr w:rsidR="007C2EA5" w:rsidRPr="007C2EA5" w:rsidTr="00BF48C8">
        <w:trPr>
          <w:trHeight w:hRule="exact" w:val="510"/>
        </w:trPr>
        <w:tc>
          <w:tcPr>
            <w:tcW w:w="1420" w:type="dxa"/>
            <w:tcBorders>
              <w:top w:val="nil"/>
              <w:left w:val="nil"/>
              <w:bottom w:val="nil"/>
            </w:tcBorders>
            <w:vAlign w:val="center"/>
          </w:tcPr>
          <w:p w:rsidR="001E18C9" w:rsidRPr="007C2EA5" w:rsidRDefault="001E18C9" w:rsidP="00FA755C">
            <w:pPr>
              <w:spacing w:line="360" w:lineRule="auto"/>
              <w:jc w:val="center"/>
              <w:rPr>
                <w:i/>
                <w:color w:val="000000" w:themeColor="text1"/>
              </w:rPr>
            </w:pPr>
            <w:r w:rsidRPr="007C2EA5">
              <w:rPr>
                <w:i/>
                <w:color w:val="000000" w:themeColor="text1"/>
              </w:rPr>
              <w:t>Notch2</w:t>
            </w:r>
          </w:p>
        </w:tc>
        <w:tc>
          <w:tcPr>
            <w:tcW w:w="3306" w:type="dxa"/>
            <w:tcBorders>
              <w:top w:val="nil"/>
              <w:bottom w:val="nil"/>
            </w:tcBorders>
            <w:vAlign w:val="center"/>
          </w:tcPr>
          <w:p w:rsidR="001E18C9" w:rsidRPr="007C2EA5" w:rsidRDefault="001E18C9" w:rsidP="00FA755C">
            <w:pPr>
              <w:spacing w:line="360" w:lineRule="auto"/>
              <w:rPr>
                <w:color w:val="000000" w:themeColor="text1"/>
              </w:rPr>
            </w:pPr>
            <w:r w:rsidRPr="007C2EA5">
              <w:rPr>
                <w:color w:val="000000" w:themeColor="text1"/>
              </w:rPr>
              <w:t>5’-tgatgagcaggaacaggaga-3’</w:t>
            </w:r>
          </w:p>
        </w:tc>
        <w:tc>
          <w:tcPr>
            <w:tcW w:w="3580" w:type="dxa"/>
            <w:tcBorders>
              <w:top w:val="nil"/>
              <w:bottom w:val="nil"/>
              <w:right w:val="nil"/>
            </w:tcBorders>
            <w:vAlign w:val="center"/>
          </w:tcPr>
          <w:p w:rsidR="001E18C9" w:rsidRPr="007C2EA5" w:rsidRDefault="001E18C9" w:rsidP="00FA755C">
            <w:pPr>
              <w:spacing w:line="360" w:lineRule="auto"/>
              <w:rPr>
                <w:color w:val="000000" w:themeColor="text1"/>
              </w:rPr>
            </w:pPr>
            <w:r w:rsidRPr="007C2EA5">
              <w:rPr>
                <w:color w:val="000000" w:themeColor="text1"/>
              </w:rPr>
              <w:t>5’-atgagaagccaggagagcag-3’</w:t>
            </w:r>
          </w:p>
        </w:tc>
      </w:tr>
      <w:tr w:rsidR="007C2EA5" w:rsidRPr="007C2EA5" w:rsidTr="00BF48C8">
        <w:trPr>
          <w:trHeight w:hRule="exact" w:val="510"/>
        </w:trPr>
        <w:tc>
          <w:tcPr>
            <w:tcW w:w="1420" w:type="dxa"/>
            <w:tcBorders>
              <w:top w:val="nil"/>
              <w:left w:val="nil"/>
              <w:bottom w:val="nil"/>
            </w:tcBorders>
            <w:vAlign w:val="center"/>
          </w:tcPr>
          <w:p w:rsidR="001E18C9" w:rsidRPr="007C2EA5" w:rsidRDefault="001E18C9" w:rsidP="00FA755C">
            <w:pPr>
              <w:spacing w:line="360" w:lineRule="auto"/>
              <w:jc w:val="center"/>
              <w:rPr>
                <w:i/>
                <w:color w:val="000000" w:themeColor="text1"/>
              </w:rPr>
            </w:pPr>
            <w:r w:rsidRPr="007C2EA5">
              <w:rPr>
                <w:i/>
                <w:color w:val="000000" w:themeColor="text1"/>
              </w:rPr>
              <w:t>Notch3</w:t>
            </w:r>
          </w:p>
        </w:tc>
        <w:tc>
          <w:tcPr>
            <w:tcW w:w="3306" w:type="dxa"/>
            <w:tcBorders>
              <w:top w:val="nil"/>
              <w:bottom w:val="nil"/>
            </w:tcBorders>
            <w:vAlign w:val="center"/>
          </w:tcPr>
          <w:p w:rsidR="001E18C9" w:rsidRPr="007C2EA5" w:rsidRDefault="001E18C9" w:rsidP="00FA755C">
            <w:pPr>
              <w:spacing w:line="360" w:lineRule="auto"/>
              <w:rPr>
                <w:color w:val="000000" w:themeColor="text1"/>
              </w:rPr>
            </w:pPr>
            <w:r w:rsidRPr="007C2EA5">
              <w:rPr>
                <w:color w:val="000000" w:themeColor="text1"/>
              </w:rPr>
              <w:t>5’-atacccactacgggatgtgc-3’</w:t>
            </w:r>
          </w:p>
        </w:tc>
        <w:tc>
          <w:tcPr>
            <w:tcW w:w="3580" w:type="dxa"/>
            <w:tcBorders>
              <w:top w:val="nil"/>
              <w:bottom w:val="nil"/>
              <w:right w:val="nil"/>
            </w:tcBorders>
            <w:vAlign w:val="center"/>
          </w:tcPr>
          <w:p w:rsidR="001E18C9" w:rsidRPr="007C2EA5" w:rsidRDefault="001E18C9" w:rsidP="00FA755C">
            <w:pPr>
              <w:spacing w:line="360" w:lineRule="auto"/>
              <w:rPr>
                <w:color w:val="000000" w:themeColor="text1"/>
              </w:rPr>
            </w:pPr>
            <w:r w:rsidRPr="007C2EA5">
              <w:rPr>
                <w:color w:val="000000" w:themeColor="text1"/>
              </w:rPr>
              <w:t>5’-aggacgaagatgaccagcag-3’</w:t>
            </w:r>
          </w:p>
        </w:tc>
      </w:tr>
      <w:tr w:rsidR="007C2EA5" w:rsidRPr="007C2EA5" w:rsidTr="00BF48C8">
        <w:trPr>
          <w:trHeight w:hRule="exact" w:val="510"/>
        </w:trPr>
        <w:tc>
          <w:tcPr>
            <w:tcW w:w="1420" w:type="dxa"/>
            <w:tcBorders>
              <w:top w:val="nil"/>
              <w:left w:val="nil"/>
              <w:bottom w:val="nil"/>
            </w:tcBorders>
            <w:vAlign w:val="center"/>
          </w:tcPr>
          <w:p w:rsidR="001E18C9" w:rsidRPr="007C2EA5" w:rsidRDefault="001E18C9" w:rsidP="00FA755C">
            <w:pPr>
              <w:spacing w:line="360" w:lineRule="auto"/>
              <w:jc w:val="center"/>
              <w:rPr>
                <w:i/>
                <w:color w:val="000000" w:themeColor="text1"/>
              </w:rPr>
            </w:pPr>
            <w:r w:rsidRPr="007C2EA5">
              <w:rPr>
                <w:i/>
                <w:color w:val="000000" w:themeColor="text1"/>
              </w:rPr>
              <w:t>Notch4</w:t>
            </w:r>
          </w:p>
        </w:tc>
        <w:tc>
          <w:tcPr>
            <w:tcW w:w="3306" w:type="dxa"/>
            <w:tcBorders>
              <w:top w:val="nil"/>
              <w:bottom w:val="nil"/>
            </w:tcBorders>
            <w:vAlign w:val="center"/>
          </w:tcPr>
          <w:p w:rsidR="001E18C9" w:rsidRPr="007C2EA5" w:rsidRDefault="001E18C9" w:rsidP="00FA755C">
            <w:pPr>
              <w:spacing w:line="360" w:lineRule="auto"/>
              <w:rPr>
                <w:color w:val="000000" w:themeColor="text1"/>
              </w:rPr>
            </w:pPr>
            <w:r w:rsidRPr="007C2EA5">
              <w:rPr>
                <w:color w:val="000000" w:themeColor="text1"/>
              </w:rPr>
              <w:t>5’-ggatgaatgtcggagtgacc-3’</w:t>
            </w:r>
          </w:p>
        </w:tc>
        <w:tc>
          <w:tcPr>
            <w:tcW w:w="3580" w:type="dxa"/>
            <w:tcBorders>
              <w:top w:val="nil"/>
              <w:bottom w:val="nil"/>
              <w:right w:val="nil"/>
            </w:tcBorders>
            <w:vAlign w:val="center"/>
          </w:tcPr>
          <w:p w:rsidR="001E18C9" w:rsidRPr="007C2EA5" w:rsidRDefault="001E18C9" w:rsidP="00FA755C">
            <w:pPr>
              <w:spacing w:line="360" w:lineRule="auto"/>
              <w:rPr>
                <w:color w:val="000000" w:themeColor="text1"/>
              </w:rPr>
            </w:pPr>
            <w:r w:rsidRPr="007C2EA5">
              <w:rPr>
                <w:color w:val="000000" w:themeColor="text1"/>
              </w:rPr>
              <w:t>5’-ggctacacaagggaacctca-3’</w:t>
            </w:r>
          </w:p>
        </w:tc>
      </w:tr>
      <w:tr w:rsidR="007C2EA5" w:rsidRPr="007C2EA5" w:rsidTr="00BF48C8">
        <w:trPr>
          <w:trHeight w:hRule="exact" w:val="510"/>
        </w:trPr>
        <w:tc>
          <w:tcPr>
            <w:tcW w:w="1420" w:type="dxa"/>
            <w:tcBorders>
              <w:top w:val="nil"/>
              <w:left w:val="nil"/>
              <w:bottom w:val="nil"/>
            </w:tcBorders>
            <w:vAlign w:val="center"/>
          </w:tcPr>
          <w:p w:rsidR="001E18C9" w:rsidRPr="007C2EA5" w:rsidRDefault="001E18C9" w:rsidP="00FA755C">
            <w:pPr>
              <w:spacing w:line="360" w:lineRule="auto"/>
              <w:jc w:val="center"/>
              <w:rPr>
                <w:i/>
                <w:color w:val="000000" w:themeColor="text1"/>
              </w:rPr>
            </w:pPr>
            <w:r w:rsidRPr="007C2EA5">
              <w:rPr>
                <w:i/>
                <w:color w:val="000000" w:themeColor="text1"/>
              </w:rPr>
              <w:t>Jagged1</w:t>
            </w:r>
          </w:p>
        </w:tc>
        <w:tc>
          <w:tcPr>
            <w:tcW w:w="3306" w:type="dxa"/>
            <w:tcBorders>
              <w:top w:val="nil"/>
              <w:bottom w:val="nil"/>
            </w:tcBorders>
            <w:vAlign w:val="center"/>
          </w:tcPr>
          <w:p w:rsidR="001E18C9" w:rsidRPr="007C2EA5" w:rsidRDefault="001E18C9" w:rsidP="00FA755C">
            <w:pPr>
              <w:spacing w:line="360" w:lineRule="auto"/>
              <w:rPr>
                <w:color w:val="000000" w:themeColor="text1"/>
              </w:rPr>
            </w:pPr>
            <w:r w:rsidRPr="007C2EA5">
              <w:rPr>
                <w:color w:val="000000" w:themeColor="text1"/>
              </w:rPr>
              <w:t>5’-cagtggcttgggtctgttg-3’</w:t>
            </w:r>
          </w:p>
        </w:tc>
        <w:tc>
          <w:tcPr>
            <w:tcW w:w="3580" w:type="dxa"/>
            <w:tcBorders>
              <w:top w:val="nil"/>
              <w:bottom w:val="nil"/>
              <w:right w:val="nil"/>
            </w:tcBorders>
            <w:vAlign w:val="center"/>
          </w:tcPr>
          <w:p w:rsidR="001E18C9" w:rsidRPr="007C2EA5" w:rsidRDefault="001E18C9" w:rsidP="00FA755C">
            <w:pPr>
              <w:spacing w:line="360" w:lineRule="auto"/>
              <w:rPr>
                <w:color w:val="000000" w:themeColor="text1"/>
              </w:rPr>
            </w:pPr>
            <w:r w:rsidRPr="007C2EA5">
              <w:rPr>
                <w:color w:val="000000" w:themeColor="text1"/>
              </w:rPr>
              <w:t>5’-cattgttggtggtgttgtcc-3’</w:t>
            </w:r>
          </w:p>
        </w:tc>
      </w:tr>
      <w:tr w:rsidR="007C2EA5" w:rsidRPr="007C2EA5" w:rsidTr="00BF48C8">
        <w:trPr>
          <w:trHeight w:hRule="exact" w:val="510"/>
        </w:trPr>
        <w:tc>
          <w:tcPr>
            <w:tcW w:w="1420" w:type="dxa"/>
            <w:tcBorders>
              <w:top w:val="nil"/>
              <w:left w:val="nil"/>
              <w:bottom w:val="nil"/>
            </w:tcBorders>
            <w:vAlign w:val="center"/>
          </w:tcPr>
          <w:p w:rsidR="001E18C9" w:rsidRPr="007C2EA5" w:rsidRDefault="001E18C9" w:rsidP="00FA755C">
            <w:pPr>
              <w:spacing w:line="360" w:lineRule="auto"/>
              <w:jc w:val="center"/>
              <w:rPr>
                <w:i/>
                <w:color w:val="000000" w:themeColor="text1"/>
              </w:rPr>
            </w:pPr>
            <w:r w:rsidRPr="007C2EA5">
              <w:rPr>
                <w:i/>
                <w:color w:val="000000" w:themeColor="text1"/>
              </w:rPr>
              <w:t>Hes1</w:t>
            </w:r>
          </w:p>
        </w:tc>
        <w:tc>
          <w:tcPr>
            <w:tcW w:w="3306" w:type="dxa"/>
            <w:tcBorders>
              <w:top w:val="nil"/>
              <w:bottom w:val="nil"/>
            </w:tcBorders>
            <w:vAlign w:val="center"/>
          </w:tcPr>
          <w:p w:rsidR="001E18C9" w:rsidRPr="007C2EA5" w:rsidRDefault="001E18C9" w:rsidP="00FA755C">
            <w:pPr>
              <w:spacing w:line="360" w:lineRule="auto"/>
              <w:rPr>
                <w:color w:val="000000" w:themeColor="text1"/>
              </w:rPr>
            </w:pPr>
            <w:r w:rsidRPr="007C2EA5">
              <w:rPr>
                <w:color w:val="000000" w:themeColor="text1"/>
              </w:rPr>
              <w:t>5’-gtgggtcctaacgcagtgtc-3’</w:t>
            </w:r>
          </w:p>
        </w:tc>
        <w:tc>
          <w:tcPr>
            <w:tcW w:w="3580" w:type="dxa"/>
            <w:tcBorders>
              <w:top w:val="nil"/>
              <w:bottom w:val="nil"/>
              <w:right w:val="nil"/>
            </w:tcBorders>
            <w:vAlign w:val="center"/>
          </w:tcPr>
          <w:p w:rsidR="001E18C9" w:rsidRPr="007C2EA5" w:rsidRDefault="001E18C9" w:rsidP="00FA755C">
            <w:pPr>
              <w:spacing w:line="360" w:lineRule="auto"/>
              <w:rPr>
                <w:color w:val="000000" w:themeColor="text1"/>
              </w:rPr>
            </w:pPr>
            <w:r w:rsidRPr="007C2EA5">
              <w:rPr>
                <w:color w:val="000000" w:themeColor="text1"/>
              </w:rPr>
              <w:t>5’-gtcagaagagagaggtgggcta-3’</w:t>
            </w:r>
          </w:p>
        </w:tc>
      </w:tr>
      <w:tr w:rsidR="007C2EA5" w:rsidRPr="007C2EA5" w:rsidTr="00BF48C8">
        <w:trPr>
          <w:trHeight w:hRule="exact" w:val="510"/>
        </w:trPr>
        <w:tc>
          <w:tcPr>
            <w:tcW w:w="1420" w:type="dxa"/>
            <w:tcBorders>
              <w:top w:val="nil"/>
              <w:left w:val="nil"/>
              <w:bottom w:val="nil"/>
            </w:tcBorders>
            <w:vAlign w:val="center"/>
          </w:tcPr>
          <w:p w:rsidR="001E18C9" w:rsidRPr="007C2EA5" w:rsidRDefault="001E18C9" w:rsidP="00FA755C">
            <w:pPr>
              <w:spacing w:line="360" w:lineRule="auto"/>
              <w:jc w:val="center"/>
              <w:rPr>
                <w:i/>
                <w:color w:val="000000" w:themeColor="text1"/>
              </w:rPr>
            </w:pPr>
            <w:r w:rsidRPr="007C2EA5">
              <w:rPr>
                <w:i/>
                <w:color w:val="000000" w:themeColor="text1"/>
              </w:rPr>
              <w:t>Hes5</w:t>
            </w:r>
          </w:p>
        </w:tc>
        <w:tc>
          <w:tcPr>
            <w:tcW w:w="3306" w:type="dxa"/>
            <w:tcBorders>
              <w:top w:val="nil"/>
              <w:bottom w:val="nil"/>
            </w:tcBorders>
            <w:vAlign w:val="center"/>
          </w:tcPr>
          <w:p w:rsidR="001E18C9" w:rsidRPr="007C2EA5" w:rsidRDefault="001E18C9" w:rsidP="00FA755C">
            <w:pPr>
              <w:spacing w:line="360" w:lineRule="auto"/>
              <w:rPr>
                <w:color w:val="000000" w:themeColor="text1"/>
              </w:rPr>
            </w:pPr>
            <w:r w:rsidRPr="007C2EA5">
              <w:rPr>
                <w:color w:val="000000" w:themeColor="text1"/>
              </w:rPr>
              <w:t>5’-atgctcagtcccaaggagaa-3’</w:t>
            </w:r>
          </w:p>
        </w:tc>
        <w:tc>
          <w:tcPr>
            <w:tcW w:w="3580" w:type="dxa"/>
            <w:tcBorders>
              <w:top w:val="nil"/>
              <w:bottom w:val="nil"/>
              <w:right w:val="nil"/>
            </w:tcBorders>
            <w:vAlign w:val="center"/>
          </w:tcPr>
          <w:p w:rsidR="001E18C9" w:rsidRPr="007C2EA5" w:rsidRDefault="001E18C9" w:rsidP="00FA755C">
            <w:pPr>
              <w:spacing w:line="360" w:lineRule="auto"/>
              <w:rPr>
                <w:color w:val="000000" w:themeColor="text1"/>
              </w:rPr>
            </w:pPr>
            <w:r w:rsidRPr="007C2EA5">
              <w:rPr>
                <w:color w:val="000000" w:themeColor="text1"/>
              </w:rPr>
              <w:t>5’-ctccagcagcagtttcagc-3’</w:t>
            </w:r>
          </w:p>
        </w:tc>
      </w:tr>
      <w:tr w:rsidR="007C2EA5" w:rsidRPr="007C2EA5" w:rsidTr="00BF48C8">
        <w:trPr>
          <w:trHeight w:hRule="exact" w:val="510"/>
        </w:trPr>
        <w:tc>
          <w:tcPr>
            <w:tcW w:w="1420" w:type="dxa"/>
            <w:tcBorders>
              <w:top w:val="nil"/>
              <w:left w:val="nil"/>
              <w:bottom w:val="nil"/>
            </w:tcBorders>
            <w:vAlign w:val="center"/>
          </w:tcPr>
          <w:p w:rsidR="001E18C9" w:rsidRPr="007C2EA5" w:rsidRDefault="001E18C9" w:rsidP="00FA755C">
            <w:pPr>
              <w:spacing w:line="360" w:lineRule="auto"/>
              <w:jc w:val="center"/>
              <w:rPr>
                <w:i/>
                <w:color w:val="000000" w:themeColor="text1"/>
              </w:rPr>
            </w:pPr>
            <w:r w:rsidRPr="007C2EA5">
              <w:rPr>
                <w:i/>
                <w:color w:val="000000" w:themeColor="text1"/>
              </w:rPr>
              <w:t>TGF-β1</w:t>
            </w:r>
          </w:p>
        </w:tc>
        <w:tc>
          <w:tcPr>
            <w:tcW w:w="3306" w:type="dxa"/>
            <w:tcBorders>
              <w:top w:val="nil"/>
              <w:bottom w:val="nil"/>
            </w:tcBorders>
            <w:vAlign w:val="center"/>
          </w:tcPr>
          <w:p w:rsidR="001E18C9" w:rsidRPr="007C2EA5" w:rsidRDefault="001E18C9" w:rsidP="00FA755C">
            <w:pPr>
              <w:spacing w:line="360" w:lineRule="auto"/>
              <w:rPr>
                <w:color w:val="000000" w:themeColor="text1"/>
              </w:rPr>
            </w:pPr>
            <w:r w:rsidRPr="007C2EA5">
              <w:rPr>
                <w:color w:val="000000" w:themeColor="text1"/>
              </w:rPr>
              <w:t>5’-attcctggcgttaccttgg-3’</w:t>
            </w:r>
          </w:p>
        </w:tc>
        <w:tc>
          <w:tcPr>
            <w:tcW w:w="3580" w:type="dxa"/>
            <w:tcBorders>
              <w:top w:val="nil"/>
              <w:bottom w:val="nil"/>
              <w:right w:val="nil"/>
            </w:tcBorders>
            <w:vAlign w:val="center"/>
          </w:tcPr>
          <w:p w:rsidR="001E18C9" w:rsidRPr="007C2EA5" w:rsidRDefault="001E18C9" w:rsidP="00FA755C">
            <w:pPr>
              <w:spacing w:line="360" w:lineRule="auto"/>
              <w:rPr>
                <w:color w:val="000000" w:themeColor="text1"/>
              </w:rPr>
            </w:pPr>
            <w:r w:rsidRPr="007C2EA5">
              <w:rPr>
                <w:color w:val="000000" w:themeColor="text1"/>
              </w:rPr>
              <w:t>5’-agccctgtattccgttctct-3’</w:t>
            </w:r>
          </w:p>
        </w:tc>
      </w:tr>
      <w:tr w:rsidR="007C2EA5" w:rsidRPr="007C2EA5" w:rsidTr="00BF48C8">
        <w:trPr>
          <w:trHeight w:hRule="exact" w:val="510"/>
        </w:trPr>
        <w:tc>
          <w:tcPr>
            <w:tcW w:w="1420" w:type="dxa"/>
            <w:tcBorders>
              <w:top w:val="nil"/>
              <w:left w:val="nil"/>
              <w:bottom w:val="nil"/>
            </w:tcBorders>
            <w:vAlign w:val="center"/>
          </w:tcPr>
          <w:p w:rsidR="001E18C9" w:rsidRPr="007C2EA5" w:rsidRDefault="001E18C9" w:rsidP="00FA755C">
            <w:pPr>
              <w:spacing w:line="360" w:lineRule="auto"/>
              <w:jc w:val="center"/>
              <w:rPr>
                <w:i/>
                <w:color w:val="000000" w:themeColor="text1"/>
              </w:rPr>
            </w:pPr>
            <w:r w:rsidRPr="007C2EA5">
              <w:rPr>
                <w:i/>
                <w:color w:val="000000" w:themeColor="text1"/>
              </w:rPr>
              <w:t>Smad2</w:t>
            </w:r>
          </w:p>
        </w:tc>
        <w:tc>
          <w:tcPr>
            <w:tcW w:w="3306" w:type="dxa"/>
            <w:tcBorders>
              <w:top w:val="nil"/>
              <w:bottom w:val="nil"/>
            </w:tcBorders>
            <w:vAlign w:val="center"/>
          </w:tcPr>
          <w:p w:rsidR="001E18C9" w:rsidRPr="007C2EA5" w:rsidRDefault="001E18C9" w:rsidP="00FA755C">
            <w:pPr>
              <w:spacing w:line="360" w:lineRule="auto"/>
              <w:rPr>
                <w:color w:val="000000" w:themeColor="text1"/>
              </w:rPr>
            </w:pPr>
            <w:r w:rsidRPr="007C2EA5">
              <w:rPr>
                <w:color w:val="000000" w:themeColor="text1"/>
              </w:rPr>
              <w:t>5’-cggctgaactgtctcctacc-3’</w:t>
            </w:r>
          </w:p>
        </w:tc>
        <w:tc>
          <w:tcPr>
            <w:tcW w:w="3580" w:type="dxa"/>
            <w:tcBorders>
              <w:top w:val="nil"/>
              <w:bottom w:val="nil"/>
              <w:right w:val="nil"/>
            </w:tcBorders>
            <w:vAlign w:val="center"/>
          </w:tcPr>
          <w:p w:rsidR="001E18C9" w:rsidRPr="007C2EA5" w:rsidRDefault="001E18C9" w:rsidP="00FA755C">
            <w:pPr>
              <w:spacing w:line="360" w:lineRule="auto"/>
              <w:rPr>
                <w:color w:val="000000" w:themeColor="text1"/>
              </w:rPr>
            </w:pPr>
            <w:r w:rsidRPr="007C2EA5">
              <w:rPr>
                <w:color w:val="000000" w:themeColor="text1"/>
              </w:rPr>
              <w:t>5’-aggtctctccaaccctctgg-3’</w:t>
            </w:r>
          </w:p>
        </w:tc>
      </w:tr>
      <w:tr w:rsidR="007C2EA5" w:rsidRPr="007C2EA5" w:rsidTr="00BF48C8">
        <w:trPr>
          <w:trHeight w:hRule="exact" w:val="510"/>
        </w:trPr>
        <w:tc>
          <w:tcPr>
            <w:tcW w:w="1420" w:type="dxa"/>
            <w:tcBorders>
              <w:top w:val="nil"/>
              <w:left w:val="nil"/>
              <w:bottom w:val="nil"/>
            </w:tcBorders>
            <w:vAlign w:val="center"/>
          </w:tcPr>
          <w:p w:rsidR="001E18C9" w:rsidRPr="007C2EA5" w:rsidRDefault="001E18C9" w:rsidP="00FA755C">
            <w:pPr>
              <w:spacing w:line="360" w:lineRule="auto"/>
              <w:jc w:val="center"/>
              <w:rPr>
                <w:i/>
                <w:color w:val="000000" w:themeColor="text1"/>
              </w:rPr>
            </w:pPr>
            <w:r w:rsidRPr="007C2EA5">
              <w:rPr>
                <w:i/>
                <w:color w:val="000000" w:themeColor="text1"/>
              </w:rPr>
              <w:t>Smad3</w:t>
            </w:r>
          </w:p>
        </w:tc>
        <w:tc>
          <w:tcPr>
            <w:tcW w:w="3306" w:type="dxa"/>
            <w:tcBorders>
              <w:top w:val="nil"/>
              <w:bottom w:val="nil"/>
            </w:tcBorders>
            <w:vAlign w:val="center"/>
          </w:tcPr>
          <w:p w:rsidR="001E18C9" w:rsidRPr="007C2EA5" w:rsidRDefault="001E18C9" w:rsidP="00FA755C">
            <w:pPr>
              <w:spacing w:line="360" w:lineRule="auto"/>
              <w:rPr>
                <w:color w:val="000000" w:themeColor="text1"/>
              </w:rPr>
            </w:pPr>
            <w:r w:rsidRPr="007C2EA5">
              <w:rPr>
                <w:color w:val="000000" w:themeColor="text1"/>
              </w:rPr>
              <w:t>5’-ggtaaaggattgccaccaaa-3’</w:t>
            </w:r>
          </w:p>
        </w:tc>
        <w:tc>
          <w:tcPr>
            <w:tcW w:w="3580" w:type="dxa"/>
            <w:tcBorders>
              <w:top w:val="nil"/>
              <w:bottom w:val="nil"/>
              <w:right w:val="nil"/>
            </w:tcBorders>
            <w:vAlign w:val="center"/>
          </w:tcPr>
          <w:p w:rsidR="001E18C9" w:rsidRPr="007C2EA5" w:rsidRDefault="001E18C9" w:rsidP="00FA755C">
            <w:pPr>
              <w:spacing w:line="360" w:lineRule="auto"/>
              <w:rPr>
                <w:color w:val="000000" w:themeColor="text1"/>
              </w:rPr>
            </w:pPr>
            <w:r w:rsidRPr="007C2EA5">
              <w:rPr>
                <w:color w:val="000000" w:themeColor="text1"/>
              </w:rPr>
              <w:t>5’-gaacagccaggaaagggact-3’</w:t>
            </w:r>
          </w:p>
        </w:tc>
      </w:tr>
      <w:tr w:rsidR="007C2EA5" w:rsidRPr="007C2EA5" w:rsidTr="00FA755C">
        <w:trPr>
          <w:trHeight w:hRule="exact" w:val="510"/>
        </w:trPr>
        <w:tc>
          <w:tcPr>
            <w:tcW w:w="1420" w:type="dxa"/>
            <w:tcBorders>
              <w:top w:val="nil"/>
              <w:left w:val="nil"/>
              <w:bottom w:val="single" w:sz="4" w:space="0" w:color="auto"/>
            </w:tcBorders>
            <w:vAlign w:val="center"/>
          </w:tcPr>
          <w:p w:rsidR="001E18C9" w:rsidRPr="007C2EA5" w:rsidRDefault="001E18C9" w:rsidP="00FA755C">
            <w:pPr>
              <w:spacing w:line="360" w:lineRule="auto"/>
              <w:jc w:val="center"/>
              <w:rPr>
                <w:i/>
                <w:color w:val="000000" w:themeColor="text1"/>
              </w:rPr>
            </w:pPr>
            <w:r w:rsidRPr="007C2EA5">
              <w:rPr>
                <w:i/>
                <w:color w:val="000000" w:themeColor="text1"/>
              </w:rPr>
              <w:t>β-actin</w:t>
            </w:r>
          </w:p>
        </w:tc>
        <w:tc>
          <w:tcPr>
            <w:tcW w:w="3306" w:type="dxa"/>
            <w:tcBorders>
              <w:top w:val="nil"/>
              <w:bottom w:val="single" w:sz="4" w:space="0" w:color="auto"/>
            </w:tcBorders>
            <w:vAlign w:val="center"/>
          </w:tcPr>
          <w:p w:rsidR="001E18C9" w:rsidRPr="007C2EA5" w:rsidRDefault="001E18C9" w:rsidP="00FA755C">
            <w:pPr>
              <w:spacing w:line="360" w:lineRule="auto"/>
              <w:rPr>
                <w:color w:val="000000" w:themeColor="text1"/>
              </w:rPr>
            </w:pPr>
            <w:r w:rsidRPr="007C2EA5">
              <w:rPr>
                <w:color w:val="000000" w:themeColor="text1"/>
              </w:rPr>
              <w:t>5’-cacccgcgagtacaaccttc-3’</w:t>
            </w:r>
          </w:p>
        </w:tc>
        <w:tc>
          <w:tcPr>
            <w:tcW w:w="3580" w:type="dxa"/>
            <w:tcBorders>
              <w:top w:val="nil"/>
              <w:bottom w:val="single" w:sz="4" w:space="0" w:color="auto"/>
              <w:right w:val="nil"/>
            </w:tcBorders>
            <w:vAlign w:val="center"/>
          </w:tcPr>
          <w:p w:rsidR="001E18C9" w:rsidRPr="007C2EA5" w:rsidRDefault="001E18C9" w:rsidP="00FA755C">
            <w:pPr>
              <w:spacing w:line="360" w:lineRule="auto"/>
              <w:rPr>
                <w:color w:val="000000" w:themeColor="text1"/>
              </w:rPr>
            </w:pPr>
            <w:r w:rsidRPr="007C2EA5">
              <w:rPr>
                <w:color w:val="000000" w:themeColor="text1"/>
              </w:rPr>
              <w:t>5’-cccatacccaccatcacacc-3’</w:t>
            </w:r>
          </w:p>
        </w:tc>
      </w:tr>
    </w:tbl>
    <w:p w:rsidR="00CB0C9A" w:rsidRPr="007C2EA5" w:rsidRDefault="00CB0C9A" w:rsidP="006325D1">
      <w:pPr>
        <w:rPr>
          <w:color w:val="000000" w:themeColor="text1"/>
        </w:rPr>
      </w:pPr>
    </w:p>
    <w:sectPr w:rsidR="00CB0C9A" w:rsidRPr="007C2E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5ED" w:rsidRDefault="009865ED" w:rsidP="003C713F">
      <w:pPr>
        <w:spacing w:line="240" w:lineRule="auto"/>
      </w:pPr>
      <w:r>
        <w:separator/>
      </w:r>
    </w:p>
  </w:endnote>
  <w:endnote w:type="continuationSeparator" w:id="0">
    <w:p w:rsidR="009865ED" w:rsidRDefault="009865ED" w:rsidP="003C7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A1002AE7" w:usb1="C0000063" w:usb2="00000038" w:usb3="00000000" w:csb0="000000BF"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5ED" w:rsidRDefault="009865ED" w:rsidP="003C713F">
      <w:pPr>
        <w:spacing w:line="240" w:lineRule="auto"/>
      </w:pPr>
      <w:r>
        <w:separator/>
      </w:r>
    </w:p>
  </w:footnote>
  <w:footnote w:type="continuationSeparator" w:id="0">
    <w:p w:rsidR="009865ED" w:rsidRDefault="009865ED" w:rsidP="003C713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2C0"/>
    <w:rsid w:val="00025738"/>
    <w:rsid w:val="00050035"/>
    <w:rsid w:val="000751CB"/>
    <w:rsid w:val="001064A2"/>
    <w:rsid w:val="00173D88"/>
    <w:rsid w:val="001E18C9"/>
    <w:rsid w:val="0022079F"/>
    <w:rsid w:val="00274882"/>
    <w:rsid w:val="002E76D8"/>
    <w:rsid w:val="002F32C0"/>
    <w:rsid w:val="00333F99"/>
    <w:rsid w:val="00391AD4"/>
    <w:rsid w:val="00396304"/>
    <w:rsid w:val="003C713F"/>
    <w:rsid w:val="00407AA4"/>
    <w:rsid w:val="004239BD"/>
    <w:rsid w:val="00433D2D"/>
    <w:rsid w:val="00463AAC"/>
    <w:rsid w:val="00470EA9"/>
    <w:rsid w:val="004B2B5B"/>
    <w:rsid w:val="004C0614"/>
    <w:rsid w:val="004E06F9"/>
    <w:rsid w:val="004E4910"/>
    <w:rsid w:val="00535ECC"/>
    <w:rsid w:val="005708F8"/>
    <w:rsid w:val="0059795A"/>
    <w:rsid w:val="005E1943"/>
    <w:rsid w:val="006325D1"/>
    <w:rsid w:val="0069071E"/>
    <w:rsid w:val="006A2B4E"/>
    <w:rsid w:val="006B3568"/>
    <w:rsid w:val="00757641"/>
    <w:rsid w:val="007708D4"/>
    <w:rsid w:val="007C2EA5"/>
    <w:rsid w:val="007F0891"/>
    <w:rsid w:val="007F1A5E"/>
    <w:rsid w:val="008033A5"/>
    <w:rsid w:val="00861267"/>
    <w:rsid w:val="00863FA0"/>
    <w:rsid w:val="00875470"/>
    <w:rsid w:val="00960E80"/>
    <w:rsid w:val="00981B3D"/>
    <w:rsid w:val="009865ED"/>
    <w:rsid w:val="009A42CC"/>
    <w:rsid w:val="009E6ABE"/>
    <w:rsid w:val="00A60EFE"/>
    <w:rsid w:val="00A73916"/>
    <w:rsid w:val="00B13845"/>
    <w:rsid w:val="00B35EBA"/>
    <w:rsid w:val="00B36652"/>
    <w:rsid w:val="00B40329"/>
    <w:rsid w:val="00B503C7"/>
    <w:rsid w:val="00BB052C"/>
    <w:rsid w:val="00BE0900"/>
    <w:rsid w:val="00BF48C8"/>
    <w:rsid w:val="00C2608C"/>
    <w:rsid w:val="00C92B2D"/>
    <w:rsid w:val="00CA6891"/>
    <w:rsid w:val="00CB0C9A"/>
    <w:rsid w:val="00D07FB9"/>
    <w:rsid w:val="00D46F18"/>
    <w:rsid w:val="00D81176"/>
    <w:rsid w:val="00DC2D0F"/>
    <w:rsid w:val="00DD02F5"/>
    <w:rsid w:val="00E201AE"/>
    <w:rsid w:val="00E4206E"/>
    <w:rsid w:val="00E65125"/>
    <w:rsid w:val="00E70011"/>
    <w:rsid w:val="00F314F5"/>
    <w:rsid w:val="00F41F47"/>
    <w:rsid w:val="00F52FCB"/>
    <w:rsid w:val="00F77E5D"/>
    <w:rsid w:val="00FA755C"/>
    <w:rsid w:val="00FB12C0"/>
    <w:rsid w:val="00FC4845"/>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5:docId w15:val="{A8555280-F7CF-45AB-898D-BFEF17B36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SimSun" w:hAnsi="Book Antiqua" w:cstheme="minorBidi"/>
        <w:kern w:val="2"/>
        <w:sz w:val="24"/>
        <w:szCs w:val="24"/>
        <w:lang w:val="en-US" w:eastAsia="zh-CN"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13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C713F"/>
    <w:rPr>
      <w:sz w:val="18"/>
      <w:szCs w:val="18"/>
    </w:rPr>
  </w:style>
  <w:style w:type="paragraph" w:styleId="Footer">
    <w:name w:val="footer"/>
    <w:basedOn w:val="Normal"/>
    <w:link w:val="FooterChar"/>
    <w:uiPriority w:val="99"/>
    <w:unhideWhenUsed/>
    <w:rsid w:val="003C713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C713F"/>
    <w:rPr>
      <w:sz w:val="18"/>
      <w:szCs w:val="18"/>
    </w:rPr>
  </w:style>
  <w:style w:type="table" w:styleId="TableGrid">
    <w:name w:val="Table Grid"/>
    <w:basedOn w:val="TableNormal"/>
    <w:uiPriority w:val="39"/>
    <w:rsid w:val="002748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A755C"/>
    <w:rPr>
      <w:b/>
      <w:bCs/>
    </w:rPr>
  </w:style>
  <w:style w:type="paragraph" w:styleId="ListParagraph">
    <w:name w:val="List Paragraph"/>
    <w:basedOn w:val="Normal"/>
    <w:uiPriority w:val="34"/>
    <w:qFormat/>
    <w:rsid w:val="00FA755C"/>
    <w:pPr>
      <w:suppressAutoHyphens/>
      <w:spacing w:line="240" w:lineRule="auto"/>
      <w:ind w:firstLineChars="200" w:firstLine="420"/>
      <w:jc w:val="left"/>
    </w:pPr>
    <w:rPr>
      <w:rFonts w:ascii="Times New Roman" w:eastAsia="Lucida Sans Unicode" w:hAnsi="Times New Roman" w:cs="Mangal"/>
      <w:kern w:val="1"/>
      <w:szCs w:val="21"/>
      <w:lang w:val="it-IT" w:eastAsia="hi-IN" w:bidi="hi-IN"/>
    </w:rPr>
  </w:style>
  <w:style w:type="paragraph" w:styleId="BalloonText">
    <w:name w:val="Balloon Text"/>
    <w:basedOn w:val="Normal"/>
    <w:link w:val="BalloonTextChar"/>
    <w:uiPriority w:val="99"/>
    <w:semiHidden/>
    <w:unhideWhenUsed/>
    <w:rsid w:val="007C2EA5"/>
    <w:pPr>
      <w:spacing w:line="240" w:lineRule="auto"/>
    </w:pPr>
    <w:rPr>
      <w:sz w:val="18"/>
      <w:szCs w:val="18"/>
    </w:rPr>
  </w:style>
  <w:style w:type="character" w:customStyle="1" w:styleId="BalloonTextChar">
    <w:name w:val="Balloon Text Char"/>
    <w:basedOn w:val="DefaultParagraphFont"/>
    <w:link w:val="BalloonText"/>
    <w:uiPriority w:val="99"/>
    <w:semiHidden/>
    <w:rsid w:val="007C2E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63A78-6C63-4C00-B0AD-B4CD61844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4425</Words>
  <Characters>25226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王毅</dc:creator>
  <cp:keywords/>
  <dc:description/>
  <cp:lastModifiedBy>LS Ma</cp:lastModifiedBy>
  <cp:revision>2</cp:revision>
  <dcterms:created xsi:type="dcterms:W3CDTF">2017-02-16T04:53:00Z</dcterms:created>
  <dcterms:modified xsi:type="dcterms:W3CDTF">2017-02-16T04:53:00Z</dcterms:modified>
</cp:coreProperties>
</file>